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C5" w:rsidRPr="00C44425" w:rsidRDefault="00FA27C9" w:rsidP="00111565">
      <w:pPr>
        <w:spacing w:line="240" w:lineRule="auto"/>
        <w:jc w:val="both"/>
        <w:rPr>
          <w:b/>
          <w:sz w:val="24"/>
        </w:rPr>
      </w:pPr>
      <w:r>
        <w:rPr>
          <w:b/>
          <w:sz w:val="24"/>
        </w:rPr>
        <w:t>SBU</w:t>
      </w:r>
      <w:r w:rsidR="00324EA8">
        <w:rPr>
          <w:b/>
          <w:sz w:val="24"/>
        </w:rPr>
        <w:t xml:space="preserve"> </w:t>
      </w:r>
      <w:r w:rsidR="00055AD1">
        <w:rPr>
          <w:b/>
          <w:sz w:val="24"/>
        </w:rPr>
        <w:t xml:space="preserve">HB Mortality </w:t>
      </w:r>
      <w:r w:rsidR="00055AD1" w:rsidRPr="0087391C">
        <w:rPr>
          <w:b/>
          <w:sz w:val="24"/>
        </w:rPr>
        <w:t xml:space="preserve">Information </w:t>
      </w:r>
      <w:r w:rsidR="00683AC7">
        <w:rPr>
          <w:b/>
          <w:sz w:val="24"/>
        </w:rPr>
        <w:t>March 2021</w:t>
      </w:r>
    </w:p>
    <w:p w:rsidR="00C0239C" w:rsidRDefault="00C0239C" w:rsidP="00111565">
      <w:pPr>
        <w:spacing w:line="240" w:lineRule="auto"/>
        <w:jc w:val="both"/>
      </w:pPr>
      <w:r w:rsidRPr="00C0239C">
        <w:t>This publication provides detail of Mortality rates and other related population indicators</w:t>
      </w:r>
      <w:r w:rsidR="001D22BC">
        <w:t xml:space="preserve"> for </w:t>
      </w:r>
      <w:r w:rsidR="00324EA8">
        <w:t>SBU</w:t>
      </w:r>
      <w:r w:rsidR="001D22BC">
        <w:t xml:space="preserve"> Health Board.</w:t>
      </w:r>
      <w:r w:rsidR="008F2614">
        <w:t xml:space="preserve"> </w:t>
      </w:r>
      <w:r w:rsidR="00386821">
        <w:t>The short term increased mortality seen in early 2020 is likely to be due to the impact of infection with COVID-19, however it is too early to determine the cause of these changes.</w:t>
      </w:r>
    </w:p>
    <w:p w:rsidR="008F2614" w:rsidRPr="008F2614" w:rsidRDefault="00FA0ADE" w:rsidP="008F2614">
      <w:pPr>
        <w:spacing w:line="240" w:lineRule="auto"/>
        <w:jc w:val="both"/>
      </w:pPr>
      <w:r>
        <w:t>Please note that from 1</w:t>
      </w:r>
      <w:r w:rsidRPr="00FA0ADE">
        <w:rPr>
          <w:vertAlign w:val="superscript"/>
        </w:rPr>
        <w:t>st</w:t>
      </w:r>
      <w:r>
        <w:t xml:space="preserve"> </w:t>
      </w:r>
      <w:r w:rsidR="008F2614" w:rsidRPr="008F2614">
        <w:t xml:space="preserve">April 2019 responsibility for providing healthcare services for people in the Bridgend County Borough Council area transferred from </w:t>
      </w:r>
      <w:proofErr w:type="spellStart"/>
      <w:r w:rsidR="008F2614" w:rsidRPr="008F2614">
        <w:t>Abertawe</w:t>
      </w:r>
      <w:proofErr w:type="spellEnd"/>
      <w:r w:rsidR="008F2614" w:rsidRPr="008F2614">
        <w:t xml:space="preserve"> Bro Morgannwg University Health Board to Cwm Taf Morgannwg University Health Board. In light of this change to ABMU’s responsibilities, the organisation’s name has changed to Swansea Bay University Health Board.   </w:t>
      </w:r>
      <w:r w:rsidR="00A700E3">
        <w:t>Data in this publication contains historical information prior to 1</w:t>
      </w:r>
      <w:r w:rsidR="00A700E3" w:rsidRPr="00A700E3">
        <w:rPr>
          <w:vertAlign w:val="superscript"/>
        </w:rPr>
        <w:t>st</w:t>
      </w:r>
      <w:r w:rsidR="00A700E3">
        <w:t xml:space="preserve"> April 2019 and as a result will relate to</w:t>
      </w:r>
      <w:r w:rsidR="008F2614" w:rsidRPr="008F2614">
        <w:t xml:space="preserve"> ABMU Health Board which will include Bridgend.  </w:t>
      </w:r>
    </w:p>
    <w:p w:rsidR="00C55DD7" w:rsidRDefault="003361DD" w:rsidP="00111565">
      <w:pPr>
        <w:spacing w:line="240" w:lineRule="auto"/>
        <w:jc w:val="both"/>
        <w:rPr>
          <w:b/>
        </w:rPr>
      </w:pPr>
      <w:r>
        <w:rPr>
          <w:b/>
        </w:rPr>
        <w:t>Life Expectancy at birth</w:t>
      </w:r>
    </w:p>
    <w:p w:rsidR="00845A4D" w:rsidRPr="003361DD" w:rsidRDefault="001A059B" w:rsidP="00111565">
      <w:pPr>
        <w:spacing w:line="240" w:lineRule="auto"/>
        <w:jc w:val="both"/>
        <w:rPr>
          <w:b/>
        </w:rPr>
      </w:pPr>
      <w:r w:rsidRPr="00845A4D">
        <w:t xml:space="preserve">In common with England and Wales, life expectancy at birth across the </w:t>
      </w:r>
      <w:r w:rsidR="00E0683F">
        <w:t>SBU</w:t>
      </w:r>
      <w:r w:rsidRPr="00845A4D">
        <w:t xml:space="preserve"> HB area has continued to increase.</w:t>
      </w:r>
      <w:r w:rsidR="00845A4D" w:rsidRPr="00845A4D">
        <w:t xml:space="preserve">  </w:t>
      </w:r>
      <w:r w:rsidR="00C0239C">
        <w:t>Not all our</w:t>
      </w:r>
      <w:r w:rsidR="00845A4D" w:rsidRPr="00845A4D">
        <w:t xml:space="preserve"> communities</w:t>
      </w:r>
      <w:r w:rsidR="001D22BC">
        <w:t xml:space="preserve"> share the same life </w:t>
      </w:r>
      <w:r w:rsidR="00522B79">
        <w:t>chances;</w:t>
      </w:r>
      <w:r w:rsidR="001D22BC">
        <w:t xml:space="preserve"> o</w:t>
      </w:r>
      <w:r w:rsidR="00845A4D" w:rsidRPr="00845A4D">
        <w:t>ur lifestyles are strongly influenced by the material and social circumstances we find ourselves in.</w:t>
      </w:r>
      <w:r w:rsidR="00C0239C">
        <w:t xml:space="preserve">  Factors like poverty, deprivation and lifestyle choices (smoking, alcohol, drugs, obesity, physical activity and employment status) influence life expectancy and quality of life.</w:t>
      </w:r>
    </w:p>
    <w:p w:rsidR="008F16CB" w:rsidRDefault="001D22BC" w:rsidP="00111565">
      <w:pPr>
        <w:pStyle w:val="Default"/>
        <w:spacing w:after="200"/>
        <w:jc w:val="both"/>
        <w:rPr>
          <w:rFonts w:ascii="Calibri" w:hAnsi="Calibri" w:cs="Times New Roman"/>
          <w:color w:val="auto"/>
          <w:sz w:val="22"/>
          <w:szCs w:val="22"/>
          <w:lang w:eastAsia="en-US"/>
        </w:rPr>
      </w:pPr>
      <w:r w:rsidRPr="002C5C2C">
        <w:rPr>
          <w:rFonts w:ascii="Calibri" w:hAnsi="Calibri" w:cs="Times New Roman"/>
          <w:color w:val="auto"/>
          <w:sz w:val="22"/>
          <w:szCs w:val="22"/>
          <w:lang w:eastAsia="en-US"/>
        </w:rPr>
        <w:t>The chart below shows the average life expectancy for males and female</w:t>
      </w:r>
      <w:r w:rsidR="00B907C2" w:rsidRPr="002C5C2C">
        <w:rPr>
          <w:rFonts w:ascii="Calibri" w:hAnsi="Calibri" w:cs="Times New Roman"/>
          <w:color w:val="auto"/>
          <w:sz w:val="22"/>
          <w:szCs w:val="22"/>
          <w:lang w:eastAsia="en-US"/>
        </w:rPr>
        <w:t>s has increased in each of our</w:t>
      </w:r>
      <w:r w:rsidRPr="002C5C2C">
        <w:rPr>
          <w:rFonts w:ascii="Calibri" w:hAnsi="Calibri" w:cs="Times New Roman"/>
          <w:color w:val="auto"/>
          <w:sz w:val="22"/>
          <w:szCs w:val="22"/>
          <w:lang w:eastAsia="en-US"/>
        </w:rPr>
        <w:t xml:space="preserve"> lo</w:t>
      </w:r>
      <w:r w:rsidR="00A30E5D" w:rsidRPr="002C5C2C">
        <w:rPr>
          <w:rFonts w:ascii="Calibri" w:hAnsi="Calibri" w:cs="Times New Roman"/>
          <w:color w:val="auto"/>
          <w:sz w:val="22"/>
          <w:szCs w:val="22"/>
          <w:lang w:eastAsia="en-US"/>
        </w:rPr>
        <w:t>calities</w:t>
      </w:r>
      <w:r w:rsidRPr="00D524AC">
        <w:rPr>
          <w:rFonts w:ascii="Calibri" w:hAnsi="Calibri" w:cs="Times New Roman"/>
          <w:color w:val="auto"/>
          <w:sz w:val="22"/>
          <w:szCs w:val="22"/>
          <w:lang w:eastAsia="en-US"/>
        </w:rPr>
        <w:t xml:space="preserve"> over the last </w:t>
      </w:r>
      <w:r w:rsidRPr="00F015E4">
        <w:rPr>
          <w:rFonts w:ascii="Calibri" w:hAnsi="Calibri" w:cs="Times New Roman"/>
          <w:color w:val="auto"/>
          <w:sz w:val="22"/>
          <w:szCs w:val="22"/>
          <w:lang w:eastAsia="en-US"/>
        </w:rPr>
        <w:t>1</w:t>
      </w:r>
      <w:r w:rsidR="0083765C" w:rsidRPr="00F015E4">
        <w:rPr>
          <w:rFonts w:ascii="Calibri" w:hAnsi="Calibri" w:cs="Times New Roman"/>
          <w:color w:val="auto"/>
          <w:sz w:val="22"/>
          <w:szCs w:val="22"/>
          <w:lang w:eastAsia="en-US"/>
        </w:rPr>
        <w:t>8</w:t>
      </w:r>
      <w:r w:rsidRPr="00D524AC">
        <w:rPr>
          <w:rFonts w:ascii="Calibri" w:hAnsi="Calibri" w:cs="Times New Roman"/>
          <w:color w:val="auto"/>
          <w:sz w:val="22"/>
          <w:szCs w:val="22"/>
          <w:lang w:eastAsia="en-US"/>
        </w:rPr>
        <w:t xml:space="preserve"> years.</w:t>
      </w:r>
    </w:p>
    <w:p w:rsidR="00806662" w:rsidRDefault="0083765C" w:rsidP="00147FCD">
      <w:pPr>
        <w:jc w:val="both"/>
        <w:rPr>
          <w:b/>
        </w:rPr>
      </w:pPr>
      <w:r>
        <w:rPr>
          <w:b/>
          <w:noProof/>
          <w:lang w:eastAsia="en-GB"/>
        </w:rPr>
        <w:drawing>
          <wp:inline distT="0" distB="0" distL="0" distR="0" wp14:anchorId="45275E2F">
            <wp:extent cx="5724525" cy="2667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67000"/>
                    </a:xfrm>
                    <a:prstGeom prst="rect">
                      <a:avLst/>
                    </a:prstGeom>
                    <a:noFill/>
                  </pic:spPr>
                </pic:pic>
              </a:graphicData>
            </a:graphic>
          </wp:inline>
        </w:drawing>
      </w:r>
    </w:p>
    <w:p w:rsidR="00B471C1" w:rsidRDefault="00B471C1">
      <w:pPr>
        <w:spacing w:after="0" w:line="240" w:lineRule="auto"/>
        <w:rPr>
          <w:b/>
        </w:rPr>
      </w:pPr>
      <w:r>
        <w:rPr>
          <w:b/>
        </w:rPr>
        <w:br w:type="page"/>
      </w:r>
    </w:p>
    <w:p w:rsidR="003361DD" w:rsidRPr="0099314C" w:rsidRDefault="001A059B" w:rsidP="00111565">
      <w:pPr>
        <w:spacing w:line="240" w:lineRule="auto"/>
        <w:jc w:val="both"/>
        <w:rPr>
          <w:b/>
        </w:rPr>
      </w:pPr>
      <w:r w:rsidRPr="008B4C4E">
        <w:rPr>
          <w:b/>
        </w:rPr>
        <w:lastRenderedPageBreak/>
        <w:t>Age Standardised Mortality Rates</w:t>
      </w:r>
    </w:p>
    <w:p w:rsidR="00806662" w:rsidRPr="00147FCD" w:rsidRDefault="001D22BC" w:rsidP="00111565">
      <w:pPr>
        <w:spacing w:line="240" w:lineRule="auto"/>
        <w:jc w:val="both"/>
      </w:pPr>
      <w:r w:rsidRPr="0099314C">
        <w:t xml:space="preserve">The chart below shows the age standardised mortality rate </w:t>
      </w:r>
      <w:r w:rsidRPr="002C5C2C">
        <w:t xml:space="preserve">for </w:t>
      </w:r>
      <w:r w:rsidR="00B907C2" w:rsidRPr="002C5C2C">
        <w:t>SBU</w:t>
      </w:r>
      <w:r w:rsidRPr="0099314C">
        <w:t xml:space="preserve"> areas for males and females.</w:t>
      </w:r>
      <w:r>
        <w:t xml:space="preserve"> </w:t>
      </w:r>
    </w:p>
    <w:p w:rsidR="00204740" w:rsidRDefault="00914808" w:rsidP="00147FCD">
      <w:pPr>
        <w:spacing w:line="240" w:lineRule="auto"/>
        <w:jc w:val="both"/>
      </w:pPr>
      <w:r w:rsidRPr="00914808">
        <w:rPr>
          <w:noProof/>
          <w:highlight w:val="yellow"/>
          <w:lang w:eastAsia="en-GB"/>
        </w:rPr>
        <w:drawing>
          <wp:inline distT="0" distB="0" distL="0" distR="0" wp14:anchorId="340FCD17">
            <wp:extent cx="5741035"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35" cy="2495550"/>
                    </a:xfrm>
                    <a:prstGeom prst="rect">
                      <a:avLst/>
                    </a:prstGeom>
                    <a:noFill/>
                  </pic:spPr>
                </pic:pic>
              </a:graphicData>
            </a:graphic>
          </wp:inline>
        </w:drawing>
      </w:r>
    </w:p>
    <w:p w:rsidR="00EE0CBD" w:rsidRPr="00991739" w:rsidRDefault="00991739" w:rsidP="00111565">
      <w:pPr>
        <w:spacing w:line="240" w:lineRule="auto"/>
        <w:jc w:val="both"/>
        <w:rPr>
          <w:b/>
        </w:rPr>
      </w:pPr>
      <w:r w:rsidRPr="00991739">
        <w:t>The above</w:t>
      </w:r>
      <w:r w:rsidR="00105E85">
        <w:t xml:space="preserve"> rate</w:t>
      </w:r>
      <w:r w:rsidRPr="00991739">
        <w:t xml:space="preserve"> ha</w:t>
      </w:r>
      <w:r w:rsidR="00105E85">
        <w:t>s</w:t>
      </w:r>
      <w:r w:rsidRPr="00991739">
        <w:t xml:space="preserve"> now been calculated using the </w:t>
      </w:r>
      <w:r w:rsidRPr="006814AD">
        <w:t xml:space="preserve">2013 </w:t>
      </w:r>
      <w:r w:rsidRPr="00991739">
        <w:t xml:space="preserve">European Population Standard (ESP), replacing the 1976 ESP standards, which accounts for the significant change in the age standardised rates per 100,000 </w:t>
      </w:r>
      <w:proofErr w:type="gramStart"/>
      <w:r w:rsidRPr="00991739">
        <w:t>population</w:t>
      </w:r>
      <w:proofErr w:type="gramEnd"/>
      <w:r w:rsidRPr="00991739">
        <w:t xml:space="preserve"> when compared to previously reported figures. </w:t>
      </w:r>
    </w:p>
    <w:p w:rsidR="001F73CD" w:rsidRPr="006700DF" w:rsidRDefault="001D22BC" w:rsidP="00111565">
      <w:pPr>
        <w:spacing w:line="240" w:lineRule="auto"/>
        <w:jc w:val="both"/>
      </w:pPr>
      <w:r w:rsidRPr="00EE0CBD">
        <w:t xml:space="preserve">Age standardisation takes into account the different age structures of </w:t>
      </w:r>
      <w:r>
        <w:t>the Health Board’s population</w:t>
      </w:r>
      <w:r w:rsidRPr="00EE0CBD">
        <w:t>.</w:t>
      </w:r>
      <w:r>
        <w:t xml:space="preserve"> </w:t>
      </w:r>
      <w:r w:rsidR="006700DF" w:rsidRPr="004A06B7">
        <w:t xml:space="preserve">The rates </w:t>
      </w:r>
      <w:r w:rsidR="004A06B7" w:rsidRPr="004A06B7">
        <w:t xml:space="preserve">for the Neath Port Talbot </w:t>
      </w:r>
      <w:r w:rsidR="004A06B7" w:rsidRPr="002C5C2C">
        <w:t xml:space="preserve">and </w:t>
      </w:r>
      <w:r w:rsidR="00B907C2" w:rsidRPr="002C5C2C">
        <w:t xml:space="preserve">Swansea </w:t>
      </w:r>
      <w:r w:rsidR="006700DF" w:rsidRPr="002C5C2C">
        <w:t>localities</w:t>
      </w:r>
      <w:r w:rsidR="006700DF" w:rsidRPr="004A06B7">
        <w:t xml:space="preserve"> are slightly higher than the All Wales rates</w:t>
      </w:r>
      <w:r w:rsidR="004A06B7" w:rsidRPr="004A06B7">
        <w:t>.</w:t>
      </w:r>
      <w:r w:rsidR="006D50A4" w:rsidRPr="004A06B7">
        <w:t xml:space="preserve">  The</w:t>
      </w:r>
      <w:r w:rsidR="006D50A4">
        <w:t xml:space="preserve"> rates are expressed per 100,</w:t>
      </w:r>
      <w:r w:rsidR="000642FF">
        <w:t>0</w:t>
      </w:r>
      <w:r w:rsidR="006D50A4">
        <w:t xml:space="preserve">00 </w:t>
      </w:r>
      <w:proofErr w:type="gramStart"/>
      <w:r w:rsidR="006D50A4">
        <w:t>population</w:t>
      </w:r>
      <w:proofErr w:type="gramEnd"/>
      <w:r w:rsidR="006D50A4">
        <w:t>.</w:t>
      </w:r>
    </w:p>
    <w:p w:rsidR="000F1EA4" w:rsidRDefault="006700DF" w:rsidP="00111565">
      <w:pPr>
        <w:spacing w:line="240" w:lineRule="auto"/>
        <w:jc w:val="both"/>
        <w:rPr>
          <w:b/>
          <w:sz w:val="24"/>
          <w:szCs w:val="24"/>
        </w:rPr>
      </w:pPr>
      <w:r w:rsidRPr="00991739">
        <w:rPr>
          <w:b/>
          <w:sz w:val="24"/>
          <w:szCs w:val="24"/>
        </w:rPr>
        <w:t>Deprivation</w:t>
      </w:r>
      <w:r w:rsidR="000F1EA4">
        <w:rPr>
          <w:b/>
          <w:sz w:val="24"/>
          <w:szCs w:val="24"/>
        </w:rPr>
        <w:t xml:space="preserve"> </w:t>
      </w:r>
    </w:p>
    <w:p w:rsidR="00A95D57" w:rsidRDefault="00687CA0" w:rsidP="00111565">
      <w:pPr>
        <w:pStyle w:val="Subtitle"/>
        <w:spacing w:after="200" w:line="240" w:lineRule="auto"/>
        <w:jc w:val="both"/>
        <w:rPr>
          <w:rFonts w:ascii="Calibri" w:hAnsi="Calibri"/>
          <w:color w:val="000000"/>
          <w:sz w:val="22"/>
          <w:szCs w:val="22"/>
        </w:rPr>
      </w:pPr>
      <w:r w:rsidRPr="00305742">
        <w:rPr>
          <w:rFonts w:ascii="Calibri" w:hAnsi="Calibri"/>
          <w:sz w:val="22"/>
          <w:szCs w:val="22"/>
        </w:rPr>
        <w:t>Deprivation is measured based on income, employment, health, education, geographical access to service, community safety, physical environment</w:t>
      </w:r>
      <w:r w:rsidR="00A22934" w:rsidRPr="00305742">
        <w:rPr>
          <w:rFonts w:ascii="Calibri" w:hAnsi="Calibri"/>
          <w:sz w:val="22"/>
          <w:szCs w:val="22"/>
        </w:rPr>
        <w:t xml:space="preserve"> and housing. Wales has some of</w:t>
      </w:r>
      <w:r w:rsidR="00E353B6" w:rsidRPr="00305742">
        <w:rPr>
          <w:rFonts w:ascii="Calibri" w:hAnsi="Calibri"/>
          <w:sz w:val="22"/>
          <w:szCs w:val="22"/>
        </w:rPr>
        <w:t xml:space="preserve"> the highest levels of </w:t>
      </w:r>
      <w:r w:rsidR="00E353B6" w:rsidRPr="00305742">
        <w:rPr>
          <w:rFonts w:ascii="Calibri" w:hAnsi="Calibri"/>
          <w:color w:val="000000"/>
          <w:sz w:val="22"/>
          <w:szCs w:val="22"/>
        </w:rPr>
        <w:t>depr</w:t>
      </w:r>
      <w:r w:rsidR="00C42309" w:rsidRPr="00305742">
        <w:rPr>
          <w:rFonts w:ascii="Calibri" w:hAnsi="Calibri"/>
          <w:color w:val="000000"/>
          <w:sz w:val="22"/>
          <w:szCs w:val="22"/>
        </w:rPr>
        <w:t>i</w:t>
      </w:r>
      <w:r w:rsidR="00E353B6" w:rsidRPr="00305742">
        <w:rPr>
          <w:rFonts w:ascii="Calibri" w:hAnsi="Calibri"/>
          <w:color w:val="000000"/>
          <w:sz w:val="22"/>
          <w:szCs w:val="22"/>
        </w:rPr>
        <w:t>vation</w:t>
      </w:r>
      <w:r w:rsidR="00A22934" w:rsidRPr="00305742">
        <w:rPr>
          <w:rFonts w:ascii="Calibri" w:hAnsi="Calibri"/>
          <w:b/>
          <w:color w:val="000000"/>
          <w:sz w:val="22"/>
          <w:szCs w:val="22"/>
        </w:rPr>
        <w:t xml:space="preserve"> </w:t>
      </w:r>
      <w:r w:rsidR="00A22934" w:rsidRPr="002C5C2C">
        <w:rPr>
          <w:rFonts w:ascii="Calibri" w:hAnsi="Calibri"/>
          <w:color w:val="000000"/>
          <w:sz w:val="22"/>
          <w:szCs w:val="22"/>
        </w:rPr>
        <w:t xml:space="preserve">and </w:t>
      </w:r>
      <w:r w:rsidR="00B907C2" w:rsidRPr="007632CC">
        <w:rPr>
          <w:rFonts w:ascii="Calibri" w:hAnsi="Calibri"/>
          <w:color w:val="000000"/>
          <w:sz w:val="22"/>
          <w:szCs w:val="22"/>
          <w:lang w:val="en-GB"/>
        </w:rPr>
        <w:t>SB</w:t>
      </w:r>
      <w:r w:rsidR="00B907C2" w:rsidRPr="007632CC">
        <w:rPr>
          <w:rFonts w:ascii="Calibri" w:hAnsi="Calibri"/>
          <w:color w:val="000000"/>
          <w:sz w:val="22"/>
          <w:szCs w:val="22"/>
        </w:rPr>
        <w:t>U</w:t>
      </w:r>
      <w:r w:rsidR="00B907C2" w:rsidRPr="00305742">
        <w:rPr>
          <w:rFonts w:ascii="Calibri" w:hAnsi="Calibri"/>
          <w:color w:val="000000"/>
          <w:sz w:val="22"/>
          <w:szCs w:val="22"/>
        </w:rPr>
        <w:t xml:space="preserve"> </w:t>
      </w:r>
      <w:r w:rsidR="00A22934" w:rsidRPr="00305742">
        <w:rPr>
          <w:rFonts w:ascii="Calibri" w:hAnsi="Calibri"/>
          <w:color w:val="000000"/>
          <w:sz w:val="22"/>
          <w:szCs w:val="22"/>
        </w:rPr>
        <w:t>has more deprived communities tha</w:t>
      </w:r>
      <w:r w:rsidR="00720D81">
        <w:rPr>
          <w:rFonts w:ascii="Calibri" w:hAnsi="Calibri"/>
          <w:color w:val="000000"/>
          <w:sz w:val="22"/>
          <w:szCs w:val="22"/>
        </w:rPr>
        <w:t>n</w:t>
      </w:r>
      <w:r w:rsidR="00A22934" w:rsidRPr="00305742">
        <w:rPr>
          <w:rFonts w:ascii="Calibri" w:hAnsi="Calibri"/>
          <w:color w:val="000000"/>
          <w:sz w:val="22"/>
          <w:szCs w:val="22"/>
        </w:rPr>
        <w:t xml:space="preserve"> the average for Wales.</w:t>
      </w:r>
    </w:p>
    <w:p w:rsidR="008B7937" w:rsidRDefault="00470AC6" w:rsidP="00F10E34">
      <w:pPr>
        <w:spacing w:line="240" w:lineRule="auto"/>
        <w:jc w:val="center"/>
      </w:pPr>
      <w:r>
        <w:rPr>
          <w:noProof/>
          <w:lang w:eastAsia="en-GB"/>
        </w:rPr>
        <w:drawing>
          <wp:inline distT="0" distB="0" distL="0" distR="0" wp14:anchorId="04138A52">
            <wp:extent cx="5187950" cy="2755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0" cy="2755900"/>
                    </a:xfrm>
                    <a:prstGeom prst="rect">
                      <a:avLst/>
                    </a:prstGeom>
                    <a:noFill/>
                  </pic:spPr>
                </pic:pic>
              </a:graphicData>
            </a:graphic>
          </wp:inline>
        </w:drawing>
      </w:r>
    </w:p>
    <w:p w:rsidR="00C55DD7" w:rsidRDefault="00522B79" w:rsidP="00914808">
      <w:pPr>
        <w:spacing w:line="240" w:lineRule="auto"/>
        <w:jc w:val="both"/>
        <w:rPr>
          <w:b/>
        </w:rPr>
      </w:pPr>
      <w:r>
        <w:t>Deprivation is measured in 5 parts ranging from the least to the most deprived</w:t>
      </w:r>
      <w:r w:rsidR="00EA2548">
        <w:t>.</w:t>
      </w:r>
      <w:r w:rsidR="00C55DD7">
        <w:rPr>
          <w:b/>
        </w:rPr>
        <w:br w:type="page"/>
      </w:r>
    </w:p>
    <w:p w:rsidR="001A059B" w:rsidRDefault="00683541" w:rsidP="00111565">
      <w:pPr>
        <w:spacing w:line="240" w:lineRule="auto"/>
        <w:jc w:val="both"/>
        <w:rPr>
          <w:b/>
        </w:rPr>
      </w:pPr>
      <w:r w:rsidRPr="00991739">
        <w:rPr>
          <w:b/>
        </w:rPr>
        <w:lastRenderedPageBreak/>
        <w:t>Perinatal Mortality</w:t>
      </w:r>
    </w:p>
    <w:p w:rsidR="006700DF" w:rsidRPr="00305742" w:rsidRDefault="00FD4FCC" w:rsidP="00111565">
      <w:pPr>
        <w:spacing w:line="240" w:lineRule="auto"/>
        <w:jc w:val="both"/>
      </w:pPr>
      <w:r>
        <w:t>Swansea Bay</w:t>
      </w:r>
      <w:r w:rsidR="00647BEC" w:rsidRPr="00305742">
        <w:t xml:space="preserve">’s </w:t>
      </w:r>
      <w:r w:rsidR="00D17AA2" w:rsidRPr="00305742">
        <w:t>perinatal</w:t>
      </w:r>
      <w:r w:rsidR="006700DF" w:rsidRPr="00305742">
        <w:t xml:space="preserve"> mortality rate</w:t>
      </w:r>
      <w:r w:rsidR="002135BC" w:rsidRPr="00305742">
        <w:t xml:space="preserve"> </w:t>
      </w:r>
      <w:r w:rsidR="00522B79" w:rsidRPr="00305742">
        <w:t xml:space="preserve">(stillbirths and deaths within first 7 days of life as a rate per 1,000 live and stillbirths) </w:t>
      </w:r>
      <w:r w:rsidR="00936821" w:rsidRPr="00305742">
        <w:t xml:space="preserve">is </w:t>
      </w:r>
      <w:r w:rsidR="00914808" w:rsidRPr="008B4C4E">
        <w:t>7.6</w:t>
      </w:r>
      <w:r w:rsidR="00522B79" w:rsidRPr="008B4C4E">
        <w:t>,</w:t>
      </w:r>
      <w:r w:rsidR="00772B62" w:rsidRPr="008B4C4E">
        <w:t xml:space="preserve"> </w:t>
      </w:r>
      <w:r w:rsidR="006700DF" w:rsidRPr="008B4C4E">
        <w:t xml:space="preserve">the All Wales </w:t>
      </w:r>
      <w:r w:rsidR="00C87BF3" w:rsidRPr="008B4C4E">
        <w:t>a</w:t>
      </w:r>
      <w:r w:rsidR="00936821" w:rsidRPr="008B4C4E">
        <w:t xml:space="preserve">verage </w:t>
      </w:r>
      <w:r w:rsidR="00E2505F" w:rsidRPr="008B4C4E">
        <w:t>is</w:t>
      </w:r>
      <w:r w:rsidR="002135BC" w:rsidRPr="008B4C4E">
        <w:t xml:space="preserve"> </w:t>
      </w:r>
      <w:r w:rsidR="00914808" w:rsidRPr="008B4C4E">
        <w:t>7.1</w:t>
      </w:r>
      <w:r w:rsidR="006700DF" w:rsidRPr="00305742">
        <w:t>.</w:t>
      </w:r>
      <w:r w:rsidR="005F38CD" w:rsidRPr="00305742">
        <w:t xml:space="preserve">  </w:t>
      </w:r>
    </w:p>
    <w:p w:rsidR="00A22934" w:rsidRPr="00C13D42" w:rsidRDefault="00A22934" w:rsidP="00111565">
      <w:pPr>
        <w:spacing w:line="240" w:lineRule="auto"/>
        <w:jc w:val="both"/>
        <w:rPr>
          <w:b/>
          <w:color w:val="000000"/>
          <w:sz w:val="23"/>
          <w:szCs w:val="23"/>
        </w:rPr>
      </w:pPr>
      <w:r w:rsidRPr="009F1793">
        <w:rPr>
          <w:b/>
          <w:color w:val="000000"/>
          <w:sz w:val="23"/>
          <w:szCs w:val="23"/>
        </w:rPr>
        <w:t>Excess Winter Deaths</w:t>
      </w:r>
    </w:p>
    <w:p w:rsidR="003D33C1" w:rsidRDefault="00562BA2" w:rsidP="00111565">
      <w:pPr>
        <w:spacing w:line="240" w:lineRule="auto"/>
        <w:jc w:val="both"/>
        <w:rPr>
          <w:color w:val="000000"/>
        </w:rPr>
      </w:pPr>
      <w:r w:rsidRPr="00305742">
        <w:rPr>
          <w:color w:val="000000"/>
        </w:rPr>
        <w:t xml:space="preserve">In common with England and the rest of Wales </w:t>
      </w:r>
      <w:r w:rsidR="002C5C2C">
        <w:rPr>
          <w:color w:val="000000"/>
        </w:rPr>
        <w:t>SB UHB</w:t>
      </w:r>
      <w:r w:rsidRPr="00305742">
        <w:rPr>
          <w:color w:val="000000"/>
        </w:rPr>
        <w:t xml:space="preserve"> has more deaths in the </w:t>
      </w:r>
      <w:r w:rsidR="00505244" w:rsidRPr="00305742">
        <w:rPr>
          <w:color w:val="000000"/>
        </w:rPr>
        <w:t>wintertime</w:t>
      </w:r>
      <w:r w:rsidR="005E3AD9" w:rsidRPr="00305742">
        <w:rPr>
          <w:color w:val="000000"/>
        </w:rPr>
        <w:t xml:space="preserve"> period</w:t>
      </w:r>
      <w:r w:rsidRPr="00305742">
        <w:rPr>
          <w:color w:val="000000"/>
        </w:rPr>
        <w:t>.</w:t>
      </w:r>
      <w:r w:rsidR="00F874FF">
        <w:rPr>
          <w:color w:val="000000"/>
        </w:rPr>
        <w:t xml:space="preserve"> </w:t>
      </w:r>
      <w:r w:rsidR="003E4507" w:rsidRPr="00305742">
        <w:rPr>
          <w:color w:val="000000"/>
        </w:rPr>
        <w:t>Whilst some of the excess deaths during a winter period may be due to extreme weather conditions, often it is conditions susceptible to cold temperatures like stroke, heart attack, pneumonia and influenza</w:t>
      </w:r>
      <w:r w:rsidR="008E4E16">
        <w:rPr>
          <w:color w:val="000000"/>
        </w:rPr>
        <w:t>,</w:t>
      </w:r>
      <w:r w:rsidR="003E4507" w:rsidRPr="00305742">
        <w:rPr>
          <w:color w:val="000000"/>
        </w:rPr>
        <w:t xml:space="preserve"> which are the main causes. This is why it is important that we keep ourselves warm during the colder months and try to protect our most vulnerable citizens, ensuring they are vaccinated against that winter’s strain of influenza.</w:t>
      </w:r>
      <w:r w:rsidR="004724D9">
        <w:rPr>
          <w:color w:val="000000"/>
        </w:rPr>
        <w:t xml:space="preserve"> </w:t>
      </w:r>
    </w:p>
    <w:p w:rsidR="00C77049" w:rsidRDefault="004724D9" w:rsidP="00111565">
      <w:pPr>
        <w:spacing w:line="240" w:lineRule="auto"/>
        <w:jc w:val="both"/>
        <w:rPr>
          <w:lang w:val="en"/>
        </w:rPr>
      </w:pPr>
      <w:r w:rsidRPr="00BB5E2F">
        <w:t>In the winter</w:t>
      </w:r>
      <w:r w:rsidRPr="00CF0C8D">
        <w:t xml:space="preserve"> period of </w:t>
      </w:r>
      <w:r w:rsidR="00AE0A3B">
        <w:t>2018/19</w:t>
      </w:r>
      <w:r w:rsidR="00925F67">
        <w:t xml:space="preserve"> </w:t>
      </w:r>
      <w:r w:rsidR="004236B3" w:rsidRPr="00CF0C8D">
        <w:t>the num</w:t>
      </w:r>
      <w:r w:rsidR="00505244" w:rsidRPr="00CF0C8D">
        <w:t>ber of excess winter deaths</w:t>
      </w:r>
      <w:r w:rsidR="00144B57" w:rsidRPr="00CF0C8D">
        <w:t xml:space="preserve"> w</w:t>
      </w:r>
      <w:r w:rsidR="000364CB" w:rsidRPr="00CF0C8D">
        <w:t>as</w:t>
      </w:r>
      <w:r w:rsidR="00FD3953">
        <w:t xml:space="preserve"> </w:t>
      </w:r>
      <w:r w:rsidR="00AE0A3B">
        <w:t>lower</w:t>
      </w:r>
      <w:r w:rsidR="004236B3" w:rsidRPr="00CF0C8D">
        <w:t xml:space="preserve"> than</w:t>
      </w:r>
      <w:r w:rsidR="004236B3" w:rsidRPr="00304F2F">
        <w:t xml:space="preserve"> 201</w:t>
      </w:r>
      <w:r w:rsidR="00AE0A3B">
        <w:t>7</w:t>
      </w:r>
      <w:r w:rsidR="004236B3" w:rsidRPr="00304F2F">
        <w:t>/201</w:t>
      </w:r>
      <w:r w:rsidR="00AE0A3B">
        <w:t>8</w:t>
      </w:r>
      <w:r w:rsidR="00925F67" w:rsidRPr="00304F2F">
        <w:t xml:space="preserve">. </w:t>
      </w:r>
      <w:r w:rsidR="00FD3953">
        <w:t xml:space="preserve"> </w:t>
      </w:r>
      <w:proofErr w:type="gramStart"/>
      <w:r w:rsidR="00925F67" w:rsidRPr="00304F2F">
        <w:t xml:space="preserve">The  </w:t>
      </w:r>
      <w:r w:rsidR="00505244" w:rsidRPr="00304F2F">
        <w:t>average</w:t>
      </w:r>
      <w:proofErr w:type="gramEnd"/>
      <w:r w:rsidR="00505244" w:rsidRPr="00304F2F">
        <w:t xml:space="preserve"> temperature for the period</w:t>
      </w:r>
      <w:r w:rsidR="00925F67" w:rsidRPr="00304F2F">
        <w:t xml:space="preserve"> was </w:t>
      </w:r>
      <w:r w:rsidR="00AE0A3B">
        <w:t>higher than the previous 2</w:t>
      </w:r>
      <w:r w:rsidR="00925F67" w:rsidRPr="00304F2F">
        <w:t xml:space="preserve"> years.</w:t>
      </w:r>
    </w:p>
    <w:tbl>
      <w:tblPr>
        <w:tblW w:w="10905" w:type="dxa"/>
        <w:tblInd w:w="-714" w:type="dxa"/>
        <w:tblLook w:val="04A0" w:firstRow="1" w:lastRow="0" w:firstColumn="1" w:lastColumn="0" w:noHBand="0" w:noVBand="1"/>
      </w:tblPr>
      <w:tblGrid>
        <w:gridCol w:w="1427"/>
        <w:gridCol w:w="677"/>
        <w:gridCol w:w="677"/>
        <w:gridCol w:w="677"/>
        <w:gridCol w:w="677"/>
        <w:gridCol w:w="677"/>
        <w:gridCol w:w="677"/>
        <w:gridCol w:w="677"/>
        <w:gridCol w:w="677"/>
        <w:gridCol w:w="677"/>
        <w:gridCol w:w="677"/>
        <w:gridCol w:w="677"/>
        <w:gridCol w:w="677"/>
        <w:gridCol w:w="677"/>
        <w:gridCol w:w="677"/>
      </w:tblGrid>
      <w:tr w:rsidR="007D4BD8" w:rsidRPr="007D4BD8" w:rsidTr="007D4BD8">
        <w:trPr>
          <w:trHeight w:val="640"/>
        </w:trPr>
        <w:tc>
          <w:tcPr>
            <w:tcW w:w="14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4BD8" w:rsidRPr="007D4BD8" w:rsidRDefault="007D4BD8" w:rsidP="007D4BD8">
            <w:pPr>
              <w:spacing w:after="0" w:line="240" w:lineRule="auto"/>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Area Name</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2005-06</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2006-07</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2007-08</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2008-09</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2009-10</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2010-11</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2011-12</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2012-13</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2013-14</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2014-15</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2015-16</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2016-17</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2017-18</w:t>
            </w:r>
          </w:p>
        </w:tc>
        <w:tc>
          <w:tcPr>
            <w:tcW w:w="677" w:type="dxa"/>
            <w:tcBorders>
              <w:top w:val="single" w:sz="4" w:space="0" w:color="auto"/>
              <w:left w:val="nil"/>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2018-19</w:t>
            </w:r>
          </w:p>
        </w:tc>
      </w:tr>
      <w:tr w:rsidR="007D4BD8" w:rsidRPr="007D4BD8" w:rsidTr="007D4BD8">
        <w:trPr>
          <w:trHeight w:val="29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Swansea</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15.0</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20.7</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8.9</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25.4</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21.9</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14.6</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12.5</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15.1</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13.4</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28.2</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19.2</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21.2</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25.8</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11.3</w:t>
            </w:r>
          </w:p>
        </w:tc>
      </w:tr>
      <w:tr w:rsidR="007D4BD8" w:rsidRPr="007D4BD8" w:rsidTr="007D4BD8">
        <w:trPr>
          <w:trHeight w:val="29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Neath Port Talbot</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8.5</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18.3</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0.9</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27.7</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23.4</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33.1</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8.3</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18.9</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1.7</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21.9</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24.4</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9.9</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34.5</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6.5</w:t>
            </w:r>
          </w:p>
        </w:tc>
      </w:tr>
      <w:tr w:rsidR="007D4BD8" w:rsidRPr="007D4BD8" w:rsidTr="007D4BD8">
        <w:trPr>
          <w:trHeight w:val="290"/>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Wales</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15.8</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14.1</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14.3</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25.4</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17.5</w:t>
            </w:r>
          </w:p>
        </w:tc>
        <w:tc>
          <w:tcPr>
            <w:tcW w:w="677" w:type="dxa"/>
            <w:tcBorders>
              <w:top w:val="nil"/>
              <w:left w:val="nil"/>
              <w:bottom w:val="single" w:sz="4" w:space="0" w:color="auto"/>
              <w:right w:val="single" w:sz="4" w:space="0" w:color="auto"/>
            </w:tcBorders>
            <w:shd w:val="clear" w:color="auto" w:fill="auto"/>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20.4</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12.8</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18.1</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10.3</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25.1</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17.4</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17.7</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32.3</w:t>
            </w:r>
          </w:p>
        </w:tc>
        <w:tc>
          <w:tcPr>
            <w:tcW w:w="677" w:type="dxa"/>
            <w:tcBorders>
              <w:top w:val="nil"/>
              <w:left w:val="nil"/>
              <w:bottom w:val="single" w:sz="4" w:space="0" w:color="auto"/>
              <w:right w:val="single" w:sz="4" w:space="0" w:color="auto"/>
            </w:tcBorders>
            <w:shd w:val="clear" w:color="000000" w:fill="FFFFFF"/>
            <w:noWrap/>
            <w:vAlign w:val="bottom"/>
            <w:hideMark/>
          </w:tcPr>
          <w:p w:rsidR="007D4BD8" w:rsidRPr="007D4BD8" w:rsidRDefault="007D4BD8" w:rsidP="007D4BD8">
            <w:pPr>
              <w:spacing w:after="0" w:line="240" w:lineRule="auto"/>
              <w:jc w:val="center"/>
              <w:rPr>
                <w:rFonts w:ascii="Arial" w:eastAsia="Times New Roman" w:hAnsi="Arial" w:cs="Arial"/>
                <w:b/>
                <w:bCs/>
                <w:color w:val="000000"/>
                <w:sz w:val="18"/>
                <w:szCs w:val="18"/>
                <w:lang w:eastAsia="en-GB"/>
              </w:rPr>
            </w:pPr>
            <w:r w:rsidRPr="007D4BD8">
              <w:rPr>
                <w:rFonts w:ascii="Arial" w:eastAsia="Times New Roman" w:hAnsi="Arial" w:cs="Arial"/>
                <w:b/>
                <w:bCs/>
                <w:color w:val="000000"/>
                <w:sz w:val="18"/>
                <w:szCs w:val="18"/>
                <w:lang w:eastAsia="en-GB"/>
              </w:rPr>
              <w:t>13.3</w:t>
            </w:r>
          </w:p>
        </w:tc>
      </w:tr>
      <w:tr w:rsidR="007D4BD8" w:rsidRPr="007D4BD8" w:rsidTr="007D4BD8">
        <w:trPr>
          <w:trHeight w:val="550"/>
        </w:trPr>
        <w:tc>
          <w:tcPr>
            <w:tcW w:w="1427" w:type="dxa"/>
            <w:tcBorders>
              <w:top w:val="nil"/>
              <w:left w:val="single" w:sz="4" w:space="0" w:color="auto"/>
              <w:bottom w:val="single" w:sz="4" w:space="0" w:color="auto"/>
              <w:right w:val="single" w:sz="4" w:space="0" w:color="auto"/>
            </w:tcBorders>
            <w:shd w:val="clear" w:color="000000" w:fill="D9D9D9"/>
            <w:vAlign w:val="bottom"/>
            <w:hideMark/>
          </w:tcPr>
          <w:p w:rsidR="007D4BD8" w:rsidRPr="007D4BD8" w:rsidRDefault="007D4BD8" w:rsidP="007D4BD8">
            <w:pPr>
              <w:spacing w:after="0" w:line="240" w:lineRule="auto"/>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Wales average winter temperature</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4.08</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6.05</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5.45</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3.42</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2.21</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2.80</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5.27</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3.87</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5.71</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4.43</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6.40</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5.47</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4.25</w:t>
            </w:r>
          </w:p>
        </w:tc>
        <w:tc>
          <w:tcPr>
            <w:tcW w:w="677" w:type="dxa"/>
            <w:tcBorders>
              <w:top w:val="nil"/>
              <w:left w:val="nil"/>
              <w:bottom w:val="single" w:sz="4" w:space="0" w:color="auto"/>
              <w:right w:val="single" w:sz="4" w:space="0" w:color="auto"/>
            </w:tcBorders>
            <w:shd w:val="clear" w:color="000000" w:fill="D9D9D9"/>
            <w:noWrap/>
            <w:vAlign w:val="bottom"/>
            <w:hideMark/>
          </w:tcPr>
          <w:p w:rsidR="007D4BD8" w:rsidRPr="007D4BD8" w:rsidRDefault="007D4BD8" w:rsidP="007D4BD8">
            <w:pPr>
              <w:spacing w:after="0" w:line="240" w:lineRule="auto"/>
              <w:jc w:val="center"/>
              <w:rPr>
                <w:rFonts w:ascii="Arial" w:eastAsia="Times New Roman" w:hAnsi="Arial" w:cs="Arial"/>
                <w:color w:val="000000"/>
                <w:sz w:val="18"/>
                <w:szCs w:val="18"/>
                <w:lang w:eastAsia="en-GB"/>
              </w:rPr>
            </w:pPr>
            <w:r w:rsidRPr="007D4BD8">
              <w:rPr>
                <w:rFonts w:ascii="Arial" w:eastAsia="Times New Roman" w:hAnsi="Arial" w:cs="Arial"/>
                <w:color w:val="000000"/>
                <w:sz w:val="18"/>
                <w:szCs w:val="18"/>
                <w:lang w:eastAsia="en-GB"/>
              </w:rPr>
              <w:t>5.77</w:t>
            </w:r>
          </w:p>
        </w:tc>
      </w:tr>
    </w:tbl>
    <w:p w:rsidR="00DA4F7F" w:rsidRDefault="005E3AD9" w:rsidP="00111565">
      <w:pPr>
        <w:spacing w:before="240" w:line="240" w:lineRule="auto"/>
        <w:jc w:val="both"/>
        <w:rPr>
          <w:color w:val="000000"/>
        </w:rPr>
      </w:pPr>
      <w:r w:rsidRPr="00305742">
        <w:rPr>
          <w:color w:val="000000"/>
        </w:rPr>
        <w:t xml:space="preserve">The method for calculating this measure defines the winter period as December to March, and compares the number of deaths that occurred in this winter period with the number of deaths in the </w:t>
      </w:r>
      <w:r w:rsidR="00720D81">
        <w:rPr>
          <w:color w:val="000000"/>
        </w:rPr>
        <w:t>months prior and following the winter period.</w:t>
      </w:r>
      <w:r w:rsidR="00964B16">
        <w:rPr>
          <w:color w:val="000000"/>
        </w:rPr>
        <w:t xml:space="preserve">  </w:t>
      </w:r>
    </w:p>
    <w:p w:rsidR="00C77049" w:rsidRDefault="00D94914" w:rsidP="00111565">
      <w:pPr>
        <w:spacing w:line="240" w:lineRule="auto"/>
        <w:jc w:val="both"/>
        <w:rPr>
          <w:color w:val="000000"/>
        </w:rPr>
      </w:pPr>
      <w:r>
        <w:rPr>
          <w:color w:val="000000"/>
        </w:rPr>
        <w:t>Source:</w:t>
      </w:r>
      <w:r w:rsidR="00C77049">
        <w:rPr>
          <w:color w:val="000000"/>
        </w:rPr>
        <w:t xml:space="preserve"> Office for National Statistics</w:t>
      </w:r>
    </w:p>
    <w:p w:rsidR="008C5945" w:rsidRPr="00320BFE" w:rsidRDefault="006E765D" w:rsidP="00111565">
      <w:pPr>
        <w:spacing w:line="240" w:lineRule="auto"/>
        <w:jc w:val="both"/>
        <w:rPr>
          <w:b/>
          <w:sz w:val="23"/>
          <w:szCs w:val="23"/>
        </w:rPr>
      </w:pPr>
      <w:r w:rsidRPr="00FB3AA7">
        <w:rPr>
          <w:b/>
          <w:sz w:val="23"/>
          <w:szCs w:val="23"/>
        </w:rPr>
        <w:t>Avoidable Mortality</w:t>
      </w:r>
    </w:p>
    <w:p w:rsidR="000642FF" w:rsidRPr="00320BFE" w:rsidRDefault="000642FF" w:rsidP="00111565">
      <w:pPr>
        <w:spacing w:line="240" w:lineRule="auto"/>
        <w:jc w:val="both"/>
      </w:pPr>
      <w:r w:rsidRPr="00320BFE">
        <w:t xml:space="preserve">Avoidable deaths are all those defined as </w:t>
      </w:r>
    </w:p>
    <w:p w:rsidR="000642FF" w:rsidRPr="00320BFE" w:rsidRDefault="000642FF" w:rsidP="00111565">
      <w:pPr>
        <w:numPr>
          <w:ilvl w:val="0"/>
          <w:numId w:val="9"/>
        </w:numPr>
        <w:spacing w:line="240" w:lineRule="auto"/>
        <w:jc w:val="both"/>
      </w:pPr>
      <w:proofErr w:type="gramStart"/>
      <w:r w:rsidRPr="00320BFE">
        <w:t>Preventable :</w:t>
      </w:r>
      <w:proofErr w:type="gramEnd"/>
      <w:r w:rsidRPr="00320BFE">
        <w:t xml:space="preserve">- </w:t>
      </w:r>
    </w:p>
    <w:p w:rsidR="000642FF" w:rsidRPr="00320BFE" w:rsidRDefault="000642FF" w:rsidP="00111565">
      <w:pPr>
        <w:spacing w:line="240" w:lineRule="auto"/>
        <w:ind w:left="720"/>
        <w:jc w:val="both"/>
      </w:pPr>
      <w:r w:rsidRPr="00320BFE">
        <w:t xml:space="preserve">All or most deaths from that cause could be avoided through public health intervention. </w:t>
      </w:r>
      <w:r w:rsidR="008C5945" w:rsidRPr="00320BFE">
        <w:t>E.g</w:t>
      </w:r>
      <w:r w:rsidR="00EE6522" w:rsidRPr="00320BFE">
        <w:t>. S</w:t>
      </w:r>
      <w:r w:rsidRPr="00320BFE">
        <w:t>moking related deaths</w:t>
      </w:r>
      <w:r w:rsidR="00EE6522" w:rsidRPr="00320BFE">
        <w:t>.</w:t>
      </w:r>
    </w:p>
    <w:p w:rsidR="00EE6522" w:rsidRPr="00320BFE" w:rsidRDefault="00EE6522" w:rsidP="00111565">
      <w:pPr>
        <w:numPr>
          <w:ilvl w:val="0"/>
          <w:numId w:val="9"/>
        </w:numPr>
        <w:spacing w:line="240" w:lineRule="auto"/>
        <w:jc w:val="both"/>
      </w:pPr>
      <w:proofErr w:type="gramStart"/>
      <w:r w:rsidRPr="00320BFE">
        <w:t>Amenable :</w:t>
      </w:r>
      <w:proofErr w:type="gramEnd"/>
      <w:r w:rsidRPr="00320BFE">
        <w:t>-</w:t>
      </w:r>
    </w:p>
    <w:p w:rsidR="00EE6522" w:rsidRPr="00320BFE" w:rsidRDefault="00EE6522" w:rsidP="00111565">
      <w:pPr>
        <w:spacing w:line="240" w:lineRule="auto"/>
        <w:ind w:left="720"/>
        <w:jc w:val="both"/>
      </w:pPr>
      <w:r w:rsidRPr="00320BFE">
        <w:t>All or most deaths from that cause could be avoided th</w:t>
      </w:r>
      <w:r w:rsidR="008C5945" w:rsidRPr="00320BFE">
        <w:t>rough good quality healthcare. E</w:t>
      </w:r>
      <w:r w:rsidRPr="00320BFE">
        <w:t>.g. Asthma.</w:t>
      </w:r>
    </w:p>
    <w:p w:rsidR="00F97219" w:rsidRPr="00320BFE" w:rsidRDefault="00EE6522" w:rsidP="00111565">
      <w:pPr>
        <w:spacing w:line="240" w:lineRule="auto"/>
        <w:jc w:val="both"/>
        <w:rPr>
          <w:b/>
        </w:rPr>
      </w:pPr>
      <w:r w:rsidRPr="00320BFE">
        <w:t>The table below shows the most recently available ON</w:t>
      </w:r>
      <w:r w:rsidR="004F1816" w:rsidRPr="00320BFE">
        <w:t>S</w:t>
      </w:r>
      <w:r w:rsidRPr="00320BFE">
        <w:t xml:space="preserve"> (</w:t>
      </w:r>
      <w:r w:rsidR="008E4E16" w:rsidRPr="00320BFE">
        <w:t>O</w:t>
      </w:r>
      <w:r w:rsidRPr="00320BFE">
        <w:t xml:space="preserve">ffice of </w:t>
      </w:r>
      <w:r w:rsidR="008E4E16" w:rsidRPr="00320BFE">
        <w:t>N</w:t>
      </w:r>
      <w:r w:rsidRPr="00320BFE">
        <w:t xml:space="preserve">ational </w:t>
      </w:r>
      <w:r w:rsidR="008E4E16" w:rsidRPr="00320BFE">
        <w:t>S</w:t>
      </w:r>
      <w:r w:rsidRPr="00320BFE">
        <w:t>tatistics) data on avoidable deaths</w:t>
      </w:r>
      <w:r w:rsidRPr="00320BFE">
        <w:rPr>
          <w:b/>
        </w:rPr>
        <w:t>.</w:t>
      </w:r>
    </w:p>
    <w:p w:rsidR="00241490" w:rsidRDefault="00241490" w:rsidP="00111565">
      <w:pPr>
        <w:spacing w:line="240" w:lineRule="auto"/>
        <w:jc w:val="both"/>
      </w:pPr>
      <w:r w:rsidRPr="00E9774A">
        <w:t>Causes of death</w:t>
      </w:r>
      <w:r w:rsidRPr="007632CC">
        <w:t xml:space="preserve"> considered avoidable, amenable &amp; preventable, European age-standardised rate (EASR) per 100,000 </w:t>
      </w:r>
      <w:proofErr w:type="gramStart"/>
      <w:r w:rsidRPr="007632CC">
        <w:t>person</w:t>
      </w:r>
      <w:proofErr w:type="gramEnd"/>
      <w:r w:rsidRPr="007632CC">
        <w:t xml:space="preserve">, </w:t>
      </w:r>
      <w:r w:rsidR="008B0D1A" w:rsidRPr="007C0EE5">
        <w:t>Swansea Bay</w:t>
      </w:r>
      <w:r w:rsidR="00E9774A">
        <w:t xml:space="preserve"> UHB, 2014</w:t>
      </w:r>
      <w:r w:rsidRPr="007632CC">
        <w:t>-</w:t>
      </w:r>
      <w:r w:rsidRPr="00F015E4">
        <w:t>201</w:t>
      </w:r>
      <w:r w:rsidR="00885C1E">
        <w:t>9</w:t>
      </w:r>
      <w:r w:rsidRPr="00F015E4">
        <w:t>.</w:t>
      </w:r>
    </w:p>
    <w:p w:rsidR="00304F2F" w:rsidRDefault="00304F2F" w:rsidP="00147FCD">
      <w:pPr>
        <w:jc w:val="both"/>
      </w:pPr>
    </w:p>
    <w:tbl>
      <w:tblPr>
        <w:tblW w:w="5451" w:type="pct"/>
        <w:tblInd w:w="-284" w:type="dxa"/>
        <w:tblLayout w:type="fixed"/>
        <w:tblCellMar>
          <w:left w:w="0" w:type="dxa"/>
          <w:right w:w="0" w:type="dxa"/>
        </w:tblCellMar>
        <w:tblLook w:val="04A0" w:firstRow="1" w:lastRow="0" w:firstColumn="1" w:lastColumn="0" w:noHBand="0" w:noVBand="1"/>
      </w:tblPr>
      <w:tblGrid>
        <w:gridCol w:w="668"/>
        <w:gridCol w:w="751"/>
        <w:gridCol w:w="708"/>
        <w:gridCol w:w="1568"/>
        <w:gridCol w:w="50"/>
        <w:gridCol w:w="655"/>
        <w:gridCol w:w="706"/>
        <w:gridCol w:w="1662"/>
        <w:gridCol w:w="50"/>
        <w:gridCol w:w="696"/>
        <w:gridCol w:w="708"/>
        <w:gridCol w:w="1613"/>
      </w:tblGrid>
      <w:tr w:rsidR="00241490" w:rsidRPr="00241490" w:rsidTr="0076612D">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241490" w:rsidRPr="00241490" w:rsidRDefault="00241490" w:rsidP="00241490">
            <w:pPr>
              <w:spacing w:after="0" w:line="240" w:lineRule="auto"/>
              <w:jc w:val="center"/>
              <w:rPr>
                <w:rFonts w:ascii="Arial" w:hAnsi="Arial" w:cs="Arial"/>
                <w:sz w:val="16"/>
                <w:szCs w:val="16"/>
                <w:lang w:eastAsia="en-GB"/>
              </w:rPr>
            </w:pPr>
          </w:p>
        </w:tc>
        <w:tc>
          <w:tcPr>
            <w:tcW w:w="1539" w:type="pct"/>
            <w:gridSpan w:val="3"/>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Avoidable</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241490" w:rsidRPr="00F015E4" w:rsidRDefault="00241490" w:rsidP="00241490">
            <w:pPr>
              <w:spacing w:after="0"/>
              <w:jc w:val="center"/>
              <w:rPr>
                <w:rFonts w:ascii="Arial" w:hAnsi="Arial" w:cs="Arial"/>
                <w:color w:val="000000"/>
                <w:sz w:val="16"/>
                <w:szCs w:val="16"/>
              </w:rPr>
            </w:pPr>
          </w:p>
        </w:tc>
        <w:tc>
          <w:tcPr>
            <w:tcW w:w="1537" w:type="pct"/>
            <w:gridSpan w:val="3"/>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241490" w:rsidRPr="00F015E4" w:rsidRDefault="002A3AB6" w:rsidP="002A3AB6">
            <w:pPr>
              <w:spacing w:after="0"/>
              <w:jc w:val="center"/>
              <w:rPr>
                <w:rFonts w:ascii="Arial" w:hAnsi="Arial" w:cs="Arial"/>
                <w:b/>
                <w:bCs/>
                <w:color w:val="000000"/>
                <w:sz w:val="16"/>
                <w:szCs w:val="16"/>
              </w:rPr>
            </w:pPr>
            <w:r w:rsidRPr="00F015E4">
              <w:rPr>
                <w:rFonts w:ascii="Arial" w:hAnsi="Arial" w:cs="Arial"/>
                <w:b/>
                <w:bCs/>
                <w:color w:val="000000"/>
                <w:sz w:val="16"/>
                <w:szCs w:val="16"/>
              </w:rPr>
              <w:t>Treatable</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241490" w:rsidRPr="00F015E4" w:rsidRDefault="00241490" w:rsidP="00241490">
            <w:pPr>
              <w:spacing w:after="0"/>
              <w:jc w:val="center"/>
              <w:rPr>
                <w:rFonts w:ascii="Arial" w:hAnsi="Arial" w:cs="Arial"/>
                <w:color w:val="000000"/>
                <w:sz w:val="16"/>
                <w:szCs w:val="16"/>
              </w:rPr>
            </w:pPr>
          </w:p>
        </w:tc>
        <w:tc>
          <w:tcPr>
            <w:tcW w:w="1534" w:type="pct"/>
            <w:gridSpan w:val="3"/>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Preventable</w:t>
            </w:r>
          </w:p>
        </w:tc>
      </w:tr>
      <w:tr w:rsidR="00241490" w:rsidRPr="00241490" w:rsidTr="0076612D">
        <w:trPr>
          <w:trHeight w:val="501"/>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241490" w:rsidRPr="00241490" w:rsidRDefault="00241490" w:rsidP="00241490">
            <w:pPr>
              <w:spacing w:after="0"/>
              <w:jc w:val="center"/>
              <w:rPr>
                <w:rFonts w:ascii="Arial" w:hAnsi="Arial" w:cs="Arial"/>
                <w:b/>
                <w:bCs/>
                <w:color w:val="000000"/>
                <w:sz w:val="16"/>
                <w:szCs w:val="16"/>
              </w:rPr>
            </w:pPr>
          </w:p>
        </w:tc>
        <w:tc>
          <w:tcPr>
            <w:tcW w:w="3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Count</w:t>
            </w:r>
          </w:p>
        </w:tc>
        <w:tc>
          <w:tcPr>
            <w:tcW w:w="115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EASR (95% confidence Intervals)</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p>
        </w:tc>
        <w:tc>
          <w:tcPr>
            <w:tcW w:w="3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Count</w:t>
            </w:r>
          </w:p>
        </w:tc>
        <w:tc>
          <w:tcPr>
            <w:tcW w:w="1204"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EASR (95% confidence Intervals)</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Count</w:t>
            </w:r>
          </w:p>
        </w:tc>
        <w:tc>
          <w:tcPr>
            <w:tcW w:w="11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41490" w:rsidRPr="00F015E4" w:rsidRDefault="00241490" w:rsidP="00241490">
            <w:pPr>
              <w:spacing w:after="0"/>
              <w:jc w:val="center"/>
              <w:rPr>
                <w:rFonts w:ascii="Arial" w:hAnsi="Arial" w:cs="Arial"/>
                <w:b/>
                <w:bCs/>
                <w:color w:val="000000"/>
                <w:sz w:val="16"/>
                <w:szCs w:val="16"/>
              </w:rPr>
            </w:pPr>
            <w:r w:rsidRPr="00F015E4">
              <w:rPr>
                <w:rFonts w:ascii="Arial" w:hAnsi="Arial" w:cs="Arial"/>
                <w:b/>
                <w:bCs/>
                <w:color w:val="000000"/>
                <w:sz w:val="16"/>
                <w:szCs w:val="16"/>
              </w:rPr>
              <w:t>EASR (95% confidence Intervals)</w:t>
            </w:r>
          </w:p>
        </w:tc>
      </w:tr>
      <w:tr w:rsidR="0076612D" w:rsidRPr="00241490" w:rsidTr="002A3AB6">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76612D" w:rsidRPr="00241490" w:rsidRDefault="0076612D" w:rsidP="0076612D">
            <w:pPr>
              <w:spacing w:after="0"/>
              <w:jc w:val="center"/>
              <w:rPr>
                <w:rFonts w:ascii="Arial" w:hAnsi="Arial" w:cs="Arial"/>
                <w:b/>
                <w:bCs/>
                <w:color w:val="000000"/>
                <w:sz w:val="16"/>
                <w:szCs w:val="16"/>
              </w:rPr>
            </w:pPr>
            <w:r w:rsidRPr="00241490">
              <w:rPr>
                <w:rFonts w:ascii="Arial" w:hAnsi="Arial" w:cs="Arial"/>
                <w:b/>
                <w:bCs/>
                <w:color w:val="000000"/>
                <w:sz w:val="16"/>
                <w:szCs w:val="16"/>
              </w:rPr>
              <w:t>2014</w:t>
            </w:r>
          </w:p>
        </w:tc>
        <w:tc>
          <w:tcPr>
            <w:tcW w:w="3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911</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269</w:t>
            </w:r>
          </w:p>
        </w:tc>
        <w:tc>
          <w:tcPr>
            <w:tcW w:w="7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(252-287)</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335</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99</w:t>
            </w:r>
          </w:p>
        </w:tc>
        <w:tc>
          <w:tcPr>
            <w:tcW w:w="8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(89-110)</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576</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170</w:t>
            </w:r>
          </w:p>
        </w:tc>
        <w:tc>
          <w:tcPr>
            <w:tcW w:w="8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(156-184)</w:t>
            </w:r>
          </w:p>
        </w:tc>
      </w:tr>
      <w:tr w:rsidR="0076612D" w:rsidRPr="00241490" w:rsidTr="002A3AB6">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76612D" w:rsidRPr="00241490" w:rsidRDefault="0076612D" w:rsidP="0076612D">
            <w:pPr>
              <w:spacing w:after="0"/>
              <w:jc w:val="center"/>
              <w:rPr>
                <w:rFonts w:ascii="Arial" w:hAnsi="Arial" w:cs="Arial"/>
                <w:b/>
                <w:bCs/>
                <w:color w:val="000000"/>
                <w:sz w:val="16"/>
                <w:szCs w:val="16"/>
              </w:rPr>
            </w:pPr>
            <w:r w:rsidRPr="00241490">
              <w:rPr>
                <w:rFonts w:ascii="Arial" w:hAnsi="Arial" w:cs="Arial"/>
                <w:b/>
                <w:bCs/>
                <w:color w:val="000000"/>
                <w:sz w:val="16"/>
                <w:szCs w:val="16"/>
              </w:rPr>
              <w:t>2015</w:t>
            </w:r>
          </w:p>
        </w:tc>
        <w:tc>
          <w:tcPr>
            <w:tcW w:w="3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w:t>
            </w:r>
            <w:r w:rsidR="00F015E4">
              <w:rPr>
                <w:rFonts w:ascii="Arial" w:hAnsi="Arial" w:cs="Arial"/>
                <w:color w:val="000000"/>
                <w:sz w:val="16"/>
                <w:szCs w:val="16"/>
              </w:rPr>
              <w:t>,</w:t>
            </w:r>
            <w:r w:rsidRPr="00F015E4">
              <w:rPr>
                <w:rFonts w:ascii="Arial" w:hAnsi="Arial" w:cs="Arial"/>
                <w:color w:val="000000"/>
                <w:sz w:val="16"/>
                <w:szCs w:val="16"/>
              </w:rPr>
              <w:t>003</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292</w:t>
            </w:r>
          </w:p>
        </w:tc>
        <w:tc>
          <w:tcPr>
            <w:tcW w:w="7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(274-310)</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w:t>
            </w:r>
            <w:r w:rsidR="0033666B">
              <w:rPr>
                <w:rFonts w:ascii="Arial" w:hAnsi="Arial" w:cs="Arial"/>
                <w:color w:val="000000"/>
                <w:sz w:val="16"/>
                <w:szCs w:val="16"/>
              </w:rPr>
              <w:t>3</w:t>
            </w:r>
            <w:r w:rsidRPr="00F015E4">
              <w:rPr>
                <w:rFonts w:ascii="Arial" w:hAnsi="Arial" w:cs="Arial"/>
                <w:color w:val="000000"/>
                <w:sz w:val="16"/>
                <w:szCs w:val="16"/>
              </w:rPr>
              <w:t>5</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103</w:t>
            </w:r>
          </w:p>
        </w:tc>
        <w:tc>
          <w:tcPr>
            <w:tcW w:w="8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(92-114)</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650</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189</w:t>
            </w:r>
          </w:p>
        </w:tc>
        <w:tc>
          <w:tcPr>
            <w:tcW w:w="8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(174-204)</w:t>
            </w:r>
          </w:p>
        </w:tc>
      </w:tr>
      <w:tr w:rsidR="0076612D" w:rsidRPr="00241490" w:rsidTr="002A3AB6">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76612D" w:rsidRPr="00241490" w:rsidRDefault="0076612D" w:rsidP="0076612D">
            <w:pPr>
              <w:spacing w:after="0"/>
              <w:jc w:val="center"/>
              <w:rPr>
                <w:rFonts w:ascii="Arial" w:hAnsi="Arial" w:cs="Arial"/>
                <w:b/>
                <w:bCs/>
                <w:color w:val="000000"/>
                <w:sz w:val="16"/>
                <w:szCs w:val="16"/>
              </w:rPr>
            </w:pPr>
            <w:r w:rsidRPr="00241490">
              <w:rPr>
                <w:rFonts w:ascii="Arial" w:hAnsi="Arial" w:cs="Arial"/>
                <w:b/>
                <w:bCs/>
                <w:color w:val="000000"/>
                <w:sz w:val="16"/>
                <w:szCs w:val="16"/>
              </w:rPr>
              <w:t>2016</w:t>
            </w:r>
          </w:p>
        </w:tc>
        <w:tc>
          <w:tcPr>
            <w:tcW w:w="3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w:t>
            </w:r>
            <w:r w:rsidR="00F015E4">
              <w:rPr>
                <w:rFonts w:ascii="Arial" w:hAnsi="Arial" w:cs="Arial"/>
                <w:color w:val="000000"/>
                <w:sz w:val="16"/>
                <w:szCs w:val="16"/>
              </w:rPr>
              <w:t>,</w:t>
            </w:r>
            <w:r w:rsidRPr="00F015E4">
              <w:rPr>
                <w:rFonts w:ascii="Arial" w:hAnsi="Arial" w:cs="Arial"/>
                <w:color w:val="000000"/>
                <w:sz w:val="16"/>
                <w:szCs w:val="16"/>
              </w:rPr>
              <w:t>058</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304</w:t>
            </w:r>
          </w:p>
        </w:tc>
        <w:tc>
          <w:tcPr>
            <w:tcW w:w="7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(286-323)</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341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98</w:t>
            </w:r>
          </w:p>
        </w:tc>
        <w:tc>
          <w:tcPr>
            <w:tcW w:w="8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(87-108)</w:t>
            </w:r>
          </w:p>
        </w:tc>
        <w:tc>
          <w:tcPr>
            <w:tcW w:w="25" w:type="pct"/>
            <w:tcBorders>
              <w:top w:val="nil"/>
              <w:left w:val="nil"/>
              <w:bottom w:val="nil"/>
              <w:right w:val="nil"/>
            </w:tcBorders>
            <w:shd w:val="clear" w:color="000000" w:fill="FFFFFF"/>
            <w:noWrap/>
            <w:tcMar>
              <w:top w:w="0"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718</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207</w:t>
            </w:r>
          </w:p>
        </w:tc>
        <w:tc>
          <w:tcPr>
            <w:tcW w:w="8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(192-222)</w:t>
            </w:r>
          </w:p>
        </w:tc>
      </w:tr>
      <w:tr w:rsidR="0076612D" w:rsidRPr="00241490" w:rsidTr="002A3AB6">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hideMark/>
          </w:tcPr>
          <w:p w:rsidR="0076612D" w:rsidRPr="00241490" w:rsidRDefault="0076612D" w:rsidP="0076612D">
            <w:pPr>
              <w:spacing w:after="0"/>
              <w:jc w:val="center"/>
              <w:rPr>
                <w:rFonts w:ascii="Arial" w:hAnsi="Arial" w:cs="Arial"/>
                <w:b/>
                <w:bCs/>
                <w:color w:val="000000"/>
                <w:sz w:val="16"/>
                <w:szCs w:val="16"/>
              </w:rPr>
            </w:pPr>
            <w:r w:rsidRPr="00241490">
              <w:rPr>
                <w:rFonts w:ascii="Arial" w:hAnsi="Arial" w:cs="Arial"/>
                <w:b/>
                <w:bCs/>
                <w:color w:val="000000"/>
                <w:sz w:val="16"/>
                <w:szCs w:val="16"/>
              </w:rPr>
              <w:t>2017</w:t>
            </w:r>
          </w:p>
        </w:tc>
        <w:tc>
          <w:tcPr>
            <w:tcW w:w="3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w:t>
            </w:r>
            <w:r w:rsidR="00F015E4">
              <w:rPr>
                <w:rFonts w:ascii="Arial" w:hAnsi="Arial" w:cs="Arial"/>
                <w:color w:val="000000"/>
                <w:sz w:val="16"/>
                <w:szCs w:val="16"/>
              </w:rPr>
              <w:t>,</w:t>
            </w:r>
            <w:r w:rsidRPr="00F015E4">
              <w:rPr>
                <w:rFonts w:ascii="Arial" w:hAnsi="Arial" w:cs="Arial"/>
                <w:color w:val="000000"/>
                <w:sz w:val="16"/>
                <w:szCs w:val="16"/>
              </w:rPr>
              <w:t>035</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294</w:t>
            </w:r>
          </w:p>
        </w:tc>
        <w:tc>
          <w:tcPr>
            <w:tcW w:w="7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(276-312)</w:t>
            </w:r>
          </w:p>
        </w:tc>
        <w:tc>
          <w:tcPr>
            <w:tcW w:w="2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341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96</w:t>
            </w:r>
          </w:p>
        </w:tc>
        <w:tc>
          <w:tcPr>
            <w:tcW w:w="8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(86-107)</w:t>
            </w:r>
          </w:p>
        </w:tc>
        <w:tc>
          <w:tcPr>
            <w:tcW w:w="2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6612D" w:rsidRPr="00F015E4" w:rsidRDefault="0076612D" w:rsidP="0076612D">
            <w:pPr>
              <w:spacing w:after="0"/>
              <w:jc w:val="center"/>
              <w:rPr>
                <w:rFonts w:ascii="Arial" w:hAnsi="Arial" w:cs="Arial"/>
                <w:color w:val="000000"/>
                <w:sz w:val="16"/>
                <w:szCs w:val="16"/>
              </w:rPr>
            </w:pP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695</w:t>
            </w:r>
          </w:p>
        </w:tc>
        <w:tc>
          <w:tcPr>
            <w:tcW w:w="3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198</w:t>
            </w:r>
          </w:p>
        </w:tc>
        <w:tc>
          <w:tcPr>
            <w:tcW w:w="8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6612D"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(183-213)</w:t>
            </w:r>
          </w:p>
        </w:tc>
      </w:tr>
      <w:tr w:rsidR="00FD346B" w:rsidRPr="00241490" w:rsidTr="00796D7F">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tcPr>
          <w:p w:rsidR="00FD346B" w:rsidRPr="00241490" w:rsidRDefault="00FD346B" w:rsidP="0076612D">
            <w:pPr>
              <w:spacing w:after="0"/>
              <w:jc w:val="center"/>
              <w:rPr>
                <w:rFonts w:ascii="Arial" w:hAnsi="Arial" w:cs="Arial"/>
                <w:b/>
                <w:bCs/>
                <w:color w:val="000000"/>
                <w:sz w:val="16"/>
                <w:szCs w:val="16"/>
              </w:rPr>
            </w:pPr>
            <w:r w:rsidRPr="00F015E4">
              <w:rPr>
                <w:rFonts w:ascii="Arial" w:hAnsi="Arial" w:cs="Arial"/>
                <w:b/>
                <w:bCs/>
                <w:color w:val="000000"/>
                <w:sz w:val="16"/>
                <w:szCs w:val="16"/>
              </w:rPr>
              <w:t>2018</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w:t>
            </w:r>
            <w:r w:rsidR="00F015E4">
              <w:rPr>
                <w:rFonts w:ascii="Arial" w:hAnsi="Arial" w:cs="Arial"/>
                <w:color w:val="000000"/>
                <w:sz w:val="16"/>
                <w:szCs w:val="16"/>
              </w:rPr>
              <w:t>,</w:t>
            </w:r>
            <w:r w:rsidRPr="00F015E4">
              <w:rPr>
                <w:rFonts w:ascii="Arial" w:hAnsi="Arial" w:cs="Arial"/>
                <w:color w:val="000000"/>
                <w:sz w:val="16"/>
                <w:szCs w:val="16"/>
              </w:rPr>
              <w:t>046</w:t>
            </w:r>
          </w:p>
        </w:tc>
        <w:tc>
          <w:tcPr>
            <w:tcW w:w="36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296</w:t>
            </w:r>
          </w:p>
        </w:tc>
        <w:tc>
          <w:tcPr>
            <w:tcW w:w="79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(278-314)</w:t>
            </w:r>
          </w:p>
        </w:tc>
        <w:tc>
          <w:tcPr>
            <w:tcW w:w="25"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tcPr>
          <w:p w:rsidR="00FD346B" w:rsidRPr="00F015E4" w:rsidRDefault="00FD346B" w:rsidP="0076612D">
            <w:pPr>
              <w:spacing w:after="0"/>
              <w:jc w:val="center"/>
              <w:rPr>
                <w:rFonts w:ascii="Arial" w:hAnsi="Arial" w:cs="Arial"/>
                <w:color w:val="000000"/>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365</w:t>
            </w:r>
          </w:p>
        </w:tc>
        <w:tc>
          <w:tcPr>
            <w:tcW w:w="3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103</w:t>
            </w:r>
          </w:p>
        </w:tc>
        <w:tc>
          <w:tcPr>
            <w:tcW w:w="84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(92-113)</w:t>
            </w:r>
          </w:p>
        </w:tc>
        <w:tc>
          <w:tcPr>
            <w:tcW w:w="25"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tcPr>
          <w:p w:rsidR="00FD346B" w:rsidRPr="00F015E4" w:rsidRDefault="00FD346B" w:rsidP="0076612D">
            <w:pPr>
              <w:spacing w:after="0"/>
              <w:jc w:val="center"/>
              <w:rPr>
                <w:rFonts w:ascii="Arial" w:hAnsi="Arial" w:cs="Arial"/>
                <w:color w:val="000000"/>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681</w:t>
            </w:r>
          </w:p>
        </w:tc>
        <w:tc>
          <w:tcPr>
            <w:tcW w:w="36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193</w:t>
            </w:r>
          </w:p>
        </w:tc>
        <w:tc>
          <w:tcPr>
            <w:tcW w:w="8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D346B" w:rsidRPr="00F015E4" w:rsidRDefault="002A3AB6" w:rsidP="0076612D">
            <w:pPr>
              <w:spacing w:after="0"/>
              <w:jc w:val="center"/>
              <w:rPr>
                <w:rFonts w:ascii="Arial" w:hAnsi="Arial" w:cs="Arial"/>
                <w:color w:val="000000"/>
                <w:sz w:val="16"/>
                <w:szCs w:val="16"/>
              </w:rPr>
            </w:pPr>
            <w:r w:rsidRPr="00F015E4">
              <w:rPr>
                <w:rFonts w:ascii="Arial" w:hAnsi="Arial" w:cs="Arial"/>
                <w:color w:val="000000"/>
                <w:sz w:val="16"/>
                <w:szCs w:val="16"/>
              </w:rPr>
              <w:t>(179-208)</w:t>
            </w:r>
          </w:p>
        </w:tc>
      </w:tr>
      <w:tr w:rsidR="00796D7F" w:rsidRPr="00241490" w:rsidTr="00FD346B">
        <w:trPr>
          <w:trHeight w:val="300"/>
        </w:trPr>
        <w:tc>
          <w:tcPr>
            <w:tcW w:w="340" w:type="pct"/>
            <w:tcBorders>
              <w:top w:val="nil"/>
              <w:left w:val="nil"/>
              <w:bottom w:val="nil"/>
              <w:right w:val="nil"/>
            </w:tcBorders>
            <w:shd w:val="clear" w:color="auto" w:fill="auto"/>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b/>
                <w:bCs/>
                <w:color w:val="000000"/>
                <w:sz w:val="16"/>
                <w:szCs w:val="16"/>
              </w:rPr>
            </w:pPr>
            <w:r>
              <w:rPr>
                <w:rFonts w:ascii="Arial" w:hAnsi="Arial" w:cs="Arial"/>
                <w:b/>
                <w:bCs/>
                <w:color w:val="000000"/>
                <w:sz w:val="16"/>
                <w:szCs w:val="16"/>
              </w:rPr>
              <w:t>2019</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color w:val="000000"/>
                <w:sz w:val="16"/>
                <w:szCs w:val="16"/>
              </w:rPr>
            </w:pPr>
            <w:r>
              <w:rPr>
                <w:rFonts w:ascii="Arial" w:hAnsi="Arial" w:cs="Arial"/>
                <w:color w:val="000000"/>
                <w:sz w:val="16"/>
                <w:szCs w:val="16"/>
              </w:rPr>
              <w:t>997</w:t>
            </w:r>
          </w:p>
        </w:tc>
        <w:tc>
          <w:tcPr>
            <w:tcW w:w="36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color w:val="000000"/>
                <w:sz w:val="16"/>
                <w:szCs w:val="16"/>
              </w:rPr>
            </w:pPr>
            <w:r>
              <w:rPr>
                <w:rFonts w:ascii="Arial" w:hAnsi="Arial" w:cs="Arial"/>
                <w:color w:val="000000"/>
                <w:sz w:val="16"/>
                <w:szCs w:val="16"/>
              </w:rPr>
              <w:t>278</w:t>
            </w:r>
          </w:p>
        </w:tc>
        <w:tc>
          <w:tcPr>
            <w:tcW w:w="79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color w:val="000000"/>
                <w:sz w:val="16"/>
                <w:szCs w:val="16"/>
              </w:rPr>
            </w:pPr>
            <w:r>
              <w:rPr>
                <w:rFonts w:ascii="Arial" w:hAnsi="Arial" w:cs="Arial"/>
                <w:color w:val="000000"/>
                <w:sz w:val="16"/>
                <w:szCs w:val="16"/>
              </w:rPr>
              <w:t>(261-295)</w:t>
            </w:r>
          </w:p>
        </w:tc>
        <w:tc>
          <w:tcPr>
            <w:tcW w:w="25" w:type="pct"/>
            <w:tcBorders>
              <w:top w:val="single" w:sz="4" w:space="0" w:color="auto"/>
              <w:left w:val="nil"/>
              <w:bottom w:val="nil"/>
              <w:right w:val="nil"/>
            </w:tcBorders>
            <w:shd w:val="clear" w:color="000000" w:fill="FFFFFF"/>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color w:val="000000"/>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361</w:t>
            </w:r>
          </w:p>
        </w:tc>
        <w:tc>
          <w:tcPr>
            <w:tcW w:w="3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101</w:t>
            </w:r>
          </w:p>
        </w:tc>
        <w:tc>
          <w:tcPr>
            <w:tcW w:w="84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(90-111)</w:t>
            </w:r>
          </w:p>
        </w:tc>
        <w:tc>
          <w:tcPr>
            <w:tcW w:w="25" w:type="pct"/>
            <w:tcBorders>
              <w:top w:val="single" w:sz="4" w:space="0" w:color="auto"/>
              <w:left w:val="nil"/>
              <w:bottom w:val="nil"/>
              <w:right w:val="nil"/>
            </w:tcBorders>
            <w:shd w:val="clear" w:color="000000" w:fill="FFFFFF"/>
            <w:noWrap/>
            <w:tcMar>
              <w:top w:w="15" w:type="dxa"/>
              <w:left w:w="15" w:type="dxa"/>
              <w:bottom w:w="0" w:type="dxa"/>
              <w:right w:w="15" w:type="dxa"/>
            </w:tcMar>
            <w:vAlign w:val="center"/>
          </w:tcPr>
          <w:p w:rsidR="00796D7F" w:rsidRPr="00F015E4" w:rsidRDefault="00796D7F" w:rsidP="0076612D">
            <w:pPr>
              <w:spacing w:after="0"/>
              <w:jc w:val="center"/>
              <w:rPr>
                <w:rFonts w:ascii="Arial" w:hAnsi="Arial" w:cs="Arial"/>
                <w:color w:val="000000"/>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637</w:t>
            </w:r>
          </w:p>
        </w:tc>
        <w:tc>
          <w:tcPr>
            <w:tcW w:w="36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178</w:t>
            </w:r>
          </w:p>
        </w:tc>
        <w:tc>
          <w:tcPr>
            <w:tcW w:w="8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6D7F" w:rsidRPr="00F015E4" w:rsidRDefault="005D6824" w:rsidP="0076612D">
            <w:pPr>
              <w:spacing w:after="0"/>
              <w:jc w:val="center"/>
              <w:rPr>
                <w:rFonts w:ascii="Arial" w:hAnsi="Arial" w:cs="Arial"/>
                <w:color w:val="000000"/>
                <w:sz w:val="16"/>
                <w:szCs w:val="16"/>
              </w:rPr>
            </w:pPr>
            <w:r>
              <w:rPr>
                <w:rFonts w:ascii="Arial" w:hAnsi="Arial" w:cs="Arial"/>
                <w:color w:val="000000"/>
                <w:sz w:val="16"/>
                <w:szCs w:val="16"/>
              </w:rPr>
              <w:t>(164-191)</w:t>
            </w:r>
          </w:p>
        </w:tc>
      </w:tr>
    </w:tbl>
    <w:p w:rsidR="00241490" w:rsidRDefault="00241490" w:rsidP="00241490">
      <w:pPr>
        <w:spacing w:after="0"/>
        <w:jc w:val="both"/>
      </w:pPr>
    </w:p>
    <w:p w:rsidR="00523272" w:rsidRPr="00320BFE" w:rsidRDefault="00EE6522" w:rsidP="00C504EE">
      <w:pPr>
        <w:spacing w:line="240" w:lineRule="auto"/>
        <w:jc w:val="both"/>
      </w:pPr>
      <w:r w:rsidRPr="00885C1E">
        <w:t>This shows that the</w:t>
      </w:r>
      <w:r w:rsidRPr="00320BFE">
        <w:t xml:space="preserve"> </w:t>
      </w:r>
      <w:r w:rsidRPr="00320BFE">
        <w:rPr>
          <w:u w:val="single"/>
        </w:rPr>
        <w:t>calculated</w:t>
      </w:r>
      <w:r w:rsidRPr="00320BFE">
        <w:t xml:space="preserve"> rate of </w:t>
      </w:r>
      <w:r w:rsidR="00523272" w:rsidRPr="00320BFE">
        <w:t xml:space="preserve">deaths considered </w:t>
      </w:r>
      <w:r w:rsidRPr="00320BFE">
        <w:t>avoidable (which is shown as an age-standardised rate per 100,000 people)</w:t>
      </w:r>
      <w:r w:rsidR="00891073">
        <w:t>.</w:t>
      </w:r>
      <w:r w:rsidR="001B1160" w:rsidRPr="00320BFE">
        <w:t xml:space="preserve"> T</w:t>
      </w:r>
      <w:r w:rsidRPr="00320BFE">
        <w:t xml:space="preserve">he All Wales average </w:t>
      </w:r>
      <w:r w:rsidRPr="00155F48">
        <w:t xml:space="preserve">is </w:t>
      </w:r>
      <w:r w:rsidR="00155F48" w:rsidRPr="00155F48">
        <w:t>259</w:t>
      </w:r>
      <w:r w:rsidR="00155F48">
        <w:t xml:space="preserve"> in 2019.</w:t>
      </w:r>
    </w:p>
    <w:p w:rsidR="00EE6522" w:rsidRPr="00320BFE" w:rsidRDefault="00015216" w:rsidP="00147FCD">
      <w:pPr>
        <w:spacing w:line="240" w:lineRule="auto"/>
        <w:jc w:val="both"/>
      </w:pPr>
      <w:r w:rsidRPr="00320BFE">
        <w:t>It should be noted that the above is a statistical calculation based on analysis of the cause of death on the Death certificate and is not based on specific in depth reviews on individual deaths.</w:t>
      </w:r>
    </w:p>
    <w:p w:rsidR="00523272" w:rsidRDefault="00B02E76" w:rsidP="00147FCD">
      <w:pPr>
        <w:spacing w:line="240" w:lineRule="auto"/>
        <w:jc w:val="both"/>
        <w:rPr>
          <w:sz w:val="23"/>
          <w:szCs w:val="23"/>
        </w:rPr>
      </w:pPr>
      <w:r w:rsidRPr="00320BFE">
        <w:t xml:space="preserve">At </w:t>
      </w:r>
      <w:r w:rsidR="00CE7B47">
        <w:t>SBU</w:t>
      </w:r>
      <w:r w:rsidR="008C5945" w:rsidRPr="00320BFE">
        <w:t>,</w:t>
      </w:r>
      <w:r w:rsidRPr="00320BFE">
        <w:t xml:space="preserve"> all in hospital deaths form p</w:t>
      </w:r>
      <w:r w:rsidR="00A2342A" w:rsidRPr="00320BFE">
        <w:t xml:space="preserve">art of a </w:t>
      </w:r>
      <w:r w:rsidR="00F50236" w:rsidRPr="00320BFE">
        <w:t xml:space="preserve">2 </w:t>
      </w:r>
      <w:r w:rsidR="00A2342A" w:rsidRPr="00320BFE">
        <w:t>stage review process</w:t>
      </w:r>
      <w:r w:rsidR="00F50236" w:rsidRPr="00320BFE">
        <w:t xml:space="preserve"> (as outlined previously).</w:t>
      </w:r>
      <w:r w:rsidR="00F50236">
        <w:rPr>
          <w:sz w:val="23"/>
          <w:szCs w:val="23"/>
        </w:rPr>
        <w:t xml:space="preserve"> </w:t>
      </w:r>
    </w:p>
    <w:p w:rsidR="00634E66" w:rsidRDefault="00634E66" w:rsidP="00147FCD">
      <w:pPr>
        <w:spacing w:line="240" w:lineRule="auto"/>
        <w:jc w:val="both"/>
        <w:rPr>
          <w:b/>
        </w:rPr>
      </w:pPr>
    </w:p>
    <w:p w:rsidR="006700DF" w:rsidRPr="008B4C4E" w:rsidRDefault="00914808" w:rsidP="00147FCD">
      <w:pPr>
        <w:spacing w:line="240" w:lineRule="auto"/>
        <w:jc w:val="both"/>
        <w:rPr>
          <w:b/>
        </w:rPr>
      </w:pPr>
      <w:r w:rsidRPr="008B4C4E">
        <w:rPr>
          <w:b/>
        </w:rPr>
        <w:t xml:space="preserve">Deaths by Place of </w:t>
      </w:r>
      <w:proofErr w:type="spellStart"/>
      <w:r w:rsidRPr="008B4C4E">
        <w:rPr>
          <w:b/>
        </w:rPr>
        <w:t>Occurence</w:t>
      </w:r>
      <w:proofErr w:type="spellEnd"/>
    </w:p>
    <w:p w:rsidR="00FB0F1E" w:rsidRPr="00A61E40" w:rsidRDefault="00FB0F1E" w:rsidP="00147FCD">
      <w:pPr>
        <w:spacing w:line="240" w:lineRule="auto"/>
        <w:jc w:val="both"/>
      </w:pPr>
      <w:r w:rsidRPr="008B4C4E">
        <w:t>Percentage of de</w:t>
      </w:r>
      <w:r w:rsidR="00902ED1" w:rsidRPr="008B4C4E">
        <w:t>aths by place of occurrence 201</w:t>
      </w:r>
      <w:r w:rsidR="00914808" w:rsidRPr="008B4C4E">
        <w:t>9</w:t>
      </w:r>
      <w:r w:rsidR="004A2224">
        <w:t>.</w:t>
      </w:r>
    </w:p>
    <w:tbl>
      <w:tblPr>
        <w:tblW w:w="10081" w:type="dxa"/>
        <w:tblInd w:w="-431" w:type="dxa"/>
        <w:tblLook w:val="04A0" w:firstRow="1" w:lastRow="0" w:firstColumn="1" w:lastColumn="0" w:noHBand="0" w:noVBand="1"/>
      </w:tblPr>
      <w:tblGrid>
        <w:gridCol w:w="1419"/>
        <w:gridCol w:w="850"/>
        <w:gridCol w:w="934"/>
        <w:gridCol w:w="1051"/>
        <w:gridCol w:w="850"/>
        <w:gridCol w:w="851"/>
        <w:gridCol w:w="865"/>
        <w:gridCol w:w="851"/>
        <w:gridCol w:w="1351"/>
        <w:gridCol w:w="1059"/>
      </w:tblGrid>
      <w:tr w:rsidR="00C2665B" w:rsidRPr="004F1816" w:rsidTr="006B0DBF">
        <w:trPr>
          <w:trHeight w:val="571"/>
        </w:trPr>
        <w:tc>
          <w:tcPr>
            <w:tcW w:w="1419" w:type="dxa"/>
            <w:vMerge w:val="restart"/>
            <w:tcBorders>
              <w:top w:val="single" w:sz="4" w:space="0" w:color="auto"/>
              <w:left w:val="single" w:sz="4" w:space="0" w:color="auto"/>
              <w:bottom w:val="nil"/>
              <w:right w:val="single" w:sz="4" w:space="0" w:color="auto"/>
            </w:tcBorders>
            <w:shd w:val="clear" w:color="000000" w:fill="D8D8D8"/>
            <w:noWrap/>
            <w:vAlign w:val="center"/>
            <w:hideMark/>
          </w:tcPr>
          <w:p w:rsidR="00C2665B" w:rsidRPr="009031B2" w:rsidRDefault="00C2665B" w:rsidP="00147FCD">
            <w:pPr>
              <w:spacing w:after="0" w:line="240" w:lineRule="auto"/>
              <w:jc w:val="both"/>
              <w:rPr>
                <w:rFonts w:asciiTheme="minorHAnsi" w:eastAsia="Times New Roman" w:hAnsiTheme="minorHAnsi" w:cstheme="minorHAnsi"/>
                <w:color w:val="000000"/>
                <w:sz w:val="18"/>
                <w:szCs w:val="18"/>
                <w:lang w:eastAsia="en-GB"/>
              </w:rPr>
            </w:pPr>
            <w:r w:rsidRPr="009031B2">
              <w:rPr>
                <w:rFonts w:asciiTheme="minorHAnsi" w:eastAsia="Times New Roman" w:hAnsiTheme="minorHAnsi" w:cstheme="minorHAnsi"/>
                <w:color w:val="000000"/>
                <w:sz w:val="18"/>
                <w:szCs w:val="18"/>
                <w:lang w:eastAsia="en-GB"/>
              </w:rPr>
              <w:t> </w:t>
            </w:r>
          </w:p>
          <w:p w:rsidR="00C2665B" w:rsidRPr="009031B2" w:rsidRDefault="00C2665B" w:rsidP="00147FCD">
            <w:pPr>
              <w:spacing w:after="0" w:line="240" w:lineRule="auto"/>
              <w:jc w:val="both"/>
              <w:rPr>
                <w:rFonts w:asciiTheme="minorHAnsi" w:eastAsia="Times New Roman" w:hAnsiTheme="minorHAnsi" w:cstheme="minorHAnsi"/>
                <w:color w:val="000000"/>
                <w:sz w:val="18"/>
                <w:szCs w:val="18"/>
                <w:lang w:eastAsia="en-GB"/>
              </w:rPr>
            </w:pPr>
            <w:r w:rsidRPr="009031B2">
              <w:rPr>
                <w:rFonts w:asciiTheme="minorHAnsi" w:eastAsia="Times New Roman" w:hAnsiTheme="minorHAnsi" w:cstheme="minorHAnsi"/>
                <w:color w:val="000000"/>
                <w:sz w:val="18"/>
                <w:szCs w:val="18"/>
                <w:lang w:eastAsia="en-GB"/>
              </w:rPr>
              <w:t> </w:t>
            </w:r>
          </w:p>
          <w:p w:rsidR="00C2665B" w:rsidRPr="009031B2" w:rsidRDefault="00C2665B" w:rsidP="00147FCD">
            <w:pPr>
              <w:spacing w:after="0" w:line="240" w:lineRule="auto"/>
              <w:jc w:val="both"/>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LHB Area</w:t>
            </w:r>
          </w:p>
          <w:p w:rsidR="00C2665B" w:rsidRPr="009031B2" w:rsidRDefault="00C2665B" w:rsidP="00147FCD">
            <w:pPr>
              <w:spacing w:after="0" w:line="240" w:lineRule="auto"/>
              <w:jc w:val="both"/>
              <w:rPr>
                <w:rFonts w:asciiTheme="minorHAnsi" w:eastAsia="Times New Roman" w:hAnsiTheme="minorHAnsi" w:cstheme="minorHAnsi"/>
                <w:color w:val="000000"/>
                <w:sz w:val="18"/>
                <w:szCs w:val="18"/>
                <w:lang w:eastAsia="en-GB"/>
              </w:rPr>
            </w:pPr>
            <w:r w:rsidRPr="009031B2">
              <w:rPr>
                <w:rFonts w:asciiTheme="minorHAnsi" w:eastAsia="Times New Roman" w:hAnsiTheme="minorHAnsi" w:cstheme="minorHAnsi"/>
                <w:color w:val="000000"/>
                <w:sz w:val="18"/>
                <w:szCs w:val="18"/>
                <w:lang w:eastAsia="en-GB"/>
              </w:rPr>
              <w:t> </w:t>
            </w:r>
          </w:p>
          <w:p w:rsidR="00C2665B" w:rsidRPr="009031B2" w:rsidRDefault="00C2665B" w:rsidP="00147FCD">
            <w:pPr>
              <w:spacing w:after="0" w:line="240" w:lineRule="auto"/>
              <w:jc w:val="both"/>
              <w:rPr>
                <w:rFonts w:asciiTheme="minorHAnsi" w:eastAsia="Times New Roman" w:hAnsiTheme="minorHAnsi" w:cstheme="minorHAnsi"/>
                <w:color w:val="000000"/>
                <w:sz w:val="18"/>
                <w:szCs w:val="18"/>
                <w:lang w:eastAsia="en-GB"/>
              </w:rPr>
            </w:pPr>
            <w:r w:rsidRPr="009031B2">
              <w:rPr>
                <w:rFonts w:asciiTheme="minorHAnsi" w:eastAsia="Times New Roman" w:hAnsiTheme="minorHAnsi" w:cstheme="minorHAnsi"/>
                <w:color w:val="000000"/>
                <w:sz w:val="18"/>
                <w:szCs w:val="18"/>
                <w:lang w:eastAsia="en-GB"/>
              </w:rPr>
              <w:t> </w:t>
            </w:r>
          </w:p>
        </w:tc>
        <w:tc>
          <w:tcPr>
            <w:tcW w:w="850" w:type="dxa"/>
            <w:vMerge w:val="restart"/>
            <w:tcBorders>
              <w:top w:val="single" w:sz="4" w:space="0" w:color="auto"/>
              <w:left w:val="nil"/>
              <w:bottom w:val="nil"/>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Home</w:t>
            </w:r>
          </w:p>
          <w:p w:rsidR="00C2665B" w:rsidRPr="009031B2" w:rsidRDefault="00C2665B" w:rsidP="00147FCD">
            <w:pPr>
              <w:spacing w:after="0" w:line="240" w:lineRule="auto"/>
              <w:jc w:val="center"/>
              <w:rPr>
                <w:rFonts w:asciiTheme="minorHAnsi" w:eastAsia="Times New Roman" w:hAnsiTheme="minorHAnsi" w:cstheme="minorHAnsi"/>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tc>
        <w:tc>
          <w:tcPr>
            <w:tcW w:w="198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Care Home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Hospices</w:t>
            </w:r>
          </w:p>
        </w:tc>
        <w:tc>
          <w:tcPr>
            <w:tcW w:w="1716"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Hospitals (acute or</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community not</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psychiatric)</w:t>
            </w:r>
          </w:p>
        </w:tc>
        <w:tc>
          <w:tcPr>
            <w:tcW w:w="1351" w:type="dxa"/>
            <w:vMerge w:val="restart"/>
            <w:tcBorders>
              <w:top w:val="single" w:sz="4" w:space="0" w:color="auto"/>
              <w:left w:val="nil"/>
              <w:bottom w:val="nil"/>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Other</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communal</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establishments</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tc>
        <w:tc>
          <w:tcPr>
            <w:tcW w:w="1059" w:type="dxa"/>
            <w:vMerge w:val="restart"/>
            <w:tcBorders>
              <w:top w:val="single" w:sz="4" w:space="0" w:color="auto"/>
              <w:left w:val="nil"/>
              <w:bottom w:val="nil"/>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Elsewhere</w:t>
            </w:r>
          </w:p>
          <w:p w:rsidR="00C2665B" w:rsidRPr="009031B2" w:rsidRDefault="00C2665B" w:rsidP="00147FCD">
            <w:pPr>
              <w:spacing w:after="0" w:line="240" w:lineRule="auto"/>
              <w:jc w:val="center"/>
              <w:rPr>
                <w:rFonts w:asciiTheme="minorHAnsi" w:eastAsia="Times New Roman" w:hAnsiTheme="minorHAnsi" w:cstheme="minorHAnsi"/>
                <w:color w:val="000000"/>
                <w:sz w:val="18"/>
                <w:szCs w:val="18"/>
                <w:lang w:eastAsia="en-GB"/>
              </w:rPr>
            </w:pP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tc>
      </w:tr>
      <w:tr w:rsidR="009031B2" w:rsidRPr="004F1816" w:rsidTr="006B0DBF">
        <w:trPr>
          <w:trHeight w:val="473"/>
        </w:trPr>
        <w:tc>
          <w:tcPr>
            <w:tcW w:w="1419" w:type="dxa"/>
            <w:vMerge/>
            <w:tcBorders>
              <w:left w:val="single" w:sz="4" w:space="0" w:color="auto"/>
              <w:bottom w:val="single" w:sz="4" w:space="0" w:color="auto"/>
              <w:right w:val="single" w:sz="4" w:space="0" w:color="auto"/>
            </w:tcBorders>
            <w:shd w:val="clear" w:color="000000" w:fill="D8D8D8"/>
            <w:noWrap/>
            <w:vAlign w:val="bottom"/>
            <w:hideMark/>
          </w:tcPr>
          <w:p w:rsidR="00C2665B" w:rsidRPr="009031B2" w:rsidRDefault="00C2665B" w:rsidP="00147FCD">
            <w:pPr>
              <w:spacing w:after="0" w:line="240" w:lineRule="auto"/>
              <w:jc w:val="both"/>
              <w:rPr>
                <w:rFonts w:asciiTheme="minorHAnsi" w:eastAsia="Times New Roman" w:hAnsiTheme="minorHAnsi" w:cstheme="minorHAnsi"/>
                <w:color w:val="000000"/>
                <w:sz w:val="18"/>
                <w:szCs w:val="18"/>
                <w:lang w:eastAsia="en-GB"/>
              </w:rPr>
            </w:pPr>
          </w:p>
        </w:tc>
        <w:tc>
          <w:tcPr>
            <w:tcW w:w="850" w:type="dxa"/>
            <w:vMerge/>
            <w:tcBorders>
              <w:left w:val="nil"/>
              <w:bottom w:val="single" w:sz="4" w:space="0" w:color="auto"/>
              <w:right w:val="single" w:sz="4" w:space="0" w:color="auto"/>
            </w:tcBorders>
            <w:shd w:val="clear" w:color="000000" w:fill="D8D8D8"/>
            <w:noWrap/>
            <w:vAlign w:val="bottom"/>
            <w:hideMark/>
          </w:tcPr>
          <w:p w:rsidR="00C2665B" w:rsidRPr="009031B2" w:rsidRDefault="00C2665B" w:rsidP="00147FCD">
            <w:pPr>
              <w:spacing w:after="0" w:line="240" w:lineRule="auto"/>
              <w:jc w:val="center"/>
              <w:rPr>
                <w:rFonts w:asciiTheme="minorHAnsi" w:eastAsia="Times New Roman" w:hAnsiTheme="minorHAnsi" w:cstheme="minorHAnsi"/>
                <w:color w:val="000000"/>
                <w:sz w:val="18"/>
                <w:szCs w:val="18"/>
                <w:lang w:eastAsia="en-GB"/>
              </w:rPr>
            </w:pPr>
          </w:p>
        </w:tc>
        <w:tc>
          <w:tcPr>
            <w:tcW w:w="934" w:type="dxa"/>
            <w:tcBorders>
              <w:top w:val="single" w:sz="4" w:space="0" w:color="auto"/>
              <w:left w:val="nil"/>
              <w:bottom w:val="single" w:sz="4" w:space="0" w:color="auto"/>
              <w:right w:val="single" w:sz="4" w:space="0" w:color="000000"/>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Local</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Authority</w:t>
            </w:r>
          </w:p>
        </w:tc>
        <w:tc>
          <w:tcPr>
            <w:tcW w:w="1051" w:type="dxa"/>
            <w:tcBorders>
              <w:top w:val="single" w:sz="4" w:space="0" w:color="auto"/>
              <w:left w:val="single" w:sz="4" w:space="0" w:color="000000"/>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Non-Local</w:t>
            </w:r>
          </w:p>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Authority</w:t>
            </w:r>
          </w:p>
        </w:tc>
        <w:tc>
          <w:tcPr>
            <w:tcW w:w="850" w:type="dxa"/>
            <w:tcBorders>
              <w:top w:val="single" w:sz="4" w:space="0" w:color="auto"/>
              <w:left w:val="nil"/>
              <w:bottom w:val="single" w:sz="4" w:space="0" w:color="auto"/>
              <w:right w:val="single" w:sz="4" w:space="0" w:color="000000"/>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NHS</w:t>
            </w:r>
          </w:p>
        </w:tc>
        <w:tc>
          <w:tcPr>
            <w:tcW w:w="851" w:type="dxa"/>
            <w:tcBorders>
              <w:top w:val="single" w:sz="4" w:space="0" w:color="auto"/>
              <w:left w:val="single" w:sz="4" w:space="0" w:color="000000"/>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Non-NHS</w:t>
            </w:r>
          </w:p>
        </w:tc>
        <w:tc>
          <w:tcPr>
            <w:tcW w:w="865" w:type="dxa"/>
            <w:tcBorders>
              <w:top w:val="single" w:sz="4" w:space="0" w:color="auto"/>
              <w:left w:val="nil"/>
              <w:bottom w:val="single" w:sz="4" w:space="0" w:color="auto"/>
              <w:right w:val="single" w:sz="4" w:space="0" w:color="000000"/>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NHS</w:t>
            </w:r>
          </w:p>
        </w:tc>
        <w:tc>
          <w:tcPr>
            <w:tcW w:w="851" w:type="dxa"/>
            <w:tcBorders>
              <w:top w:val="single" w:sz="4" w:space="0" w:color="auto"/>
              <w:left w:val="single" w:sz="4" w:space="0" w:color="000000"/>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r w:rsidRPr="009031B2">
              <w:rPr>
                <w:rFonts w:asciiTheme="minorHAnsi" w:eastAsia="Times New Roman" w:hAnsiTheme="minorHAnsi" w:cstheme="minorHAnsi"/>
                <w:b/>
                <w:bCs/>
                <w:color w:val="000000"/>
                <w:sz w:val="18"/>
                <w:szCs w:val="18"/>
                <w:lang w:eastAsia="en-GB"/>
              </w:rPr>
              <w:t>Non-NHS</w:t>
            </w:r>
          </w:p>
        </w:tc>
        <w:tc>
          <w:tcPr>
            <w:tcW w:w="1351" w:type="dxa"/>
            <w:vMerge/>
            <w:tcBorders>
              <w:left w:val="nil"/>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b/>
                <w:bCs/>
                <w:color w:val="000000"/>
                <w:sz w:val="18"/>
                <w:szCs w:val="18"/>
                <w:lang w:eastAsia="en-GB"/>
              </w:rPr>
            </w:pPr>
          </w:p>
        </w:tc>
        <w:tc>
          <w:tcPr>
            <w:tcW w:w="1059" w:type="dxa"/>
            <w:vMerge/>
            <w:tcBorders>
              <w:left w:val="nil"/>
              <w:bottom w:val="single" w:sz="4" w:space="0" w:color="auto"/>
              <w:right w:val="single" w:sz="4" w:space="0" w:color="auto"/>
            </w:tcBorders>
            <w:shd w:val="clear" w:color="000000" w:fill="D8D8D8"/>
            <w:noWrap/>
            <w:vAlign w:val="center"/>
            <w:hideMark/>
          </w:tcPr>
          <w:p w:rsidR="00C2665B" w:rsidRPr="009031B2" w:rsidRDefault="00C2665B" w:rsidP="00147FCD">
            <w:pPr>
              <w:spacing w:after="0" w:line="240" w:lineRule="auto"/>
              <w:jc w:val="center"/>
              <w:rPr>
                <w:rFonts w:asciiTheme="minorHAnsi" w:eastAsia="Times New Roman" w:hAnsiTheme="minorHAnsi" w:cstheme="minorHAnsi"/>
                <w:color w:val="000000"/>
                <w:sz w:val="18"/>
                <w:szCs w:val="18"/>
                <w:lang w:eastAsia="en-GB"/>
              </w:rPr>
            </w:pPr>
          </w:p>
        </w:tc>
      </w:tr>
      <w:tr w:rsidR="006B0DBF" w:rsidRPr="004F1816" w:rsidTr="006B0DBF">
        <w:trPr>
          <w:trHeight w:val="379"/>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line="240" w:lineRule="auto"/>
              <w:rPr>
                <w:rFonts w:asciiTheme="minorHAnsi" w:hAnsiTheme="minorHAnsi" w:cstheme="minorHAnsi"/>
                <w:color w:val="000000"/>
                <w:sz w:val="18"/>
                <w:szCs w:val="18"/>
                <w:lang w:eastAsia="en-GB"/>
              </w:rPr>
            </w:pPr>
            <w:proofErr w:type="spellStart"/>
            <w:r w:rsidRPr="0006023D">
              <w:rPr>
                <w:rFonts w:asciiTheme="minorHAnsi" w:hAnsiTheme="minorHAnsi" w:cstheme="minorHAnsi"/>
                <w:color w:val="000000"/>
                <w:sz w:val="18"/>
                <w:szCs w:val="18"/>
              </w:rPr>
              <w:t>Betsi</w:t>
            </w:r>
            <w:proofErr w:type="spellEnd"/>
            <w:r w:rsidRPr="0006023D">
              <w:rPr>
                <w:rFonts w:asciiTheme="minorHAnsi" w:hAnsiTheme="minorHAnsi" w:cstheme="minorHAnsi"/>
                <w:color w:val="000000"/>
                <w:sz w:val="18"/>
                <w:szCs w:val="18"/>
              </w:rPr>
              <w:t xml:space="preserve"> </w:t>
            </w:r>
            <w:proofErr w:type="spellStart"/>
            <w:r w:rsidRPr="0006023D">
              <w:rPr>
                <w:rFonts w:asciiTheme="minorHAnsi" w:hAnsiTheme="minorHAnsi" w:cstheme="minorHAnsi"/>
                <w:color w:val="000000"/>
                <w:sz w:val="18"/>
                <w:szCs w:val="18"/>
              </w:rPr>
              <w:t>Cadwaladr</w:t>
            </w:r>
            <w:proofErr w:type="spellEnd"/>
            <w:r w:rsidRPr="0006023D">
              <w:rPr>
                <w:rFonts w:asciiTheme="minorHAnsi" w:hAnsiTheme="minorHAnsi" w:cstheme="minorHAnsi"/>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line="240" w:lineRule="auto"/>
              <w:jc w:val="center"/>
              <w:rPr>
                <w:rFonts w:cs="Calibri"/>
                <w:color w:val="000000"/>
                <w:sz w:val="18"/>
                <w:szCs w:val="18"/>
                <w:lang w:eastAsia="en-GB"/>
              </w:rPr>
            </w:pPr>
            <w:r>
              <w:rPr>
                <w:rFonts w:cs="Calibri"/>
                <w:color w:val="000000"/>
                <w:sz w:val="18"/>
                <w:szCs w:val="18"/>
              </w:rPr>
              <w:t>23.8%</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1.1%</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2.9%</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line="240" w:lineRule="auto"/>
              <w:jc w:val="center"/>
              <w:rPr>
                <w:rFonts w:cs="Calibri"/>
                <w:color w:val="000000"/>
                <w:sz w:val="18"/>
                <w:szCs w:val="18"/>
                <w:lang w:eastAsia="en-GB"/>
              </w:rPr>
            </w:pPr>
            <w:r>
              <w:rPr>
                <w:rFonts w:cs="Calibri"/>
                <w:color w:val="000000"/>
                <w:sz w:val="18"/>
                <w:szCs w:val="18"/>
              </w:rPr>
              <w:t>53.2%</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line="240" w:lineRule="auto"/>
              <w:jc w:val="center"/>
              <w:rPr>
                <w:rFonts w:cs="Calibri"/>
                <w:color w:val="000000"/>
                <w:sz w:val="18"/>
                <w:szCs w:val="18"/>
                <w:lang w:eastAsia="en-GB"/>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0.1%</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1.9%</w:t>
            </w:r>
          </w:p>
        </w:tc>
      </w:tr>
      <w:tr w:rsidR="006B0DBF" w:rsidRPr="004F1816" w:rsidTr="006B0DBF">
        <w:trPr>
          <w:trHeight w:val="413"/>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 xml:space="preserve">Powys Teaching                   </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26.0%</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3.7%</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13.5%</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2.6%</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51.7%</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0.1%</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2.6%</w:t>
            </w:r>
          </w:p>
        </w:tc>
      </w:tr>
      <w:tr w:rsidR="006B0DBF" w:rsidRPr="004F1816" w:rsidTr="006B0DBF">
        <w:trPr>
          <w:trHeight w:val="419"/>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 xml:space="preserve">Hywel Dda                        </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27.8%</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2.2%</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17.3%</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1.3%</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48.6%</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0.2%</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2.6%</w:t>
            </w:r>
          </w:p>
        </w:tc>
      </w:tr>
      <w:tr w:rsidR="006B0DBF" w:rsidRPr="004F1816" w:rsidTr="006B0DBF">
        <w:trPr>
          <w:trHeight w:val="323"/>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 xml:space="preserve">Aneurin Bevan                    </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26.4%</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0.8%</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13.2%</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1.9%</w:t>
            </w:r>
          </w:p>
        </w:tc>
        <w:tc>
          <w:tcPr>
            <w:tcW w:w="865" w:type="dxa"/>
            <w:tcBorders>
              <w:top w:val="nil"/>
              <w:left w:val="nil"/>
              <w:bottom w:val="single" w:sz="4" w:space="0" w:color="auto"/>
              <w:right w:val="single" w:sz="4" w:space="0" w:color="auto"/>
            </w:tcBorders>
            <w:shd w:val="clear" w:color="auto" w:fill="auto"/>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55.4%</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0.1%</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2.2%</w:t>
            </w:r>
          </w:p>
        </w:tc>
      </w:tr>
      <w:tr w:rsidR="006B0DBF" w:rsidRPr="004F1816" w:rsidTr="006B0DBF">
        <w:trPr>
          <w:trHeight w:val="461"/>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 xml:space="preserve">Cardiff </w:t>
            </w:r>
            <w:r>
              <w:rPr>
                <w:rFonts w:asciiTheme="minorHAnsi" w:hAnsiTheme="minorHAnsi" w:cstheme="minorHAnsi"/>
                <w:color w:val="000000"/>
                <w:sz w:val="18"/>
                <w:szCs w:val="18"/>
              </w:rPr>
              <w:t>&amp;</w:t>
            </w:r>
            <w:r w:rsidRPr="0006023D">
              <w:rPr>
                <w:rFonts w:asciiTheme="minorHAnsi" w:hAnsiTheme="minorHAnsi" w:cstheme="minorHAnsi"/>
                <w:color w:val="000000"/>
                <w:sz w:val="18"/>
                <w:szCs w:val="18"/>
              </w:rPr>
              <w:t xml:space="preserve"> Vale </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25.2%</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0.2%</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16.1%</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7.5%</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48.8%</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0.1%</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2.1%</w:t>
            </w:r>
          </w:p>
        </w:tc>
      </w:tr>
      <w:tr w:rsidR="006B0DBF" w:rsidRPr="004F1816" w:rsidTr="006B0DBF">
        <w:trPr>
          <w:trHeight w:val="42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Cwm Taf Morgannwg</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24.5%</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1.0%</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11.4%</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0.1%</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59.2%</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0.3%</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2.2%</w:t>
            </w:r>
          </w:p>
        </w:tc>
      </w:tr>
      <w:tr w:rsidR="006B0DBF" w:rsidRPr="004F1816" w:rsidTr="006B0DBF">
        <w:trPr>
          <w:trHeight w:val="41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B0DBF" w:rsidRPr="0006023D" w:rsidRDefault="006B0DBF" w:rsidP="006B0DBF">
            <w:pPr>
              <w:spacing w:after="0"/>
              <w:rPr>
                <w:rFonts w:asciiTheme="minorHAnsi" w:hAnsiTheme="minorHAnsi" w:cstheme="minorHAnsi"/>
                <w:color w:val="000000"/>
                <w:sz w:val="18"/>
                <w:szCs w:val="18"/>
              </w:rPr>
            </w:pPr>
            <w:r w:rsidRPr="0006023D">
              <w:rPr>
                <w:rFonts w:asciiTheme="minorHAnsi" w:hAnsiTheme="minorHAnsi" w:cstheme="minorHAnsi"/>
                <w:color w:val="000000"/>
                <w:sz w:val="18"/>
                <w:szCs w:val="18"/>
              </w:rPr>
              <w:t>Swansea Bay</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26.1%</w:t>
            </w:r>
          </w:p>
        </w:tc>
        <w:tc>
          <w:tcPr>
            <w:tcW w:w="934"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0.4%</w:t>
            </w:r>
          </w:p>
        </w:tc>
        <w:tc>
          <w:tcPr>
            <w:tcW w:w="10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17.5%</w:t>
            </w:r>
          </w:p>
        </w:tc>
        <w:tc>
          <w:tcPr>
            <w:tcW w:w="850"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865"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53.5</w:t>
            </w:r>
            <w:r w:rsidRPr="0006023D">
              <w:rPr>
                <w:rFonts w:asciiTheme="minorHAnsi" w:hAnsiTheme="minorHAnsi" w:cstheme="minorHAnsi"/>
                <w:color w:val="000000"/>
                <w:sz w:val="18"/>
                <w:szCs w:val="18"/>
              </w:rPr>
              <w:t>%</w:t>
            </w:r>
          </w:p>
          <w:p w:rsidR="006B0DBF" w:rsidRPr="0006023D" w:rsidRDefault="006B0DBF" w:rsidP="006B0DBF">
            <w:pPr>
              <w:spacing w:after="0"/>
              <w:jc w:val="center"/>
              <w:rPr>
                <w:rFonts w:asciiTheme="minorHAnsi" w:hAnsiTheme="minorHAnsi" w:cstheme="minorHAnsi"/>
                <w:color w:val="000000"/>
                <w:sz w:val="18"/>
                <w:szCs w:val="18"/>
              </w:rPr>
            </w:pPr>
            <w:r w:rsidRPr="00FB3AA7">
              <w:rPr>
                <w:rFonts w:asciiTheme="minorHAnsi" w:hAnsiTheme="minorHAnsi" w:cstheme="minorHAnsi"/>
                <w:color w:val="000000"/>
                <w:sz w:val="18"/>
                <w:szCs w:val="18"/>
              </w:rPr>
              <w:t>(46.31%)</w:t>
            </w:r>
          </w:p>
        </w:tc>
        <w:tc>
          <w:tcPr>
            <w:tcW w:w="8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0.0%</w:t>
            </w:r>
          </w:p>
        </w:tc>
        <w:tc>
          <w:tcPr>
            <w:tcW w:w="1351"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0.4%</w:t>
            </w:r>
          </w:p>
        </w:tc>
        <w:tc>
          <w:tcPr>
            <w:tcW w:w="1059" w:type="dxa"/>
            <w:tcBorders>
              <w:top w:val="nil"/>
              <w:left w:val="nil"/>
              <w:bottom w:val="single" w:sz="4" w:space="0" w:color="auto"/>
              <w:right w:val="single" w:sz="4" w:space="0" w:color="auto"/>
            </w:tcBorders>
            <w:shd w:val="clear" w:color="auto" w:fill="auto"/>
            <w:noWrap/>
            <w:vAlign w:val="center"/>
            <w:hideMark/>
          </w:tcPr>
          <w:p w:rsidR="006B0DBF" w:rsidRDefault="006B0DBF" w:rsidP="006B0DBF">
            <w:pPr>
              <w:spacing w:after="0"/>
              <w:jc w:val="center"/>
              <w:rPr>
                <w:rFonts w:cs="Calibri"/>
                <w:color w:val="000000"/>
                <w:sz w:val="18"/>
                <w:szCs w:val="18"/>
              </w:rPr>
            </w:pPr>
            <w:r>
              <w:rPr>
                <w:rFonts w:cs="Calibri"/>
                <w:color w:val="000000"/>
                <w:sz w:val="18"/>
                <w:szCs w:val="18"/>
              </w:rPr>
              <w:t>2.2%</w:t>
            </w:r>
          </w:p>
        </w:tc>
      </w:tr>
      <w:tr w:rsidR="006B0DBF" w:rsidRPr="004F1816" w:rsidTr="006B0DBF">
        <w:trPr>
          <w:trHeight w:val="493"/>
        </w:trPr>
        <w:tc>
          <w:tcPr>
            <w:tcW w:w="141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6B0DBF" w:rsidRPr="0006023D" w:rsidRDefault="006B0DBF" w:rsidP="006B0DBF">
            <w:pPr>
              <w:spacing w:after="0"/>
              <w:rPr>
                <w:rFonts w:asciiTheme="minorHAnsi" w:hAnsiTheme="minorHAnsi" w:cstheme="minorHAnsi"/>
                <w:b/>
                <w:bCs/>
                <w:color w:val="000000"/>
                <w:sz w:val="18"/>
                <w:szCs w:val="18"/>
              </w:rPr>
            </w:pPr>
            <w:r w:rsidRPr="0006023D">
              <w:rPr>
                <w:rFonts w:asciiTheme="minorHAnsi" w:hAnsiTheme="minorHAnsi" w:cstheme="minorHAnsi"/>
                <w:b/>
                <w:bCs/>
                <w:color w:val="000000"/>
                <w:sz w:val="18"/>
                <w:szCs w:val="18"/>
              </w:rPr>
              <w:t xml:space="preserve">WALES                            </w:t>
            </w:r>
          </w:p>
        </w:tc>
        <w:tc>
          <w:tcPr>
            <w:tcW w:w="850" w:type="dxa"/>
            <w:tcBorders>
              <w:top w:val="nil"/>
              <w:left w:val="single" w:sz="4" w:space="0" w:color="auto"/>
              <w:bottom w:val="single" w:sz="4" w:space="0" w:color="auto"/>
              <w:right w:val="single" w:sz="4" w:space="0" w:color="auto"/>
            </w:tcBorders>
            <w:shd w:val="clear" w:color="000000" w:fill="D9D9D9"/>
            <w:noWrap/>
            <w:vAlign w:val="center"/>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25.5%</w:t>
            </w:r>
          </w:p>
        </w:tc>
        <w:tc>
          <w:tcPr>
            <w:tcW w:w="934" w:type="dxa"/>
            <w:tcBorders>
              <w:top w:val="nil"/>
              <w:left w:val="nil"/>
              <w:bottom w:val="single" w:sz="4" w:space="0" w:color="auto"/>
              <w:right w:val="single" w:sz="4" w:space="0" w:color="auto"/>
            </w:tcBorders>
            <w:shd w:val="clear" w:color="000000" w:fill="D9D9D9"/>
            <w:noWrap/>
            <w:vAlign w:val="center"/>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1.1%</w:t>
            </w:r>
          </w:p>
        </w:tc>
        <w:tc>
          <w:tcPr>
            <w:tcW w:w="1051" w:type="dxa"/>
            <w:tcBorders>
              <w:top w:val="nil"/>
              <w:left w:val="nil"/>
              <w:bottom w:val="single" w:sz="4" w:space="0" w:color="auto"/>
              <w:right w:val="single" w:sz="4" w:space="0" w:color="auto"/>
            </w:tcBorders>
            <w:shd w:val="clear" w:color="000000" w:fill="D9D9D9"/>
            <w:noWrap/>
            <w:vAlign w:val="center"/>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15.3%</w:t>
            </w:r>
          </w:p>
        </w:tc>
        <w:tc>
          <w:tcPr>
            <w:tcW w:w="850" w:type="dxa"/>
            <w:tcBorders>
              <w:top w:val="nil"/>
              <w:left w:val="nil"/>
              <w:bottom w:val="single" w:sz="4" w:space="0" w:color="auto"/>
              <w:right w:val="single" w:sz="4" w:space="0" w:color="auto"/>
            </w:tcBorders>
            <w:shd w:val="clear" w:color="000000" w:fill="D9D9D9"/>
            <w:noWrap/>
            <w:vAlign w:val="center"/>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0.2%</w:t>
            </w:r>
          </w:p>
        </w:tc>
        <w:tc>
          <w:tcPr>
            <w:tcW w:w="851" w:type="dxa"/>
            <w:tcBorders>
              <w:top w:val="nil"/>
              <w:left w:val="nil"/>
              <w:bottom w:val="single" w:sz="4" w:space="0" w:color="auto"/>
              <w:right w:val="single" w:sz="4" w:space="0" w:color="auto"/>
            </w:tcBorders>
            <w:shd w:val="clear" w:color="000000" w:fill="D9D9D9"/>
            <w:noWrap/>
            <w:vAlign w:val="center"/>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2.3%</w:t>
            </w:r>
          </w:p>
        </w:tc>
        <w:tc>
          <w:tcPr>
            <w:tcW w:w="865" w:type="dxa"/>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rsidR="006B0DBF" w:rsidRPr="008B4C4E" w:rsidRDefault="006B0DBF" w:rsidP="006B0DBF">
            <w:pPr>
              <w:spacing w:after="0"/>
              <w:jc w:val="center"/>
              <w:rPr>
                <w:rFonts w:asciiTheme="minorHAnsi" w:hAnsiTheme="minorHAnsi" w:cstheme="minorHAnsi"/>
                <w:b/>
                <w:color w:val="000000"/>
                <w:sz w:val="18"/>
                <w:szCs w:val="18"/>
              </w:rPr>
            </w:pPr>
            <w:r w:rsidRPr="008B4C4E">
              <w:rPr>
                <w:rFonts w:asciiTheme="minorHAnsi" w:hAnsiTheme="minorHAnsi" w:cstheme="minorHAnsi"/>
                <w:b/>
                <w:color w:val="000000"/>
                <w:sz w:val="18"/>
                <w:szCs w:val="18"/>
              </w:rPr>
              <w:t>53.3%</w:t>
            </w:r>
          </w:p>
        </w:tc>
        <w:tc>
          <w:tcPr>
            <w:tcW w:w="851" w:type="dxa"/>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0.0%</w:t>
            </w:r>
          </w:p>
        </w:tc>
        <w:tc>
          <w:tcPr>
            <w:tcW w:w="1351" w:type="dxa"/>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0.2%</w:t>
            </w:r>
          </w:p>
        </w:tc>
        <w:tc>
          <w:tcPr>
            <w:tcW w:w="1059" w:type="dxa"/>
            <w:tcBorders>
              <w:top w:val="single" w:sz="4" w:space="0" w:color="auto"/>
              <w:left w:val="nil"/>
              <w:bottom w:val="single" w:sz="4" w:space="0" w:color="000000"/>
              <w:right w:val="single" w:sz="4" w:space="0" w:color="auto"/>
            </w:tcBorders>
            <w:shd w:val="clear" w:color="auto" w:fill="D9D9D9" w:themeFill="background1" w:themeFillShade="D9"/>
            <w:noWrap/>
            <w:vAlign w:val="center"/>
            <w:hideMark/>
          </w:tcPr>
          <w:p w:rsidR="006B0DBF" w:rsidRPr="008B4C4E" w:rsidRDefault="006B0DBF" w:rsidP="006B0DBF">
            <w:pPr>
              <w:spacing w:after="0"/>
              <w:jc w:val="center"/>
              <w:rPr>
                <w:rFonts w:cs="Calibri"/>
                <w:b/>
                <w:color w:val="000000"/>
                <w:sz w:val="18"/>
                <w:szCs w:val="18"/>
              </w:rPr>
            </w:pPr>
            <w:r w:rsidRPr="008B4C4E">
              <w:rPr>
                <w:rFonts w:cs="Calibri"/>
                <w:b/>
                <w:color w:val="000000"/>
                <w:sz w:val="18"/>
                <w:szCs w:val="18"/>
              </w:rPr>
              <w:t>2.2%</w:t>
            </w:r>
          </w:p>
        </w:tc>
      </w:tr>
    </w:tbl>
    <w:p w:rsidR="00015216" w:rsidRDefault="00015216" w:rsidP="00111565">
      <w:pPr>
        <w:spacing w:before="240" w:line="240" w:lineRule="auto"/>
        <w:jc w:val="both"/>
        <w:rPr>
          <w:color w:val="000000"/>
        </w:rPr>
      </w:pPr>
      <w:r w:rsidRPr="009F08A9">
        <w:t xml:space="preserve">The </w:t>
      </w:r>
      <w:r w:rsidR="001E0727" w:rsidRPr="009F08A9">
        <w:t xml:space="preserve">above table shows that around </w:t>
      </w:r>
      <w:r w:rsidR="006B0DBF" w:rsidRPr="008B4C4E">
        <w:t>46.31</w:t>
      </w:r>
      <w:r w:rsidRPr="008B4C4E">
        <w:t>%</w:t>
      </w:r>
      <w:r w:rsidR="00D61453" w:rsidRPr="008B4C4E">
        <w:t xml:space="preserve"> (</w:t>
      </w:r>
      <w:r w:rsidR="006B0DBF" w:rsidRPr="008B4C4E">
        <w:t>1,904</w:t>
      </w:r>
      <w:r w:rsidR="00C032B2" w:rsidRPr="008B4C4E">
        <w:t>)</w:t>
      </w:r>
      <w:r w:rsidRPr="009F08A9">
        <w:t xml:space="preserve"> of our population die in hospital compared to </w:t>
      </w:r>
      <w:r w:rsidR="0006023D" w:rsidRPr="00813559">
        <w:t>53</w:t>
      </w:r>
      <w:r w:rsidR="006B0DBF" w:rsidRPr="00813559">
        <w:t>.3</w:t>
      </w:r>
      <w:r w:rsidRPr="00813559">
        <w:t>%</w:t>
      </w:r>
      <w:r w:rsidR="00C032B2" w:rsidRPr="00813559">
        <w:t xml:space="preserve"> (</w:t>
      </w:r>
      <w:r w:rsidR="006B0DBF" w:rsidRPr="00813559">
        <w:t>17,682</w:t>
      </w:r>
      <w:r w:rsidR="00C032B2" w:rsidRPr="00813559">
        <w:rPr>
          <w:color w:val="000000"/>
        </w:rPr>
        <w:t xml:space="preserve">) </w:t>
      </w:r>
      <w:r w:rsidRPr="00813559">
        <w:rPr>
          <w:color w:val="000000"/>
        </w:rPr>
        <w:t xml:space="preserve">for Wales and </w:t>
      </w:r>
      <w:r w:rsidR="00105BAA" w:rsidRPr="00813559">
        <w:rPr>
          <w:color w:val="000000"/>
        </w:rPr>
        <w:t>45.</w:t>
      </w:r>
      <w:r w:rsidR="006B0DBF" w:rsidRPr="00813559">
        <w:rPr>
          <w:color w:val="000000"/>
        </w:rPr>
        <w:t>06</w:t>
      </w:r>
      <w:r w:rsidRPr="00813559">
        <w:rPr>
          <w:color w:val="000000"/>
        </w:rPr>
        <w:t>%</w:t>
      </w:r>
      <w:r w:rsidR="00C032B2" w:rsidRPr="00813559">
        <w:rPr>
          <w:color w:val="000000"/>
        </w:rPr>
        <w:t xml:space="preserve"> (</w:t>
      </w:r>
      <w:r w:rsidR="00F91C1A" w:rsidRPr="00813559">
        <w:rPr>
          <w:color w:val="000000"/>
        </w:rPr>
        <w:t>223,650</w:t>
      </w:r>
      <w:r w:rsidR="00C032B2" w:rsidRPr="00813559">
        <w:rPr>
          <w:color w:val="000000"/>
        </w:rPr>
        <w:t>)</w:t>
      </w:r>
      <w:r w:rsidRPr="00813559">
        <w:rPr>
          <w:color w:val="000000"/>
        </w:rPr>
        <w:t xml:space="preserve"> for</w:t>
      </w:r>
      <w:r w:rsidRPr="009F08A9">
        <w:rPr>
          <w:color w:val="000000"/>
        </w:rPr>
        <w:t xml:space="preserve"> England.</w:t>
      </w:r>
    </w:p>
    <w:p w:rsidR="00185F79" w:rsidRPr="00C75EA4" w:rsidRDefault="00185F79" w:rsidP="00111565">
      <w:pPr>
        <w:spacing w:line="240" w:lineRule="auto"/>
        <w:jc w:val="both"/>
        <w:rPr>
          <w:vanish/>
        </w:rPr>
      </w:pPr>
    </w:p>
    <w:p w:rsidR="00E70F8C" w:rsidRDefault="00E70F8C" w:rsidP="00111565">
      <w:pPr>
        <w:spacing w:line="240" w:lineRule="auto"/>
        <w:jc w:val="both"/>
        <w:rPr>
          <w:b/>
        </w:rPr>
      </w:pPr>
      <w:r w:rsidRPr="00C75EA4">
        <w:rPr>
          <w:b/>
        </w:rPr>
        <w:t>In-hospital Mortality</w:t>
      </w:r>
    </w:p>
    <w:p w:rsidR="00111565" w:rsidRDefault="005D55FA" w:rsidP="00796D7F">
      <w:pPr>
        <w:spacing w:line="240" w:lineRule="auto"/>
        <w:jc w:val="both"/>
        <w:rPr>
          <w:b/>
        </w:rPr>
      </w:pPr>
      <w:r w:rsidRPr="00BB5E2F">
        <w:t>During</w:t>
      </w:r>
      <w:r w:rsidR="002A31DE" w:rsidRPr="00BB5E2F">
        <w:t xml:space="preserve"> the rolling </w:t>
      </w:r>
      <w:proofErr w:type="gramStart"/>
      <w:r w:rsidR="002A31DE" w:rsidRPr="00BB5E2F">
        <w:t>12 month</w:t>
      </w:r>
      <w:proofErr w:type="gramEnd"/>
      <w:r w:rsidR="002A31DE" w:rsidRPr="007C0EE5">
        <w:t xml:space="preserve"> period </w:t>
      </w:r>
      <w:r w:rsidR="002A31DE" w:rsidRPr="00813559">
        <w:t xml:space="preserve">to </w:t>
      </w:r>
      <w:r w:rsidR="003F1147">
        <w:t>September</w:t>
      </w:r>
      <w:r w:rsidR="00127DF2" w:rsidRPr="00813559">
        <w:t xml:space="preserve"> 20</w:t>
      </w:r>
      <w:r w:rsidR="005B5541" w:rsidRPr="00813559">
        <w:t>20</w:t>
      </w:r>
      <w:r w:rsidR="002A31DE" w:rsidRPr="00813559">
        <w:t xml:space="preserve"> on average </w:t>
      </w:r>
      <w:r w:rsidR="003F1147">
        <w:t>175</w:t>
      </w:r>
      <w:r w:rsidR="003056E0" w:rsidRPr="00813559">
        <w:t xml:space="preserve"> people died in our hospitals</w:t>
      </w:r>
      <w:r w:rsidRPr="00813559">
        <w:t xml:space="preserve"> per month</w:t>
      </w:r>
      <w:r w:rsidR="003056E0" w:rsidRPr="00813559">
        <w:t>.</w:t>
      </w:r>
      <w:r w:rsidR="00C63E1C" w:rsidRPr="00813559">
        <w:t xml:space="preserve"> </w:t>
      </w:r>
      <w:r w:rsidR="00F50236" w:rsidRPr="00813559">
        <w:t xml:space="preserve">This is </w:t>
      </w:r>
      <w:r w:rsidR="003F1147">
        <w:t xml:space="preserve">a slight </w:t>
      </w:r>
      <w:r w:rsidR="00F91C1A" w:rsidRPr="00813559">
        <w:t>decrease</w:t>
      </w:r>
      <w:r w:rsidR="00C97685" w:rsidRPr="00813559">
        <w:t xml:space="preserve"> on </w:t>
      </w:r>
      <w:r w:rsidR="005057B2" w:rsidRPr="00813559">
        <w:t>the previous period</w:t>
      </w:r>
      <w:r w:rsidR="001E1A53" w:rsidRPr="00813559">
        <w:t xml:space="preserve"> </w:t>
      </w:r>
      <w:r w:rsidR="004C0650" w:rsidRPr="00813559">
        <w:t>(</w:t>
      </w:r>
      <w:r w:rsidR="003F1147">
        <w:t>178</w:t>
      </w:r>
      <w:r w:rsidR="004C0650" w:rsidRPr="00813559">
        <w:t xml:space="preserve"> for the</w:t>
      </w:r>
      <w:r w:rsidR="004C0650" w:rsidRPr="007C0EE5">
        <w:t xml:space="preserve"> previous </w:t>
      </w:r>
      <w:r w:rsidR="00E95904" w:rsidRPr="007C0EE5">
        <w:t>period</w:t>
      </w:r>
      <w:r w:rsidR="004C0650" w:rsidRPr="007C0EE5">
        <w:t>)</w:t>
      </w:r>
      <w:r w:rsidR="005057B2" w:rsidRPr="007C0EE5">
        <w:t>.</w:t>
      </w:r>
      <w:r w:rsidR="00111565">
        <w:rPr>
          <w:b/>
        </w:rPr>
        <w:br w:type="page"/>
      </w:r>
    </w:p>
    <w:p w:rsidR="00A161AC" w:rsidRDefault="00A161AC" w:rsidP="00147FCD">
      <w:pPr>
        <w:spacing w:line="240" w:lineRule="auto"/>
        <w:jc w:val="both"/>
        <w:rPr>
          <w:b/>
        </w:rPr>
      </w:pPr>
      <w:r w:rsidRPr="00FB3AA7">
        <w:rPr>
          <w:b/>
        </w:rPr>
        <w:lastRenderedPageBreak/>
        <w:t>Crude Rates</w:t>
      </w:r>
    </w:p>
    <w:p w:rsidR="00F50236" w:rsidRPr="007C0EE5" w:rsidRDefault="00F50236" w:rsidP="00111565">
      <w:pPr>
        <w:pStyle w:val="ListParagraph"/>
        <w:spacing w:line="240" w:lineRule="auto"/>
        <w:ind w:left="0"/>
        <w:contextualSpacing w:val="0"/>
        <w:jc w:val="both"/>
      </w:pPr>
      <w:r w:rsidRPr="00BB5E2F">
        <w:t>The crude rate for a site</w:t>
      </w:r>
      <w:r w:rsidRPr="007C0EE5">
        <w:t xml:space="preserve"> will be affected by not only the number of deaths but also by the number of admissions at a particular site</w:t>
      </w:r>
      <w:r w:rsidR="00C44BB5" w:rsidRPr="007C0EE5">
        <w:t xml:space="preserve">. </w:t>
      </w:r>
      <w:r w:rsidRPr="007C0EE5">
        <w:t xml:space="preserve"> The rate</w:t>
      </w:r>
      <w:r w:rsidR="00AC2A2A" w:rsidRPr="007C0EE5">
        <w:t xml:space="preserve"> shown</w:t>
      </w:r>
      <w:r w:rsidRPr="007C0EE5">
        <w:t xml:space="preserve"> is the actual number of deaths as a percentage of the total patients admitted. The Health Board rate </w:t>
      </w:r>
      <w:r w:rsidRPr="00813559">
        <w:t xml:space="preserve">is </w:t>
      </w:r>
      <w:r w:rsidR="006E3130">
        <w:t>2.43% (December 2020</w:t>
      </w:r>
      <w:r w:rsidR="00440F9B">
        <w:t xml:space="preserve"> –</w:t>
      </w:r>
      <w:r w:rsidR="007D6783">
        <w:t xml:space="preserve"> rolling 12 month</w:t>
      </w:r>
      <w:r w:rsidR="006E3130">
        <w:t>).</w:t>
      </w:r>
    </w:p>
    <w:p w:rsidR="00F50236" w:rsidRPr="007C0EE5" w:rsidRDefault="00AC2A2A" w:rsidP="00111565">
      <w:pPr>
        <w:spacing w:line="240" w:lineRule="auto"/>
        <w:jc w:val="both"/>
      </w:pPr>
      <w:r w:rsidRPr="007C0EE5">
        <w:t>We</w:t>
      </w:r>
      <w:r w:rsidR="00F50236" w:rsidRPr="007C0EE5">
        <w:t xml:space="preserve"> monitor the actual number of deaths at all our hospital sites on a monthly basis. This gives an early opportunity to investigate changes in the number of in-hospital deaths.</w:t>
      </w:r>
    </w:p>
    <w:p w:rsidR="00A161AC" w:rsidRDefault="00A161AC" w:rsidP="00111565">
      <w:pPr>
        <w:pStyle w:val="ListParagraph"/>
        <w:spacing w:line="240" w:lineRule="auto"/>
        <w:ind w:left="0"/>
        <w:contextualSpacing w:val="0"/>
        <w:jc w:val="both"/>
      </w:pPr>
      <w:r w:rsidRPr="007C0EE5">
        <w:t xml:space="preserve">The crude mortality rates for </w:t>
      </w:r>
      <w:r w:rsidR="001D1118" w:rsidRPr="007C0EE5">
        <w:t>the Health Board</w:t>
      </w:r>
      <w:r w:rsidR="001F7B1E" w:rsidRPr="007C0EE5">
        <w:t>:</w:t>
      </w:r>
    </w:p>
    <w:p w:rsidR="00713CCB" w:rsidRPr="00127DF2" w:rsidRDefault="00713CCB" w:rsidP="00713CCB">
      <w:pPr>
        <w:pStyle w:val="ListParagraph"/>
        <w:ind w:left="0" w:firstLine="720"/>
        <w:contextualSpacing w:val="0"/>
        <w:jc w:val="both"/>
        <w:rPr>
          <w:noProof/>
          <w:u w:val="single"/>
          <w:lang w:eastAsia="en-GB"/>
        </w:rPr>
      </w:pPr>
      <w:r w:rsidRPr="00386722">
        <w:rPr>
          <w:noProof/>
          <w:u w:val="single"/>
          <w:lang w:eastAsia="en-GB"/>
        </w:rPr>
        <w:t>Monthly</w:t>
      </w:r>
    </w:p>
    <w:p w:rsidR="00713CCB" w:rsidRPr="00C75EA4" w:rsidRDefault="00C3025D" w:rsidP="007C0EE5">
      <w:pPr>
        <w:pStyle w:val="ListParagraph"/>
        <w:ind w:left="0"/>
        <w:contextualSpacing w:val="0"/>
        <w:jc w:val="both"/>
        <w:rPr>
          <w:noProof/>
          <w:lang w:eastAsia="en-GB"/>
        </w:rPr>
      </w:pPr>
      <w:r>
        <w:rPr>
          <w:noProof/>
          <w:lang w:eastAsia="en-GB"/>
        </w:rPr>
        <w:drawing>
          <wp:inline distT="0" distB="0" distL="0" distR="0" wp14:anchorId="7ACCF6E1">
            <wp:extent cx="5676900" cy="29734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827" cy="2998566"/>
                    </a:xfrm>
                    <a:prstGeom prst="rect">
                      <a:avLst/>
                    </a:prstGeom>
                    <a:noFill/>
                  </pic:spPr>
                </pic:pic>
              </a:graphicData>
            </a:graphic>
          </wp:inline>
        </w:drawing>
      </w:r>
    </w:p>
    <w:p w:rsidR="00631ED2" w:rsidRDefault="00316574" w:rsidP="00111565">
      <w:pPr>
        <w:pStyle w:val="ListParagraph"/>
        <w:spacing w:line="240" w:lineRule="auto"/>
        <w:ind w:left="0" w:firstLine="720"/>
        <w:contextualSpacing w:val="0"/>
        <w:jc w:val="both"/>
        <w:rPr>
          <w:u w:val="single"/>
        </w:rPr>
      </w:pPr>
      <w:r>
        <w:rPr>
          <w:u w:val="single"/>
        </w:rPr>
        <w:t>Rolling 12 M</w:t>
      </w:r>
      <w:r w:rsidR="005C65E4" w:rsidRPr="00DD4410">
        <w:rPr>
          <w:u w:val="single"/>
        </w:rPr>
        <w:t>onth</w:t>
      </w:r>
    </w:p>
    <w:p w:rsidR="00386722" w:rsidRPr="00127DF2" w:rsidRDefault="00020A8A" w:rsidP="00127DF2">
      <w:pPr>
        <w:jc w:val="both"/>
        <w:rPr>
          <w:u w:val="single"/>
        </w:rPr>
      </w:pPr>
      <w:r>
        <w:rPr>
          <w:noProof/>
          <w:lang w:eastAsia="en-GB"/>
        </w:rPr>
        <w:drawing>
          <wp:inline distT="0" distB="0" distL="0" distR="0" wp14:anchorId="7EF60989" wp14:editId="5F74568D">
            <wp:extent cx="5676900" cy="3021495"/>
            <wp:effectExtent l="0" t="0" r="0" b="762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728903" cy="3049174"/>
                    </a:xfrm>
                    <a:prstGeom prst="rect">
                      <a:avLst/>
                    </a:prstGeom>
                  </pic:spPr>
                </pic:pic>
              </a:graphicData>
            </a:graphic>
          </wp:inline>
        </w:drawing>
      </w:r>
    </w:p>
    <w:p w:rsidR="000F71EE" w:rsidRDefault="000F71EE" w:rsidP="00147FCD">
      <w:pPr>
        <w:spacing w:line="240" w:lineRule="auto"/>
        <w:jc w:val="both"/>
        <w:rPr>
          <w:noProof/>
          <w:lang w:eastAsia="en-GB"/>
        </w:rPr>
      </w:pPr>
    </w:p>
    <w:p w:rsidR="005065F0" w:rsidRDefault="00A53099" w:rsidP="00147FCD">
      <w:pPr>
        <w:spacing w:line="240" w:lineRule="auto"/>
        <w:jc w:val="both"/>
        <w:rPr>
          <w:noProof/>
          <w:lang w:eastAsia="en-GB"/>
        </w:rPr>
      </w:pPr>
      <w:r>
        <w:rPr>
          <w:noProof/>
          <w:lang w:eastAsia="en-GB"/>
        </w:rPr>
        <w:drawing>
          <wp:inline distT="0" distB="0" distL="0" distR="0" wp14:anchorId="329415A0">
            <wp:extent cx="5659694" cy="277500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8548" cy="2803863"/>
                    </a:xfrm>
                    <a:prstGeom prst="rect">
                      <a:avLst/>
                    </a:prstGeom>
                    <a:noFill/>
                  </pic:spPr>
                </pic:pic>
              </a:graphicData>
            </a:graphic>
          </wp:inline>
        </w:drawing>
      </w:r>
    </w:p>
    <w:p w:rsidR="005065F0" w:rsidRDefault="00A53099" w:rsidP="00147FCD">
      <w:pPr>
        <w:spacing w:line="240" w:lineRule="auto"/>
        <w:jc w:val="both"/>
        <w:rPr>
          <w:noProof/>
          <w:lang w:eastAsia="en-GB"/>
        </w:rPr>
      </w:pPr>
      <w:r>
        <w:rPr>
          <w:noProof/>
          <w:lang w:eastAsia="en-GB"/>
        </w:rPr>
        <w:drawing>
          <wp:inline distT="0" distB="0" distL="0" distR="0" wp14:anchorId="797B969B">
            <wp:extent cx="5682795" cy="26318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184" cy="2646883"/>
                    </a:xfrm>
                    <a:prstGeom prst="rect">
                      <a:avLst/>
                    </a:prstGeom>
                    <a:noFill/>
                  </pic:spPr>
                </pic:pic>
              </a:graphicData>
            </a:graphic>
          </wp:inline>
        </w:drawing>
      </w:r>
    </w:p>
    <w:p w:rsidR="00724E99" w:rsidRDefault="007578F5" w:rsidP="00147FCD">
      <w:pPr>
        <w:spacing w:line="240" w:lineRule="auto"/>
        <w:jc w:val="both"/>
        <w:rPr>
          <w:noProof/>
          <w:lang w:eastAsia="en-GB"/>
        </w:rPr>
      </w:pPr>
      <w:r>
        <w:rPr>
          <w:noProof/>
          <w:lang w:eastAsia="en-GB"/>
        </w:rPr>
        <w:drawing>
          <wp:inline distT="0" distB="0" distL="0" distR="0" wp14:anchorId="141CE128">
            <wp:extent cx="5683063" cy="260007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4848" cy="2614619"/>
                    </a:xfrm>
                    <a:prstGeom prst="rect">
                      <a:avLst/>
                    </a:prstGeom>
                    <a:noFill/>
                  </pic:spPr>
                </pic:pic>
              </a:graphicData>
            </a:graphic>
          </wp:inline>
        </w:drawing>
      </w:r>
    </w:p>
    <w:p w:rsidR="00A161AC" w:rsidRPr="009B3747" w:rsidRDefault="00A161AC" w:rsidP="00111565">
      <w:pPr>
        <w:spacing w:after="0" w:line="240" w:lineRule="auto"/>
        <w:rPr>
          <w:b/>
        </w:rPr>
      </w:pPr>
      <w:r w:rsidRPr="00FB3AA7">
        <w:rPr>
          <w:b/>
        </w:rPr>
        <w:lastRenderedPageBreak/>
        <w:t>Condition Specific</w:t>
      </w:r>
    </w:p>
    <w:p w:rsidR="00724E99" w:rsidRPr="00147FCD" w:rsidRDefault="00A161AC" w:rsidP="00111565">
      <w:pPr>
        <w:pStyle w:val="ListParagraph"/>
        <w:spacing w:before="240" w:line="240" w:lineRule="auto"/>
        <w:ind w:left="0"/>
        <w:contextualSpacing w:val="0"/>
        <w:jc w:val="both"/>
      </w:pPr>
      <w:r w:rsidRPr="009B3747">
        <w:t xml:space="preserve">These measures focus on the deaths within 30 days of admission for 3 specific conditions with </w:t>
      </w:r>
      <w:r w:rsidR="002E1DF6" w:rsidRPr="009B3747">
        <w:t>well-defined</w:t>
      </w:r>
      <w:r w:rsidR="00147FCD">
        <w:t xml:space="preserve"> clinical pathways.</w:t>
      </w:r>
    </w:p>
    <w:p w:rsidR="00724E99" w:rsidRDefault="00AB4E28" w:rsidP="00147FCD">
      <w:pPr>
        <w:pStyle w:val="ListParagraph"/>
        <w:spacing w:line="240" w:lineRule="auto"/>
        <w:ind w:left="0" w:firstLine="720"/>
        <w:contextualSpacing w:val="0"/>
        <w:jc w:val="both"/>
        <w:rPr>
          <w:b/>
        </w:rPr>
      </w:pPr>
      <w:r w:rsidRPr="00776986">
        <w:rPr>
          <w:b/>
        </w:rPr>
        <w:t xml:space="preserve">Hip </w:t>
      </w:r>
      <w:r w:rsidR="00A829A2">
        <w:rPr>
          <w:b/>
        </w:rPr>
        <w:t>F</w:t>
      </w:r>
      <w:r w:rsidRPr="00776986">
        <w:rPr>
          <w:b/>
        </w:rPr>
        <w:t>racture</w:t>
      </w:r>
    </w:p>
    <w:p w:rsidR="00FE1DD3" w:rsidRPr="00FE1DD3" w:rsidRDefault="007D6783" w:rsidP="00FE1DD3">
      <w:pPr>
        <w:spacing w:line="240" w:lineRule="auto"/>
        <w:jc w:val="both"/>
        <w:rPr>
          <w:b/>
        </w:rPr>
      </w:pPr>
      <w:r>
        <w:rPr>
          <w:b/>
          <w:noProof/>
          <w:lang w:eastAsia="en-GB"/>
        </w:rPr>
        <w:drawing>
          <wp:inline distT="0" distB="0" distL="0" distR="0" wp14:anchorId="7A5F6A9B">
            <wp:extent cx="5819150" cy="21229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9745" cy="2145105"/>
                    </a:xfrm>
                    <a:prstGeom prst="rect">
                      <a:avLst/>
                    </a:prstGeom>
                    <a:noFill/>
                  </pic:spPr>
                </pic:pic>
              </a:graphicData>
            </a:graphic>
          </wp:inline>
        </w:drawing>
      </w:r>
    </w:p>
    <w:p w:rsidR="007D6783" w:rsidRDefault="00A161AC" w:rsidP="007C0EE5">
      <w:pPr>
        <w:pStyle w:val="ListParagraph"/>
        <w:spacing w:line="240" w:lineRule="auto"/>
        <w:ind w:left="0"/>
        <w:contextualSpacing w:val="0"/>
        <w:jc w:val="both"/>
      </w:pPr>
      <w:r w:rsidRPr="00BB5E2F">
        <w:t xml:space="preserve">The Health Board </w:t>
      </w:r>
      <w:r w:rsidR="00353C91" w:rsidRPr="00BB5E2F">
        <w:t>rate of</w:t>
      </w:r>
      <w:r w:rsidR="00353C91" w:rsidRPr="00D21B5A">
        <w:t xml:space="preserve"> </w:t>
      </w:r>
      <w:r w:rsidR="00353C91" w:rsidRPr="00D21B5A">
        <w:rPr>
          <w:lang w:val="en-US"/>
        </w:rPr>
        <w:t xml:space="preserve">death in hospital within 30 days of </w:t>
      </w:r>
      <w:r w:rsidR="00353C91" w:rsidRPr="007D37B1">
        <w:rPr>
          <w:lang w:val="en-US"/>
        </w:rPr>
        <w:t xml:space="preserve">emergency admission with a hip fracture </w:t>
      </w:r>
      <w:r w:rsidR="00C87BF3" w:rsidRPr="00664D76">
        <w:rPr>
          <w:lang w:val="en-US"/>
        </w:rPr>
        <w:t xml:space="preserve">for patients over the age of </w:t>
      </w:r>
      <w:r w:rsidR="00353C91" w:rsidRPr="00664D76">
        <w:rPr>
          <w:lang w:val="en-US"/>
        </w:rPr>
        <w:t>64</w:t>
      </w:r>
      <w:r w:rsidR="00353C91" w:rsidRPr="00664D76">
        <w:t xml:space="preserve"> is </w:t>
      </w:r>
      <w:r w:rsidR="007D6783" w:rsidRPr="00664D76">
        <w:t>6.4</w:t>
      </w:r>
      <w:r w:rsidR="00353C91" w:rsidRPr="00664D76">
        <w:rPr>
          <w:b/>
        </w:rPr>
        <w:t>%</w:t>
      </w:r>
      <w:r w:rsidR="00C16A18" w:rsidRPr="00664D76">
        <w:t xml:space="preserve"> for the rolling 12 months to </w:t>
      </w:r>
      <w:r w:rsidR="007D6783" w:rsidRPr="00664D76">
        <w:t>September</w:t>
      </w:r>
      <w:r w:rsidR="00A33CB8" w:rsidRPr="00664D76">
        <w:t xml:space="preserve"> </w:t>
      </w:r>
      <w:r w:rsidR="00B77042" w:rsidRPr="00664D76">
        <w:t>20</w:t>
      </w:r>
      <w:r w:rsidR="00CB06ED" w:rsidRPr="00664D76">
        <w:t>20</w:t>
      </w:r>
      <w:r w:rsidR="003A4F1F" w:rsidRPr="00664D76">
        <w:t>,</w:t>
      </w:r>
      <w:r w:rsidR="0049158F" w:rsidRPr="00664D76">
        <w:t xml:space="preserve"> </w:t>
      </w:r>
      <w:r w:rsidR="00353C91" w:rsidRPr="00664D76">
        <w:t xml:space="preserve">which is </w:t>
      </w:r>
      <w:r w:rsidR="00AD5ADC" w:rsidRPr="00664D76">
        <w:t>higher than the</w:t>
      </w:r>
      <w:r w:rsidR="00A534F1" w:rsidRPr="00664D76">
        <w:t xml:space="preserve"> </w:t>
      </w:r>
      <w:r w:rsidR="00353C91" w:rsidRPr="00664D76">
        <w:t>Welsh average</w:t>
      </w:r>
      <w:r w:rsidR="00AD5ADC" w:rsidRPr="00664D76">
        <w:t xml:space="preserve"> (</w:t>
      </w:r>
      <w:r w:rsidR="00CA331D" w:rsidRPr="00664D76">
        <w:t>5</w:t>
      </w:r>
      <w:r w:rsidR="00AD5ADC" w:rsidRPr="00664D76">
        <w:t>.</w:t>
      </w:r>
      <w:r w:rsidR="00CB06ED" w:rsidRPr="00664D76">
        <w:t>0</w:t>
      </w:r>
      <w:r w:rsidR="00AD5ADC" w:rsidRPr="00664D76">
        <w:t>%)</w:t>
      </w:r>
      <w:r w:rsidR="00A534F1" w:rsidRPr="00664D76">
        <w:t>.</w:t>
      </w:r>
      <w:r w:rsidR="00AB7750" w:rsidRPr="00D21B5A">
        <w:t xml:space="preserve">  The Health Board are</w:t>
      </w:r>
      <w:r w:rsidR="0052548A" w:rsidRPr="00D21B5A">
        <w:t xml:space="preserve"> exploring options</w:t>
      </w:r>
      <w:r w:rsidR="00AB7750" w:rsidRPr="00D21B5A">
        <w:t xml:space="preserve"> to continue to make improvements to the</w:t>
      </w:r>
      <w:r w:rsidR="004971AC" w:rsidRPr="00D21B5A">
        <w:t xml:space="preserve"> broken hip (“</w:t>
      </w:r>
      <w:r w:rsidR="00AB7750" w:rsidRPr="00D21B5A">
        <w:t>Fracture Neck of Femur</w:t>
      </w:r>
      <w:r w:rsidR="004971AC" w:rsidRPr="00D21B5A">
        <w:t>”)</w:t>
      </w:r>
      <w:r w:rsidR="00AB7750" w:rsidRPr="00D21B5A">
        <w:t xml:space="preserve"> pathway and further reduce mortality figures by ensuring there is comprehensive geriatric cover for this elderly and frail patient population. We continue to improve the "falls" pathway.</w:t>
      </w:r>
    </w:p>
    <w:p w:rsidR="00664D76" w:rsidRDefault="00664D76" w:rsidP="007C0EE5">
      <w:pPr>
        <w:pStyle w:val="ListParagraph"/>
        <w:spacing w:line="240" w:lineRule="auto"/>
        <w:ind w:left="0"/>
        <w:contextualSpacing w:val="0"/>
        <w:jc w:val="both"/>
      </w:pPr>
    </w:p>
    <w:p w:rsidR="00CE7B47" w:rsidRDefault="00CE7B47" w:rsidP="000519BD">
      <w:pPr>
        <w:spacing w:line="240" w:lineRule="auto"/>
        <w:ind w:left="720"/>
        <w:jc w:val="both"/>
        <w:rPr>
          <w:b/>
        </w:rPr>
      </w:pPr>
      <w:r w:rsidRPr="00BA076D">
        <w:rPr>
          <w:b/>
        </w:rPr>
        <w:t>Stroke</w:t>
      </w:r>
    </w:p>
    <w:p w:rsidR="00CE7B47" w:rsidRDefault="00664D76" w:rsidP="00CE7B47">
      <w:pPr>
        <w:spacing w:line="240" w:lineRule="auto"/>
        <w:jc w:val="both"/>
      </w:pPr>
      <w:r>
        <w:rPr>
          <w:noProof/>
          <w:lang w:eastAsia="en-GB"/>
        </w:rPr>
        <w:drawing>
          <wp:inline distT="0" distB="0" distL="0" distR="0" wp14:anchorId="632A418F">
            <wp:extent cx="5875655" cy="22343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6936" cy="2261422"/>
                    </a:xfrm>
                    <a:prstGeom prst="rect">
                      <a:avLst/>
                    </a:prstGeom>
                    <a:noFill/>
                  </pic:spPr>
                </pic:pic>
              </a:graphicData>
            </a:graphic>
          </wp:inline>
        </w:drawing>
      </w:r>
    </w:p>
    <w:p w:rsidR="00CE7B47" w:rsidRPr="00D21B5A" w:rsidRDefault="00CE7B47" w:rsidP="00CE7B47">
      <w:pPr>
        <w:pStyle w:val="ListParagraph"/>
        <w:spacing w:line="240" w:lineRule="auto"/>
        <w:ind w:left="0"/>
        <w:contextualSpacing w:val="0"/>
        <w:jc w:val="both"/>
        <w:rPr>
          <w:b/>
        </w:rPr>
      </w:pPr>
      <w:r w:rsidRPr="00BB5E2F">
        <w:t>The Health Board</w:t>
      </w:r>
      <w:r w:rsidRPr="00D21B5A">
        <w:t xml:space="preserve"> rate </w:t>
      </w:r>
      <w:r w:rsidRPr="00D21B5A">
        <w:rPr>
          <w:lang w:val="en-US"/>
        </w:rPr>
        <w:t xml:space="preserve">of deaths in </w:t>
      </w:r>
      <w:r w:rsidRPr="004A2224">
        <w:rPr>
          <w:lang w:val="en-US"/>
        </w:rPr>
        <w:t xml:space="preserve">hospital </w:t>
      </w:r>
      <w:r w:rsidRPr="00664D76">
        <w:rPr>
          <w:lang w:val="en-US"/>
        </w:rPr>
        <w:t xml:space="preserve">within 30 days of emergency admission with a stroke </w:t>
      </w:r>
      <w:r w:rsidR="00664D76" w:rsidRPr="00664D76">
        <w:rPr>
          <w:lang w:val="en-US"/>
        </w:rPr>
        <w:t>11.8</w:t>
      </w:r>
      <w:r w:rsidRPr="00664D76">
        <w:t xml:space="preserve">% for the rolling 12 months to </w:t>
      </w:r>
      <w:r w:rsidR="00664D76" w:rsidRPr="00664D76">
        <w:t>September</w:t>
      </w:r>
      <w:r w:rsidR="00CB06ED" w:rsidRPr="00664D76">
        <w:t xml:space="preserve"> 2020</w:t>
      </w:r>
      <w:r w:rsidRPr="00664D76">
        <w:t xml:space="preserve">, the Welsh average is </w:t>
      </w:r>
      <w:r w:rsidR="00664D76" w:rsidRPr="00664D76">
        <w:t>12.1</w:t>
      </w:r>
      <w:r w:rsidRPr="00664D76">
        <w:t>%.</w:t>
      </w:r>
      <w:r w:rsidRPr="00D21B5A">
        <w:t xml:space="preserve"> </w:t>
      </w:r>
    </w:p>
    <w:p w:rsidR="00634E66" w:rsidRDefault="00CE7B47" w:rsidP="00634E66">
      <w:pPr>
        <w:jc w:val="both"/>
      </w:pPr>
      <w:r w:rsidRPr="00D21B5A">
        <w:t>A multi-disciplinary group of specialist stroke doctors, clinical nurse sp</w:t>
      </w:r>
      <w:r w:rsidR="00EF0D88">
        <w:t xml:space="preserve">ecialists, therapists </w:t>
      </w:r>
      <w:r w:rsidRPr="009B3747">
        <w:t>and managers within the Health Board meets regularly with the aim of continually improving</w:t>
      </w:r>
      <w:r w:rsidRPr="00D21B5A">
        <w:t xml:space="preserve"> the delivery of stroke </w:t>
      </w:r>
      <w:proofErr w:type="gramStart"/>
      <w:r w:rsidRPr="00D21B5A">
        <w:t xml:space="preserve">services </w:t>
      </w:r>
      <w:r w:rsidR="009F1793">
        <w:t xml:space="preserve"> so</w:t>
      </w:r>
      <w:proofErr w:type="gramEnd"/>
      <w:r w:rsidR="009F1793">
        <w:t xml:space="preserve"> </w:t>
      </w:r>
      <w:r w:rsidRPr="00D21B5A">
        <w:t>m</w:t>
      </w:r>
      <w:r w:rsidR="009F1793">
        <w:t>ore patients regain</w:t>
      </w:r>
      <w:r w:rsidR="00634E66">
        <w:t xml:space="preserve"> good</w:t>
      </w:r>
      <w:r w:rsidR="009F1793">
        <w:t xml:space="preserve"> </w:t>
      </w:r>
      <w:r w:rsidRPr="00D21B5A">
        <w:t>quality, independent lives following a stroke.</w:t>
      </w:r>
      <w:r>
        <w:t> </w:t>
      </w:r>
    </w:p>
    <w:p w:rsidR="009F1793" w:rsidRPr="007D6783" w:rsidRDefault="009F1793" w:rsidP="007D6783">
      <w:pPr>
        <w:spacing w:after="0" w:line="240" w:lineRule="auto"/>
      </w:pPr>
    </w:p>
    <w:p w:rsidR="00BA076D" w:rsidRPr="00634E66" w:rsidRDefault="00353C91" w:rsidP="00634E66">
      <w:pPr>
        <w:ind w:firstLine="720"/>
        <w:jc w:val="both"/>
        <w:rPr>
          <w:b/>
        </w:rPr>
      </w:pPr>
      <w:r w:rsidRPr="00634E66">
        <w:rPr>
          <w:b/>
        </w:rPr>
        <w:t>Heart Attack</w:t>
      </w:r>
    </w:p>
    <w:p w:rsidR="00A77247" w:rsidRDefault="00664D76" w:rsidP="00A77247">
      <w:pPr>
        <w:spacing w:line="240" w:lineRule="auto"/>
        <w:jc w:val="both"/>
        <w:rPr>
          <w:b/>
        </w:rPr>
      </w:pPr>
      <w:r>
        <w:rPr>
          <w:b/>
          <w:noProof/>
          <w:lang w:eastAsia="en-GB"/>
        </w:rPr>
        <w:drawing>
          <wp:inline distT="0" distB="0" distL="0" distR="0" wp14:anchorId="507703D4">
            <wp:extent cx="5851736" cy="2417196"/>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6389" cy="2435641"/>
                    </a:xfrm>
                    <a:prstGeom prst="rect">
                      <a:avLst/>
                    </a:prstGeom>
                    <a:noFill/>
                  </pic:spPr>
                </pic:pic>
              </a:graphicData>
            </a:graphic>
          </wp:inline>
        </w:drawing>
      </w:r>
    </w:p>
    <w:p w:rsidR="00664D76" w:rsidRPr="00A77247" w:rsidRDefault="00664D76" w:rsidP="00A77247">
      <w:pPr>
        <w:spacing w:line="240" w:lineRule="auto"/>
        <w:jc w:val="both"/>
        <w:rPr>
          <w:b/>
        </w:rPr>
      </w:pPr>
    </w:p>
    <w:p w:rsidR="005867D8" w:rsidRPr="005867D8" w:rsidRDefault="00353C91" w:rsidP="00111565">
      <w:pPr>
        <w:pStyle w:val="ListParagraph"/>
        <w:spacing w:line="240" w:lineRule="auto"/>
        <w:ind w:left="0"/>
        <w:contextualSpacing w:val="0"/>
        <w:jc w:val="both"/>
        <w:rPr>
          <w:sz w:val="10"/>
          <w:szCs w:val="10"/>
        </w:rPr>
      </w:pPr>
      <w:r w:rsidRPr="00BB5E2F">
        <w:t xml:space="preserve">The Health Board rate </w:t>
      </w:r>
      <w:r w:rsidRPr="00BB5E2F">
        <w:rPr>
          <w:lang w:val="en-US"/>
        </w:rPr>
        <w:t>of</w:t>
      </w:r>
      <w:r>
        <w:rPr>
          <w:lang w:val="en-US"/>
        </w:rPr>
        <w:t xml:space="preserve"> death in hospital within 30 d</w:t>
      </w:r>
      <w:r w:rsidRPr="00353C91">
        <w:rPr>
          <w:lang w:val="en-US"/>
        </w:rPr>
        <w:t xml:space="preserve">ays of emergency admission with a heart </w:t>
      </w:r>
      <w:r w:rsidRPr="00816B48">
        <w:rPr>
          <w:lang w:val="en-US"/>
        </w:rPr>
        <w:t>attack (</w:t>
      </w:r>
      <w:r w:rsidRPr="00664D76">
        <w:rPr>
          <w:lang w:val="en-US"/>
        </w:rPr>
        <w:t xml:space="preserve">MI) aged 35 to 74 </w:t>
      </w:r>
      <w:r w:rsidRPr="00664D76">
        <w:t xml:space="preserve">is </w:t>
      </w:r>
      <w:r w:rsidR="00664D76" w:rsidRPr="00664D76">
        <w:t>4.8</w:t>
      </w:r>
      <w:r w:rsidRPr="00664D76">
        <w:t>% for the rolling 12 months to</w:t>
      </w:r>
      <w:r w:rsidR="00C16A18" w:rsidRPr="00664D76">
        <w:t xml:space="preserve"> </w:t>
      </w:r>
      <w:r w:rsidR="00664D76" w:rsidRPr="00664D76">
        <w:t xml:space="preserve">September </w:t>
      </w:r>
      <w:r w:rsidR="00CA4855" w:rsidRPr="00664D76">
        <w:t>2020</w:t>
      </w:r>
      <w:r w:rsidRPr="00664D76">
        <w:t xml:space="preserve">, which is </w:t>
      </w:r>
      <w:r w:rsidR="00B4248C" w:rsidRPr="00664D76">
        <w:t xml:space="preserve">higher than </w:t>
      </w:r>
      <w:r w:rsidRPr="00664D76">
        <w:t>the Welsh average</w:t>
      </w:r>
      <w:r w:rsidR="00B4248C" w:rsidRPr="00664D76">
        <w:t xml:space="preserve"> of </w:t>
      </w:r>
      <w:r w:rsidR="00664D76" w:rsidRPr="00664D76">
        <w:t>4.4</w:t>
      </w:r>
      <w:r w:rsidR="00B4248C" w:rsidRPr="00664D76">
        <w:t>%</w:t>
      </w:r>
      <w:r w:rsidR="00F262EF" w:rsidRPr="00664D76">
        <w:t>.</w:t>
      </w:r>
      <w:r>
        <w:t xml:space="preserve"> </w:t>
      </w:r>
    </w:p>
    <w:p w:rsidR="001C7752" w:rsidRDefault="001C7752" w:rsidP="00111565">
      <w:pPr>
        <w:spacing w:line="240" w:lineRule="auto"/>
        <w:jc w:val="both"/>
      </w:pPr>
      <w:r w:rsidRPr="001C7752">
        <w:t>In Wales, patients who are having heart attacks are transferred directly</w:t>
      </w:r>
      <w:r w:rsidR="00B57985">
        <w:t xml:space="preserve"> from the community</w:t>
      </w:r>
      <w:r w:rsidRPr="001C7752">
        <w:t xml:space="preserve"> to a ‘heart attack centre’ so that they can receive emergency treatment </w:t>
      </w:r>
      <w:r w:rsidR="00B57985">
        <w:t xml:space="preserve">(called primary angioplasty) </w:t>
      </w:r>
      <w:r w:rsidRPr="001C7752">
        <w:t>for a life-threatening condition.  Multiple studies conducted in many countries have indicated that this results in the best overall outcome for patients.</w:t>
      </w:r>
    </w:p>
    <w:p w:rsidR="005867D8" w:rsidRDefault="004971AC" w:rsidP="00111565">
      <w:pPr>
        <w:spacing w:line="240" w:lineRule="auto"/>
        <w:jc w:val="both"/>
      </w:pPr>
      <w:r>
        <w:t>P</w:t>
      </w:r>
      <w:r w:rsidR="001C7752" w:rsidRPr="001C7752">
        <w:t xml:space="preserve">atients admitted to the University Hospital of Wales and to Morriston Hospital have the higher mortality rates overall </w:t>
      </w:r>
      <w:r>
        <w:t>because</w:t>
      </w:r>
      <w:r w:rsidRPr="001C7752">
        <w:t xml:space="preserve"> </w:t>
      </w:r>
      <w:r w:rsidR="001C7752" w:rsidRPr="001C7752">
        <w:t xml:space="preserve">these two hospitals </w:t>
      </w:r>
      <w:r>
        <w:t xml:space="preserve">have the “heart attack centres” and </w:t>
      </w:r>
      <w:r w:rsidR="00B57985">
        <w:t xml:space="preserve">receive and </w:t>
      </w:r>
      <w:r w:rsidR="001C7752" w:rsidRPr="001C7752">
        <w:t>manage the sickest of these patients</w:t>
      </w:r>
      <w:r w:rsidR="00B57985">
        <w:t xml:space="preserve"> from the whole of South Wales.  </w:t>
      </w:r>
      <w:r w:rsidR="001C7752" w:rsidRPr="001C7752">
        <w:t>Several of the patients who</w:t>
      </w:r>
      <w:r w:rsidR="00B51C85">
        <w:t xml:space="preserve"> </w:t>
      </w:r>
      <w:r w:rsidR="001C7752" w:rsidRPr="001C7752">
        <w:t xml:space="preserve">arrived at Morriston Hospital were in severe </w:t>
      </w:r>
      <w:r w:rsidR="00B57985">
        <w:t xml:space="preserve">cardiogenic </w:t>
      </w:r>
      <w:r w:rsidR="001C7752" w:rsidRPr="001C7752">
        <w:t>shock</w:t>
      </w:r>
      <w:r w:rsidR="00B57985">
        <w:t xml:space="preserve"> (failure of the pumping </w:t>
      </w:r>
      <w:r w:rsidR="00EC505C">
        <w:t xml:space="preserve">action </w:t>
      </w:r>
      <w:r w:rsidR="00B57985">
        <w:t>of the heart)</w:t>
      </w:r>
      <w:r w:rsidR="001C7752" w:rsidRPr="001C7752">
        <w:t xml:space="preserve"> on arrival at hospital.  Such patients have an expected survival of less than 50% unless specialist treatment is provided.  Those hospitals that no longer provide emergency treatment </w:t>
      </w:r>
      <w:r w:rsidR="00EC505C">
        <w:t xml:space="preserve">for </w:t>
      </w:r>
      <w:r w:rsidR="001C7752" w:rsidRPr="001C7752">
        <w:t xml:space="preserve">heart attacks will be expected to have lower mortality rates since the remaining population will be </w:t>
      </w:r>
      <w:r w:rsidR="00B57985">
        <w:t xml:space="preserve">less sick and therefore </w:t>
      </w:r>
      <w:r w:rsidR="001C7752" w:rsidRPr="001C7752">
        <w:t>at much lower risk of dying.</w:t>
      </w:r>
      <w:r w:rsidR="005D399B">
        <w:t xml:space="preserve"> </w:t>
      </w:r>
    </w:p>
    <w:p w:rsidR="008F51EA" w:rsidRDefault="00D94914" w:rsidP="00111565">
      <w:pPr>
        <w:spacing w:line="240" w:lineRule="auto"/>
        <w:jc w:val="both"/>
        <w:rPr>
          <w:b/>
        </w:rPr>
      </w:pPr>
      <w:r>
        <w:t>T</w:t>
      </w:r>
      <w:r w:rsidR="001C7752" w:rsidRPr="001C7752">
        <w:t>h</w:t>
      </w:r>
      <w:r>
        <w:t>ose</w:t>
      </w:r>
      <w:r w:rsidR="001C7752" w:rsidRPr="001C7752">
        <w:t xml:space="preserve"> highest risk patients (with cardiogenic shock) have been included in the overall figures presented</w:t>
      </w:r>
      <w:r w:rsidR="00BB1B3A">
        <w:t>,</w:t>
      </w:r>
      <w:r w:rsidR="001C7752" w:rsidRPr="001C7752">
        <w:t xml:space="preserve"> so these figures need </w:t>
      </w:r>
      <w:r w:rsidR="001C7752">
        <w:t>to be interpreted with caution.</w:t>
      </w:r>
      <w:r w:rsidR="008F51EA">
        <w:rPr>
          <w:b/>
        </w:rPr>
        <w:br w:type="page"/>
      </w:r>
    </w:p>
    <w:p w:rsidR="00F664DB" w:rsidRPr="00F664DB" w:rsidRDefault="0086759E" w:rsidP="00111565">
      <w:pPr>
        <w:spacing w:line="240" w:lineRule="auto"/>
        <w:jc w:val="both"/>
      </w:pPr>
      <w:r w:rsidRPr="00FB3AA7">
        <w:rPr>
          <w:b/>
        </w:rPr>
        <w:lastRenderedPageBreak/>
        <w:t>Rates of deaths within 30 days of surgery</w:t>
      </w:r>
    </w:p>
    <w:p w:rsidR="00F664DB" w:rsidRDefault="00F664DB" w:rsidP="00111565">
      <w:pPr>
        <w:spacing w:line="240" w:lineRule="auto"/>
        <w:jc w:val="both"/>
      </w:pPr>
      <w:r w:rsidRPr="00F664DB">
        <w:t>These measures focus on the patients who died in hospital within 30 days of a surgical procedure.</w:t>
      </w:r>
    </w:p>
    <w:p w:rsidR="00DB0466" w:rsidRDefault="0086759E" w:rsidP="00147FCD">
      <w:pPr>
        <w:ind w:left="568"/>
        <w:jc w:val="both"/>
        <w:rPr>
          <w:b/>
        </w:rPr>
      </w:pPr>
      <w:r w:rsidRPr="0086759E">
        <w:rPr>
          <w:b/>
        </w:rPr>
        <w:t xml:space="preserve"> </w:t>
      </w:r>
      <w:r w:rsidRPr="00F262EF">
        <w:rPr>
          <w:b/>
        </w:rPr>
        <w:t>Elective</w:t>
      </w:r>
      <w:r w:rsidR="00F664DB" w:rsidRPr="00F262EF">
        <w:rPr>
          <w:b/>
        </w:rPr>
        <w:t xml:space="preserve"> Surgery</w:t>
      </w:r>
    </w:p>
    <w:p w:rsidR="005E1F6D" w:rsidRDefault="00407B18" w:rsidP="005E1F6D">
      <w:pPr>
        <w:jc w:val="both"/>
        <w:rPr>
          <w:b/>
        </w:rPr>
      </w:pPr>
      <w:r>
        <w:rPr>
          <w:b/>
          <w:noProof/>
          <w:lang w:eastAsia="en-GB"/>
        </w:rPr>
        <w:drawing>
          <wp:inline distT="0" distB="0" distL="0" distR="0" wp14:anchorId="58F01862">
            <wp:extent cx="5710052" cy="238539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891" cy="2391590"/>
                    </a:xfrm>
                    <a:prstGeom prst="rect">
                      <a:avLst/>
                    </a:prstGeom>
                    <a:noFill/>
                  </pic:spPr>
                </pic:pic>
              </a:graphicData>
            </a:graphic>
          </wp:inline>
        </w:drawing>
      </w:r>
    </w:p>
    <w:p w:rsidR="00F664DB" w:rsidRDefault="00EE6B6B" w:rsidP="00111565">
      <w:pPr>
        <w:spacing w:line="240" w:lineRule="auto"/>
        <w:jc w:val="both"/>
      </w:pPr>
      <w:r w:rsidRPr="00BB5E2F">
        <w:t>T</w:t>
      </w:r>
      <w:r w:rsidR="00F664DB" w:rsidRPr="00BB5E2F">
        <w:t>he</w:t>
      </w:r>
      <w:r w:rsidR="008C1294" w:rsidRPr="00BB5E2F">
        <w:t xml:space="preserve"> rate of deaths within 30 days for </w:t>
      </w:r>
      <w:r w:rsidR="00F664DB" w:rsidRPr="00BB5E2F">
        <w:t>elective surgery</w:t>
      </w:r>
      <w:r w:rsidR="008C1294" w:rsidRPr="00BB5E2F">
        <w:t xml:space="preserve"> cases for</w:t>
      </w:r>
      <w:r w:rsidR="00F664DB" w:rsidRPr="00BB5E2F">
        <w:t xml:space="preserve"> </w:t>
      </w:r>
      <w:r w:rsidR="00D831F8" w:rsidRPr="00BB5E2F">
        <w:t>SB</w:t>
      </w:r>
      <w:r w:rsidR="00F664DB" w:rsidRPr="00BB5E2F">
        <w:t>U</w:t>
      </w:r>
      <w:r w:rsidR="008C1294" w:rsidRPr="00BB5E2F">
        <w:t xml:space="preserve"> HB </w:t>
      </w:r>
      <w:r w:rsidR="00F664DB" w:rsidRPr="00BB5E2F">
        <w:t xml:space="preserve">is </w:t>
      </w:r>
      <w:r w:rsidR="00DB0466" w:rsidRPr="00BB5E2F">
        <w:t>0.</w:t>
      </w:r>
      <w:r w:rsidR="00407B18">
        <w:t>37</w:t>
      </w:r>
      <w:r w:rsidR="00F664DB" w:rsidRPr="00BB5E2F">
        <w:t>%</w:t>
      </w:r>
      <w:r w:rsidR="00056822" w:rsidRPr="00BB5E2F">
        <w:t>,</w:t>
      </w:r>
      <w:r w:rsidR="005F2FAC" w:rsidRPr="00BB5E2F">
        <w:t xml:space="preserve"> the A</w:t>
      </w:r>
      <w:r w:rsidR="00F664DB" w:rsidRPr="00BB5E2F">
        <w:t>ll Wales average</w:t>
      </w:r>
      <w:r w:rsidR="00375CF7" w:rsidRPr="00BB5E2F">
        <w:t xml:space="preserve"> </w:t>
      </w:r>
      <w:r w:rsidR="005F2FAC" w:rsidRPr="00BB5E2F">
        <w:t xml:space="preserve">is </w:t>
      </w:r>
      <w:r w:rsidR="001B515A" w:rsidRPr="00BB5E2F">
        <w:t>0.</w:t>
      </w:r>
      <w:r w:rsidR="00100607" w:rsidRPr="00BB5E2F">
        <w:t>1</w:t>
      </w:r>
      <w:r w:rsidR="006452C7">
        <w:t>5</w:t>
      </w:r>
      <w:r w:rsidR="00375CF7" w:rsidRPr="00BB5E2F">
        <w:t>%</w:t>
      </w:r>
      <w:r w:rsidR="00056822" w:rsidRPr="00BB5E2F">
        <w:t>.</w:t>
      </w:r>
      <w:r w:rsidR="00126ADC" w:rsidRPr="00BB5E2F">
        <w:t xml:space="preserve"> Whilst the number of elective surgery deaths is very low the higher rate at </w:t>
      </w:r>
      <w:r w:rsidR="00100607" w:rsidRPr="00BB5E2F">
        <w:t>SB</w:t>
      </w:r>
      <w:r w:rsidR="00126ADC" w:rsidRPr="00BB5E2F">
        <w:t>U will r</w:t>
      </w:r>
      <w:r w:rsidR="006B2EE7" w:rsidRPr="00BB5E2F">
        <w:t>eflect the fact that Morriston h</w:t>
      </w:r>
      <w:r w:rsidR="00126ADC" w:rsidRPr="00BB5E2F">
        <w:t xml:space="preserve">ospital is </w:t>
      </w:r>
      <w:r w:rsidR="00E307E0" w:rsidRPr="00BB5E2F">
        <w:t>a</w:t>
      </w:r>
      <w:r w:rsidR="00126ADC" w:rsidRPr="00BB5E2F">
        <w:t xml:space="preserve"> centre for many high risk</w:t>
      </w:r>
      <w:r w:rsidR="002135BC" w:rsidRPr="00BB5E2F">
        <w:t>,</w:t>
      </w:r>
      <w:r w:rsidR="00126ADC" w:rsidRPr="00BB5E2F">
        <w:t xml:space="preserve"> complex </w:t>
      </w:r>
      <w:r w:rsidR="0035242E" w:rsidRPr="00BB5E2F">
        <w:t xml:space="preserve">surgical </w:t>
      </w:r>
      <w:r w:rsidR="00126ADC" w:rsidRPr="00BB5E2F">
        <w:t>cases.</w:t>
      </w:r>
      <w:r w:rsidR="00F262EF" w:rsidRPr="00BB5E2F">
        <w:t xml:space="preserve"> </w:t>
      </w:r>
      <w:r w:rsidR="002A6902" w:rsidRPr="00BB5E2F">
        <w:t xml:space="preserve">In the time </w:t>
      </w:r>
      <w:r w:rsidR="002A6902" w:rsidRPr="002935D5">
        <w:t xml:space="preserve">period </w:t>
      </w:r>
      <w:r w:rsidR="002935D5" w:rsidRPr="00407B18">
        <w:t>July</w:t>
      </w:r>
      <w:r w:rsidR="00A667E0" w:rsidRPr="00407B18">
        <w:t xml:space="preserve"> 2019</w:t>
      </w:r>
      <w:r w:rsidR="008E68C9" w:rsidRPr="00407B18">
        <w:t xml:space="preserve"> </w:t>
      </w:r>
      <w:r w:rsidR="00651BFF" w:rsidRPr="00407B18">
        <w:t xml:space="preserve">to </w:t>
      </w:r>
      <w:r w:rsidR="002935D5" w:rsidRPr="00407B18">
        <w:t>June</w:t>
      </w:r>
      <w:r w:rsidR="00CA4855" w:rsidRPr="00407B18">
        <w:t xml:space="preserve"> 2020</w:t>
      </w:r>
      <w:r w:rsidR="00AC4D6F" w:rsidRPr="00407B18">
        <w:t xml:space="preserve"> there were </w:t>
      </w:r>
      <w:r w:rsidR="002935D5" w:rsidRPr="00407B18">
        <w:t>9</w:t>
      </w:r>
      <w:r w:rsidR="0026600A" w:rsidRPr="00407B18">
        <w:t xml:space="preserve"> </w:t>
      </w:r>
      <w:r w:rsidR="00AC4D6F" w:rsidRPr="00407B18">
        <w:t xml:space="preserve">elective surgical deaths within 30 days of surgery </w:t>
      </w:r>
      <w:r w:rsidR="00720D81" w:rsidRPr="00407B18">
        <w:t>from</w:t>
      </w:r>
      <w:r w:rsidR="00A058EA" w:rsidRPr="00407B18">
        <w:t xml:space="preserve"> </w:t>
      </w:r>
      <w:r w:rsidR="00100607" w:rsidRPr="00407B18">
        <w:t>over</w:t>
      </w:r>
      <w:r w:rsidR="00A058EA" w:rsidRPr="00407B18">
        <w:t xml:space="preserve"> </w:t>
      </w:r>
      <w:r w:rsidR="002935D5" w:rsidRPr="00407B18">
        <w:t>3,480</w:t>
      </w:r>
      <w:r w:rsidR="00AC4D6F" w:rsidRPr="00407B18">
        <w:t xml:space="preserve"> </w:t>
      </w:r>
      <w:r w:rsidR="003015C8" w:rsidRPr="00407B18">
        <w:t>cases.</w:t>
      </w:r>
    </w:p>
    <w:p w:rsidR="00DB0466" w:rsidRDefault="0086759E" w:rsidP="00147FCD">
      <w:pPr>
        <w:ind w:firstLine="720"/>
        <w:jc w:val="both"/>
        <w:rPr>
          <w:b/>
        </w:rPr>
      </w:pPr>
      <w:r w:rsidRPr="00F262EF">
        <w:rPr>
          <w:b/>
        </w:rPr>
        <w:t>Emergency</w:t>
      </w:r>
      <w:r w:rsidR="00DB0466">
        <w:rPr>
          <w:b/>
        </w:rPr>
        <w:t xml:space="preserve"> Surgery</w:t>
      </w:r>
    </w:p>
    <w:p w:rsidR="00C504EE" w:rsidRDefault="00407B18" w:rsidP="00C504EE">
      <w:pPr>
        <w:jc w:val="both"/>
        <w:rPr>
          <w:b/>
        </w:rPr>
      </w:pPr>
      <w:r>
        <w:rPr>
          <w:b/>
          <w:noProof/>
          <w:lang w:eastAsia="en-GB"/>
        </w:rPr>
        <w:drawing>
          <wp:inline distT="0" distB="0" distL="0" distR="0" wp14:anchorId="2CAEFAC2">
            <wp:extent cx="5740842" cy="25944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8070" cy="2606798"/>
                    </a:xfrm>
                    <a:prstGeom prst="rect">
                      <a:avLst/>
                    </a:prstGeom>
                    <a:noFill/>
                  </pic:spPr>
                </pic:pic>
              </a:graphicData>
            </a:graphic>
          </wp:inline>
        </w:drawing>
      </w:r>
    </w:p>
    <w:p w:rsidR="008F51EA" w:rsidRDefault="00F664DB" w:rsidP="00111565">
      <w:pPr>
        <w:spacing w:line="240" w:lineRule="auto"/>
        <w:jc w:val="both"/>
      </w:pPr>
      <w:r w:rsidRPr="00BB5E2F">
        <w:t>The r</w:t>
      </w:r>
      <w:r w:rsidR="008C1294" w:rsidRPr="00BB5E2F">
        <w:t>ate of deaths within 30</w:t>
      </w:r>
      <w:r w:rsidR="008C1294" w:rsidRPr="004A2224">
        <w:t xml:space="preserve"> days for emergency </w:t>
      </w:r>
      <w:r w:rsidR="008C1294" w:rsidRPr="00407B18">
        <w:t xml:space="preserve">surgery cases for </w:t>
      </w:r>
      <w:r w:rsidR="00100607" w:rsidRPr="00407B18">
        <w:t>SB</w:t>
      </w:r>
      <w:r w:rsidR="008C1294" w:rsidRPr="00407B18">
        <w:t>U HB is 1.</w:t>
      </w:r>
      <w:r w:rsidR="00F223C3" w:rsidRPr="00407B18">
        <w:t>72</w:t>
      </w:r>
      <w:r w:rsidR="008C1294" w:rsidRPr="00407B18">
        <w:t>%, the</w:t>
      </w:r>
      <w:r w:rsidR="0065519C" w:rsidRPr="00407B18">
        <w:t xml:space="preserve"> </w:t>
      </w:r>
      <w:r w:rsidR="008C1294" w:rsidRPr="00407B18">
        <w:t>All Wales average</w:t>
      </w:r>
      <w:r w:rsidR="004C7451" w:rsidRPr="00407B18">
        <w:t xml:space="preserve"> is 1.</w:t>
      </w:r>
      <w:r w:rsidR="00407B18" w:rsidRPr="00407B18">
        <w:t>67</w:t>
      </w:r>
      <w:r w:rsidR="00DB0466" w:rsidRPr="00407B18">
        <w:t>%</w:t>
      </w:r>
      <w:r w:rsidR="008C1294" w:rsidRPr="00407B18">
        <w:t>.</w:t>
      </w:r>
      <w:r w:rsidR="006B2EE7" w:rsidRPr="004A2224">
        <w:t xml:space="preserve">  It should</w:t>
      </w:r>
      <w:r w:rsidR="006B2EE7">
        <w:t xml:space="preserve"> be noted that Morriston hospital is the major trauma centre for South West </w:t>
      </w:r>
      <w:r w:rsidR="008162AA">
        <w:t>Wales and</w:t>
      </w:r>
      <w:r w:rsidR="006B2EE7">
        <w:t xml:space="preserve"> accepts emergencies into its tertiary services from neighbouring Health Boards.</w:t>
      </w:r>
    </w:p>
    <w:p w:rsidR="00A667E0" w:rsidRDefault="00A667E0">
      <w:pPr>
        <w:spacing w:after="0" w:line="240" w:lineRule="auto"/>
        <w:rPr>
          <w:b/>
        </w:rPr>
      </w:pPr>
      <w:r>
        <w:rPr>
          <w:b/>
        </w:rPr>
        <w:br w:type="page"/>
      </w:r>
    </w:p>
    <w:p w:rsidR="00651BFF" w:rsidRDefault="00F831EA" w:rsidP="00321A68">
      <w:pPr>
        <w:spacing w:after="0" w:line="240" w:lineRule="auto"/>
        <w:rPr>
          <w:b/>
        </w:rPr>
      </w:pPr>
      <w:r w:rsidRPr="00FB3AA7">
        <w:rPr>
          <w:b/>
        </w:rPr>
        <w:lastRenderedPageBreak/>
        <w:t>Accident &amp; Emergency (Major Units) Crude Mortality Rates</w:t>
      </w:r>
    </w:p>
    <w:p w:rsidR="00BA1CDD" w:rsidRDefault="003015C8" w:rsidP="00111565">
      <w:pPr>
        <w:spacing w:line="240" w:lineRule="auto"/>
        <w:jc w:val="both"/>
      </w:pPr>
      <w:r w:rsidRPr="00720D81">
        <w:t xml:space="preserve">The </w:t>
      </w:r>
      <w:r w:rsidR="00374070" w:rsidRPr="00720D81">
        <w:t>table</w:t>
      </w:r>
      <w:r w:rsidRPr="00720D81">
        <w:t xml:space="preserve"> below show the </w:t>
      </w:r>
      <w:r w:rsidR="00374070" w:rsidRPr="00720D81">
        <w:t xml:space="preserve">rolling </w:t>
      </w:r>
      <w:proofErr w:type="gramStart"/>
      <w:r w:rsidR="00374070" w:rsidRPr="00720D81">
        <w:t>12</w:t>
      </w:r>
      <w:r w:rsidR="002B221B">
        <w:t xml:space="preserve"> </w:t>
      </w:r>
      <w:r w:rsidR="00374070" w:rsidRPr="00720D81">
        <w:t>month</w:t>
      </w:r>
      <w:proofErr w:type="gramEnd"/>
      <w:r w:rsidR="00374070" w:rsidRPr="00720D81">
        <w:t xml:space="preserve"> </w:t>
      </w:r>
      <w:r w:rsidRPr="00720D81">
        <w:t>crude mortality rate for</w:t>
      </w:r>
      <w:r w:rsidR="00374070" w:rsidRPr="00720D81">
        <w:t xml:space="preserve"> </w:t>
      </w:r>
      <w:r w:rsidR="00666CF1">
        <w:t>a</w:t>
      </w:r>
      <w:r w:rsidR="00374070" w:rsidRPr="00720D81">
        <w:t xml:space="preserve">ll </w:t>
      </w:r>
      <w:r w:rsidR="00606D03">
        <w:t>W</w:t>
      </w:r>
      <w:r w:rsidR="00666CF1">
        <w:t xml:space="preserve">elsh </w:t>
      </w:r>
      <w:r w:rsidR="00374070" w:rsidRPr="00720D81">
        <w:t>Health</w:t>
      </w:r>
      <w:r w:rsidR="00666CF1">
        <w:t xml:space="preserve"> Board sites with a major Emergency Depa</w:t>
      </w:r>
      <w:bookmarkStart w:id="0" w:name="_GoBack"/>
      <w:bookmarkEnd w:id="0"/>
      <w:r w:rsidR="00666CF1">
        <w:t xml:space="preserve">rtment </w:t>
      </w:r>
      <w:r w:rsidRPr="00720D81">
        <w:t>calculated as a rate per 10,000 attendances.</w:t>
      </w:r>
    </w:p>
    <w:tbl>
      <w:tblPr>
        <w:tblW w:w="11482" w:type="dxa"/>
        <w:tblInd w:w="-1281" w:type="dxa"/>
        <w:tblLayout w:type="fixed"/>
        <w:tblLook w:val="04A0" w:firstRow="1" w:lastRow="0" w:firstColumn="1" w:lastColumn="0" w:noHBand="0" w:noVBand="1"/>
      </w:tblPr>
      <w:tblGrid>
        <w:gridCol w:w="850"/>
        <w:gridCol w:w="568"/>
        <w:gridCol w:w="709"/>
        <w:gridCol w:w="709"/>
        <w:gridCol w:w="850"/>
        <w:gridCol w:w="567"/>
        <w:gridCol w:w="709"/>
        <w:gridCol w:w="850"/>
        <w:gridCol w:w="567"/>
        <w:gridCol w:w="567"/>
        <w:gridCol w:w="851"/>
        <w:gridCol w:w="567"/>
        <w:gridCol w:w="850"/>
        <w:gridCol w:w="709"/>
        <w:gridCol w:w="709"/>
        <w:gridCol w:w="850"/>
      </w:tblGrid>
      <w:tr w:rsidR="00D418EC" w:rsidRPr="00E142D7" w:rsidTr="00D418EC">
        <w:trPr>
          <w:trHeight w:val="695"/>
        </w:trPr>
        <w:tc>
          <w:tcPr>
            <w:tcW w:w="85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Rolling Annual Period</w:t>
            </w:r>
          </w:p>
        </w:tc>
        <w:tc>
          <w:tcPr>
            <w:tcW w:w="568"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Wales</w:t>
            </w:r>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Bronglais</w:t>
            </w:r>
            <w:proofErr w:type="spellEnd"/>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Glangwili</w:t>
            </w:r>
            <w:proofErr w:type="spellEnd"/>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Morriston</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Nevill</w:t>
            </w:r>
            <w:proofErr w:type="spellEnd"/>
            <w:r w:rsidRPr="00D418EC">
              <w:rPr>
                <w:rFonts w:ascii="Arial" w:eastAsia="Times New Roman" w:hAnsi="Arial" w:cs="Arial"/>
                <w:b/>
                <w:bCs/>
                <w:color w:val="000000"/>
                <w:sz w:val="10"/>
                <w:szCs w:val="10"/>
                <w:lang w:eastAsia="en-GB"/>
              </w:rPr>
              <w:t xml:space="preserve"> Hall</w:t>
            </w:r>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Prince Charles</w:t>
            </w:r>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Princess Of Wales</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Royal Gwent</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The Grange</w:t>
            </w:r>
          </w:p>
        </w:tc>
        <w:tc>
          <w:tcPr>
            <w:tcW w:w="851"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Royal Glamorgan</w:t>
            </w:r>
          </w:p>
        </w:tc>
        <w:tc>
          <w:tcPr>
            <w:tcW w:w="567"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UHW</w:t>
            </w:r>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Withybush</w:t>
            </w:r>
            <w:proofErr w:type="spellEnd"/>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r w:rsidRPr="00D418EC">
              <w:rPr>
                <w:rFonts w:ascii="Arial" w:eastAsia="Times New Roman" w:hAnsi="Arial" w:cs="Arial"/>
                <w:b/>
                <w:bCs/>
                <w:color w:val="000000"/>
                <w:sz w:val="10"/>
                <w:szCs w:val="10"/>
                <w:lang w:eastAsia="en-GB"/>
              </w:rPr>
              <w:t xml:space="preserve">Wrexham </w:t>
            </w:r>
            <w:proofErr w:type="spellStart"/>
            <w:r w:rsidRPr="00D418EC">
              <w:rPr>
                <w:rFonts w:ascii="Arial" w:eastAsia="Times New Roman" w:hAnsi="Arial" w:cs="Arial"/>
                <w:b/>
                <w:bCs/>
                <w:color w:val="000000"/>
                <w:sz w:val="10"/>
                <w:szCs w:val="10"/>
                <w:lang w:eastAsia="en-GB"/>
              </w:rPr>
              <w:t>Maelor</w:t>
            </w:r>
            <w:proofErr w:type="spellEnd"/>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Ysbyty</w:t>
            </w:r>
            <w:proofErr w:type="spellEnd"/>
            <w:r w:rsidRPr="00D418EC">
              <w:rPr>
                <w:rFonts w:ascii="Arial" w:eastAsia="Times New Roman" w:hAnsi="Arial" w:cs="Arial"/>
                <w:b/>
                <w:bCs/>
                <w:color w:val="000000"/>
                <w:sz w:val="10"/>
                <w:szCs w:val="10"/>
                <w:lang w:eastAsia="en-GB"/>
              </w:rPr>
              <w:t xml:space="preserve"> </w:t>
            </w:r>
            <w:proofErr w:type="spellStart"/>
            <w:r w:rsidRPr="00D418EC">
              <w:rPr>
                <w:rFonts w:ascii="Arial" w:eastAsia="Times New Roman" w:hAnsi="Arial" w:cs="Arial"/>
                <w:b/>
                <w:bCs/>
                <w:color w:val="000000"/>
                <w:sz w:val="10"/>
                <w:szCs w:val="10"/>
                <w:lang w:eastAsia="en-GB"/>
              </w:rPr>
              <w:t>Glan</w:t>
            </w:r>
            <w:proofErr w:type="spellEnd"/>
            <w:r w:rsidRPr="00D418EC">
              <w:rPr>
                <w:rFonts w:ascii="Arial" w:eastAsia="Times New Roman" w:hAnsi="Arial" w:cs="Arial"/>
                <w:b/>
                <w:bCs/>
                <w:color w:val="000000"/>
                <w:sz w:val="10"/>
                <w:szCs w:val="10"/>
                <w:lang w:eastAsia="en-GB"/>
              </w:rPr>
              <w:t xml:space="preserve"> Clwyd</w:t>
            </w:r>
          </w:p>
        </w:tc>
        <w:tc>
          <w:tcPr>
            <w:tcW w:w="850" w:type="dxa"/>
            <w:tcBorders>
              <w:top w:val="single" w:sz="4" w:space="0" w:color="auto"/>
              <w:left w:val="nil"/>
              <w:bottom w:val="single" w:sz="4" w:space="0" w:color="auto"/>
              <w:right w:val="single" w:sz="4" w:space="0" w:color="auto"/>
            </w:tcBorders>
            <w:shd w:val="clear" w:color="000000" w:fill="F2F2F2"/>
            <w:vAlign w:val="bottom"/>
            <w:hideMark/>
          </w:tcPr>
          <w:p w:rsidR="00E142D7" w:rsidRPr="00D418EC" w:rsidRDefault="00E142D7" w:rsidP="00E142D7">
            <w:pPr>
              <w:spacing w:after="0" w:line="240" w:lineRule="auto"/>
              <w:jc w:val="center"/>
              <w:rPr>
                <w:rFonts w:ascii="Arial" w:eastAsia="Times New Roman" w:hAnsi="Arial" w:cs="Arial"/>
                <w:b/>
                <w:bCs/>
                <w:color w:val="000000"/>
                <w:sz w:val="10"/>
                <w:szCs w:val="10"/>
                <w:lang w:eastAsia="en-GB"/>
              </w:rPr>
            </w:pPr>
            <w:proofErr w:type="spellStart"/>
            <w:r w:rsidRPr="00D418EC">
              <w:rPr>
                <w:rFonts w:ascii="Arial" w:eastAsia="Times New Roman" w:hAnsi="Arial" w:cs="Arial"/>
                <w:b/>
                <w:bCs/>
                <w:color w:val="000000"/>
                <w:sz w:val="10"/>
                <w:szCs w:val="10"/>
                <w:lang w:eastAsia="en-GB"/>
              </w:rPr>
              <w:t>Ysbyty</w:t>
            </w:r>
            <w:proofErr w:type="spellEnd"/>
            <w:r w:rsidRPr="00D418EC">
              <w:rPr>
                <w:rFonts w:ascii="Arial" w:eastAsia="Times New Roman" w:hAnsi="Arial" w:cs="Arial"/>
                <w:b/>
                <w:bCs/>
                <w:color w:val="000000"/>
                <w:sz w:val="10"/>
                <w:szCs w:val="10"/>
                <w:lang w:eastAsia="en-GB"/>
              </w:rPr>
              <w:t xml:space="preserve"> Gwynedd</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Feb-2016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Mar-2016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Apr-2016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11.3</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May-2016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Jun-2016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Jul-2016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Aug-2016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Sep-2016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Oct-2016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Nov-2016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31.7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Dec-2016</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7.8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32.4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Feb-2017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7.1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31.7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Mar-2017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Apr-2017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13.2</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May-2017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Jun-2017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Jul-2017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Aug-2017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14.2</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Sep-2017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Oct-2017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Nov-2017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14.4</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Dec-2017</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14.3</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Feb-2018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Mar-2018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Apr-2018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May-2018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Jun-2018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Jul-2018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30.0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Aug-2018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31.8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Sep-2018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32.2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Oct-2018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33.1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lastRenderedPageBreak/>
              <w:t>Nov-2018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33.6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Dec-2018</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32.8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33.8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Feb-2019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31.1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Mar-2019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Apr-2019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7.5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May-2019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Jun-2019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Jul-2019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20.8</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Aug-2019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29.1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20.6</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Sep-2019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19.6</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Oct-2019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Nov-2019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Dec-2019</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16.1</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Feb-2020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19.1</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Mar-2020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Apr-2020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May-2020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18.1</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Jun-2020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19.8</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Jul-2020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18.6</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16.3</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Aug-2020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18.4</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Sep-2020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8.5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12.5</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26.8</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Oct-2020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9.6</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15.3</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16.4</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Nov-2020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19.2</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9.9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18.9</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25.6</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22.1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0.0</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14.1</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15.5</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24.4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28.1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16.2</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Dec-2020</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12.1</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18.7</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26.7</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13.9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20.2</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50.7</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14.8</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16.0</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23.8</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18.3</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27.1</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15.9</w:t>
            </w:r>
          </w:p>
        </w:tc>
      </w:tr>
      <w:tr w:rsidR="00D418EC" w:rsidRPr="00E142D7" w:rsidTr="00D418EC">
        <w:trPr>
          <w:trHeight w:val="34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rPr>
                <w:rFonts w:ascii="Arial" w:eastAsia="Times New Roman" w:hAnsi="Arial" w:cs="Arial"/>
                <w:color w:val="000000"/>
                <w:sz w:val="12"/>
                <w:szCs w:val="12"/>
                <w:lang w:eastAsia="en-GB"/>
              </w:rPr>
            </w:pPr>
            <w:r w:rsidRPr="00E142D7">
              <w:rPr>
                <w:rFonts w:ascii="Arial" w:eastAsia="Times New Roman" w:hAnsi="Arial" w:cs="Arial"/>
                <w:color w:val="000000"/>
                <w:sz w:val="12"/>
                <w:szCs w:val="12"/>
                <w:lang w:eastAsia="en-GB"/>
              </w:rPr>
              <w:t>Jan-2021</w:t>
            </w:r>
          </w:p>
        </w:tc>
        <w:tc>
          <w:tcPr>
            <w:tcW w:w="568"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21.0</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11.7</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19.3</w:t>
            </w:r>
          </w:p>
        </w:tc>
        <w:tc>
          <w:tcPr>
            <w:tcW w:w="850" w:type="dxa"/>
            <w:tcBorders>
              <w:top w:val="nil"/>
              <w:left w:val="nil"/>
              <w:bottom w:val="single" w:sz="4" w:space="0" w:color="auto"/>
              <w:right w:val="single" w:sz="4" w:space="0" w:color="auto"/>
            </w:tcBorders>
            <w:shd w:val="clear" w:color="000000" w:fill="FFFFFF"/>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26.4</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12.4</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21.7</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23.2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21.0</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52.2</w:t>
            </w:r>
          </w:p>
        </w:tc>
        <w:tc>
          <w:tcPr>
            <w:tcW w:w="851"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15.2</w:t>
            </w:r>
          </w:p>
        </w:tc>
        <w:tc>
          <w:tcPr>
            <w:tcW w:w="567"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18.4</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21.9</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20.5</w:t>
            </w:r>
          </w:p>
        </w:tc>
        <w:tc>
          <w:tcPr>
            <w:tcW w:w="709"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26.6</w:t>
            </w:r>
          </w:p>
        </w:tc>
        <w:tc>
          <w:tcPr>
            <w:tcW w:w="850" w:type="dxa"/>
            <w:tcBorders>
              <w:top w:val="nil"/>
              <w:left w:val="nil"/>
              <w:bottom w:val="single" w:sz="4" w:space="0" w:color="auto"/>
              <w:right w:val="single" w:sz="4" w:space="0" w:color="auto"/>
            </w:tcBorders>
            <w:shd w:val="clear" w:color="auto" w:fill="auto"/>
            <w:noWrap/>
            <w:vAlign w:val="bottom"/>
            <w:hideMark/>
          </w:tcPr>
          <w:p w:rsidR="00E142D7" w:rsidRPr="00E142D7" w:rsidRDefault="00E142D7" w:rsidP="00E142D7">
            <w:pPr>
              <w:spacing w:after="0" w:line="240" w:lineRule="auto"/>
              <w:jc w:val="center"/>
              <w:rPr>
                <w:rFonts w:ascii="Arial" w:eastAsia="Times New Roman" w:hAnsi="Arial" w:cs="Arial"/>
                <w:color w:val="000000"/>
                <w:sz w:val="14"/>
                <w:szCs w:val="14"/>
                <w:lang w:eastAsia="en-GB"/>
              </w:rPr>
            </w:pPr>
            <w:r w:rsidRPr="00E142D7">
              <w:rPr>
                <w:rFonts w:ascii="Arial" w:eastAsia="Times New Roman" w:hAnsi="Arial" w:cs="Arial"/>
                <w:color w:val="000000"/>
                <w:sz w:val="14"/>
                <w:szCs w:val="14"/>
                <w:lang w:eastAsia="en-GB"/>
              </w:rPr>
              <w:t>17.4</w:t>
            </w:r>
          </w:p>
        </w:tc>
      </w:tr>
    </w:tbl>
    <w:p w:rsidR="00041322" w:rsidRPr="00041322" w:rsidRDefault="00041322" w:rsidP="00041322">
      <w:pPr>
        <w:spacing w:after="0" w:line="240" w:lineRule="auto"/>
        <w:ind w:left="644"/>
        <w:rPr>
          <w:sz w:val="10"/>
          <w:szCs w:val="10"/>
        </w:rPr>
      </w:pPr>
    </w:p>
    <w:p w:rsidR="00B076A6" w:rsidRPr="00B076A6" w:rsidRDefault="00B076A6" w:rsidP="00B076A6">
      <w:pPr>
        <w:spacing w:after="0"/>
        <w:rPr>
          <w:sz w:val="10"/>
          <w:szCs w:val="10"/>
        </w:rPr>
      </w:pPr>
    </w:p>
    <w:p w:rsidR="00B076A6" w:rsidRDefault="00AD5AA0" w:rsidP="00111565">
      <w:pPr>
        <w:spacing w:after="0" w:line="240" w:lineRule="auto"/>
        <w:jc w:val="both"/>
      </w:pPr>
      <w:r>
        <w:t>W</w:t>
      </w:r>
      <w:r w:rsidR="00507F11">
        <w:t xml:space="preserve">hilst the table above </w:t>
      </w:r>
      <w:r>
        <w:t>demonstrate</w:t>
      </w:r>
      <w:r w:rsidR="00507F11">
        <w:t>s</w:t>
      </w:r>
      <w:r>
        <w:t xml:space="preserve"> a high </w:t>
      </w:r>
      <w:r w:rsidR="00507F11">
        <w:t xml:space="preserve">mortality </w:t>
      </w:r>
      <w:r>
        <w:t>rate</w:t>
      </w:r>
      <w:r w:rsidR="00507F11">
        <w:t xml:space="preserve"> for</w:t>
      </w:r>
      <w:r>
        <w:t xml:space="preserve"> Morriston Hospital compared to the rest of Wales, it should be </w:t>
      </w:r>
      <w:r w:rsidR="00507F11">
        <w:t>acknowledged</w:t>
      </w:r>
      <w:r>
        <w:t xml:space="preserve"> that, as outlined previously, Morriston Hospital is one of two majo</w:t>
      </w:r>
      <w:r w:rsidR="00507F11">
        <w:t>r</w:t>
      </w:r>
      <w:r>
        <w:t xml:space="preserve"> hospitals in the whole of South Wales that receive and manage the sickest </w:t>
      </w:r>
      <w:r w:rsidR="00507F11">
        <w:t xml:space="preserve">patients. </w:t>
      </w:r>
      <w:r>
        <w:t>Further</w:t>
      </w:r>
      <w:r w:rsidR="00507F11">
        <w:t xml:space="preserve"> factors that have contributed to the increase over the reported period include </w:t>
      </w:r>
      <w:r>
        <w:t>a service change in August 2012 where emergency admissions ceased in N</w:t>
      </w:r>
      <w:r w:rsidR="00507F11">
        <w:t xml:space="preserve">eath </w:t>
      </w:r>
      <w:r>
        <w:t>P</w:t>
      </w:r>
      <w:r w:rsidR="00507F11">
        <w:t xml:space="preserve">ort </w:t>
      </w:r>
      <w:r>
        <w:t>T</w:t>
      </w:r>
      <w:r w:rsidR="00507F11">
        <w:t>albot</w:t>
      </w:r>
      <w:r>
        <w:t xml:space="preserve"> </w:t>
      </w:r>
      <w:r w:rsidR="00507F11">
        <w:t>hospital, increasing the number of sick patients presenting at Morriston ED</w:t>
      </w:r>
      <w:r w:rsidR="00485CD7">
        <w:t>.  There have also been</w:t>
      </w:r>
      <w:r w:rsidR="00507F11">
        <w:t xml:space="preserve"> </w:t>
      </w:r>
      <w:r w:rsidR="004971AC">
        <w:t xml:space="preserve">some times when the admission to hospital from the Emergency Department (ED) of a patient whose death was </w:t>
      </w:r>
      <w:r w:rsidR="00D94914">
        <w:t>expected,</w:t>
      </w:r>
      <w:r w:rsidR="004971AC">
        <w:t xml:space="preserve"> has meant that their death is reported in ED rather than in hospital.</w:t>
      </w:r>
      <w:r>
        <w:t xml:space="preserve"> </w:t>
      </w:r>
    </w:p>
    <w:p w:rsidR="00B076A6" w:rsidRDefault="00B076A6" w:rsidP="00111565">
      <w:pPr>
        <w:spacing w:after="0" w:line="240" w:lineRule="auto"/>
        <w:jc w:val="both"/>
      </w:pPr>
    </w:p>
    <w:p w:rsidR="00AD5AA0" w:rsidRDefault="001848DD" w:rsidP="00111565">
      <w:pPr>
        <w:spacing w:after="0" w:line="240" w:lineRule="auto"/>
        <w:jc w:val="both"/>
        <w:rPr>
          <w:b/>
        </w:rPr>
      </w:pPr>
      <w:r>
        <w:t xml:space="preserve">All deaths that occur in Morriston </w:t>
      </w:r>
      <w:r w:rsidR="00FA0ADE">
        <w:t xml:space="preserve">are </w:t>
      </w:r>
      <w:r>
        <w:t xml:space="preserve">reviewed by an ED Consultant. </w:t>
      </w:r>
    </w:p>
    <w:sectPr w:rsidR="00AD5AA0" w:rsidSect="00324EA8">
      <w:footerReference w:type="default" r:id="rId21"/>
      <w:headerReference w:type="first" r:id="rId22"/>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D7" w:rsidRDefault="00E142D7" w:rsidP="00992005">
      <w:pPr>
        <w:spacing w:after="0" w:line="240" w:lineRule="auto"/>
      </w:pPr>
      <w:r>
        <w:separator/>
      </w:r>
    </w:p>
  </w:endnote>
  <w:endnote w:type="continuationSeparator" w:id="0">
    <w:p w:rsidR="00E142D7" w:rsidRDefault="00E142D7" w:rsidP="0099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D7" w:rsidRDefault="00E142D7">
    <w:pPr>
      <w:pStyle w:val="Footer"/>
      <w:jc w:val="right"/>
    </w:pPr>
    <w:r>
      <w:fldChar w:fldCharType="begin"/>
    </w:r>
    <w:r>
      <w:instrText xml:space="preserve"> PAGE   \* MERGEFORMAT </w:instrText>
    </w:r>
    <w:r>
      <w:fldChar w:fldCharType="separate"/>
    </w:r>
    <w:r w:rsidR="00FB3AA7">
      <w:rPr>
        <w:noProof/>
      </w:rPr>
      <w:t>11</w:t>
    </w:r>
    <w:r>
      <w:fldChar w:fldCharType="end"/>
    </w:r>
  </w:p>
  <w:p w:rsidR="00E142D7" w:rsidRDefault="00E1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D7" w:rsidRDefault="00E142D7" w:rsidP="00992005">
      <w:pPr>
        <w:spacing w:after="0" w:line="240" w:lineRule="auto"/>
      </w:pPr>
      <w:r>
        <w:separator/>
      </w:r>
    </w:p>
  </w:footnote>
  <w:footnote w:type="continuationSeparator" w:id="0">
    <w:p w:rsidR="00E142D7" w:rsidRDefault="00E142D7" w:rsidP="0099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D7" w:rsidRDefault="00E142D7" w:rsidP="00324EA8">
    <w:pPr>
      <w:pStyle w:val="Header"/>
      <w:jc w:val="center"/>
    </w:pPr>
    <w:r>
      <w:rPr>
        <w:noProof/>
        <w:lang w:val="en-GB" w:eastAsia="en-GB"/>
      </w:rPr>
      <w:drawing>
        <wp:inline distT="0" distB="0" distL="0" distR="0" wp14:anchorId="3B907A92" wp14:editId="30BB16D8">
          <wp:extent cx="3542030" cy="904875"/>
          <wp:effectExtent l="0" t="0" r="1270" b="9525"/>
          <wp:docPr id="1" name="Picture 3" descr="http://abm.cymru.nhs.uk/bulletinfiles/12409/Swansea%20Ba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abm.cymru.nhs.uk/bulletinfiles/12409/Swansea%20Bay%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4050" cy="905391"/>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43F5"/>
    <w:multiLevelType w:val="hybridMultilevel"/>
    <w:tmpl w:val="A204FE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0F055A4"/>
    <w:multiLevelType w:val="hybridMultilevel"/>
    <w:tmpl w:val="C75E01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96EA7"/>
    <w:multiLevelType w:val="hybridMultilevel"/>
    <w:tmpl w:val="7AA222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0307529"/>
    <w:multiLevelType w:val="hybridMultilevel"/>
    <w:tmpl w:val="16B6B1F0"/>
    <w:lvl w:ilvl="0" w:tplc="0809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92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6827"/>
    <w:multiLevelType w:val="hybridMultilevel"/>
    <w:tmpl w:val="EE48F9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47C358C"/>
    <w:multiLevelType w:val="hybridMultilevel"/>
    <w:tmpl w:val="EC2027B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DF118B6"/>
    <w:multiLevelType w:val="hybridMultilevel"/>
    <w:tmpl w:val="603A2BD2"/>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A8F175B"/>
    <w:multiLevelType w:val="hybridMultilevel"/>
    <w:tmpl w:val="792E5AA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427F1"/>
    <w:multiLevelType w:val="hybridMultilevel"/>
    <w:tmpl w:val="0AD8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F4834"/>
    <w:multiLevelType w:val="hybridMultilevel"/>
    <w:tmpl w:val="6FD60756"/>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0"/>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2"/>
    <w:rsid w:val="000048CF"/>
    <w:rsid w:val="000076AA"/>
    <w:rsid w:val="00011959"/>
    <w:rsid w:val="00012EB0"/>
    <w:rsid w:val="00013AD3"/>
    <w:rsid w:val="00014FCF"/>
    <w:rsid w:val="00015216"/>
    <w:rsid w:val="00015999"/>
    <w:rsid w:val="00016195"/>
    <w:rsid w:val="00017A54"/>
    <w:rsid w:val="00020A8A"/>
    <w:rsid w:val="00022613"/>
    <w:rsid w:val="0002426C"/>
    <w:rsid w:val="000262FC"/>
    <w:rsid w:val="000266E7"/>
    <w:rsid w:val="000267C1"/>
    <w:rsid w:val="00027DB2"/>
    <w:rsid w:val="00030264"/>
    <w:rsid w:val="00030DDC"/>
    <w:rsid w:val="00033018"/>
    <w:rsid w:val="000340BA"/>
    <w:rsid w:val="00034556"/>
    <w:rsid w:val="000348F1"/>
    <w:rsid w:val="000364CB"/>
    <w:rsid w:val="00041322"/>
    <w:rsid w:val="000435C5"/>
    <w:rsid w:val="000450F2"/>
    <w:rsid w:val="000519BD"/>
    <w:rsid w:val="00053D8A"/>
    <w:rsid w:val="0005536D"/>
    <w:rsid w:val="00055AD1"/>
    <w:rsid w:val="00056822"/>
    <w:rsid w:val="0006023D"/>
    <w:rsid w:val="00061D8B"/>
    <w:rsid w:val="000642FF"/>
    <w:rsid w:val="0007074F"/>
    <w:rsid w:val="00070D33"/>
    <w:rsid w:val="00071ECC"/>
    <w:rsid w:val="0007249D"/>
    <w:rsid w:val="000735BA"/>
    <w:rsid w:val="00074191"/>
    <w:rsid w:val="000750C5"/>
    <w:rsid w:val="00075A6A"/>
    <w:rsid w:val="00076DA0"/>
    <w:rsid w:val="00081F92"/>
    <w:rsid w:val="00082FB5"/>
    <w:rsid w:val="000830EA"/>
    <w:rsid w:val="0008475C"/>
    <w:rsid w:val="00090331"/>
    <w:rsid w:val="00091EB7"/>
    <w:rsid w:val="00094E2A"/>
    <w:rsid w:val="000957C4"/>
    <w:rsid w:val="0009667E"/>
    <w:rsid w:val="00097B77"/>
    <w:rsid w:val="00097F6F"/>
    <w:rsid w:val="000A00A3"/>
    <w:rsid w:val="000A478C"/>
    <w:rsid w:val="000A532B"/>
    <w:rsid w:val="000A6530"/>
    <w:rsid w:val="000A7174"/>
    <w:rsid w:val="000A7338"/>
    <w:rsid w:val="000A78F0"/>
    <w:rsid w:val="000A7947"/>
    <w:rsid w:val="000B0195"/>
    <w:rsid w:val="000B16B8"/>
    <w:rsid w:val="000B19C0"/>
    <w:rsid w:val="000B43DB"/>
    <w:rsid w:val="000C08CA"/>
    <w:rsid w:val="000C1324"/>
    <w:rsid w:val="000C5812"/>
    <w:rsid w:val="000D0D06"/>
    <w:rsid w:val="000D5709"/>
    <w:rsid w:val="000D5FDE"/>
    <w:rsid w:val="000D74E0"/>
    <w:rsid w:val="000E1106"/>
    <w:rsid w:val="000F015B"/>
    <w:rsid w:val="000F1EA4"/>
    <w:rsid w:val="000F71EE"/>
    <w:rsid w:val="00100607"/>
    <w:rsid w:val="00101A01"/>
    <w:rsid w:val="00102094"/>
    <w:rsid w:val="00103A76"/>
    <w:rsid w:val="00103E26"/>
    <w:rsid w:val="00105BAA"/>
    <w:rsid w:val="00105E85"/>
    <w:rsid w:val="00111510"/>
    <w:rsid w:val="00111565"/>
    <w:rsid w:val="00116B12"/>
    <w:rsid w:val="00122698"/>
    <w:rsid w:val="00126ADC"/>
    <w:rsid w:val="00126ED6"/>
    <w:rsid w:val="00127603"/>
    <w:rsid w:val="00127DF2"/>
    <w:rsid w:val="00127FBE"/>
    <w:rsid w:val="00127FEA"/>
    <w:rsid w:val="00131432"/>
    <w:rsid w:val="00131C6A"/>
    <w:rsid w:val="00132F55"/>
    <w:rsid w:val="00133AA3"/>
    <w:rsid w:val="001340BD"/>
    <w:rsid w:val="00134631"/>
    <w:rsid w:val="0014045C"/>
    <w:rsid w:val="00141B27"/>
    <w:rsid w:val="00141F69"/>
    <w:rsid w:val="00141FF7"/>
    <w:rsid w:val="00142467"/>
    <w:rsid w:val="00144B57"/>
    <w:rsid w:val="001470BD"/>
    <w:rsid w:val="00147FCD"/>
    <w:rsid w:val="00155F48"/>
    <w:rsid w:val="00157F83"/>
    <w:rsid w:val="00161625"/>
    <w:rsid w:val="00164B3A"/>
    <w:rsid w:val="001734CA"/>
    <w:rsid w:val="0017385B"/>
    <w:rsid w:val="00173A3C"/>
    <w:rsid w:val="00176DF9"/>
    <w:rsid w:val="00177963"/>
    <w:rsid w:val="00177D59"/>
    <w:rsid w:val="00183594"/>
    <w:rsid w:val="00183E7C"/>
    <w:rsid w:val="001848DD"/>
    <w:rsid w:val="00185352"/>
    <w:rsid w:val="00185F79"/>
    <w:rsid w:val="00192FAF"/>
    <w:rsid w:val="00194620"/>
    <w:rsid w:val="00196427"/>
    <w:rsid w:val="001A059B"/>
    <w:rsid w:val="001A1119"/>
    <w:rsid w:val="001A2EAC"/>
    <w:rsid w:val="001A38D6"/>
    <w:rsid w:val="001B1160"/>
    <w:rsid w:val="001B2081"/>
    <w:rsid w:val="001B34A0"/>
    <w:rsid w:val="001B515A"/>
    <w:rsid w:val="001B6057"/>
    <w:rsid w:val="001B6AD9"/>
    <w:rsid w:val="001B7230"/>
    <w:rsid w:val="001B7AA3"/>
    <w:rsid w:val="001B7FD6"/>
    <w:rsid w:val="001C0001"/>
    <w:rsid w:val="001C1CC5"/>
    <w:rsid w:val="001C221E"/>
    <w:rsid w:val="001C54C7"/>
    <w:rsid w:val="001C5FCB"/>
    <w:rsid w:val="001C62D2"/>
    <w:rsid w:val="001C7752"/>
    <w:rsid w:val="001C7B42"/>
    <w:rsid w:val="001D1118"/>
    <w:rsid w:val="001D22BC"/>
    <w:rsid w:val="001D3048"/>
    <w:rsid w:val="001D4D10"/>
    <w:rsid w:val="001D612E"/>
    <w:rsid w:val="001E0727"/>
    <w:rsid w:val="001E1A53"/>
    <w:rsid w:val="001E4414"/>
    <w:rsid w:val="001E5B73"/>
    <w:rsid w:val="001E787A"/>
    <w:rsid w:val="001F0DE8"/>
    <w:rsid w:val="001F155F"/>
    <w:rsid w:val="001F44CF"/>
    <w:rsid w:val="001F73CD"/>
    <w:rsid w:val="001F7B1E"/>
    <w:rsid w:val="00202B50"/>
    <w:rsid w:val="00203FA0"/>
    <w:rsid w:val="00204740"/>
    <w:rsid w:val="00205F8F"/>
    <w:rsid w:val="002077E8"/>
    <w:rsid w:val="00210F25"/>
    <w:rsid w:val="00211A42"/>
    <w:rsid w:val="00211C8A"/>
    <w:rsid w:val="00212DE5"/>
    <w:rsid w:val="0021300A"/>
    <w:rsid w:val="002135BC"/>
    <w:rsid w:val="00213E45"/>
    <w:rsid w:val="00216240"/>
    <w:rsid w:val="00220FC7"/>
    <w:rsid w:val="00221DFA"/>
    <w:rsid w:val="00227869"/>
    <w:rsid w:val="00230CA5"/>
    <w:rsid w:val="00231A14"/>
    <w:rsid w:val="00234362"/>
    <w:rsid w:val="0023530F"/>
    <w:rsid w:val="002365DC"/>
    <w:rsid w:val="00236D1E"/>
    <w:rsid w:val="0023794E"/>
    <w:rsid w:val="00241490"/>
    <w:rsid w:val="002419E3"/>
    <w:rsid w:val="00247C0F"/>
    <w:rsid w:val="002534E0"/>
    <w:rsid w:val="00255D63"/>
    <w:rsid w:val="00256BD8"/>
    <w:rsid w:val="00256C11"/>
    <w:rsid w:val="002603E8"/>
    <w:rsid w:val="00261F47"/>
    <w:rsid w:val="0026247E"/>
    <w:rsid w:val="00265E2F"/>
    <w:rsid w:val="0026600A"/>
    <w:rsid w:val="00267769"/>
    <w:rsid w:val="00267E0D"/>
    <w:rsid w:val="002710D1"/>
    <w:rsid w:val="002714E0"/>
    <w:rsid w:val="0027462C"/>
    <w:rsid w:val="00274AF4"/>
    <w:rsid w:val="00275047"/>
    <w:rsid w:val="00282E62"/>
    <w:rsid w:val="00284225"/>
    <w:rsid w:val="00291B18"/>
    <w:rsid w:val="00292591"/>
    <w:rsid w:val="002935D5"/>
    <w:rsid w:val="00294C36"/>
    <w:rsid w:val="002971DE"/>
    <w:rsid w:val="002A18DD"/>
    <w:rsid w:val="002A31DE"/>
    <w:rsid w:val="002A3414"/>
    <w:rsid w:val="002A3AB6"/>
    <w:rsid w:val="002A4D56"/>
    <w:rsid w:val="002A56B3"/>
    <w:rsid w:val="002A6902"/>
    <w:rsid w:val="002B1EB1"/>
    <w:rsid w:val="002B1F89"/>
    <w:rsid w:val="002B221B"/>
    <w:rsid w:val="002B53FC"/>
    <w:rsid w:val="002C06F4"/>
    <w:rsid w:val="002C0927"/>
    <w:rsid w:val="002C4A45"/>
    <w:rsid w:val="002C5C2C"/>
    <w:rsid w:val="002C6339"/>
    <w:rsid w:val="002D3686"/>
    <w:rsid w:val="002D36C0"/>
    <w:rsid w:val="002D53D0"/>
    <w:rsid w:val="002D6458"/>
    <w:rsid w:val="002E1DF6"/>
    <w:rsid w:val="002E27D9"/>
    <w:rsid w:val="002E3323"/>
    <w:rsid w:val="002E6907"/>
    <w:rsid w:val="002F2A25"/>
    <w:rsid w:val="002F3922"/>
    <w:rsid w:val="00300607"/>
    <w:rsid w:val="003015C8"/>
    <w:rsid w:val="003025E9"/>
    <w:rsid w:val="00304141"/>
    <w:rsid w:val="00304F2F"/>
    <w:rsid w:val="003056AB"/>
    <w:rsid w:val="003056E0"/>
    <w:rsid w:val="00305742"/>
    <w:rsid w:val="0030750E"/>
    <w:rsid w:val="00315F95"/>
    <w:rsid w:val="00316574"/>
    <w:rsid w:val="00316629"/>
    <w:rsid w:val="00320BFE"/>
    <w:rsid w:val="00321A68"/>
    <w:rsid w:val="00323F06"/>
    <w:rsid w:val="00324EA8"/>
    <w:rsid w:val="00326F48"/>
    <w:rsid w:val="00327AC9"/>
    <w:rsid w:val="00327CBE"/>
    <w:rsid w:val="00327E85"/>
    <w:rsid w:val="003304BE"/>
    <w:rsid w:val="0033117D"/>
    <w:rsid w:val="00331C8F"/>
    <w:rsid w:val="003353C8"/>
    <w:rsid w:val="00335D28"/>
    <w:rsid w:val="003361DD"/>
    <w:rsid w:val="0033666B"/>
    <w:rsid w:val="00336EE6"/>
    <w:rsid w:val="00340F5D"/>
    <w:rsid w:val="00341648"/>
    <w:rsid w:val="003418DF"/>
    <w:rsid w:val="00342A9A"/>
    <w:rsid w:val="003456B7"/>
    <w:rsid w:val="003466AA"/>
    <w:rsid w:val="00350274"/>
    <w:rsid w:val="003506BB"/>
    <w:rsid w:val="0035242E"/>
    <w:rsid w:val="00353C91"/>
    <w:rsid w:val="00354719"/>
    <w:rsid w:val="0035499E"/>
    <w:rsid w:val="0035585B"/>
    <w:rsid w:val="003567E5"/>
    <w:rsid w:val="00357472"/>
    <w:rsid w:val="003576D9"/>
    <w:rsid w:val="00360F5B"/>
    <w:rsid w:val="00361D58"/>
    <w:rsid w:val="0036541D"/>
    <w:rsid w:val="0036715E"/>
    <w:rsid w:val="00367AFE"/>
    <w:rsid w:val="00371EF9"/>
    <w:rsid w:val="00374070"/>
    <w:rsid w:val="003748FB"/>
    <w:rsid w:val="00375201"/>
    <w:rsid w:val="00375CF7"/>
    <w:rsid w:val="003806BF"/>
    <w:rsid w:val="00382D50"/>
    <w:rsid w:val="0038459B"/>
    <w:rsid w:val="00386722"/>
    <w:rsid w:val="00386821"/>
    <w:rsid w:val="00394C5F"/>
    <w:rsid w:val="00395DF9"/>
    <w:rsid w:val="003961F2"/>
    <w:rsid w:val="003A095B"/>
    <w:rsid w:val="003A1BD7"/>
    <w:rsid w:val="003A1E49"/>
    <w:rsid w:val="003A2423"/>
    <w:rsid w:val="003A33BF"/>
    <w:rsid w:val="003A3652"/>
    <w:rsid w:val="003A44F2"/>
    <w:rsid w:val="003A4F1F"/>
    <w:rsid w:val="003A5BEE"/>
    <w:rsid w:val="003B1F04"/>
    <w:rsid w:val="003B4EE2"/>
    <w:rsid w:val="003B5956"/>
    <w:rsid w:val="003C5018"/>
    <w:rsid w:val="003C51CF"/>
    <w:rsid w:val="003C55DB"/>
    <w:rsid w:val="003D0702"/>
    <w:rsid w:val="003D234B"/>
    <w:rsid w:val="003D23C4"/>
    <w:rsid w:val="003D2B2D"/>
    <w:rsid w:val="003D2DB8"/>
    <w:rsid w:val="003D33C1"/>
    <w:rsid w:val="003D3DD8"/>
    <w:rsid w:val="003D53B2"/>
    <w:rsid w:val="003E0412"/>
    <w:rsid w:val="003E23B6"/>
    <w:rsid w:val="003E3792"/>
    <w:rsid w:val="003E4507"/>
    <w:rsid w:val="003E6053"/>
    <w:rsid w:val="003F0C92"/>
    <w:rsid w:val="003F1147"/>
    <w:rsid w:val="004007DD"/>
    <w:rsid w:val="00402874"/>
    <w:rsid w:val="00407B18"/>
    <w:rsid w:val="00410CAC"/>
    <w:rsid w:val="00416108"/>
    <w:rsid w:val="00422167"/>
    <w:rsid w:val="004236B3"/>
    <w:rsid w:val="00425736"/>
    <w:rsid w:val="004308B0"/>
    <w:rsid w:val="00430CA8"/>
    <w:rsid w:val="00430F95"/>
    <w:rsid w:val="00431008"/>
    <w:rsid w:val="0043652E"/>
    <w:rsid w:val="00437316"/>
    <w:rsid w:val="00440F9B"/>
    <w:rsid w:val="004427C8"/>
    <w:rsid w:val="00446F2F"/>
    <w:rsid w:val="00447EB6"/>
    <w:rsid w:val="00451366"/>
    <w:rsid w:val="0045266E"/>
    <w:rsid w:val="00453307"/>
    <w:rsid w:val="00455962"/>
    <w:rsid w:val="00457B20"/>
    <w:rsid w:val="004608D6"/>
    <w:rsid w:val="00461FED"/>
    <w:rsid w:val="004626FB"/>
    <w:rsid w:val="004648DC"/>
    <w:rsid w:val="00464BB6"/>
    <w:rsid w:val="00464FDB"/>
    <w:rsid w:val="004666F1"/>
    <w:rsid w:val="00470AC6"/>
    <w:rsid w:val="004722F1"/>
    <w:rsid w:val="004724D9"/>
    <w:rsid w:val="00472DB0"/>
    <w:rsid w:val="00472ED4"/>
    <w:rsid w:val="00474CF5"/>
    <w:rsid w:val="0047707B"/>
    <w:rsid w:val="004812DD"/>
    <w:rsid w:val="00481F6C"/>
    <w:rsid w:val="004838CB"/>
    <w:rsid w:val="00485CD7"/>
    <w:rsid w:val="0049158F"/>
    <w:rsid w:val="004934FC"/>
    <w:rsid w:val="00493DE1"/>
    <w:rsid w:val="004971AC"/>
    <w:rsid w:val="004A06B7"/>
    <w:rsid w:val="004A08A5"/>
    <w:rsid w:val="004A1668"/>
    <w:rsid w:val="004A2224"/>
    <w:rsid w:val="004A2DFF"/>
    <w:rsid w:val="004A53DD"/>
    <w:rsid w:val="004A5CBF"/>
    <w:rsid w:val="004B001A"/>
    <w:rsid w:val="004B1AD0"/>
    <w:rsid w:val="004B22C2"/>
    <w:rsid w:val="004B2446"/>
    <w:rsid w:val="004B47E7"/>
    <w:rsid w:val="004B4804"/>
    <w:rsid w:val="004B531A"/>
    <w:rsid w:val="004B7794"/>
    <w:rsid w:val="004C0650"/>
    <w:rsid w:val="004C371C"/>
    <w:rsid w:val="004C3B51"/>
    <w:rsid w:val="004C6926"/>
    <w:rsid w:val="004C6AFA"/>
    <w:rsid w:val="004C7451"/>
    <w:rsid w:val="004D1342"/>
    <w:rsid w:val="004E4BC0"/>
    <w:rsid w:val="004E6483"/>
    <w:rsid w:val="004E78AA"/>
    <w:rsid w:val="004F13BB"/>
    <w:rsid w:val="004F1816"/>
    <w:rsid w:val="004F30B7"/>
    <w:rsid w:val="004F6E08"/>
    <w:rsid w:val="00500601"/>
    <w:rsid w:val="00500D64"/>
    <w:rsid w:val="00504863"/>
    <w:rsid w:val="00505244"/>
    <w:rsid w:val="005057B2"/>
    <w:rsid w:val="005065F0"/>
    <w:rsid w:val="00507AE0"/>
    <w:rsid w:val="00507F11"/>
    <w:rsid w:val="00510592"/>
    <w:rsid w:val="005118BB"/>
    <w:rsid w:val="0051489F"/>
    <w:rsid w:val="00514A7E"/>
    <w:rsid w:val="00514B00"/>
    <w:rsid w:val="00515605"/>
    <w:rsid w:val="00515BB6"/>
    <w:rsid w:val="0051669A"/>
    <w:rsid w:val="005219FD"/>
    <w:rsid w:val="00522B79"/>
    <w:rsid w:val="00523272"/>
    <w:rsid w:val="0052548A"/>
    <w:rsid w:val="0052601A"/>
    <w:rsid w:val="00526264"/>
    <w:rsid w:val="0053499E"/>
    <w:rsid w:val="00536BA3"/>
    <w:rsid w:val="00541542"/>
    <w:rsid w:val="00541A98"/>
    <w:rsid w:val="00541EDC"/>
    <w:rsid w:val="00542BB0"/>
    <w:rsid w:val="00544355"/>
    <w:rsid w:val="0054656B"/>
    <w:rsid w:val="005518BC"/>
    <w:rsid w:val="005568E1"/>
    <w:rsid w:val="00560F3A"/>
    <w:rsid w:val="005628FC"/>
    <w:rsid w:val="00562BA2"/>
    <w:rsid w:val="00563BD3"/>
    <w:rsid w:val="00572306"/>
    <w:rsid w:val="00574DEA"/>
    <w:rsid w:val="005754FE"/>
    <w:rsid w:val="005758A6"/>
    <w:rsid w:val="00575BE5"/>
    <w:rsid w:val="00577989"/>
    <w:rsid w:val="00580B5C"/>
    <w:rsid w:val="00582558"/>
    <w:rsid w:val="00582BFF"/>
    <w:rsid w:val="00583446"/>
    <w:rsid w:val="00583ADB"/>
    <w:rsid w:val="0058475C"/>
    <w:rsid w:val="005867D8"/>
    <w:rsid w:val="00586DAF"/>
    <w:rsid w:val="00590BCB"/>
    <w:rsid w:val="00594961"/>
    <w:rsid w:val="00595924"/>
    <w:rsid w:val="00597D4E"/>
    <w:rsid w:val="005A28BD"/>
    <w:rsid w:val="005A3734"/>
    <w:rsid w:val="005A38B2"/>
    <w:rsid w:val="005A504E"/>
    <w:rsid w:val="005A6049"/>
    <w:rsid w:val="005A7833"/>
    <w:rsid w:val="005B0F5D"/>
    <w:rsid w:val="005B22AD"/>
    <w:rsid w:val="005B463C"/>
    <w:rsid w:val="005B5541"/>
    <w:rsid w:val="005C0287"/>
    <w:rsid w:val="005C29AF"/>
    <w:rsid w:val="005C31E2"/>
    <w:rsid w:val="005C3830"/>
    <w:rsid w:val="005C413D"/>
    <w:rsid w:val="005C5A7A"/>
    <w:rsid w:val="005C65E4"/>
    <w:rsid w:val="005C66E0"/>
    <w:rsid w:val="005C7192"/>
    <w:rsid w:val="005C771E"/>
    <w:rsid w:val="005D1043"/>
    <w:rsid w:val="005D1AF5"/>
    <w:rsid w:val="005D2DBB"/>
    <w:rsid w:val="005D399B"/>
    <w:rsid w:val="005D44D0"/>
    <w:rsid w:val="005D517A"/>
    <w:rsid w:val="005D55FA"/>
    <w:rsid w:val="005D56B7"/>
    <w:rsid w:val="005D6824"/>
    <w:rsid w:val="005E1F6D"/>
    <w:rsid w:val="005E2DB5"/>
    <w:rsid w:val="005E3AD9"/>
    <w:rsid w:val="005E66C6"/>
    <w:rsid w:val="005E67D4"/>
    <w:rsid w:val="005E7515"/>
    <w:rsid w:val="005F2039"/>
    <w:rsid w:val="005F2FAC"/>
    <w:rsid w:val="005F38CD"/>
    <w:rsid w:val="00601CB5"/>
    <w:rsid w:val="00602372"/>
    <w:rsid w:val="006061DF"/>
    <w:rsid w:val="00606D03"/>
    <w:rsid w:val="00607A9D"/>
    <w:rsid w:val="00612EE8"/>
    <w:rsid w:val="0061758A"/>
    <w:rsid w:val="0062169B"/>
    <w:rsid w:val="006217B4"/>
    <w:rsid w:val="006231D6"/>
    <w:rsid w:val="00623CDB"/>
    <w:rsid w:val="00625CB4"/>
    <w:rsid w:val="00625EB7"/>
    <w:rsid w:val="006308E5"/>
    <w:rsid w:val="006312FE"/>
    <w:rsid w:val="00631ED2"/>
    <w:rsid w:val="00633261"/>
    <w:rsid w:val="00634365"/>
    <w:rsid w:val="00634E66"/>
    <w:rsid w:val="00637C33"/>
    <w:rsid w:val="00643534"/>
    <w:rsid w:val="00644ACE"/>
    <w:rsid w:val="00644B42"/>
    <w:rsid w:val="006452C7"/>
    <w:rsid w:val="00647BEC"/>
    <w:rsid w:val="00650734"/>
    <w:rsid w:val="00651BFF"/>
    <w:rsid w:val="0065420E"/>
    <w:rsid w:val="0065462A"/>
    <w:rsid w:val="0065519C"/>
    <w:rsid w:val="006557E7"/>
    <w:rsid w:val="00664538"/>
    <w:rsid w:val="00664839"/>
    <w:rsid w:val="00664D76"/>
    <w:rsid w:val="006662F7"/>
    <w:rsid w:val="00666CF1"/>
    <w:rsid w:val="006700DF"/>
    <w:rsid w:val="0067106E"/>
    <w:rsid w:val="006742B1"/>
    <w:rsid w:val="006814AD"/>
    <w:rsid w:val="00681A14"/>
    <w:rsid w:val="006831ED"/>
    <w:rsid w:val="00683541"/>
    <w:rsid w:val="00683AC7"/>
    <w:rsid w:val="00684801"/>
    <w:rsid w:val="00684F02"/>
    <w:rsid w:val="00686AEE"/>
    <w:rsid w:val="00686CB6"/>
    <w:rsid w:val="00687CA0"/>
    <w:rsid w:val="00691DA0"/>
    <w:rsid w:val="00694FB4"/>
    <w:rsid w:val="006954B3"/>
    <w:rsid w:val="00695640"/>
    <w:rsid w:val="00697986"/>
    <w:rsid w:val="006A144A"/>
    <w:rsid w:val="006A5393"/>
    <w:rsid w:val="006B0DBF"/>
    <w:rsid w:val="006B0F55"/>
    <w:rsid w:val="006B1D64"/>
    <w:rsid w:val="006B2EE7"/>
    <w:rsid w:val="006B3B69"/>
    <w:rsid w:val="006B5648"/>
    <w:rsid w:val="006C162E"/>
    <w:rsid w:val="006C3A82"/>
    <w:rsid w:val="006C3EAF"/>
    <w:rsid w:val="006C492E"/>
    <w:rsid w:val="006C4D98"/>
    <w:rsid w:val="006C524C"/>
    <w:rsid w:val="006C5A1A"/>
    <w:rsid w:val="006D03F4"/>
    <w:rsid w:val="006D40B8"/>
    <w:rsid w:val="006D50A4"/>
    <w:rsid w:val="006D512A"/>
    <w:rsid w:val="006D6795"/>
    <w:rsid w:val="006D6A77"/>
    <w:rsid w:val="006D72EE"/>
    <w:rsid w:val="006E169C"/>
    <w:rsid w:val="006E1BF1"/>
    <w:rsid w:val="006E3130"/>
    <w:rsid w:val="006E6AAE"/>
    <w:rsid w:val="006E6B9F"/>
    <w:rsid w:val="006E765D"/>
    <w:rsid w:val="006F32FB"/>
    <w:rsid w:val="006F5929"/>
    <w:rsid w:val="006F6377"/>
    <w:rsid w:val="006F6D75"/>
    <w:rsid w:val="007007AF"/>
    <w:rsid w:val="007008C5"/>
    <w:rsid w:val="007031B4"/>
    <w:rsid w:val="007053B3"/>
    <w:rsid w:val="007060A8"/>
    <w:rsid w:val="00706D2A"/>
    <w:rsid w:val="00713CCB"/>
    <w:rsid w:val="007142C5"/>
    <w:rsid w:val="00714EAC"/>
    <w:rsid w:val="00716B90"/>
    <w:rsid w:val="007170B2"/>
    <w:rsid w:val="00717CED"/>
    <w:rsid w:val="00720877"/>
    <w:rsid w:val="00720D81"/>
    <w:rsid w:val="00721C8D"/>
    <w:rsid w:val="00722014"/>
    <w:rsid w:val="00724E99"/>
    <w:rsid w:val="00727BA3"/>
    <w:rsid w:val="00730A8E"/>
    <w:rsid w:val="00731A80"/>
    <w:rsid w:val="00731F36"/>
    <w:rsid w:val="00734428"/>
    <w:rsid w:val="00744BF6"/>
    <w:rsid w:val="007457C2"/>
    <w:rsid w:val="00745EA7"/>
    <w:rsid w:val="007512DA"/>
    <w:rsid w:val="00752D08"/>
    <w:rsid w:val="00753FA5"/>
    <w:rsid w:val="00754D0B"/>
    <w:rsid w:val="00756B4A"/>
    <w:rsid w:val="007578F5"/>
    <w:rsid w:val="007608C5"/>
    <w:rsid w:val="007632CC"/>
    <w:rsid w:val="00764CC0"/>
    <w:rsid w:val="0076612D"/>
    <w:rsid w:val="00766C97"/>
    <w:rsid w:val="007702BB"/>
    <w:rsid w:val="00772B62"/>
    <w:rsid w:val="0077481C"/>
    <w:rsid w:val="00776986"/>
    <w:rsid w:val="00776D11"/>
    <w:rsid w:val="0078245F"/>
    <w:rsid w:val="00782C75"/>
    <w:rsid w:val="00784316"/>
    <w:rsid w:val="00792138"/>
    <w:rsid w:val="00796C4D"/>
    <w:rsid w:val="00796D7F"/>
    <w:rsid w:val="00796DA6"/>
    <w:rsid w:val="007A06D1"/>
    <w:rsid w:val="007A1D87"/>
    <w:rsid w:val="007A24DA"/>
    <w:rsid w:val="007A51AB"/>
    <w:rsid w:val="007A741B"/>
    <w:rsid w:val="007B4767"/>
    <w:rsid w:val="007C0EE5"/>
    <w:rsid w:val="007C4C3A"/>
    <w:rsid w:val="007D0546"/>
    <w:rsid w:val="007D3781"/>
    <w:rsid w:val="007D37B1"/>
    <w:rsid w:val="007D4BD8"/>
    <w:rsid w:val="007D6783"/>
    <w:rsid w:val="007E3840"/>
    <w:rsid w:val="007E3D67"/>
    <w:rsid w:val="007E4550"/>
    <w:rsid w:val="007E56AF"/>
    <w:rsid w:val="007F0629"/>
    <w:rsid w:val="007F2F2A"/>
    <w:rsid w:val="007F5BF6"/>
    <w:rsid w:val="007F695E"/>
    <w:rsid w:val="0080297A"/>
    <w:rsid w:val="00806662"/>
    <w:rsid w:val="00807122"/>
    <w:rsid w:val="008100D2"/>
    <w:rsid w:val="008122B0"/>
    <w:rsid w:val="00813559"/>
    <w:rsid w:val="00816048"/>
    <w:rsid w:val="008162AA"/>
    <w:rsid w:val="00816B48"/>
    <w:rsid w:val="0081754C"/>
    <w:rsid w:val="00820F53"/>
    <w:rsid w:val="008223B7"/>
    <w:rsid w:val="00824633"/>
    <w:rsid w:val="00825FBC"/>
    <w:rsid w:val="00833062"/>
    <w:rsid w:val="0083547B"/>
    <w:rsid w:val="00835802"/>
    <w:rsid w:val="0083661F"/>
    <w:rsid w:val="0083765C"/>
    <w:rsid w:val="008448C9"/>
    <w:rsid w:val="00845A4D"/>
    <w:rsid w:val="00847930"/>
    <w:rsid w:val="00852A45"/>
    <w:rsid w:val="00855FBE"/>
    <w:rsid w:val="00857F3A"/>
    <w:rsid w:val="0086614B"/>
    <w:rsid w:val="00866EE1"/>
    <w:rsid w:val="0086700F"/>
    <w:rsid w:val="0086759E"/>
    <w:rsid w:val="00871636"/>
    <w:rsid w:val="0087190B"/>
    <w:rsid w:val="0087391C"/>
    <w:rsid w:val="00874F36"/>
    <w:rsid w:val="00880B70"/>
    <w:rsid w:val="00881D75"/>
    <w:rsid w:val="00882359"/>
    <w:rsid w:val="008826B2"/>
    <w:rsid w:val="00885C1E"/>
    <w:rsid w:val="00885D10"/>
    <w:rsid w:val="0088716B"/>
    <w:rsid w:val="008873B0"/>
    <w:rsid w:val="00891073"/>
    <w:rsid w:val="008919F6"/>
    <w:rsid w:val="00893016"/>
    <w:rsid w:val="0089471D"/>
    <w:rsid w:val="00894AF7"/>
    <w:rsid w:val="00895BC7"/>
    <w:rsid w:val="00897633"/>
    <w:rsid w:val="00897639"/>
    <w:rsid w:val="008A0C16"/>
    <w:rsid w:val="008A1599"/>
    <w:rsid w:val="008A1F29"/>
    <w:rsid w:val="008A2BB1"/>
    <w:rsid w:val="008A4818"/>
    <w:rsid w:val="008B0D1A"/>
    <w:rsid w:val="008B1708"/>
    <w:rsid w:val="008B4C4E"/>
    <w:rsid w:val="008B7937"/>
    <w:rsid w:val="008B7D3C"/>
    <w:rsid w:val="008C083D"/>
    <w:rsid w:val="008C0B44"/>
    <w:rsid w:val="008C1294"/>
    <w:rsid w:val="008C1987"/>
    <w:rsid w:val="008C43B1"/>
    <w:rsid w:val="008C5945"/>
    <w:rsid w:val="008C5D31"/>
    <w:rsid w:val="008C7EDC"/>
    <w:rsid w:val="008D026F"/>
    <w:rsid w:val="008D1155"/>
    <w:rsid w:val="008D7EA0"/>
    <w:rsid w:val="008E11DB"/>
    <w:rsid w:val="008E4E16"/>
    <w:rsid w:val="008E68C9"/>
    <w:rsid w:val="008E6ECE"/>
    <w:rsid w:val="008F16CB"/>
    <w:rsid w:val="008F2614"/>
    <w:rsid w:val="008F4CC6"/>
    <w:rsid w:val="008F51EA"/>
    <w:rsid w:val="008F5C6E"/>
    <w:rsid w:val="008F5E5D"/>
    <w:rsid w:val="008F6A33"/>
    <w:rsid w:val="009012BB"/>
    <w:rsid w:val="00901F50"/>
    <w:rsid w:val="009029E5"/>
    <w:rsid w:val="00902ED1"/>
    <w:rsid w:val="009031B2"/>
    <w:rsid w:val="00905AD2"/>
    <w:rsid w:val="00906543"/>
    <w:rsid w:val="009066D6"/>
    <w:rsid w:val="009078D6"/>
    <w:rsid w:val="00907AF3"/>
    <w:rsid w:val="00911BC6"/>
    <w:rsid w:val="00911F3F"/>
    <w:rsid w:val="00914808"/>
    <w:rsid w:val="00914CBD"/>
    <w:rsid w:val="00917598"/>
    <w:rsid w:val="0091783C"/>
    <w:rsid w:val="00917C2F"/>
    <w:rsid w:val="00921EE4"/>
    <w:rsid w:val="00922188"/>
    <w:rsid w:val="00925F67"/>
    <w:rsid w:val="0092679C"/>
    <w:rsid w:val="00926B63"/>
    <w:rsid w:val="009301D5"/>
    <w:rsid w:val="00930F06"/>
    <w:rsid w:val="00931158"/>
    <w:rsid w:val="0093146B"/>
    <w:rsid w:val="009345AB"/>
    <w:rsid w:val="00934B05"/>
    <w:rsid w:val="0093569A"/>
    <w:rsid w:val="009362FA"/>
    <w:rsid w:val="00936821"/>
    <w:rsid w:val="00937E72"/>
    <w:rsid w:val="0094013F"/>
    <w:rsid w:val="009411FE"/>
    <w:rsid w:val="009448FF"/>
    <w:rsid w:val="00945962"/>
    <w:rsid w:val="00946553"/>
    <w:rsid w:val="00946818"/>
    <w:rsid w:val="009534A2"/>
    <w:rsid w:val="00954D93"/>
    <w:rsid w:val="00961F49"/>
    <w:rsid w:val="009628C6"/>
    <w:rsid w:val="009640E5"/>
    <w:rsid w:val="00964B16"/>
    <w:rsid w:val="0096787D"/>
    <w:rsid w:val="009704E8"/>
    <w:rsid w:val="009711A7"/>
    <w:rsid w:val="00971A24"/>
    <w:rsid w:val="0097339F"/>
    <w:rsid w:val="00975567"/>
    <w:rsid w:val="00976811"/>
    <w:rsid w:val="00976DBB"/>
    <w:rsid w:val="00980C64"/>
    <w:rsid w:val="00981B3D"/>
    <w:rsid w:val="0098303F"/>
    <w:rsid w:val="009843D6"/>
    <w:rsid w:val="009844D7"/>
    <w:rsid w:val="0098478B"/>
    <w:rsid w:val="00986290"/>
    <w:rsid w:val="009915A3"/>
    <w:rsid w:val="00991739"/>
    <w:rsid w:val="00992005"/>
    <w:rsid w:val="00992616"/>
    <w:rsid w:val="0099309E"/>
    <w:rsid w:val="0099314C"/>
    <w:rsid w:val="009935C3"/>
    <w:rsid w:val="009939CC"/>
    <w:rsid w:val="00994154"/>
    <w:rsid w:val="009A22E6"/>
    <w:rsid w:val="009A485F"/>
    <w:rsid w:val="009A73A5"/>
    <w:rsid w:val="009B0F7B"/>
    <w:rsid w:val="009B186D"/>
    <w:rsid w:val="009B216B"/>
    <w:rsid w:val="009B224E"/>
    <w:rsid w:val="009B3747"/>
    <w:rsid w:val="009B421D"/>
    <w:rsid w:val="009C13A7"/>
    <w:rsid w:val="009C2F01"/>
    <w:rsid w:val="009C4207"/>
    <w:rsid w:val="009D1249"/>
    <w:rsid w:val="009D34CC"/>
    <w:rsid w:val="009D3DC3"/>
    <w:rsid w:val="009D3F18"/>
    <w:rsid w:val="009E6CC5"/>
    <w:rsid w:val="009E6E7E"/>
    <w:rsid w:val="009F08A9"/>
    <w:rsid w:val="009F1793"/>
    <w:rsid w:val="009F2C3F"/>
    <w:rsid w:val="009F5C09"/>
    <w:rsid w:val="00A0030B"/>
    <w:rsid w:val="00A031A6"/>
    <w:rsid w:val="00A058EA"/>
    <w:rsid w:val="00A067C0"/>
    <w:rsid w:val="00A146F4"/>
    <w:rsid w:val="00A15877"/>
    <w:rsid w:val="00A161AC"/>
    <w:rsid w:val="00A173C9"/>
    <w:rsid w:val="00A204AD"/>
    <w:rsid w:val="00A20694"/>
    <w:rsid w:val="00A22934"/>
    <w:rsid w:val="00A2342A"/>
    <w:rsid w:val="00A244AA"/>
    <w:rsid w:val="00A25922"/>
    <w:rsid w:val="00A25C85"/>
    <w:rsid w:val="00A30E5D"/>
    <w:rsid w:val="00A32299"/>
    <w:rsid w:val="00A33CB8"/>
    <w:rsid w:val="00A34EE3"/>
    <w:rsid w:val="00A36FAF"/>
    <w:rsid w:val="00A40701"/>
    <w:rsid w:val="00A40BB7"/>
    <w:rsid w:val="00A426CF"/>
    <w:rsid w:val="00A43877"/>
    <w:rsid w:val="00A44D83"/>
    <w:rsid w:val="00A466AF"/>
    <w:rsid w:val="00A50F02"/>
    <w:rsid w:val="00A53099"/>
    <w:rsid w:val="00A534F1"/>
    <w:rsid w:val="00A5388D"/>
    <w:rsid w:val="00A57B76"/>
    <w:rsid w:val="00A57EDF"/>
    <w:rsid w:val="00A604B6"/>
    <w:rsid w:val="00A60EC3"/>
    <w:rsid w:val="00A61E40"/>
    <w:rsid w:val="00A628E6"/>
    <w:rsid w:val="00A62F98"/>
    <w:rsid w:val="00A6465B"/>
    <w:rsid w:val="00A667E0"/>
    <w:rsid w:val="00A668F5"/>
    <w:rsid w:val="00A700E3"/>
    <w:rsid w:val="00A7155C"/>
    <w:rsid w:val="00A71A78"/>
    <w:rsid w:val="00A72715"/>
    <w:rsid w:val="00A74798"/>
    <w:rsid w:val="00A74939"/>
    <w:rsid w:val="00A77247"/>
    <w:rsid w:val="00A7751E"/>
    <w:rsid w:val="00A81461"/>
    <w:rsid w:val="00A819CE"/>
    <w:rsid w:val="00A829A2"/>
    <w:rsid w:val="00A845EF"/>
    <w:rsid w:val="00A86BED"/>
    <w:rsid w:val="00A90D67"/>
    <w:rsid w:val="00A91ACE"/>
    <w:rsid w:val="00A9216B"/>
    <w:rsid w:val="00A9546E"/>
    <w:rsid w:val="00A95D57"/>
    <w:rsid w:val="00A97D57"/>
    <w:rsid w:val="00AA25D9"/>
    <w:rsid w:val="00AA3AD3"/>
    <w:rsid w:val="00AA4708"/>
    <w:rsid w:val="00AA6BCF"/>
    <w:rsid w:val="00AA6D98"/>
    <w:rsid w:val="00AB0B28"/>
    <w:rsid w:val="00AB0CF6"/>
    <w:rsid w:val="00AB4BC0"/>
    <w:rsid w:val="00AB4E28"/>
    <w:rsid w:val="00AB7410"/>
    <w:rsid w:val="00AB7750"/>
    <w:rsid w:val="00AC25ED"/>
    <w:rsid w:val="00AC2667"/>
    <w:rsid w:val="00AC2A2A"/>
    <w:rsid w:val="00AC3664"/>
    <w:rsid w:val="00AC3676"/>
    <w:rsid w:val="00AC3DA9"/>
    <w:rsid w:val="00AC4D6F"/>
    <w:rsid w:val="00AC645B"/>
    <w:rsid w:val="00AC7003"/>
    <w:rsid w:val="00AC7A50"/>
    <w:rsid w:val="00AC7B96"/>
    <w:rsid w:val="00AC7F91"/>
    <w:rsid w:val="00AD1E18"/>
    <w:rsid w:val="00AD5259"/>
    <w:rsid w:val="00AD5897"/>
    <w:rsid w:val="00AD5AA0"/>
    <w:rsid w:val="00AD5ADC"/>
    <w:rsid w:val="00AE090F"/>
    <w:rsid w:val="00AE0A3B"/>
    <w:rsid w:val="00AE2F5B"/>
    <w:rsid w:val="00AF04F1"/>
    <w:rsid w:val="00AF6B5C"/>
    <w:rsid w:val="00B007EB"/>
    <w:rsid w:val="00B02E76"/>
    <w:rsid w:val="00B03D9F"/>
    <w:rsid w:val="00B0616B"/>
    <w:rsid w:val="00B076A6"/>
    <w:rsid w:val="00B129A1"/>
    <w:rsid w:val="00B151CC"/>
    <w:rsid w:val="00B17523"/>
    <w:rsid w:val="00B24FCC"/>
    <w:rsid w:val="00B254D2"/>
    <w:rsid w:val="00B317DB"/>
    <w:rsid w:val="00B32324"/>
    <w:rsid w:val="00B3444C"/>
    <w:rsid w:val="00B348E3"/>
    <w:rsid w:val="00B4248C"/>
    <w:rsid w:val="00B428C3"/>
    <w:rsid w:val="00B471C1"/>
    <w:rsid w:val="00B51C85"/>
    <w:rsid w:val="00B535A0"/>
    <w:rsid w:val="00B53CBC"/>
    <w:rsid w:val="00B53D6F"/>
    <w:rsid w:val="00B56F07"/>
    <w:rsid w:val="00B57985"/>
    <w:rsid w:val="00B57A2A"/>
    <w:rsid w:val="00B60625"/>
    <w:rsid w:val="00B627CB"/>
    <w:rsid w:val="00B65D65"/>
    <w:rsid w:val="00B6602A"/>
    <w:rsid w:val="00B669B9"/>
    <w:rsid w:val="00B677A4"/>
    <w:rsid w:val="00B751AC"/>
    <w:rsid w:val="00B75AC2"/>
    <w:rsid w:val="00B77042"/>
    <w:rsid w:val="00B775C9"/>
    <w:rsid w:val="00B8126E"/>
    <w:rsid w:val="00B83C02"/>
    <w:rsid w:val="00B8682E"/>
    <w:rsid w:val="00B868C5"/>
    <w:rsid w:val="00B87C76"/>
    <w:rsid w:val="00B907C2"/>
    <w:rsid w:val="00B923A5"/>
    <w:rsid w:val="00B927E5"/>
    <w:rsid w:val="00B92AC8"/>
    <w:rsid w:val="00B93DEB"/>
    <w:rsid w:val="00B97369"/>
    <w:rsid w:val="00BA076D"/>
    <w:rsid w:val="00BA1CDD"/>
    <w:rsid w:val="00BA31BE"/>
    <w:rsid w:val="00BA50C7"/>
    <w:rsid w:val="00BA5F2E"/>
    <w:rsid w:val="00BB1877"/>
    <w:rsid w:val="00BB1B3A"/>
    <w:rsid w:val="00BB5E2F"/>
    <w:rsid w:val="00BB5FAC"/>
    <w:rsid w:val="00BC0BF7"/>
    <w:rsid w:val="00BC2133"/>
    <w:rsid w:val="00BC3C04"/>
    <w:rsid w:val="00BC3D85"/>
    <w:rsid w:val="00BC429F"/>
    <w:rsid w:val="00BC54B5"/>
    <w:rsid w:val="00BC6A67"/>
    <w:rsid w:val="00BC7CA5"/>
    <w:rsid w:val="00BD08BF"/>
    <w:rsid w:val="00BD2399"/>
    <w:rsid w:val="00BD24D9"/>
    <w:rsid w:val="00BD44E7"/>
    <w:rsid w:val="00BD4939"/>
    <w:rsid w:val="00BD66DD"/>
    <w:rsid w:val="00BE0CFE"/>
    <w:rsid w:val="00BE1D14"/>
    <w:rsid w:val="00BE23E2"/>
    <w:rsid w:val="00BE269B"/>
    <w:rsid w:val="00BE30FE"/>
    <w:rsid w:val="00BE6DBF"/>
    <w:rsid w:val="00BE75C6"/>
    <w:rsid w:val="00BF077E"/>
    <w:rsid w:val="00BF1FCE"/>
    <w:rsid w:val="00BF5E85"/>
    <w:rsid w:val="00C00972"/>
    <w:rsid w:val="00C01428"/>
    <w:rsid w:val="00C0239C"/>
    <w:rsid w:val="00C024AD"/>
    <w:rsid w:val="00C032B2"/>
    <w:rsid w:val="00C06909"/>
    <w:rsid w:val="00C12443"/>
    <w:rsid w:val="00C124B8"/>
    <w:rsid w:val="00C1348D"/>
    <w:rsid w:val="00C13D42"/>
    <w:rsid w:val="00C16A18"/>
    <w:rsid w:val="00C172C8"/>
    <w:rsid w:val="00C2091E"/>
    <w:rsid w:val="00C20E5F"/>
    <w:rsid w:val="00C2665B"/>
    <w:rsid w:val="00C27A12"/>
    <w:rsid w:val="00C3025D"/>
    <w:rsid w:val="00C327BD"/>
    <w:rsid w:val="00C336F6"/>
    <w:rsid w:val="00C33742"/>
    <w:rsid w:val="00C3485D"/>
    <w:rsid w:val="00C355EE"/>
    <w:rsid w:val="00C4015E"/>
    <w:rsid w:val="00C414EC"/>
    <w:rsid w:val="00C42309"/>
    <w:rsid w:val="00C443AA"/>
    <w:rsid w:val="00C44425"/>
    <w:rsid w:val="00C44BB5"/>
    <w:rsid w:val="00C504A9"/>
    <w:rsid w:val="00C504EE"/>
    <w:rsid w:val="00C527C7"/>
    <w:rsid w:val="00C546C7"/>
    <w:rsid w:val="00C55DD7"/>
    <w:rsid w:val="00C63E1C"/>
    <w:rsid w:val="00C6608A"/>
    <w:rsid w:val="00C66D29"/>
    <w:rsid w:val="00C74459"/>
    <w:rsid w:val="00C75EA4"/>
    <w:rsid w:val="00C77049"/>
    <w:rsid w:val="00C83AD9"/>
    <w:rsid w:val="00C83B85"/>
    <w:rsid w:val="00C83E16"/>
    <w:rsid w:val="00C87BF3"/>
    <w:rsid w:val="00C91359"/>
    <w:rsid w:val="00C91866"/>
    <w:rsid w:val="00C92FAE"/>
    <w:rsid w:val="00C9570F"/>
    <w:rsid w:val="00C97685"/>
    <w:rsid w:val="00CA0275"/>
    <w:rsid w:val="00CA331D"/>
    <w:rsid w:val="00CA4855"/>
    <w:rsid w:val="00CB06ED"/>
    <w:rsid w:val="00CB271E"/>
    <w:rsid w:val="00CB42EE"/>
    <w:rsid w:val="00CB77EF"/>
    <w:rsid w:val="00CB7D3F"/>
    <w:rsid w:val="00CC0270"/>
    <w:rsid w:val="00CC0423"/>
    <w:rsid w:val="00CC36E2"/>
    <w:rsid w:val="00CC3EB9"/>
    <w:rsid w:val="00CC5CFF"/>
    <w:rsid w:val="00CC64C5"/>
    <w:rsid w:val="00CD141C"/>
    <w:rsid w:val="00CD19DC"/>
    <w:rsid w:val="00CD1C86"/>
    <w:rsid w:val="00CD4256"/>
    <w:rsid w:val="00CD5B10"/>
    <w:rsid w:val="00CE2D56"/>
    <w:rsid w:val="00CE2FB2"/>
    <w:rsid w:val="00CE545C"/>
    <w:rsid w:val="00CE7B47"/>
    <w:rsid w:val="00CF0C8D"/>
    <w:rsid w:val="00CF1CAD"/>
    <w:rsid w:val="00CF1ED0"/>
    <w:rsid w:val="00CF3884"/>
    <w:rsid w:val="00CF638B"/>
    <w:rsid w:val="00D03849"/>
    <w:rsid w:val="00D05923"/>
    <w:rsid w:val="00D06419"/>
    <w:rsid w:val="00D075A5"/>
    <w:rsid w:val="00D119BA"/>
    <w:rsid w:val="00D13464"/>
    <w:rsid w:val="00D13579"/>
    <w:rsid w:val="00D13604"/>
    <w:rsid w:val="00D13FAE"/>
    <w:rsid w:val="00D14D4F"/>
    <w:rsid w:val="00D17AA2"/>
    <w:rsid w:val="00D21B5A"/>
    <w:rsid w:val="00D21D79"/>
    <w:rsid w:val="00D26316"/>
    <w:rsid w:val="00D30B82"/>
    <w:rsid w:val="00D32439"/>
    <w:rsid w:val="00D3277D"/>
    <w:rsid w:val="00D330DC"/>
    <w:rsid w:val="00D377B1"/>
    <w:rsid w:val="00D418EC"/>
    <w:rsid w:val="00D448EC"/>
    <w:rsid w:val="00D45A1E"/>
    <w:rsid w:val="00D45CA0"/>
    <w:rsid w:val="00D50C0E"/>
    <w:rsid w:val="00D524AC"/>
    <w:rsid w:val="00D56AB5"/>
    <w:rsid w:val="00D61453"/>
    <w:rsid w:val="00D617F5"/>
    <w:rsid w:val="00D6646D"/>
    <w:rsid w:val="00D67009"/>
    <w:rsid w:val="00D7241F"/>
    <w:rsid w:val="00D740E1"/>
    <w:rsid w:val="00D768D3"/>
    <w:rsid w:val="00D7707D"/>
    <w:rsid w:val="00D81A6E"/>
    <w:rsid w:val="00D831F8"/>
    <w:rsid w:val="00D859A4"/>
    <w:rsid w:val="00D93608"/>
    <w:rsid w:val="00D94914"/>
    <w:rsid w:val="00DA062F"/>
    <w:rsid w:val="00DA22C7"/>
    <w:rsid w:val="00DA4B84"/>
    <w:rsid w:val="00DA4F7F"/>
    <w:rsid w:val="00DA5979"/>
    <w:rsid w:val="00DB0466"/>
    <w:rsid w:val="00DB1CFF"/>
    <w:rsid w:val="00DB3D64"/>
    <w:rsid w:val="00DB45A2"/>
    <w:rsid w:val="00DB62B2"/>
    <w:rsid w:val="00DB6303"/>
    <w:rsid w:val="00DB6CE4"/>
    <w:rsid w:val="00DB7165"/>
    <w:rsid w:val="00DB77DE"/>
    <w:rsid w:val="00DC3C32"/>
    <w:rsid w:val="00DC5B09"/>
    <w:rsid w:val="00DC65E6"/>
    <w:rsid w:val="00DC724F"/>
    <w:rsid w:val="00DD23A4"/>
    <w:rsid w:val="00DD2A51"/>
    <w:rsid w:val="00DD2C12"/>
    <w:rsid w:val="00DD4410"/>
    <w:rsid w:val="00DD7107"/>
    <w:rsid w:val="00DE26DC"/>
    <w:rsid w:val="00DE36B0"/>
    <w:rsid w:val="00DE4501"/>
    <w:rsid w:val="00DE4A65"/>
    <w:rsid w:val="00DE722F"/>
    <w:rsid w:val="00DF0EB4"/>
    <w:rsid w:val="00DF3AE2"/>
    <w:rsid w:val="00DF4909"/>
    <w:rsid w:val="00DF5172"/>
    <w:rsid w:val="00DF5460"/>
    <w:rsid w:val="00DF67C0"/>
    <w:rsid w:val="00E04D13"/>
    <w:rsid w:val="00E0683F"/>
    <w:rsid w:val="00E06E43"/>
    <w:rsid w:val="00E06EE2"/>
    <w:rsid w:val="00E07675"/>
    <w:rsid w:val="00E11FAD"/>
    <w:rsid w:val="00E13CD9"/>
    <w:rsid w:val="00E142D7"/>
    <w:rsid w:val="00E151E5"/>
    <w:rsid w:val="00E15EA4"/>
    <w:rsid w:val="00E20E76"/>
    <w:rsid w:val="00E226B2"/>
    <w:rsid w:val="00E2505F"/>
    <w:rsid w:val="00E25BC8"/>
    <w:rsid w:val="00E272A7"/>
    <w:rsid w:val="00E307E0"/>
    <w:rsid w:val="00E31FF2"/>
    <w:rsid w:val="00E324EA"/>
    <w:rsid w:val="00E3370E"/>
    <w:rsid w:val="00E3382A"/>
    <w:rsid w:val="00E353B6"/>
    <w:rsid w:val="00E406D6"/>
    <w:rsid w:val="00E40F32"/>
    <w:rsid w:val="00E43550"/>
    <w:rsid w:val="00E4362F"/>
    <w:rsid w:val="00E43DB5"/>
    <w:rsid w:val="00E464A3"/>
    <w:rsid w:val="00E47EDC"/>
    <w:rsid w:val="00E50A1A"/>
    <w:rsid w:val="00E5479B"/>
    <w:rsid w:val="00E547FE"/>
    <w:rsid w:val="00E54AA9"/>
    <w:rsid w:val="00E557DB"/>
    <w:rsid w:val="00E56E2F"/>
    <w:rsid w:val="00E601C1"/>
    <w:rsid w:val="00E61543"/>
    <w:rsid w:val="00E61869"/>
    <w:rsid w:val="00E624E8"/>
    <w:rsid w:val="00E641B1"/>
    <w:rsid w:val="00E64ECC"/>
    <w:rsid w:val="00E66F33"/>
    <w:rsid w:val="00E70F8C"/>
    <w:rsid w:val="00E710D1"/>
    <w:rsid w:val="00E71451"/>
    <w:rsid w:val="00E72729"/>
    <w:rsid w:val="00E773EC"/>
    <w:rsid w:val="00E81175"/>
    <w:rsid w:val="00E817E6"/>
    <w:rsid w:val="00E95904"/>
    <w:rsid w:val="00E960CD"/>
    <w:rsid w:val="00E971F2"/>
    <w:rsid w:val="00E9774A"/>
    <w:rsid w:val="00EA2548"/>
    <w:rsid w:val="00EA2679"/>
    <w:rsid w:val="00EA43F7"/>
    <w:rsid w:val="00EB241E"/>
    <w:rsid w:val="00EB28E4"/>
    <w:rsid w:val="00EB4088"/>
    <w:rsid w:val="00EB6D56"/>
    <w:rsid w:val="00EB7CED"/>
    <w:rsid w:val="00EC2D97"/>
    <w:rsid w:val="00EC3D95"/>
    <w:rsid w:val="00EC44CB"/>
    <w:rsid w:val="00EC48E0"/>
    <w:rsid w:val="00EC505C"/>
    <w:rsid w:val="00EC6C2E"/>
    <w:rsid w:val="00ED0C83"/>
    <w:rsid w:val="00ED0D6B"/>
    <w:rsid w:val="00ED2EBA"/>
    <w:rsid w:val="00ED31D1"/>
    <w:rsid w:val="00ED334C"/>
    <w:rsid w:val="00ED37B6"/>
    <w:rsid w:val="00ED55C9"/>
    <w:rsid w:val="00ED5690"/>
    <w:rsid w:val="00ED5C5B"/>
    <w:rsid w:val="00ED5EA2"/>
    <w:rsid w:val="00EE0CBD"/>
    <w:rsid w:val="00EE1BC5"/>
    <w:rsid w:val="00EE2863"/>
    <w:rsid w:val="00EE38DE"/>
    <w:rsid w:val="00EE6522"/>
    <w:rsid w:val="00EE6B6B"/>
    <w:rsid w:val="00EF0D88"/>
    <w:rsid w:val="00EF219F"/>
    <w:rsid w:val="00EF3480"/>
    <w:rsid w:val="00EF444E"/>
    <w:rsid w:val="00F015E4"/>
    <w:rsid w:val="00F02C3E"/>
    <w:rsid w:val="00F03205"/>
    <w:rsid w:val="00F04F84"/>
    <w:rsid w:val="00F063F1"/>
    <w:rsid w:val="00F07E07"/>
    <w:rsid w:val="00F10E34"/>
    <w:rsid w:val="00F113B1"/>
    <w:rsid w:val="00F1432A"/>
    <w:rsid w:val="00F1577A"/>
    <w:rsid w:val="00F15FB1"/>
    <w:rsid w:val="00F166F5"/>
    <w:rsid w:val="00F16B26"/>
    <w:rsid w:val="00F16B51"/>
    <w:rsid w:val="00F177F3"/>
    <w:rsid w:val="00F201D6"/>
    <w:rsid w:val="00F223C3"/>
    <w:rsid w:val="00F2269D"/>
    <w:rsid w:val="00F2522C"/>
    <w:rsid w:val="00F25FC1"/>
    <w:rsid w:val="00F262EF"/>
    <w:rsid w:val="00F36774"/>
    <w:rsid w:val="00F36C74"/>
    <w:rsid w:val="00F40A80"/>
    <w:rsid w:val="00F40AA9"/>
    <w:rsid w:val="00F418CA"/>
    <w:rsid w:val="00F41E42"/>
    <w:rsid w:val="00F421E4"/>
    <w:rsid w:val="00F50236"/>
    <w:rsid w:val="00F52916"/>
    <w:rsid w:val="00F52CB9"/>
    <w:rsid w:val="00F56D2B"/>
    <w:rsid w:val="00F63FD8"/>
    <w:rsid w:val="00F664DB"/>
    <w:rsid w:val="00F71AA8"/>
    <w:rsid w:val="00F7275E"/>
    <w:rsid w:val="00F831EA"/>
    <w:rsid w:val="00F83DF1"/>
    <w:rsid w:val="00F84537"/>
    <w:rsid w:val="00F86164"/>
    <w:rsid w:val="00F874FF"/>
    <w:rsid w:val="00F91C1A"/>
    <w:rsid w:val="00F928D1"/>
    <w:rsid w:val="00F937E0"/>
    <w:rsid w:val="00F94607"/>
    <w:rsid w:val="00F9480C"/>
    <w:rsid w:val="00F95F21"/>
    <w:rsid w:val="00F97219"/>
    <w:rsid w:val="00F97CD5"/>
    <w:rsid w:val="00FA0ADE"/>
    <w:rsid w:val="00FA17F8"/>
    <w:rsid w:val="00FA27C9"/>
    <w:rsid w:val="00FA5AAB"/>
    <w:rsid w:val="00FA6A90"/>
    <w:rsid w:val="00FA6AEA"/>
    <w:rsid w:val="00FA79FE"/>
    <w:rsid w:val="00FB0531"/>
    <w:rsid w:val="00FB0F1E"/>
    <w:rsid w:val="00FB0FEC"/>
    <w:rsid w:val="00FB18AA"/>
    <w:rsid w:val="00FB18E4"/>
    <w:rsid w:val="00FB22C5"/>
    <w:rsid w:val="00FB3AA7"/>
    <w:rsid w:val="00FB5140"/>
    <w:rsid w:val="00FB5925"/>
    <w:rsid w:val="00FB5BDD"/>
    <w:rsid w:val="00FB5EA7"/>
    <w:rsid w:val="00FC04BB"/>
    <w:rsid w:val="00FC41BC"/>
    <w:rsid w:val="00FC4A37"/>
    <w:rsid w:val="00FC7011"/>
    <w:rsid w:val="00FD1B96"/>
    <w:rsid w:val="00FD1FE0"/>
    <w:rsid w:val="00FD346B"/>
    <w:rsid w:val="00FD3953"/>
    <w:rsid w:val="00FD3E10"/>
    <w:rsid w:val="00FD4FCC"/>
    <w:rsid w:val="00FD71AC"/>
    <w:rsid w:val="00FE10FA"/>
    <w:rsid w:val="00FE1926"/>
    <w:rsid w:val="00FE1DD3"/>
    <w:rsid w:val="00FE34B0"/>
    <w:rsid w:val="00FE4658"/>
    <w:rsid w:val="00FE49B9"/>
    <w:rsid w:val="00FE706A"/>
    <w:rsid w:val="00FF0C62"/>
    <w:rsid w:val="00FF6E96"/>
    <w:rsid w:val="00FF78DD"/>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0D690E9-74BE-4763-8C74-B674DB0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AC"/>
    <w:pPr>
      <w:ind w:left="720"/>
      <w:contextualSpacing/>
    </w:pPr>
  </w:style>
  <w:style w:type="character" w:styleId="Strong">
    <w:name w:val="Strong"/>
    <w:uiPriority w:val="22"/>
    <w:qFormat/>
    <w:rsid w:val="001F155F"/>
    <w:rPr>
      <w:b/>
      <w:bCs/>
    </w:rPr>
  </w:style>
  <w:style w:type="paragraph" w:styleId="BalloonText">
    <w:name w:val="Balloon Text"/>
    <w:basedOn w:val="Normal"/>
    <w:link w:val="BalloonTextChar"/>
    <w:uiPriority w:val="99"/>
    <w:semiHidden/>
    <w:unhideWhenUsed/>
    <w:rsid w:val="00954D9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54D93"/>
    <w:rPr>
      <w:rFonts w:ascii="Tahoma" w:hAnsi="Tahoma" w:cs="Tahoma"/>
      <w:sz w:val="16"/>
      <w:szCs w:val="16"/>
      <w:lang w:eastAsia="en-US"/>
    </w:rPr>
  </w:style>
  <w:style w:type="character" w:styleId="CommentReference">
    <w:name w:val="annotation reference"/>
    <w:uiPriority w:val="99"/>
    <w:semiHidden/>
    <w:unhideWhenUsed/>
    <w:rsid w:val="005219FD"/>
    <w:rPr>
      <w:sz w:val="16"/>
      <w:szCs w:val="16"/>
    </w:rPr>
  </w:style>
  <w:style w:type="paragraph" w:styleId="CommentText">
    <w:name w:val="annotation text"/>
    <w:basedOn w:val="Normal"/>
    <w:link w:val="CommentTextChar"/>
    <w:uiPriority w:val="99"/>
    <w:semiHidden/>
    <w:unhideWhenUsed/>
    <w:rsid w:val="005219FD"/>
    <w:pPr>
      <w:spacing w:line="240" w:lineRule="auto"/>
    </w:pPr>
    <w:rPr>
      <w:sz w:val="20"/>
      <w:szCs w:val="20"/>
      <w:lang w:val="x-none"/>
    </w:rPr>
  </w:style>
  <w:style w:type="character" w:customStyle="1" w:styleId="CommentTextChar">
    <w:name w:val="Comment Text Char"/>
    <w:link w:val="CommentText"/>
    <w:uiPriority w:val="99"/>
    <w:semiHidden/>
    <w:rsid w:val="005219FD"/>
    <w:rPr>
      <w:lang w:eastAsia="en-US"/>
    </w:rPr>
  </w:style>
  <w:style w:type="paragraph" w:styleId="CommentSubject">
    <w:name w:val="annotation subject"/>
    <w:basedOn w:val="CommentText"/>
    <w:next w:val="CommentText"/>
    <w:link w:val="CommentSubjectChar"/>
    <w:uiPriority w:val="99"/>
    <w:semiHidden/>
    <w:unhideWhenUsed/>
    <w:rsid w:val="005219FD"/>
    <w:rPr>
      <w:b/>
      <w:bCs/>
    </w:rPr>
  </w:style>
  <w:style w:type="character" w:customStyle="1" w:styleId="CommentSubjectChar">
    <w:name w:val="Comment Subject Char"/>
    <w:link w:val="CommentSubject"/>
    <w:uiPriority w:val="99"/>
    <w:semiHidden/>
    <w:rsid w:val="005219FD"/>
    <w:rPr>
      <w:b/>
      <w:bCs/>
      <w:lang w:eastAsia="en-US"/>
    </w:rPr>
  </w:style>
  <w:style w:type="paragraph" w:styleId="NormalWeb">
    <w:name w:val="Normal (Web)"/>
    <w:basedOn w:val="Normal"/>
    <w:uiPriority w:val="99"/>
    <w:semiHidden/>
    <w:unhideWhenUsed/>
    <w:rsid w:val="0099309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992005"/>
    <w:pPr>
      <w:tabs>
        <w:tab w:val="center" w:pos="4513"/>
        <w:tab w:val="right" w:pos="9026"/>
      </w:tabs>
    </w:pPr>
    <w:rPr>
      <w:lang w:val="x-none"/>
    </w:rPr>
  </w:style>
  <w:style w:type="character" w:customStyle="1" w:styleId="HeaderChar">
    <w:name w:val="Header Char"/>
    <w:link w:val="Header"/>
    <w:uiPriority w:val="99"/>
    <w:rsid w:val="00992005"/>
    <w:rPr>
      <w:sz w:val="22"/>
      <w:szCs w:val="22"/>
      <w:lang w:eastAsia="en-US"/>
    </w:rPr>
  </w:style>
  <w:style w:type="paragraph" w:styleId="Footer">
    <w:name w:val="footer"/>
    <w:basedOn w:val="Normal"/>
    <w:link w:val="FooterChar"/>
    <w:uiPriority w:val="99"/>
    <w:unhideWhenUsed/>
    <w:rsid w:val="00992005"/>
    <w:pPr>
      <w:tabs>
        <w:tab w:val="center" w:pos="4513"/>
        <w:tab w:val="right" w:pos="9026"/>
      </w:tabs>
    </w:pPr>
    <w:rPr>
      <w:lang w:val="x-none"/>
    </w:rPr>
  </w:style>
  <w:style w:type="character" w:customStyle="1" w:styleId="FooterChar">
    <w:name w:val="Footer Char"/>
    <w:link w:val="Footer"/>
    <w:uiPriority w:val="99"/>
    <w:rsid w:val="00992005"/>
    <w:rPr>
      <w:sz w:val="22"/>
      <w:szCs w:val="22"/>
      <w:lang w:eastAsia="en-US"/>
    </w:rPr>
  </w:style>
  <w:style w:type="paragraph" w:customStyle="1" w:styleId="Default">
    <w:name w:val="Default"/>
    <w:rsid w:val="00845A4D"/>
    <w:pPr>
      <w:autoSpaceDE w:val="0"/>
      <w:autoSpaceDN w:val="0"/>
      <w:adjustRightInd w:val="0"/>
    </w:pPr>
    <w:rPr>
      <w:rFonts w:ascii="MS Reference Sans Serif" w:hAnsi="MS Reference Sans Serif" w:cs="MS Reference Sans Serif"/>
      <w:color w:val="000000"/>
      <w:sz w:val="24"/>
      <w:szCs w:val="24"/>
    </w:rPr>
  </w:style>
  <w:style w:type="character" w:styleId="Hyperlink">
    <w:name w:val="Hyperlink"/>
    <w:uiPriority w:val="99"/>
    <w:unhideWhenUsed/>
    <w:rsid w:val="00FB22C5"/>
    <w:rPr>
      <w:color w:val="0000FF"/>
      <w:u w:val="single"/>
    </w:rPr>
  </w:style>
  <w:style w:type="table" w:styleId="TableGrid">
    <w:name w:val="Table Grid"/>
    <w:basedOn w:val="TableNormal"/>
    <w:uiPriority w:val="59"/>
    <w:rsid w:val="002D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22934"/>
    <w:pPr>
      <w:spacing w:after="60"/>
      <w:jc w:val="center"/>
      <w:outlineLvl w:val="1"/>
    </w:pPr>
    <w:rPr>
      <w:rFonts w:ascii="Cambria" w:eastAsia="Times New Roman" w:hAnsi="Cambria"/>
      <w:sz w:val="24"/>
      <w:szCs w:val="24"/>
      <w:lang w:val="x-none"/>
    </w:rPr>
  </w:style>
  <w:style w:type="character" w:customStyle="1" w:styleId="SubtitleChar">
    <w:name w:val="Subtitle Char"/>
    <w:link w:val="Subtitle"/>
    <w:uiPriority w:val="11"/>
    <w:rsid w:val="00A22934"/>
    <w:rPr>
      <w:rFonts w:ascii="Cambria" w:eastAsia="Times New Roman" w:hAnsi="Cambria" w:cs="Times New Roman"/>
      <w:sz w:val="24"/>
      <w:szCs w:val="24"/>
      <w:lang w:eastAsia="en-US"/>
    </w:rPr>
  </w:style>
  <w:style w:type="paragraph" w:styleId="NoSpacing">
    <w:name w:val="No Spacing"/>
    <w:uiPriority w:val="1"/>
    <w:qFormat/>
    <w:rsid w:val="00577989"/>
    <w:rPr>
      <w:sz w:val="22"/>
      <w:szCs w:val="22"/>
      <w:lang w:eastAsia="en-US"/>
    </w:rPr>
  </w:style>
  <w:style w:type="paragraph" w:styleId="FootnoteText">
    <w:name w:val="footnote text"/>
    <w:basedOn w:val="Normal"/>
    <w:link w:val="FootnoteTextChar"/>
    <w:uiPriority w:val="99"/>
    <w:semiHidden/>
    <w:unhideWhenUsed/>
    <w:rsid w:val="0036541D"/>
    <w:rPr>
      <w:sz w:val="20"/>
      <w:szCs w:val="20"/>
      <w:lang w:val="x-none"/>
    </w:rPr>
  </w:style>
  <w:style w:type="character" w:customStyle="1" w:styleId="FootnoteTextChar">
    <w:name w:val="Footnote Text Char"/>
    <w:link w:val="FootnoteText"/>
    <w:uiPriority w:val="99"/>
    <w:semiHidden/>
    <w:rsid w:val="0036541D"/>
    <w:rPr>
      <w:lang w:eastAsia="en-US"/>
    </w:rPr>
  </w:style>
  <w:style w:type="character" w:styleId="FootnoteReference">
    <w:name w:val="footnote reference"/>
    <w:uiPriority w:val="99"/>
    <w:semiHidden/>
    <w:unhideWhenUsed/>
    <w:rsid w:val="0036541D"/>
    <w:rPr>
      <w:vertAlign w:val="superscript"/>
    </w:rPr>
  </w:style>
  <w:style w:type="paragraph" w:styleId="EndnoteText">
    <w:name w:val="endnote text"/>
    <w:basedOn w:val="Normal"/>
    <w:link w:val="EndnoteTextChar"/>
    <w:uiPriority w:val="99"/>
    <w:semiHidden/>
    <w:unhideWhenUsed/>
    <w:rsid w:val="00282E62"/>
    <w:rPr>
      <w:sz w:val="20"/>
      <w:szCs w:val="20"/>
      <w:lang w:val="x-none"/>
    </w:rPr>
  </w:style>
  <w:style w:type="character" w:customStyle="1" w:styleId="EndnoteTextChar">
    <w:name w:val="Endnote Text Char"/>
    <w:link w:val="EndnoteText"/>
    <w:uiPriority w:val="99"/>
    <w:semiHidden/>
    <w:rsid w:val="00282E62"/>
    <w:rPr>
      <w:lang w:eastAsia="en-US"/>
    </w:rPr>
  </w:style>
  <w:style w:type="character" w:styleId="EndnoteReference">
    <w:name w:val="endnote reference"/>
    <w:uiPriority w:val="99"/>
    <w:semiHidden/>
    <w:unhideWhenUsed/>
    <w:rsid w:val="00282E62"/>
    <w:rPr>
      <w:vertAlign w:val="superscript"/>
    </w:rPr>
  </w:style>
  <w:style w:type="character" w:styleId="FollowedHyperlink">
    <w:name w:val="FollowedHyperlink"/>
    <w:uiPriority w:val="99"/>
    <w:semiHidden/>
    <w:unhideWhenUsed/>
    <w:rsid w:val="00964B16"/>
    <w:rPr>
      <w:color w:val="800080"/>
      <w:u w:val="single"/>
    </w:rPr>
  </w:style>
  <w:style w:type="paragraph" w:styleId="Revision">
    <w:name w:val="Revision"/>
    <w:hidden/>
    <w:uiPriority w:val="99"/>
    <w:semiHidden/>
    <w:rsid w:val="00B907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2199">
      <w:bodyDiv w:val="1"/>
      <w:marLeft w:val="0"/>
      <w:marRight w:val="0"/>
      <w:marTop w:val="0"/>
      <w:marBottom w:val="0"/>
      <w:divBdr>
        <w:top w:val="none" w:sz="0" w:space="0" w:color="auto"/>
        <w:left w:val="none" w:sz="0" w:space="0" w:color="auto"/>
        <w:bottom w:val="none" w:sz="0" w:space="0" w:color="auto"/>
        <w:right w:val="none" w:sz="0" w:space="0" w:color="auto"/>
      </w:divBdr>
    </w:div>
    <w:div w:id="138033194">
      <w:bodyDiv w:val="1"/>
      <w:marLeft w:val="0"/>
      <w:marRight w:val="0"/>
      <w:marTop w:val="0"/>
      <w:marBottom w:val="0"/>
      <w:divBdr>
        <w:top w:val="none" w:sz="0" w:space="0" w:color="auto"/>
        <w:left w:val="none" w:sz="0" w:space="0" w:color="auto"/>
        <w:bottom w:val="none" w:sz="0" w:space="0" w:color="auto"/>
        <w:right w:val="none" w:sz="0" w:space="0" w:color="auto"/>
      </w:divBdr>
    </w:div>
    <w:div w:id="199898581">
      <w:bodyDiv w:val="1"/>
      <w:marLeft w:val="0"/>
      <w:marRight w:val="0"/>
      <w:marTop w:val="0"/>
      <w:marBottom w:val="0"/>
      <w:divBdr>
        <w:top w:val="none" w:sz="0" w:space="0" w:color="auto"/>
        <w:left w:val="none" w:sz="0" w:space="0" w:color="auto"/>
        <w:bottom w:val="none" w:sz="0" w:space="0" w:color="auto"/>
        <w:right w:val="none" w:sz="0" w:space="0" w:color="auto"/>
      </w:divBdr>
    </w:div>
    <w:div w:id="206723112">
      <w:bodyDiv w:val="1"/>
      <w:marLeft w:val="0"/>
      <w:marRight w:val="0"/>
      <w:marTop w:val="0"/>
      <w:marBottom w:val="0"/>
      <w:divBdr>
        <w:top w:val="none" w:sz="0" w:space="0" w:color="auto"/>
        <w:left w:val="none" w:sz="0" w:space="0" w:color="auto"/>
        <w:bottom w:val="none" w:sz="0" w:space="0" w:color="auto"/>
        <w:right w:val="none" w:sz="0" w:space="0" w:color="auto"/>
      </w:divBdr>
    </w:div>
    <w:div w:id="239599858">
      <w:bodyDiv w:val="1"/>
      <w:marLeft w:val="0"/>
      <w:marRight w:val="0"/>
      <w:marTop w:val="0"/>
      <w:marBottom w:val="0"/>
      <w:divBdr>
        <w:top w:val="none" w:sz="0" w:space="0" w:color="auto"/>
        <w:left w:val="none" w:sz="0" w:space="0" w:color="auto"/>
        <w:bottom w:val="none" w:sz="0" w:space="0" w:color="auto"/>
        <w:right w:val="none" w:sz="0" w:space="0" w:color="auto"/>
      </w:divBdr>
    </w:div>
    <w:div w:id="247006002">
      <w:bodyDiv w:val="1"/>
      <w:marLeft w:val="0"/>
      <w:marRight w:val="0"/>
      <w:marTop w:val="0"/>
      <w:marBottom w:val="0"/>
      <w:divBdr>
        <w:top w:val="none" w:sz="0" w:space="0" w:color="auto"/>
        <w:left w:val="none" w:sz="0" w:space="0" w:color="auto"/>
        <w:bottom w:val="none" w:sz="0" w:space="0" w:color="auto"/>
        <w:right w:val="none" w:sz="0" w:space="0" w:color="auto"/>
      </w:divBdr>
    </w:div>
    <w:div w:id="296958908">
      <w:bodyDiv w:val="1"/>
      <w:marLeft w:val="0"/>
      <w:marRight w:val="0"/>
      <w:marTop w:val="0"/>
      <w:marBottom w:val="0"/>
      <w:divBdr>
        <w:top w:val="none" w:sz="0" w:space="0" w:color="auto"/>
        <w:left w:val="none" w:sz="0" w:space="0" w:color="auto"/>
        <w:bottom w:val="none" w:sz="0" w:space="0" w:color="auto"/>
        <w:right w:val="none" w:sz="0" w:space="0" w:color="auto"/>
      </w:divBdr>
    </w:div>
    <w:div w:id="302392660">
      <w:bodyDiv w:val="1"/>
      <w:marLeft w:val="0"/>
      <w:marRight w:val="0"/>
      <w:marTop w:val="0"/>
      <w:marBottom w:val="0"/>
      <w:divBdr>
        <w:top w:val="none" w:sz="0" w:space="0" w:color="auto"/>
        <w:left w:val="none" w:sz="0" w:space="0" w:color="auto"/>
        <w:bottom w:val="none" w:sz="0" w:space="0" w:color="auto"/>
        <w:right w:val="none" w:sz="0" w:space="0" w:color="auto"/>
      </w:divBdr>
    </w:div>
    <w:div w:id="343481966">
      <w:bodyDiv w:val="1"/>
      <w:marLeft w:val="0"/>
      <w:marRight w:val="0"/>
      <w:marTop w:val="0"/>
      <w:marBottom w:val="0"/>
      <w:divBdr>
        <w:top w:val="none" w:sz="0" w:space="0" w:color="auto"/>
        <w:left w:val="none" w:sz="0" w:space="0" w:color="auto"/>
        <w:bottom w:val="none" w:sz="0" w:space="0" w:color="auto"/>
        <w:right w:val="none" w:sz="0" w:space="0" w:color="auto"/>
      </w:divBdr>
    </w:div>
    <w:div w:id="348219763">
      <w:bodyDiv w:val="1"/>
      <w:marLeft w:val="0"/>
      <w:marRight w:val="0"/>
      <w:marTop w:val="0"/>
      <w:marBottom w:val="0"/>
      <w:divBdr>
        <w:top w:val="none" w:sz="0" w:space="0" w:color="auto"/>
        <w:left w:val="none" w:sz="0" w:space="0" w:color="auto"/>
        <w:bottom w:val="none" w:sz="0" w:space="0" w:color="auto"/>
        <w:right w:val="none" w:sz="0" w:space="0" w:color="auto"/>
      </w:divBdr>
    </w:div>
    <w:div w:id="373694161">
      <w:bodyDiv w:val="1"/>
      <w:marLeft w:val="0"/>
      <w:marRight w:val="0"/>
      <w:marTop w:val="0"/>
      <w:marBottom w:val="0"/>
      <w:divBdr>
        <w:top w:val="none" w:sz="0" w:space="0" w:color="auto"/>
        <w:left w:val="none" w:sz="0" w:space="0" w:color="auto"/>
        <w:bottom w:val="none" w:sz="0" w:space="0" w:color="auto"/>
        <w:right w:val="none" w:sz="0" w:space="0" w:color="auto"/>
      </w:divBdr>
    </w:div>
    <w:div w:id="465902445">
      <w:bodyDiv w:val="1"/>
      <w:marLeft w:val="0"/>
      <w:marRight w:val="0"/>
      <w:marTop w:val="0"/>
      <w:marBottom w:val="0"/>
      <w:divBdr>
        <w:top w:val="none" w:sz="0" w:space="0" w:color="auto"/>
        <w:left w:val="none" w:sz="0" w:space="0" w:color="auto"/>
        <w:bottom w:val="none" w:sz="0" w:space="0" w:color="auto"/>
        <w:right w:val="none" w:sz="0" w:space="0" w:color="auto"/>
      </w:divBdr>
    </w:div>
    <w:div w:id="508522597">
      <w:bodyDiv w:val="1"/>
      <w:marLeft w:val="0"/>
      <w:marRight w:val="0"/>
      <w:marTop w:val="0"/>
      <w:marBottom w:val="0"/>
      <w:divBdr>
        <w:top w:val="none" w:sz="0" w:space="0" w:color="auto"/>
        <w:left w:val="none" w:sz="0" w:space="0" w:color="auto"/>
        <w:bottom w:val="none" w:sz="0" w:space="0" w:color="auto"/>
        <w:right w:val="none" w:sz="0" w:space="0" w:color="auto"/>
      </w:divBdr>
    </w:div>
    <w:div w:id="519128390">
      <w:bodyDiv w:val="1"/>
      <w:marLeft w:val="0"/>
      <w:marRight w:val="0"/>
      <w:marTop w:val="0"/>
      <w:marBottom w:val="0"/>
      <w:divBdr>
        <w:top w:val="none" w:sz="0" w:space="0" w:color="auto"/>
        <w:left w:val="none" w:sz="0" w:space="0" w:color="auto"/>
        <w:bottom w:val="none" w:sz="0" w:space="0" w:color="auto"/>
        <w:right w:val="none" w:sz="0" w:space="0" w:color="auto"/>
      </w:divBdr>
    </w:div>
    <w:div w:id="533544219">
      <w:bodyDiv w:val="1"/>
      <w:marLeft w:val="0"/>
      <w:marRight w:val="0"/>
      <w:marTop w:val="0"/>
      <w:marBottom w:val="0"/>
      <w:divBdr>
        <w:top w:val="none" w:sz="0" w:space="0" w:color="auto"/>
        <w:left w:val="none" w:sz="0" w:space="0" w:color="auto"/>
        <w:bottom w:val="none" w:sz="0" w:space="0" w:color="auto"/>
        <w:right w:val="none" w:sz="0" w:space="0" w:color="auto"/>
      </w:divBdr>
    </w:div>
    <w:div w:id="562986024">
      <w:bodyDiv w:val="1"/>
      <w:marLeft w:val="0"/>
      <w:marRight w:val="0"/>
      <w:marTop w:val="0"/>
      <w:marBottom w:val="0"/>
      <w:divBdr>
        <w:top w:val="none" w:sz="0" w:space="0" w:color="auto"/>
        <w:left w:val="none" w:sz="0" w:space="0" w:color="auto"/>
        <w:bottom w:val="none" w:sz="0" w:space="0" w:color="auto"/>
        <w:right w:val="none" w:sz="0" w:space="0" w:color="auto"/>
      </w:divBdr>
    </w:div>
    <w:div w:id="593249507">
      <w:bodyDiv w:val="1"/>
      <w:marLeft w:val="0"/>
      <w:marRight w:val="0"/>
      <w:marTop w:val="0"/>
      <w:marBottom w:val="0"/>
      <w:divBdr>
        <w:top w:val="none" w:sz="0" w:space="0" w:color="auto"/>
        <w:left w:val="none" w:sz="0" w:space="0" w:color="auto"/>
        <w:bottom w:val="none" w:sz="0" w:space="0" w:color="auto"/>
        <w:right w:val="none" w:sz="0" w:space="0" w:color="auto"/>
      </w:divBdr>
    </w:div>
    <w:div w:id="665670667">
      <w:bodyDiv w:val="1"/>
      <w:marLeft w:val="0"/>
      <w:marRight w:val="0"/>
      <w:marTop w:val="0"/>
      <w:marBottom w:val="0"/>
      <w:divBdr>
        <w:top w:val="none" w:sz="0" w:space="0" w:color="auto"/>
        <w:left w:val="none" w:sz="0" w:space="0" w:color="auto"/>
        <w:bottom w:val="none" w:sz="0" w:space="0" w:color="auto"/>
        <w:right w:val="none" w:sz="0" w:space="0" w:color="auto"/>
      </w:divBdr>
    </w:div>
    <w:div w:id="711030564">
      <w:bodyDiv w:val="1"/>
      <w:marLeft w:val="0"/>
      <w:marRight w:val="0"/>
      <w:marTop w:val="0"/>
      <w:marBottom w:val="0"/>
      <w:divBdr>
        <w:top w:val="none" w:sz="0" w:space="0" w:color="auto"/>
        <w:left w:val="none" w:sz="0" w:space="0" w:color="auto"/>
        <w:bottom w:val="none" w:sz="0" w:space="0" w:color="auto"/>
        <w:right w:val="none" w:sz="0" w:space="0" w:color="auto"/>
      </w:divBdr>
    </w:div>
    <w:div w:id="725956873">
      <w:bodyDiv w:val="1"/>
      <w:marLeft w:val="0"/>
      <w:marRight w:val="0"/>
      <w:marTop w:val="0"/>
      <w:marBottom w:val="0"/>
      <w:divBdr>
        <w:top w:val="none" w:sz="0" w:space="0" w:color="auto"/>
        <w:left w:val="none" w:sz="0" w:space="0" w:color="auto"/>
        <w:bottom w:val="none" w:sz="0" w:space="0" w:color="auto"/>
        <w:right w:val="none" w:sz="0" w:space="0" w:color="auto"/>
      </w:divBdr>
    </w:div>
    <w:div w:id="735862037">
      <w:bodyDiv w:val="1"/>
      <w:marLeft w:val="0"/>
      <w:marRight w:val="0"/>
      <w:marTop w:val="0"/>
      <w:marBottom w:val="0"/>
      <w:divBdr>
        <w:top w:val="none" w:sz="0" w:space="0" w:color="auto"/>
        <w:left w:val="none" w:sz="0" w:space="0" w:color="auto"/>
        <w:bottom w:val="none" w:sz="0" w:space="0" w:color="auto"/>
        <w:right w:val="none" w:sz="0" w:space="0" w:color="auto"/>
      </w:divBdr>
    </w:div>
    <w:div w:id="738751879">
      <w:bodyDiv w:val="1"/>
      <w:marLeft w:val="0"/>
      <w:marRight w:val="0"/>
      <w:marTop w:val="0"/>
      <w:marBottom w:val="0"/>
      <w:divBdr>
        <w:top w:val="none" w:sz="0" w:space="0" w:color="auto"/>
        <w:left w:val="none" w:sz="0" w:space="0" w:color="auto"/>
        <w:bottom w:val="none" w:sz="0" w:space="0" w:color="auto"/>
        <w:right w:val="none" w:sz="0" w:space="0" w:color="auto"/>
      </w:divBdr>
    </w:div>
    <w:div w:id="742340337">
      <w:bodyDiv w:val="1"/>
      <w:marLeft w:val="0"/>
      <w:marRight w:val="0"/>
      <w:marTop w:val="0"/>
      <w:marBottom w:val="0"/>
      <w:divBdr>
        <w:top w:val="none" w:sz="0" w:space="0" w:color="auto"/>
        <w:left w:val="none" w:sz="0" w:space="0" w:color="auto"/>
        <w:bottom w:val="none" w:sz="0" w:space="0" w:color="auto"/>
        <w:right w:val="none" w:sz="0" w:space="0" w:color="auto"/>
      </w:divBdr>
    </w:div>
    <w:div w:id="754059505">
      <w:bodyDiv w:val="1"/>
      <w:marLeft w:val="0"/>
      <w:marRight w:val="0"/>
      <w:marTop w:val="0"/>
      <w:marBottom w:val="0"/>
      <w:divBdr>
        <w:top w:val="none" w:sz="0" w:space="0" w:color="auto"/>
        <w:left w:val="none" w:sz="0" w:space="0" w:color="auto"/>
        <w:bottom w:val="none" w:sz="0" w:space="0" w:color="auto"/>
        <w:right w:val="none" w:sz="0" w:space="0" w:color="auto"/>
      </w:divBdr>
    </w:div>
    <w:div w:id="781807273">
      <w:bodyDiv w:val="1"/>
      <w:marLeft w:val="0"/>
      <w:marRight w:val="0"/>
      <w:marTop w:val="0"/>
      <w:marBottom w:val="0"/>
      <w:divBdr>
        <w:top w:val="none" w:sz="0" w:space="0" w:color="auto"/>
        <w:left w:val="none" w:sz="0" w:space="0" w:color="auto"/>
        <w:bottom w:val="none" w:sz="0" w:space="0" w:color="auto"/>
        <w:right w:val="none" w:sz="0" w:space="0" w:color="auto"/>
      </w:divBdr>
    </w:div>
    <w:div w:id="792870021">
      <w:bodyDiv w:val="1"/>
      <w:marLeft w:val="0"/>
      <w:marRight w:val="0"/>
      <w:marTop w:val="0"/>
      <w:marBottom w:val="0"/>
      <w:divBdr>
        <w:top w:val="none" w:sz="0" w:space="0" w:color="auto"/>
        <w:left w:val="none" w:sz="0" w:space="0" w:color="auto"/>
        <w:bottom w:val="none" w:sz="0" w:space="0" w:color="auto"/>
        <w:right w:val="none" w:sz="0" w:space="0" w:color="auto"/>
      </w:divBdr>
    </w:div>
    <w:div w:id="835920718">
      <w:bodyDiv w:val="1"/>
      <w:marLeft w:val="0"/>
      <w:marRight w:val="0"/>
      <w:marTop w:val="0"/>
      <w:marBottom w:val="0"/>
      <w:divBdr>
        <w:top w:val="none" w:sz="0" w:space="0" w:color="auto"/>
        <w:left w:val="none" w:sz="0" w:space="0" w:color="auto"/>
        <w:bottom w:val="none" w:sz="0" w:space="0" w:color="auto"/>
        <w:right w:val="none" w:sz="0" w:space="0" w:color="auto"/>
      </w:divBdr>
    </w:div>
    <w:div w:id="836043247">
      <w:bodyDiv w:val="1"/>
      <w:marLeft w:val="0"/>
      <w:marRight w:val="0"/>
      <w:marTop w:val="0"/>
      <w:marBottom w:val="0"/>
      <w:divBdr>
        <w:top w:val="none" w:sz="0" w:space="0" w:color="auto"/>
        <w:left w:val="none" w:sz="0" w:space="0" w:color="auto"/>
        <w:bottom w:val="none" w:sz="0" w:space="0" w:color="auto"/>
        <w:right w:val="none" w:sz="0" w:space="0" w:color="auto"/>
      </w:divBdr>
    </w:div>
    <w:div w:id="838927854">
      <w:bodyDiv w:val="1"/>
      <w:marLeft w:val="0"/>
      <w:marRight w:val="0"/>
      <w:marTop w:val="0"/>
      <w:marBottom w:val="0"/>
      <w:divBdr>
        <w:top w:val="none" w:sz="0" w:space="0" w:color="auto"/>
        <w:left w:val="none" w:sz="0" w:space="0" w:color="auto"/>
        <w:bottom w:val="none" w:sz="0" w:space="0" w:color="auto"/>
        <w:right w:val="none" w:sz="0" w:space="0" w:color="auto"/>
      </w:divBdr>
    </w:div>
    <w:div w:id="871923112">
      <w:bodyDiv w:val="1"/>
      <w:marLeft w:val="0"/>
      <w:marRight w:val="0"/>
      <w:marTop w:val="0"/>
      <w:marBottom w:val="0"/>
      <w:divBdr>
        <w:top w:val="none" w:sz="0" w:space="0" w:color="auto"/>
        <w:left w:val="none" w:sz="0" w:space="0" w:color="auto"/>
        <w:bottom w:val="none" w:sz="0" w:space="0" w:color="auto"/>
        <w:right w:val="none" w:sz="0" w:space="0" w:color="auto"/>
      </w:divBdr>
    </w:div>
    <w:div w:id="872303609">
      <w:bodyDiv w:val="1"/>
      <w:marLeft w:val="0"/>
      <w:marRight w:val="0"/>
      <w:marTop w:val="0"/>
      <w:marBottom w:val="0"/>
      <w:divBdr>
        <w:top w:val="none" w:sz="0" w:space="0" w:color="auto"/>
        <w:left w:val="none" w:sz="0" w:space="0" w:color="auto"/>
        <w:bottom w:val="none" w:sz="0" w:space="0" w:color="auto"/>
        <w:right w:val="none" w:sz="0" w:space="0" w:color="auto"/>
      </w:divBdr>
    </w:div>
    <w:div w:id="903175333">
      <w:bodyDiv w:val="1"/>
      <w:marLeft w:val="0"/>
      <w:marRight w:val="0"/>
      <w:marTop w:val="0"/>
      <w:marBottom w:val="0"/>
      <w:divBdr>
        <w:top w:val="none" w:sz="0" w:space="0" w:color="auto"/>
        <w:left w:val="none" w:sz="0" w:space="0" w:color="auto"/>
        <w:bottom w:val="none" w:sz="0" w:space="0" w:color="auto"/>
        <w:right w:val="none" w:sz="0" w:space="0" w:color="auto"/>
      </w:divBdr>
    </w:div>
    <w:div w:id="938946597">
      <w:bodyDiv w:val="1"/>
      <w:marLeft w:val="0"/>
      <w:marRight w:val="0"/>
      <w:marTop w:val="0"/>
      <w:marBottom w:val="0"/>
      <w:divBdr>
        <w:top w:val="none" w:sz="0" w:space="0" w:color="auto"/>
        <w:left w:val="none" w:sz="0" w:space="0" w:color="auto"/>
        <w:bottom w:val="none" w:sz="0" w:space="0" w:color="auto"/>
        <w:right w:val="none" w:sz="0" w:space="0" w:color="auto"/>
      </w:divBdr>
    </w:div>
    <w:div w:id="939727758">
      <w:bodyDiv w:val="1"/>
      <w:marLeft w:val="0"/>
      <w:marRight w:val="0"/>
      <w:marTop w:val="0"/>
      <w:marBottom w:val="0"/>
      <w:divBdr>
        <w:top w:val="none" w:sz="0" w:space="0" w:color="auto"/>
        <w:left w:val="none" w:sz="0" w:space="0" w:color="auto"/>
        <w:bottom w:val="none" w:sz="0" w:space="0" w:color="auto"/>
        <w:right w:val="none" w:sz="0" w:space="0" w:color="auto"/>
      </w:divBdr>
    </w:div>
    <w:div w:id="944727092">
      <w:bodyDiv w:val="1"/>
      <w:marLeft w:val="0"/>
      <w:marRight w:val="0"/>
      <w:marTop w:val="0"/>
      <w:marBottom w:val="0"/>
      <w:divBdr>
        <w:top w:val="none" w:sz="0" w:space="0" w:color="auto"/>
        <w:left w:val="none" w:sz="0" w:space="0" w:color="auto"/>
        <w:bottom w:val="none" w:sz="0" w:space="0" w:color="auto"/>
        <w:right w:val="none" w:sz="0" w:space="0" w:color="auto"/>
      </w:divBdr>
    </w:div>
    <w:div w:id="960452608">
      <w:bodyDiv w:val="1"/>
      <w:marLeft w:val="0"/>
      <w:marRight w:val="0"/>
      <w:marTop w:val="0"/>
      <w:marBottom w:val="0"/>
      <w:divBdr>
        <w:top w:val="none" w:sz="0" w:space="0" w:color="auto"/>
        <w:left w:val="none" w:sz="0" w:space="0" w:color="auto"/>
        <w:bottom w:val="none" w:sz="0" w:space="0" w:color="auto"/>
        <w:right w:val="none" w:sz="0" w:space="0" w:color="auto"/>
      </w:divBdr>
    </w:div>
    <w:div w:id="979649536">
      <w:bodyDiv w:val="1"/>
      <w:marLeft w:val="0"/>
      <w:marRight w:val="0"/>
      <w:marTop w:val="0"/>
      <w:marBottom w:val="0"/>
      <w:divBdr>
        <w:top w:val="none" w:sz="0" w:space="0" w:color="auto"/>
        <w:left w:val="none" w:sz="0" w:space="0" w:color="auto"/>
        <w:bottom w:val="none" w:sz="0" w:space="0" w:color="auto"/>
        <w:right w:val="none" w:sz="0" w:space="0" w:color="auto"/>
      </w:divBdr>
    </w:div>
    <w:div w:id="1007635334">
      <w:bodyDiv w:val="1"/>
      <w:marLeft w:val="0"/>
      <w:marRight w:val="0"/>
      <w:marTop w:val="0"/>
      <w:marBottom w:val="0"/>
      <w:divBdr>
        <w:top w:val="none" w:sz="0" w:space="0" w:color="auto"/>
        <w:left w:val="none" w:sz="0" w:space="0" w:color="auto"/>
        <w:bottom w:val="none" w:sz="0" w:space="0" w:color="auto"/>
        <w:right w:val="none" w:sz="0" w:space="0" w:color="auto"/>
      </w:divBdr>
    </w:div>
    <w:div w:id="1028213441">
      <w:bodyDiv w:val="1"/>
      <w:marLeft w:val="0"/>
      <w:marRight w:val="0"/>
      <w:marTop w:val="0"/>
      <w:marBottom w:val="0"/>
      <w:divBdr>
        <w:top w:val="none" w:sz="0" w:space="0" w:color="auto"/>
        <w:left w:val="none" w:sz="0" w:space="0" w:color="auto"/>
        <w:bottom w:val="none" w:sz="0" w:space="0" w:color="auto"/>
        <w:right w:val="none" w:sz="0" w:space="0" w:color="auto"/>
      </w:divBdr>
    </w:div>
    <w:div w:id="1055199015">
      <w:bodyDiv w:val="1"/>
      <w:marLeft w:val="0"/>
      <w:marRight w:val="0"/>
      <w:marTop w:val="0"/>
      <w:marBottom w:val="0"/>
      <w:divBdr>
        <w:top w:val="none" w:sz="0" w:space="0" w:color="auto"/>
        <w:left w:val="none" w:sz="0" w:space="0" w:color="auto"/>
        <w:bottom w:val="none" w:sz="0" w:space="0" w:color="auto"/>
        <w:right w:val="none" w:sz="0" w:space="0" w:color="auto"/>
      </w:divBdr>
    </w:div>
    <w:div w:id="1079905251">
      <w:bodyDiv w:val="1"/>
      <w:marLeft w:val="0"/>
      <w:marRight w:val="0"/>
      <w:marTop w:val="0"/>
      <w:marBottom w:val="0"/>
      <w:divBdr>
        <w:top w:val="none" w:sz="0" w:space="0" w:color="auto"/>
        <w:left w:val="none" w:sz="0" w:space="0" w:color="auto"/>
        <w:bottom w:val="none" w:sz="0" w:space="0" w:color="auto"/>
        <w:right w:val="none" w:sz="0" w:space="0" w:color="auto"/>
      </w:divBdr>
    </w:div>
    <w:div w:id="1104808102">
      <w:bodyDiv w:val="1"/>
      <w:marLeft w:val="0"/>
      <w:marRight w:val="0"/>
      <w:marTop w:val="0"/>
      <w:marBottom w:val="0"/>
      <w:divBdr>
        <w:top w:val="none" w:sz="0" w:space="0" w:color="auto"/>
        <w:left w:val="none" w:sz="0" w:space="0" w:color="auto"/>
        <w:bottom w:val="none" w:sz="0" w:space="0" w:color="auto"/>
        <w:right w:val="none" w:sz="0" w:space="0" w:color="auto"/>
      </w:divBdr>
    </w:div>
    <w:div w:id="1124735185">
      <w:bodyDiv w:val="1"/>
      <w:marLeft w:val="0"/>
      <w:marRight w:val="0"/>
      <w:marTop w:val="0"/>
      <w:marBottom w:val="0"/>
      <w:divBdr>
        <w:top w:val="none" w:sz="0" w:space="0" w:color="auto"/>
        <w:left w:val="none" w:sz="0" w:space="0" w:color="auto"/>
        <w:bottom w:val="none" w:sz="0" w:space="0" w:color="auto"/>
        <w:right w:val="none" w:sz="0" w:space="0" w:color="auto"/>
      </w:divBdr>
    </w:div>
    <w:div w:id="1138456229">
      <w:bodyDiv w:val="1"/>
      <w:marLeft w:val="0"/>
      <w:marRight w:val="0"/>
      <w:marTop w:val="0"/>
      <w:marBottom w:val="0"/>
      <w:divBdr>
        <w:top w:val="none" w:sz="0" w:space="0" w:color="auto"/>
        <w:left w:val="none" w:sz="0" w:space="0" w:color="auto"/>
        <w:bottom w:val="none" w:sz="0" w:space="0" w:color="auto"/>
        <w:right w:val="none" w:sz="0" w:space="0" w:color="auto"/>
      </w:divBdr>
    </w:div>
    <w:div w:id="1149983160">
      <w:bodyDiv w:val="1"/>
      <w:marLeft w:val="0"/>
      <w:marRight w:val="0"/>
      <w:marTop w:val="0"/>
      <w:marBottom w:val="0"/>
      <w:divBdr>
        <w:top w:val="none" w:sz="0" w:space="0" w:color="auto"/>
        <w:left w:val="none" w:sz="0" w:space="0" w:color="auto"/>
        <w:bottom w:val="none" w:sz="0" w:space="0" w:color="auto"/>
        <w:right w:val="none" w:sz="0" w:space="0" w:color="auto"/>
      </w:divBdr>
    </w:div>
    <w:div w:id="1217353535">
      <w:bodyDiv w:val="1"/>
      <w:marLeft w:val="0"/>
      <w:marRight w:val="0"/>
      <w:marTop w:val="0"/>
      <w:marBottom w:val="0"/>
      <w:divBdr>
        <w:top w:val="none" w:sz="0" w:space="0" w:color="auto"/>
        <w:left w:val="none" w:sz="0" w:space="0" w:color="auto"/>
        <w:bottom w:val="none" w:sz="0" w:space="0" w:color="auto"/>
        <w:right w:val="none" w:sz="0" w:space="0" w:color="auto"/>
      </w:divBdr>
    </w:div>
    <w:div w:id="1222978578">
      <w:bodyDiv w:val="1"/>
      <w:marLeft w:val="0"/>
      <w:marRight w:val="0"/>
      <w:marTop w:val="0"/>
      <w:marBottom w:val="0"/>
      <w:divBdr>
        <w:top w:val="none" w:sz="0" w:space="0" w:color="auto"/>
        <w:left w:val="none" w:sz="0" w:space="0" w:color="auto"/>
        <w:bottom w:val="none" w:sz="0" w:space="0" w:color="auto"/>
        <w:right w:val="none" w:sz="0" w:space="0" w:color="auto"/>
      </w:divBdr>
    </w:div>
    <w:div w:id="1242521245">
      <w:bodyDiv w:val="1"/>
      <w:marLeft w:val="0"/>
      <w:marRight w:val="0"/>
      <w:marTop w:val="0"/>
      <w:marBottom w:val="0"/>
      <w:divBdr>
        <w:top w:val="none" w:sz="0" w:space="0" w:color="auto"/>
        <w:left w:val="none" w:sz="0" w:space="0" w:color="auto"/>
        <w:bottom w:val="none" w:sz="0" w:space="0" w:color="auto"/>
        <w:right w:val="none" w:sz="0" w:space="0" w:color="auto"/>
      </w:divBdr>
    </w:div>
    <w:div w:id="1323046342">
      <w:bodyDiv w:val="1"/>
      <w:marLeft w:val="0"/>
      <w:marRight w:val="0"/>
      <w:marTop w:val="0"/>
      <w:marBottom w:val="0"/>
      <w:divBdr>
        <w:top w:val="none" w:sz="0" w:space="0" w:color="auto"/>
        <w:left w:val="none" w:sz="0" w:space="0" w:color="auto"/>
        <w:bottom w:val="none" w:sz="0" w:space="0" w:color="auto"/>
        <w:right w:val="none" w:sz="0" w:space="0" w:color="auto"/>
      </w:divBdr>
    </w:div>
    <w:div w:id="1345523018">
      <w:bodyDiv w:val="1"/>
      <w:marLeft w:val="0"/>
      <w:marRight w:val="0"/>
      <w:marTop w:val="0"/>
      <w:marBottom w:val="0"/>
      <w:divBdr>
        <w:top w:val="none" w:sz="0" w:space="0" w:color="auto"/>
        <w:left w:val="none" w:sz="0" w:space="0" w:color="auto"/>
        <w:bottom w:val="none" w:sz="0" w:space="0" w:color="auto"/>
        <w:right w:val="none" w:sz="0" w:space="0" w:color="auto"/>
      </w:divBdr>
    </w:div>
    <w:div w:id="1480347759">
      <w:bodyDiv w:val="1"/>
      <w:marLeft w:val="0"/>
      <w:marRight w:val="0"/>
      <w:marTop w:val="0"/>
      <w:marBottom w:val="0"/>
      <w:divBdr>
        <w:top w:val="none" w:sz="0" w:space="0" w:color="auto"/>
        <w:left w:val="none" w:sz="0" w:space="0" w:color="auto"/>
        <w:bottom w:val="none" w:sz="0" w:space="0" w:color="auto"/>
        <w:right w:val="none" w:sz="0" w:space="0" w:color="auto"/>
      </w:divBdr>
    </w:div>
    <w:div w:id="1525170968">
      <w:bodyDiv w:val="1"/>
      <w:marLeft w:val="0"/>
      <w:marRight w:val="0"/>
      <w:marTop w:val="0"/>
      <w:marBottom w:val="0"/>
      <w:divBdr>
        <w:top w:val="none" w:sz="0" w:space="0" w:color="auto"/>
        <w:left w:val="none" w:sz="0" w:space="0" w:color="auto"/>
        <w:bottom w:val="none" w:sz="0" w:space="0" w:color="auto"/>
        <w:right w:val="none" w:sz="0" w:space="0" w:color="auto"/>
      </w:divBdr>
    </w:div>
    <w:div w:id="1531723925">
      <w:bodyDiv w:val="1"/>
      <w:marLeft w:val="0"/>
      <w:marRight w:val="0"/>
      <w:marTop w:val="0"/>
      <w:marBottom w:val="0"/>
      <w:divBdr>
        <w:top w:val="none" w:sz="0" w:space="0" w:color="auto"/>
        <w:left w:val="none" w:sz="0" w:space="0" w:color="auto"/>
        <w:bottom w:val="none" w:sz="0" w:space="0" w:color="auto"/>
        <w:right w:val="none" w:sz="0" w:space="0" w:color="auto"/>
      </w:divBdr>
    </w:div>
    <w:div w:id="1643316143">
      <w:bodyDiv w:val="1"/>
      <w:marLeft w:val="0"/>
      <w:marRight w:val="0"/>
      <w:marTop w:val="0"/>
      <w:marBottom w:val="0"/>
      <w:divBdr>
        <w:top w:val="none" w:sz="0" w:space="0" w:color="auto"/>
        <w:left w:val="none" w:sz="0" w:space="0" w:color="auto"/>
        <w:bottom w:val="none" w:sz="0" w:space="0" w:color="auto"/>
        <w:right w:val="none" w:sz="0" w:space="0" w:color="auto"/>
      </w:divBdr>
    </w:div>
    <w:div w:id="1693798129">
      <w:bodyDiv w:val="1"/>
      <w:marLeft w:val="0"/>
      <w:marRight w:val="0"/>
      <w:marTop w:val="0"/>
      <w:marBottom w:val="0"/>
      <w:divBdr>
        <w:top w:val="none" w:sz="0" w:space="0" w:color="auto"/>
        <w:left w:val="none" w:sz="0" w:space="0" w:color="auto"/>
        <w:bottom w:val="none" w:sz="0" w:space="0" w:color="auto"/>
        <w:right w:val="none" w:sz="0" w:space="0" w:color="auto"/>
      </w:divBdr>
    </w:div>
    <w:div w:id="1711300346">
      <w:bodyDiv w:val="1"/>
      <w:marLeft w:val="0"/>
      <w:marRight w:val="0"/>
      <w:marTop w:val="0"/>
      <w:marBottom w:val="0"/>
      <w:divBdr>
        <w:top w:val="none" w:sz="0" w:space="0" w:color="auto"/>
        <w:left w:val="none" w:sz="0" w:space="0" w:color="auto"/>
        <w:bottom w:val="none" w:sz="0" w:space="0" w:color="auto"/>
        <w:right w:val="none" w:sz="0" w:space="0" w:color="auto"/>
      </w:divBdr>
    </w:div>
    <w:div w:id="1728724674">
      <w:bodyDiv w:val="1"/>
      <w:marLeft w:val="0"/>
      <w:marRight w:val="0"/>
      <w:marTop w:val="0"/>
      <w:marBottom w:val="0"/>
      <w:divBdr>
        <w:top w:val="none" w:sz="0" w:space="0" w:color="auto"/>
        <w:left w:val="none" w:sz="0" w:space="0" w:color="auto"/>
        <w:bottom w:val="none" w:sz="0" w:space="0" w:color="auto"/>
        <w:right w:val="none" w:sz="0" w:space="0" w:color="auto"/>
      </w:divBdr>
    </w:div>
    <w:div w:id="1748380295">
      <w:bodyDiv w:val="1"/>
      <w:marLeft w:val="0"/>
      <w:marRight w:val="0"/>
      <w:marTop w:val="0"/>
      <w:marBottom w:val="0"/>
      <w:divBdr>
        <w:top w:val="none" w:sz="0" w:space="0" w:color="auto"/>
        <w:left w:val="none" w:sz="0" w:space="0" w:color="auto"/>
        <w:bottom w:val="none" w:sz="0" w:space="0" w:color="auto"/>
        <w:right w:val="none" w:sz="0" w:space="0" w:color="auto"/>
      </w:divBdr>
    </w:div>
    <w:div w:id="1765570119">
      <w:bodyDiv w:val="1"/>
      <w:marLeft w:val="0"/>
      <w:marRight w:val="0"/>
      <w:marTop w:val="0"/>
      <w:marBottom w:val="0"/>
      <w:divBdr>
        <w:top w:val="none" w:sz="0" w:space="0" w:color="auto"/>
        <w:left w:val="none" w:sz="0" w:space="0" w:color="auto"/>
        <w:bottom w:val="none" w:sz="0" w:space="0" w:color="auto"/>
        <w:right w:val="none" w:sz="0" w:space="0" w:color="auto"/>
      </w:divBdr>
    </w:div>
    <w:div w:id="1814443933">
      <w:bodyDiv w:val="1"/>
      <w:marLeft w:val="0"/>
      <w:marRight w:val="0"/>
      <w:marTop w:val="0"/>
      <w:marBottom w:val="0"/>
      <w:divBdr>
        <w:top w:val="none" w:sz="0" w:space="0" w:color="auto"/>
        <w:left w:val="none" w:sz="0" w:space="0" w:color="auto"/>
        <w:bottom w:val="none" w:sz="0" w:space="0" w:color="auto"/>
        <w:right w:val="none" w:sz="0" w:space="0" w:color="auto"/>
      </w:divBdr>
    </w:div>
    <w:div w:id="1825079028">
      <w:bodyDiv w:val="1"/>
      <w:marLeft w:val="0"/>
      <w:marRight w:val="0"/>
      <w:marTop w:val="0"/>
      <w:marBottom w:val="0"/>
      <w:divBdr>
        <w:top w:val="none" w:sz="0" w:space="0" w:color="auto"/>
        <w:left w:val="none" w:sz="0" w:space="0" w:color="auto"/>
        <w:bottom w:val="none" w:sz="0" w:space="0" w:color="auto"/>
        <w:right w:val="none" w:sz="0" w:space="0" w:color="auto"/>
      </w:divBdr>
    </w:div>
    <w:div w:id="1832286147">
      <w:bodyDiv w:val="1"/>
      <w:marLeft w:val="0"/>
      <w:marRight w:val="0"/>
      <w:marTop w:val="0"/>
      <w:marBottom w:val="0"/>
      <w:divBdr>
        <w:top w:val="none" w:sz="0" w:space="0" w:color="auto"/>
        <w:left w:val="none" w:sz="0" w:space="0" w:color="auto"/>
        <w:bottom w:val="none" w:sz="0" w:space="0" w:color="auto"/>
        <w:right w:val="none" w:sz="0" w:space="0" w:color="auto"/>
      </w:divBdr>
    </w:div>
    <w:div w:id="1840461383">
      <w:bodyDiv w:val="1"/>
      <w:marLeft w:val="0"/>
      <w:marRight w:val="0"/>
      <w:marTop w:val="0"/>
      <w:marBottom w:val="0"/>
      <w:divBdr>
        <w:top w:val="none" w:sz="0" w:space="0" w:color="auto"/>
        <w:left w:val="none" w:sz="0" w:space="0" w:color="auto"/>
        <w:bottom w:val="none" w:sz="0" w:space="0" w:color="auto"/>
        <w:right w:val="none" w:sz="0" w:space="0" w:color="auto"/>
      </w:divBdr>
    </w:div>
    <w:div w:id="1858957518">
      <w:bodyDiv w:val="1"/>
      <w:marLeft w:val="0"/>
      <w:marRight w:val="0"/>
      <w:marTop w:val="0"/>
      <w:marBottom w:val="0"/>
      <w:divBdr>
        <w:top w:val="none" w:sz="0" w:space="0" w:color="auto"/>
        <w:left w:val="none" w:sz="0" w:space="0" w:color="auto"/>
        <w:bottom w:val="none" w:sz="0" w:space="0" w:color="auto"/>
        <w:right w:val="none" w:sz="0" w:space="0" w:color="auto"/>
      </w:divBdr>
    </w:div>
    <w:div w:id="1867215138">
      <w:bodyDiv w:val="1"/>
      <w:marLeft w:val="0"/>
      <w:marRight w:val="0"/>
      <w:marTop w:val="0"/>
      <w:marBottom w:val="0"/>
      <w:divBdr>
        <w:top w:val="none" w:sz="0" w:space="0" w:color="auto"/>
        <w:left w:val="none" w:sz="0" w:space="0" w:color="auto"/>
        <w:bottom w:val="none" w:sz="0" w:space="0" w:color="auto"/>
        <w:right w:val="none" w:sz="0" w:space="0" w:color="auto"/>
      </w:divBdr>
    </w:div>
    <w:div w:id="1870407232">
      <w:bodyDiv w:val="1"/>
      <w:marLeft w:val="0"/>
      <w:marRight w:val="0"/>
      <w:marTop w:val="0"/>
      <w:marBottom w:val="0"/>
      <w:divBdr>
        <w:top w:val="none" w:sz="0" w:space="0" w:color="auto"/>
        <w:left w:val="none" w:sz="0" w:space="0" w:color="auto"/>
        <w:bottom w:val="none" w:sz="0" w:space="0" w:color="auto"/>
        <w:right w:val="none" w:sz="0" w:space="0" w:color="auto"/>
      </w:divBdr>
    </w:div>
    <w:div w:id="1878590464">
      <w:bodyDiv w:val="1"/>
      <w:marLeft w:val="0"/>
      <w:marRight w:val="0"/>
      <w:marTop w:val="0"/>
      <w:marBottom w:val="0"/>
      <w:divBdr>
        <w:top w:val="none" w:sz="0" w:space="0" w:color="auto"/>
        <w:left w:val="none" w:sz="0" w:space="0" w:color="auto"/>
        <w:bottom w:val="none" w:sz="0" w:space="0" w:color="auto"/>
        <w:right w:val="none" w:sz="0" w:space="0" w:color="auto"/>
      </w:divBdr>
    </w:div>
    <w:div w:id="1892112255">
      <w:bodyDiv w:val="1"/>
      <w:marLeft w:val="0"/>
      <w:marRight w:val="0"/>
      <w:marTop w:val="0"/>
      <w:marBottom w:val="0"/>
      <w:divBdr>
        <w:top w:val="none" w:sz="0" w:space="0" w:color="auto"/>
        <w:left w:val="none" w:sz="0" w:space="0" w:color="auto"/>
        <w:bottom w:val="none" w:sz="0" w:space="0" w:color="auto"/>
        <w:right w:val="none" w:sz="0" w:space="0" w:color="auto"/>
      </w:divBdr>
    </w:div>
    <w:div w:id="1906067482">
      <w:bodyDiv w:val="1"/>
      <w:marLeft w:val="0"/>
      <w:marRight w:val="0"/>
      <w:marTop w:val="0"/>
      <w:marBottom w:val="0"/>
      <w:divBdr>
        <w:top w:val="none" w:sz="0" w:space="0" w:color="auto"/>
        <w:left w:val="none" w:sz="0" w:space="0" w:color="auto"/>
        <w:bottom w:val="none" w:sz="0" w:space="0" w:color="auto"/>
        <w:right w:val="none" w:sz="0" w:space="0" w:color="auto"/>
      </w:divBdr>
    </w:div>
    <w:div w:id="1937011102">
      <w:bodyDiv w:val="1"/>
      <w:marLeft w:val="0"/>
      <w:marRight w:val="0"/>
      <w:marTop w:val="0"/>
      <w:marBottom w:val="0"/>
      <w:divBdr>
        <w:top w:val="none" w:sz="0" w:space="0" w:color="auto"/>
        <w:left w:val="none" w:sz="0" w:space="0" w:color="auto"/>
        <w:bottom w:val="none" w:sz="0" w:space="0" w:color="auto"/>
        <w:right w:val="none" w:sz="0" w:space="0" w:color="auto"/>
      </w:divBdr>
    </w:div>
    <w:div w:id="1951356195">
      <w:bodyDiv w:val="1"/>
      <w:marLeft w:val="0"/>
      <w:marRight w:val="0"/>
      <w:marTop w:val="0"/>
      <w:marBottom w:val="0"/>
      <w:divBdr>
        <w:top w:val="none" w:sz="0" w:space="0" w:color="auto"/>
        <w:left w:val="none" w:sz="0" w:space="0" w:color="auto"/>
        <w:bottom w:val="none" w:sz="0" w:space="0" w:color="auto"/>
        <w:right w:val="none" w:sz="0" w:space="0" w:color="auto"/>
      </w:divBdr>
    </w:div>
    <w:div w:id="1953248156">
      <w:bodyDiv w:val="1"/>
      <w:marLeft w:val="0"/>
      <w:marRight w:val="0"/>
      <w:marTop w:val="0"/>
      <w:marBottom w:val="0"/>
      <w:divBdr>
        <w:top w:val="none" w:sz="0" w:space="0" w:color="auto"/>
        <w:left w:val="none" w:sz="0" w:space="0" w:color="auto"/>
        <w:bottom w:val="none" w:sz="0" w:space="0" w:color="auto"/>
        <w:right w:val="none" w:sz="0" w:space="0" w:color="auto"/>
      </w:divBdr>
    </w:div>
    <w:div w:id="1964144170">
      <w:bodyDiv w:val="1"/>
      <w:marLeft w:val="0"/>
      <w:marRight w:val="0"/>
      <w:marTop w:val="0"/>
      <w:marBottom w:val="0"/>
      <w:divBdr>
        <w:top w:val="none" w:sz="0" w:space="0" w:color="auto"/>
        <w:left w:val="none" w:sz="0" w:space="0" w:color="auto"/>
        <w:bottom w:val="none" w:sz="0" w:space="0" w:color="auto"/>
        <w:right w:val="none" w:sz="0" w:space="0" w:color="auto"/>
      </w:divBdr>
    </w:div>
    <w:div w:id="1979600955">
      <w:bodyDiv w:val="1"/>
      <w:marLeft w:val="0"/>
      <w:marRight w:val="0"/>
      <w:marTop w:val="0"/>
      <w:marBottom w:val="0"/>
      <w:divBdr>
        <w:top w:val="none" w:sz="0" w:space="0" w:color="auto"/>
        <w:left w:val="none" w:sz="0" w:space="0" w:color="auto"/>
        <w:bottom w:val="none" w:sz="0" w:space="0" w:color="auto"/>
        <w:right w:val="none" w:sz="0" w:space="0" w:color="auto"/>
      </w:divBdr>
    </w:div>
    <w:div w:id="2005547754">
      <w:bodyDiv w:val="1"/>
      <w:marLeft w:val="0"/>
      <w:marRight w:val="0"/>
      <w:marTop w:val="0"/>
      <w:marBottom w:val="0"/>
      <w:divBdr>
        <w:top w:val="none" w:sz="0" w:space="0" w:color="auto"/>
        <w:left w:val="none" w:sz="0" w:space="0" w:color="auto"/>
        <w:bottom w:val="none" w:sz="0" w:space="0" w:color="auto"/>
        <w:right w:val="none" w:sz="0" w:space="0" w:color="auto"/>
      </w:divBdr>
    </w:div>
    <w:div w:id="2017613739">
      <w:bodyDiv w:val="1"/>
      <w:marLeft w:val="0"/>
      <w:marRight w:val="0"/>
      <w:marTop w:val="0"/>
      <w:marBottom w:val="0"/>
      <w:divBdr>
        <w:top w:val="none" w:sz="0" w:space="0" w:color="auto"/>
        <w:left w:val="none" w:sz="0" w:space="0" w:color="auto"/>
        <w:bottom w:val="none" w:sz="0" w:space="0" w:color="auto"/>
        <w:right w:val="none" w:sz="0" w:space="0" w:color="auto"/>
      </w:divBdr>
    </w:div>
    <w:div w:id="2019573823">
      <w:bodyDiv w:val="1"/>
      <w:marLeft w:val="0"/>
      <w:marRight w:val="0"/>
      <w:marTop w:val="0"/>
      <w:marBottom w:val="0"/>
      <w:divBdr>
        <w:top w:val="none" w:sz="0" w:space="0" w:color="auto"/>
        <w:left w:val="none" w:sz="0" w:space="0" w:color="auto"/>
        <w:bottom w:val="none" w:sz="0" w:space="0" w:color="auto"/>
        <w:right w:val="none" w:sz="0" w:space="0" w:color="auto"/>
      </w:divBdr>
    </w:div>
    <w:div w:id="2037072779">
      <w:bodyDiv w:val="1"/>
      <w:marLeft w:val="0"/>
      <w:marRight w:val="0"/>
      <w:marTop w:val="0"/>
      <w:marBottom w:val="0"/>
      <w:divBdr>
        <w:top w:val="none" w:sz="0" w:space="0" w:color="auto"/>
        <w:left w:val="none" w:sz="0" w:space="0" w:color="auto"/>
        <w:bottom w:val="none" w:sz="0" w:space="0" w:color="auto"/>
        <w:right w:val="none" w:sz="0" w:space="0" w:color="auto"/>
      </w:divBdr>
    </w:div>
    <w:div w:id="2057120467">
      <w:bodyDiv w:val="1"/>
      <w:marLeft w:val="0"/>
      <w:marRight w:val="0"/>
      <w:marTop w:val="0"/>
      <w:marBottom w:val="0"/>
      <w:divBdr>
        <w:top w:val="none" w:sz="0" w:space="0" w:color="auto"/>
        <w:left w:val="none" w:sz="0" w:space="0" w:color="auto"/>
        <w:bottom w:val="none" w:sz="0" w:space="0" w:color="auto"/>
        <w:right w:val="none" w:sz="0" w:space="0" w:color="auto"/>
      </w:divBdr>
    </w:div>
    <w:div w:id="21132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A0F79-3ACB-41D7-A3BA-E6B52021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he14545</dc:creator>
  <cp:keywords/>
  <dc:description/>
  <cp:lastModifiedBy>Stephen Saunders (Swansea Bay UHB - Information)</cp:lastModifiedBy>
  <cp:revision>48</cp:revision>
  <cp:lastPrinted>2016-12-14T09:15:00Z</cp:lastPrinted>
  <dcterms:created xsi:type="dcterms:W3CDTF">2020-12-14T10:35:00Z</dcterms:created>
  <dcterms:modified xsi:type="dcterms:W3CDTF">2021-03-18T12:40:00Z</dcterms:modified>
</cp:coreProperties>
</file>