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CE9140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97CE8">
                              <w:rPr>
                                <w:rFonts w:ascii="Verdana" w:hAnsi="Verdana"/>
                                <w:b/>
                                <w:sz w:val="22"/>
                                <w:szCs w:val="22"/>
                              </w:rPr>
                              <w:t>25-J-066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CE9140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97CE8">
                        <w:rPr>
                          <w:rFonts w:ascii="Verdana" w:hAnsi="Verdana"/>
                          <w:b/>
                          <w:sz w:val="22"/>
                          <w:szCs w:val="22"/>
                        </w:rPr>
                        <w:t>25-J-066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021337C" w14:textId="1E9491DD" w:rsidR="00697CE8" w:rsidRPr="00697CE8" w:rsidRDefault="00697CE8" w:rsidP="00697CE8">
      <w:pPr>
        <w:pStyle w:val="ListParagraph"/>
        <w:numPr>
          <w:ilvl w:val="0"/>
          <w:numId w:val="19"/>
        </w:numPr>
        <w:rPr>
          <w:rFonts w:ascii="Verdana" w:hAnsi="Verdana"/>
          <w:b/>
          <w:bCs/>
          <w:noProof/>
          <w:sz w:val="22"/>
          <w:szCs w:val="22"/>
        </w:rPr>
      </w:pPr>
      <w:r w:rsidRPr="00697CE8">
        <w:rPr>
          <w:rFonts w:ascii="Verdana" w:hAnsi="Verdana"/>
          <w:b/>
          <w:bCs/>
          <w:noProof/>
          <w:sz w:val="22"/>
          <w:szCs w:val="22"/>
        </w:rPr>
        <w:t xml:space="preserve">In 2023, what was the wait time for Emergency surgery for a haemorrhoidectomy in the Colorectal Surgery Department? </w:t>
      </w:r>
      <w:r>
        <w:rPr>
          <w:rFonts w:ascii="Verdana" w:hAnsi="Verdana"/>
          <w:b/>
          <w:bCs/>
          <w:noProof/>
          <w:sz w:val="22"/>
          <w:szCs w:val="22"/>
        </w:rPr>
        <w:br/>
      </w:r>
      <w:r w:rsidR="00823D7B" w:rsidRPr="00823D7B">
        <w:rPr>
          <w:rFonts w:ascii="Verdana" w:hAnsi="Verdana"/>
          <w:noProof/>
          <w:sz w:val="22"/>
          <w:szCs w:val="22"/>
        </w:rPr>
        <w:t>There are no waits for emergency surgery.</w:t>
      </w:r>
      <w:r>
        <w:rPr>
          <w:rFonts w:ascii="Verdana" w:hAnsi="Verdana"/>
          <w:b/>
          <w:bCs/>
          <w:noProof/>
          <w:sz w:val="22"/>
          <w:szCs w:val="22"/>
        </w:rPr>
        <w:br/>
      </w:r>
    </w:p>
    <w:p w14:paraId="15281412" w14:textId="77777777" w:rsidR="00823D7B" w:rsidRDefault="00697CE8" w:rsidP="00697CE8">
      <w:pPr>
        <w:pStyle w:val="ListParagraph"/>
        <w:numPr>
          <w:ilvl w:val="0"/>
          <w:numId w:val="19"/>
        </w:numPr>
        <w:rPr>
          <w:rFonts w:ascii="Verdana" w:hAnsi="Verdana"/>
          <w:b/>
          <w:bCs/>
          <w:noProof/>
          <w:sz w:val="22"/>
          <w:szCs w:val="22"/>
        </w:rPr>
      </w:pPr>
      <w:r w:rsidRPr="00697CE8">
        <w:rPr>
          <w:rFonts w:ascii="Verdana" w:hAnsi="Verdana"/>
          <w:b/>
          <w:bCs/>
          <w:noProof/>
          <w:sz w:val="22"/>
          <w:szCs w:val="22"/>
        </w:rPr>
        <w:t xml:space="preserve">In 2023, what was the wait time for non-urgent surgery for a haemorrhoidectomy in the Colorectal Surgery Department? </w:t>
      </w:r>
      <w:r>
        <w:rPr>
          <w:rFonts w:ascii="Verdana" w:hAnsi="Verdana"/>
          <w:b/>
          <w:bCs/>
          <w:noProof/>
          <w:sz w:val="22"/>
          <w:szCs w:val="22"/>
        </w:rPr>
        <w:br/>
      </w:r>
    </w:p>
    <w:tbl>
      <w:tblPr>
        <w:tblW w:w="13620" w:type="dxa"/>
        <w:jc w:val="center"/>
        <w:tblLook w:val="04A0" w:firstRow="1" w:lastRow="0" w:firstColumn="1" w:lastColumn="0" w:noHBand="0" w:noVBand="1"/>
      </w:tblPr>
      <w:tblGrid>
        <w:gridCol w:w="3460"/>
        <w:gridCol w:w="1480"/>
        <w:gridCol w:w="1480"/>
        <w:gridCol w:w="1480"/>
        <w:gridCol w:w="1480"/>
        <w:gridCol w:w="1480"/>
        <w:gridCol w:w="1480"/>
        <w:gridCol w:w="1280"/>
      </w:tblGrid>
      <w:tr w:rsidR="00823D7B" w:rsidRPr="00823D7B" w14:paraId="30BF58FD" w14:textId="77777777" w:rsidTr="007C497D">
        <w:trPr>
          <w:trHeight w:val="300"/>
          <w:jc w:val="center"/>
        </w:trPr>
        <w:tc>
          <w:tcPr>
            <w:tcW w:w="3460" w:type="dxa"/>
            <w:tcBorders>
              <w:top w:val="single" w:sz="4" w:space="0" w:color="auto"/>
              <w:left w:val="single" w:sz="4" w:space="0" w:color="auto"/>
              <w:bottom w:val="single" w:sz="4" w:space="0" w:color="auto"/>
              <w:right w:val="single" w:sz="4" w:space="0" w:color="auto"/>
            </w:tcBorders>
            <w:noWrap/>
            <w:vAlign w:val="center"/>
            <w:hideMark/>
          </w:tcPr>
          <w:p w14:paraId="1BBEECA7"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Procedure</w:t>
            </w:r>
          </w:p>
        </w:tc>
        <w:tc>
          <w:tcPr>
            <w:tcW w:w="1480" w:type="dxa"/>
            <w:tcBorders>
              <w:top w:val="single" w:sz="4" w:space="0" w:color="auto"/>
              <w:left w:val="nil"/>
              <w:bottom w:val="single" w:sz="4" w:space="0" w:color="auto"/>
              <w:right w:val="single" w:sz="4" w:space="0" w:color="auto"/>
            </w:tcBorders>
            <w:noWrap/>
            <w:vAlign w:val="center"/>
            <w:hideMark/>
          </w:tcPr>
          <w:p w14:paraId="068992FF"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0-36 weeks</w:t>
            </w:r>
          </w:p>
        </w:tc>
        <w:tc>
          <w:tcPr>
            <w:tcW w:w="1480" w:type="dxa"/>
            <w:tcBorders>
              <w:top w:val="single" w:sz="4" w:space="0" w:color="auto"/>
              <w:left w:val="nil"/>
              <w:bottom w:val="single" w:sz="4" w:space="0" w:color="auto"/>
              <w:right w:val="single" w:sz="4" w:space="0" w:color="auto"/>
            </w:tcBorders>
            <w:noWrap/>
            <w:vAlign w:val="center"/>
            <w:hideMark/>
          </w:tcPr>
          <w:p w14:paraId="66D8E952"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&gt;36 weeks</w:t>
            </w:r>
          </w:p>
        </w:tc>
        <w:tc>
          <w:tcPr>
            <w:tcW w:w="1480" w:type="dxa"/>
            <w:tcBorders>
              <w:top w:val="single" w:sz="4" w:space="0" w:color="auto"/>
              <w:left w:val="nil"/>
              <w:bottom w:val="single" w:sz="4" w:space="0" w:color="auto"/>
              <w:right w:val="single" w:sz="4" w:space="0" w:color="auto"/>
            </w:tcBorders>
            <w:noWrap/>
            <w:vAlign w:val="center"/>
            <w:hideMark/>
          </w:tcPr>
          <w:p w14:paraId="2A7BE0D5"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&gt;52 weeks</w:t>
            </w:r>
          </w:p>
        </w:tc>
        <w:tc>
          <w:tcPr>
            <w:tcW w:w="1480" w:type="dxa"/>
            <w:tcBorders>
              <w:top w:val="single" w:sz="4" w:space="0" w:color="auto"/>
              <w:left w:val="nil"/>
              <w:bottom w:val="single" w:sz="4" w:space="0" w:color="auto"/>
              <w:right w:val="single" w:sz="4" w:space="0" w:color="auto"/>
            </w:tcBorders>
            <w:noWrap/>
            <w:vAlign w:val="center"/>
            <w:hideMark/>
          </w:tcPr>
          <w:p w14:paraId="6D6D1063"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&gt;104 weeks</w:t>
            </w:r>
          </w:p>
        </w:tc>
        <w:tc>
          <w:tcPr>
            <w:tcW w:w="1480" w:type="dxa"/>
            <w:tcBorders>
              <w:top w:val="single" w:sz="4" w:space="0" w:color="auto"/>
              <w:left w:val="nil"/>
              <w:bottom w:val="single" w:sz="4" w:space="0" w:color="auto"/>
              <w:right w:val="single" w:sz="4" w:space="0" w:color="auto"/>
            </w:tcBorders>
            <w:noWrap/>
            <w:vAlign w:val="center"/>
            <w:hideMark/>
          </w:tcPr>
          <w:p w14:paraId="0C1A8AF9"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&gt;162 weeks</w:t>
            </w:r>
          </w:p>
        </w:tc>
        <w:tc>
          <w:tcPr>
            <w:tcW w:w="1480" w:type="dxa"/>
            <w:tcBorders>
              <w:top w:val="single" w:sz="4" w:space="0" w:color="auto"/>
              <w:left w:val="nil"/>
              <w:bottom w:val="single" w:sz="4" w:space="0" w:color="auto"/>
              <w:right w:val="single" w:sz="4" w:space="0" w:color="auto"/>
            </w:tcBorders>
            <w:noWrap/>
            <w:vAlign w:val="center"/>
            <w:hideMark/>
          </w:tcPr>
          <w:p w14:paraId="7152203C"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&gt;200 weeks</w:t>
            </w:r>
          </w:p>
        </w:tc>
        <w:tc>
          <w:tcPr>
            <w:tcW w:w="1280" w:type="dxa"/>
            <w:tcBorders>
              <w:top w:val="single" w:sz="4" w:space="0" w:color="auto"/>
              <w:left w:val="nil"/>
              <w:bottom w:val="single" w:sz="4" w:space="0" w:color="auto"/>
              <w:right w:val="single" w:sz="4" w:space="0" w:color="auto"/>
            </w:tcBorders>
            <w:noWrap/>
            <w:vAlign w:val="center"/>
            <w:hideMark/>
          </w:tcPr>
          <w:p w14:paraId="76AB9D52"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 xml:space="preserve">Total </w:t>
            </w:r>
          </w:p>
        </w:tc>
      </w:tr>
      <w:tr w:rsidR="00823D7B" w:rsidRPr="00823D7B" w14:paraId="3F477688" w14:textId="77777777" w:rsidTr="007C497D">
        <w:trPr>
          <w:trHeight w:val="405"/>
          <w:jc w:val="center"/>
        </w:trPr>
        <w:tc>
          <w:tcPr>
            <w:tcW w:w="3460" w:type="dxa"/>
            <w:tcBorders>
              <w:top w:val="nil"/>
              <w:left w:val="single" w:sz="4" w:space="0" w:color="auto"/>
              <w:bottom w:val="single" w:sz="4" w:space="0" w:color="auto"/>
              <w:right w:val="single" w:sz="4" w:space="0" w:color="auto"/>
            </w:tcBorders>
            <w:noWrap/>
            <w:vAlign w:val="center"/>
            <w:hideMark/>
          </w:tcPr>
          <w:p w14:paraId="37C5A1AD"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Haemorrhoidectomy</w:t>
            </w:r>
          </w:p>
        </w:tc>
        <w:tc>
          <w:tcPr>
            <w:tcW w:w="1480" w:type="dxa"/>
            <w:tcBorders>
              <w:top w:val="nil"/>
              <w:left w:val="nil"/>
              <w:bottom w:val="single" w:sz="4" w:space="0" w:color="auto"/>
              <w:right w:val="single" w:sz="4" w:space="0" w:color="auto"/>
            </w:tcBorders>
            <w:noWrap/>
            <w:vAlign w:val="center"/>
            <w:hideMark/>
          </w:tcPr>
          <w:p w14:paraId="33D8336E"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7</w:t>
            </w:r>
          </w:p>
        </w:tc>
        <w:tc>
          <w:tcPr>
            <w:tcW w:w="1480" w:type="dxa"/>
            <w:tcBorders>
              <w:top w:val="nil"/>
              <w:left w:val="nil"/>
              <w:bottom w:val="single" w:sz="4" w:space="0" w:color="auto"/>
              <w:right w:val="single" w:sz="4" w:space="0" w:color="auto"/>
            </w:tcBorders>
            <w:noWrap/>
            <w:vAlign w:val="center"/>
            <w:hideMark/>
          </w:tcPr>
          <w:p w14:paraId="0839C4AD"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3</w:t>
            </w:r>
          </w:p>
        </w:tc>
        <w:tc>
          <w:tcPr>
            <w:tcW w:w="1480" w:type="dxa"/>
            <w:tcBorders>
              <w:top w:val="nil"/>
              <w:left w:val="nil"/>
              <w:bottom w:val="single" w:sz="4" w:space="0" w:color="auto"/>
              <w:right w:val="single" w:sz="4" w:space="0" w:color="auto"/>
            </w:tcBorders>
            <w:noWrap/>
            <w:vAlign w:val="center"/>
            <w:hideMark/>
          </w:tcPr>
          <w:p w14:paraId="2B3ADFCA"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12</w:t>
            </w:r>
          </w:p>
        </w:tc>
        <w:tc>
          <w:tcPr>
            <w:tcW w:w="1480" w:type="dxa"/>
            <w:tcBorders>
              <w:top w:val="nil"/>
              <w:left w:val="nil"/>
              <w:bottom w:val="single" w:sz="4" w:space="0" w:color="auto"/>
              <w:right w:val="single" w:sz="4" w:space="0" w:color="auto"/>
            </w:tcBorders>
            <w:noWrap/>
            <w:vAlign w:val="center"/>
            <w:hideMark/>
          </w:tcPr>
          <w:p w14:paraId="0CA8120A"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8</w:t>
            </w:r>
          </w:p>
        </w:tc>
        <w:tc>
          <w:tcPr>
            <w:tcW w:w="1480" w:type="dxa"/>
            <w:tcBorders>
              <w:top w:val="nil"/>
              <w:left w:val="nil"/>
              <w:bottom w:val="single" w:sz="4" w:space="0" w:color="auto"/>
              <w:right w:val="single" w:sz="4" w:space="0" w:color="auto"/>
            </w:tcBorders>
            <w:noWrap/>
            <w:vAlign w:val="center"/>
            <w:hideMark/>
          </w:tcPr>
          <w:p w14:paraId="26C8D251"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5</w:t>
            </w:r>
          </w:p>
        </w:tc>
        <w:tc>
          <w:tcPr>
            <w:tcW w:w="1480" w:type="dxa"/>
            <w:tcBorders>
              <w:top w:val="nil"/>
              <w:left w:val="nil"/>
              <w:bottom w:val="single" w:sz="4" w:space="0" w:color="auto"/>
              <w:right w:val="single" w:sz="4" w:space="0" w:color="auto"/>
            </w:tcBorders>
            <w:noWrap/>
            <w:vAlign w:val="center"/>
            <w:hideMark/>
          </w:tcPr>
          <w:p w14:paraId="01392840"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6</w:t>
            </w:r>
          </w:p>
        </w:tc>
        <w:tc>
          <w:tcPr>
            <w:tcW w:w="1280" w:type="dxa"/>
            <w:tcBorders>
              <w:top w:val="nil"/>
              <w:left w:val="nil"/>
              <w:bottom w:val="single" w:sz="4" w:space="0" w:color="auto"/>
              <w:right w:val="single" w:sz="4" w:space="0" w:color="auto"/>
            </w:tcBorders>
            <w:noWrap/>
            <w:vAlign w:val="center"/>
            <w:hideMark/>
          </w:tcPr>
          <w:p w14:paraId="08C9C2EB"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41</w:t>
            </w:r>
          </w:p>
        </w:tc>
      </w:tr>
      <w:tr w:rsidR="00823D7B" w:rsidRPr="00823D7B" w14:paraId="327244A9" w14:textId="77777777" w:rsidTr="007C497D">
        <w:trPr>
          <w:trHeight w:val="405"/>
          <w:jc w:val="center"/>
        </w:trPr>
        <w:tc>
          <w:tcPr>
            <w:tcW w:w="3460" w:type="dxa"/>
            <w:tcBorders>
              <w:top w:val="nil"/>
              <w:left w:val="single" w:sz="4" w:space="0" w:color="auto"/>
              <w:bottom w:val="single" w:sz="4" w:space="0" w:color="auto"/>
              <w:right w:val="single" w:sz="4" w:space="0" w:color="auto"/>
            </w:tcBorders>
            <w:noWrap/>
            <w:vAlign w:val="center"/>
            <w:hideMark/>
          </w:tcPr>
          <w:p w14:paraId="339B177C" w14:textId="77777777" w:rsidR="00823D7B" w:rsidRPr="00823D7B" w:rsidRDefault="00823D7B" w:rsidP="00823D7B">
            <w:pPr>
              <w:spacing w:before="0" w:after="0" w:line="240" w:lineRule="auto"/>
              <w:ind w:left="0" w:right="0"/>
              <w:jc w:val="center"/>
              <w:rPr>
                <w:rFonts w:ascii="Verdana" w:eastAsia="Times New Roman" w:hAnsi="Verdana" w:cs="Times New Roman"/>
                <w:b/>
                <w:bCs/>
                <w:color w:val="000000"/>
                <w:sz w:val="20"/>
                <w:szCs w:val="20"/>
              </w:rPr>
            </w:pPr>
            <w:r w:rsidRPr="00823D7B">
              <w:rPr>
                <w:rFonts w:ascii="Verdana" w:eastAsia="Times New Roman" w:hAnsi="Verdana" w:cs="Times New Roman"/>
                <w:b/>
                <w:bCs/>
                <w:color w:val="000000"/>
                <w:sz w:val="20"/>
                <w:szCs w:val="20"/>
              </w:rPr>
              <w:t>EUA =/- Haemorrhoidectomy</w:t>
            </w:r>
          </w:p>
        </w:tc>
        <w:tc>
          <w:tcPr>
            <w:tcW w:w="1480" w:type="dxa"/>
            <w:tcBorders>
              <w:top w:val="nil"/>
              <w:left w:val="nil"/>
              <w:bottom w:val="single" w:sz="4" w:space="0" w:color="auto"/>
              <w:right w:val="single" w:sz="4" w:space="0" w:color="auto"/>
            </w:tcBorders>
            <w:noWrap/>
            <w:vAlign w:val="center"/>
            <w:hideMark/>
          </w:tcPr>
          <w:p w14:paraId="5FE0CA8F"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25</w:t>
            </w:r>
          </w:p>
        </w:tc>
        <w:tc>
          <w:tcPr>
            <w:tcW w:w="1480" w:type="dxa"/>
            <w:tcBorders>
              <w:top w:val="nil"/>
              <w:left w:val="nil"/>
              <w:bottom w:val="single" w:sz="4" w:space="0" w:color="auto"/>
              <w:right w:val="single" w:sz="4" w:space="0" w:color="auto"/>
            </w:tcBorders>
            <w:noWrap/>
            <w:vAlign w:val="center"/>
            <w:hideMark/>
          </w:tcPr>
          <w:p w14:paraId="4DC7B9F9"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15</w:t>
            </w:r>
          </w:p>
        </w:tc>
        <w:tc>
          <w:tcPr>
            <w:tcW w:w="1480" w:type="dxa"/>
            <w:tcBorders>
              <w:top w:val="nil"/>
              <w:left w:val="nil"/>
              <w:bottom w:val="single" w:sz="4" w:space="0" w:color="auto"/>
              <w:right w:val="single" w:sz="4" w:space="0" w:color="auto"/>
            </w:tcBorders>
            <w:noWrap/>
            <w:vAlign w:val="center"/>
            <w:hideMark/>
          </w:tcPr>
          <w:p w14:paraId="02366020"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32</w:t>
            </w:r>
          </w:p>
        </w:tc>
        <w:tc>
          <w:tcPr>
            <w:tcW w:w="1480" w:type="dxa"/>
            <w:tcBorders>
              <w:top w:val="nil"/>
              <w:left w:val="nil"/>
              <w:bottom w:val="single" w:sz="4" w:space="0" w:color="auto"/>
              <w:right w:val="single" w:sz="4" w:space="0" w:color="auto"/>
            </w:tcBorders>
            <w:noWrap/>
            <w:vAlign w:val="center"/>
            <w:hideMark/>
          </w:tcPr>
          <w:p w14:paraId="7B1256DB"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5</w:t>
            </w:r>
          </w:p>
        </w:tc>
        <w:tc>
          <w:tcPr>
            <w:tcW w:w="1480" w:type="dxa"/>
            <w:tcBorders>
              <w:top w:val="nil"/>
              <w:left w:val="nil"/>
              <w:bottom w:val="single" w:sz="4" w:space="0" w:color="auto"/>
              <w:right w:val="single" w:sz="4" w:space="0" w:color="auto"/>
            </w:tcBorders>
            <w:noWrap/>
            <w:vAlign w:val="center"/>
            <w:hideMark/>
          </w:tcPr>
          <w:p w14:paraId="099B0859"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6</w:t>
            </w:r>
          </w:p>
        </w:tc>
        <w:tc>
          <w:tcPr>
            <w:tcW w:w="1480" w:type="dxa"/>
            <w:tcBorders>
              <w:top w:val="nil"/>
              <w:left w:val="nil"/>
              <w:bottom w:val="single" w:sz="4" w:space="0" w:color="auto"/>
              <w:right w:val="single" w:sz="4" w:space="0" w:color="auto"/>
            </w:tcBorders>
            <w:noWrap/>
            <w:vAlign w:val="center"/>
            <w:hideMark/>
          </w:tcPr>
          <w:p w14:paraId="1B9C0165"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1</w:t>
            </w:r>
          </w:p>
        </w:tc>
        <w:tc>
          <w:tcPr>
            <w:tcW w:w="1280" w:type="dxa"/>
            <w:tcBorders>
              <w:top w:val="nil"/>
              <w:left w:val="nil"/>
              <w:bottom w:val="single" w:sz="4" w:space="0" w:color="auto"/>
              <w:right w:val="single" w:sz="4" w:space="0" w:color="auto"/>
            </w:tcBorders>
            <w:noWrap/>
            <w:vAlign w:val="center"/>
            <w:hideMark/>
          </w:tcPr>
          <w:p w14:paraId="4AEE48F9" w14:textId="77777777" w:rsidR="00823D7B" w:rsidRPr="00823D7B" w:rsidRDefault="00823D7B" w:rsidP="00823D7B">
            <w:pPr>
              <w:spacing w:before="0" w:after="0" w:line="240" w:lineRule="auto"/>
              <w:ind w:left="0" w:right="0"/>
              <w:jc w:val="center"/>
              <w:rPr>
                <w:rFonts w:ascii="Verdana" w:eastAsia="Times New Roman" w:hAnsi="Verdana" w:cs="Times New Roman"/>
                <w:color w:val="000000"/>
                <w:sz w:val="20"/>
                <w:szCs w:val="20"/>
              </w:rPr>
            </w:pPr>
            <w:r w:rsidRPr="00823D7B">
              <w:rPr>
                <w:rFonts w:ascii="Verdana" w:eastAsia="Times New Roman" w:hAnsi="Verdana" w:cs="Times New Roman"/>
                <w:color w:val="000000"/>
                <w:sz w:val="20"/>
                <w:szCs w:val="20"/>
              </w:rPr>
              <w:t>85</w:t>
            </w:r>
          </w:p>
        </w:tc>
      </w:tr>
    </w:tbl>
    <w:p w14:paraId="52BB26CD" w14:textId="1C6E9146" w:rsidR="00697CE8" w:rsidRPr="00543D72" w:rsidRDefault="00543D72" w:rsidP="00543D72">
      <w:pPr>
        <w:ind w:left="1225"/>
        <w:rPr>
          <w:rFonts w:ascii="Verdana" w:hAnsi="Verdana"/>
          <w:noProof/>
          <w:sz w:val="22"/>
          <w:szCs w:val="22"/>
        </w:rPr>
      </w:pPr>
      <w:r w:rsidRPr="00543D72">
        <w:rPr>
          <w:rFonts w:ascii="Verdana" w:hAnsi="Verdana"/>
          <w:noProof/>
          <w:sz w:val="22"/>
          <w:szCs w:val="22"/>
        </w:rPr>
        <w:t>EUA = Examination Under Anaesthetic</w:t>
      </w:r>
      <w:r w:rsidRPr="00543D72">
        <w:rPr>
          <w:rFonts w:ascii="Verdana" w:hAnsi="Verdana"/>
          <w:noProof/>
          <w:sz w:val="22"/>
          <w:szCs w:val="22"/>
        </w:rPr>
        <w:br/>
      </w:r>
    </w:p>
    <w:p w14:paraId="6C836421" w14:textId="3349E713" w:rsidR="00697CE8" w:rsidRPr="00697CE8" w:rsidRDefault="00697CE8" w:rsidP="00697CE8">
      <w:pPr>
        <w:pStyle w:val="ListParagraph"/>
        <w:numPr>
          <w:ilvl w:val="0"/>
          <w:numId w:val="19"/>
        </w:numPr>
        <w:rPr>
          <w:rFonts w:ascii="Verdana" w:hAnsi="Verdana"/>
          <w:b/>
          <w:bCs/>
          <w:noProof/>
          <w:sz w:val="22"/>
          <w:szCs w:val="22"/>
        </w:rPr>
      </w:pPr>
      <w:r w:rsidRPr="00697CE8">
        <w:rPr>
          <w:rFonts w:ascii="Verdana" w:hAnsi="Verdana"/>
          <w:b/>
          <w:bCs/>
          <w:noProof/>
          <w:sz w:val="22"/>
          <w:szCs w:val="22"/>
        </w:rPr>
        <w:t xml:space="preserve">What is the </w:t>
      </w:r>
      <w:r>
        <w:rPr>
          <w:rFonts w:ascii="Verdana" w:hAnsi="Verdana"/>
          <w:b/>
          <w:bCs/>
          <w:noProof/>
          <w:sz w:val="22"/>
          <w:szCs w:val="22"/>
        </w:rPr>
        <w:t>Health Board</w:t>
      </w:r>
      <w:r w:rsidRPr="00697CE8">
        <w:rPr>
          <w:rFonts w:ascii="Verdana" w:hAnsi="Verdana"/>
          <w:b/>
          <w:bCs/>
          <w:noProof/>
          <w:sz w:val="22"/>
          <w:szCs w:val="22"/>
        </w:rPr>
        <w:t xml:space="preserve">’s Colorectal general surgical Policy for the treatment of Grade 3 Haemorrhoids, including Haemorrhoidectomy surgery. </w:t>
      </w:r>
      <w:r w:rsidR="007C497D">
        <w:rPr>
          <w:rFonts w:ascii="Verdana" w:hAnsi="Verdana"/>
          <w:b/>
          <w:bCs/>
          <w:noProof/>
          <w:sz w:val="22"/>
          <w:szCs w:val="22"/>
        </w:rPr>
        <w:br/>
      </w:r>
      <w:r w:rsidR="007C497D" w:rsidRPr="007C497D">
        <w:rPr>
          <w:rFonts w:ascii="Verdana" w:hAnsi="Verdana"/>
          <w:noProof/>
          <w:sz w:val="22"/>
          <w:szCs w:val="22"/>
        </w:rPr>
        <w:t>Swansea Bay UHB follow</w:t>
      </w:r>
      <w:r w:rsidR="00BD609F">
        <w:rPr>
          <w:rFonts w:ascii="Verdana" w:hAnsi="Verdana"/>
          <w:noProof/>
          <w:sz w:val="22"/>
          <w:szCs w:val="22"/>
        </w:rPr>
        <w:t xml:space="preserve"> the</w:t>
      </w:r>
      <w:r w:rsidR="007C497D" w:rsidRPr="007C497D">
        <w:rPr>
          <w:rFonts w:ascii="Verdana" w:hAnsi="Verdana"/>
          <w:noProof/>
          <w:sz w:val="22"/>
          <w:szCs w:val="22"/>
        </w:rPr>
        <w:t xml:space="preserve"> </w:t>
      </w:r>
      <w:r w:rsidR="00BD609F" w:rsidRPr="00BD609F">
        <w:rPr>
          <w:rFonts w:ascii="Verdana" w:hAnsi="Verdana"/>
          <w:noProof/>
          <w:sz w:val="22"/>
          <w:szCs w:val="22"/>
        </w:rPr>
        <w:t xml:space="preserve">Association of Coloproctology of Great Britain and Ireland (ACPGBI) </w:t>
      </w:r>
      <w:r w:rsidR="007C497D" w:rsidRPr="007C497D">
        <w:rPr>
          <w:rFonts w:ascii="Verdana" w:hAnsi="Verdana"/>
          <w:noProof/>
          <w:sz w:val="22"/>
          <w:szCs w:val="22"/>
        </w:rPr>
        <w:t xml:space="preserve">guidelines for the management of </w:t>
      </w:r>
      <w:r w:rsidR="00BD609F">
        <w:rPr>
          <w:rFonts w:ascii="Verdana" w:hAnsi="Verdana"/>
          <w:noProof/>
          <w:sz w:val="22"/>
          <w:szCs w:val="22"/>
        </w:rPr>
        <w:t>G</w:t>
      </w:r>
      <w:r w:rsidR="007C497D" w:rsidRPr="007C497D">
        <w:rPr>
          <w:rFonts w:ascii="Verdana" w:hAnsi="Verdana"/>
          <w:noProof/>
          <w:sz w:val="22"/>
          <w:szCs w:val="22"/>
        </w:rPr>
        <w:t>rade 3 haemorrhoids. If conservative measures fail (diet modification, toilet training, topical treatments), then haemorrhoidectomy is recommended.</w:t>
      </w:r>
      <w:r w:rsidRPr="007C497D">
        <w:rPr>
          <w:rFonts w:ascii="Verdana" w:hAnsi="Verdana"/>
          <w:noProof/>
          <w:sz w:val="22"/>
          <w:szCs w:val="22"/>
        </w:rPr>
        <w:br/>
      </w:r>
      <w:r>
        <w:rPr>
          <w:rFonts w:ascii="Verdana" w:hAnsi="Verdana"/>
          <w:b/>
          <w:bCs/>
          <w:noProof/>
          <w:sz w:val="22"/>
          <w:szCs w:val="22"/>
        </w:rPr>
        <w:lastRenderedPageBreak/>
        <w:br/>
      </w:r>
    </w:p>
    <w:p w14:paraId="23DF621B" w14:textId="28D126D4" w:rsidR="00873328" w:rsidRPr="00697CE8" w:rsidRDefault="00697CE8" w:rsidP="00697CE8">
      <w:pPr>
        <w:pStyle w:val="ListParagraph"/>
        <w:numPr>
          <w:ilvl w:val="0"/>
          <w:numId w:val="19"/>
        </w:numPr>
        <w:rPr>
          <w:rFonts w:ascii="Verdana" w:hAnsi="Verdana"/>
          <w:b/>
          <w:bCs/>
          <w:noProof/>
          <w:sz w:val="22"/>
          <w:szCs w:val="22"/>
        </w:rPr>
      </w:pPr>
      <w:r w:rsidRPr="00697CE8">
        <w:rPr>
          <w:rFonts w:ascii="Verdana" w:hAnsi="Verdana"/>
          <w:b/>
          <w:bCs/>
          <w:noProof/>
          <w:sz w:val="22"/>
          <w:szCs w:val="22"/>
        </w:rPr>
        <w:t xml:space="preserve">What is the </w:t>
      </w:r>
      <w:r>
        <w:rPr>
          <w:rFonts w:ascii="Verdana" w:hAnsi="Verdana"/>
          <w:b/>
          <w:bCs/>
          <w:noProof/>
          <w:sz w:val="22"/>
          <w:szCs w:val="22"/>
        </w:rPr>
        <w:t>Health Board</w:t>
      </w:r>
      <w:r w:rsidRPr="00697CE8">
        <w:rPr>
          <w:rFonts w:ascii="Verdana" w:hAnsi="Verdana"/>
          <w:b/>
          <w:bCs/>
          <w:noProof/>
          <w:sz w:val="22"/>
          <w:szCs w:val="22"/>
        </w:rPr>
        <w:t xml:space="preserve"> General and Colorectal surgical guidelines for referrals for emergency and non-emergency surgery.</w:t>
      </w:r>
      <w:r w:rsidR="00BD609F">
        <w:rPr>
          <w:rFonts w:ascii="Verdana" w:hAnsi="Verdana"/>
          <w:b/>
          <w:bCs/>
          <w:noProof/>
          <w:sz w:val="22"/>
          <w:szCs w:val="22"/>
        </w:rPr>
        <w:br/>
      </w:r>
      <w:r w:rsidR="00BD609F" w:rsidRPr="00BD609F">
        <w:rPr>
          <w:rFonts w:ascii="Verdana" w:hAnsi="Verdana"/>
          <w:noProof/>
          <w:sz w:val="22"/>
          <w:szCs w:val="22"/>
        </w:rPr>
        <w:t>Please see question 3.</w:t>
      </w:r>
      <w:r>
        <w:rPr>
          <w:rFonts w:ascii="Verdana" w:hAnsi="Verdana"/>
          <w:b/>
          <w:bCs/>
          <w:noProof/>
          <w:sz w:val="22"/>
          <w:szCs w:val="22"/>
        </w:rPr>
        <w:br/>
      </w:r>
      <w:r w:rsidR="00823D7B" w:rsidRPr="00823D7B">
        <w:rPr>
          <w:rFonts w:ascii="Verdana" w:hAnsi="Verdana"/>
          <w:noProof/>
          <w:sz w:val="22"/>
          <w:szCs w:val="22"/>
        </w:rPr>
        <w:t xml:space="preserve">Emergency surgery is not typically recommended. These procedures are for routine outpatient referrals and routine waiting list cards at booking. In some circumstances where haemorrhoids are resulting in symptomatic anaemia in patients, then a urgent referral and urgent waiting list card would be appropriate.  </w:t>
      </w:r>
      <w:r w:rsidRPr="00823D7B">
        <w:rPr>
          <w:rFonts w:ascii="Verdana" w:hAnsi="Verdana"/>
          <w:noProof/>
          <w:sz w:val="22"/>
          <w:szCs w:val="22"/>
        </w:rPr>
        <w:br/>
      </w:r>
    </w:p>
    <w:p w14:paraId="2178A95B" w14:textId="77777777" w:rsidR="00873328" w:rsidRDefault="00873328" w:rsidP="00421E7F">
      <w:pPr>
        <w:rPr>
          <w:rFonts w:ascii="Verdana" w:hAnsi="Verdana"/>
          <w:b/>
          <w:bCs/>
          <w:noProof/>
          <w:sz w:val="22"/>
          <w:szCs w:val="22"/>
        </w:rPr>
      </w:pPr>
    </w:p>
    <w:p w14:paraId="75970B72" w14:textId="5569F564" w:rsidR="00A10460" w:rsidRDefault="00421E7F" w:rsidP="00823D7B">
      <w:pPr>
        <w:jc w:val="center"/>
        <w:rPr>
          <w:rFonts w:ascii="Verdana" w:hAnsi="Verdana"/>
          <w:b/>
          <w:bCs/>
          <w:noProof/>
          <w:sz w:val="22"/>
          <w:szCs w:val="22"/>
        </w:rPr>
      </w:pPr>
      <w:r>
        <w:rPr>
          <w:rFonts w:ascii="Verdana" w:hAnsi="Verdana"/>
          <w:b/>
          <w:bCs/>
          <w:noProof/>
          <w:sz w:val="22"/>
          <w:szCs w:val="22"/>
        </w:rPr>
        <w:br/>
        <w:t>_____________________________________________________________</w:t>
      </w:r>
      <w:r w:rsidR="00823D7B">
        <w:rPr>
          <w:rFonts w:ascii="Verdana" w:hAnsi="Verdana"/>
          <w:b/>
          <w:bCs/>
          <w:noProof/>
          <w:sz w:val="22"/>
          <w:szCs w:val="22"/>
        </w:rPr>
        <w:t>____________________</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823D7B">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0CAAE709">
          <wp:simplePos x="0" y="0"/>
          <wp:positionH relativeFrom="column">
            <wp:posOffset>6771005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6FE0FB56">
          <wp:simplePos x="0" y="0"/>
          <wp:positionH relativeFrom="column">
            <wp:posOffset>6685280</wp:posOffset>
          </wp:positionH>
          <wp:positionV relativeFrom="paragraph">
            <wp:posOffset>-462915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13A77F1B" w:rsidR="0097092D" w:rsidRDefault="00823D7B"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1B053B10">
              <wp:simplePos x="0" y="0"/>
              <wp:positionH relativeFrom="page">
                <wp:posOffset>7143750</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62.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BHJdGC&#10;3wAAAA0BAAAPAAAAZHJzL2Rvd25yZXYueG1sTE/RSsNAEHwX/IdjBd/aSwu2EnMpIooWDNUo+HrN&#10;rUk0txfurk3s17t50reZnWF2JtuMthNH9KF1pGAxT0AgVc60VCt4f3uYXYMIUZPRnSNU8IMBNvn5&#10;WaZT4wZ6xWMZa8EhFFKtoImxT6UMVYNWh7nrkVj7dN7qyNTX0ng9cLjt5DJJVtLqlvhDo3u8a7D6&#10;Lg9WwcdQPvrddvv10j8Vp92pLJ7xvlDq8mK8vQERcYx/Zpjqc3XIudPeHcgE0TFfLK94TFQwW60Z&#10;TJZ1MqE9o+kk80z+X5H/AgAA//8DAFBLAQItABQABgAIAAAAIQC2gziS/gAAAOEBAAATAAAAAAAA&#10;AAAAAAAAAAAAAABbQ29udGVudF9UeXBlc10ueG1sUEsBAi0AFAAGAAgAAAAhADj9If/WAAAAlAEA&#10;AAsAAAAAAAAAAAAAAAAALwEAAF9yZWxzLy5yZWxzUEsBAi0AFAAGAAgAAAAhAIJhc01BAgAAfwQA&#10;AA4AAAAAAAAAAAAAAAAALgIAAGRycy9lMm9Eb2MueG1sUEsBAi0AFAAGAAgAAAAhAEcl0YLfAAAA&#10;DQEAAA8AAAAAAAAAAAAAAAAAmwQAAGRycy9kb3ducmV2LnhtbFBLBQYAAAAABAAEAPMAAACnBQAA&#10;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331F619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65pt;height:225.65pt;visibility:visible;mso-wrap-style:square" o:bullet="t">
        <v:imagedata r:id="rId3" o:title=""/>
      </v:shape>
    </w:pict>
  </w:numPicBullet>
  <w:numPicBullet w:numPicBulletId="3">
    <w:pict>
      <v:shape id="_x0000_i1029"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5BE51B5"/>
    <w:multiLevelType w:val="hybridMultilevel"/>
    <w:tmpl w:val="8D9C235C"/>
    <w:lvl w:ilvl="0" w:tplc="B0448F2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B4442D2"/>
    <w:multiLevelType w:val="hybridMultilevel"/>
    <w:tmpl w:val="FF7E3D6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9773FE7"/>
    <w:multiLevelType w:val="hybridMultilevel"/>
    <w:tmpl w:val="AABEB212"/>
    <w:lvl w:ilvl="0" w:tplc="938CEE1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20"/>
  </w:num>
  <w:num w:numId="10" w16cid:durableId="993416643">
    <w:abstractNumId w:val="1"/>
  </w:num>
  <w:num w:numId="11" w16cid:durableId="1541481371">
    <w:abstractNumId w:val="10"/>
  </w:num>
  <w:num w:numId="12" w16cid:durableId="1525171868">
    <w:abstractNumId w:val="14"/>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995258250">
    <w:abstractNumId w:val="11"/>
  </w:num>
  <w:num w:numId="20" w16cid:durableId="1974479022">
    <w:abstractNumId w:val="18"/>
  </w:num>
  <w:num w:numId="21" w16cid:durableId="21316321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37F6"/>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3D72"/>
    <w:rsid w:val="00553E1D"/>
    <w:rsid w:val="0059250D"/>
    <w:rsid w:val="005925B8"/>
    <w:rsid w:val="0059485C"/>
    <w:rsid w:val="005F0E79"/>
    <w:rsid w:val="00602EE5"/>
    <w:rsid w:val="006137E4"/>
    <w:rsid w:val="00635BDA"/>
    <w:rsid w:val="006564DF"/>
    <w:rsid w:val="00684641"/>
    <w:rsid w:val="00697CE8"/>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497D"/>
    <w:rsid w:val="007D0444"/>
    <w:rsid w:val="007D06BB"/>
    <w:rsid w:val="007D6A3E"/>
    <w:rsid w:val="007F192C"/>
    <w:rsid w:val="00816437"/>
    <w:rsid w:val="00823D7B"/>
    <w:rsid w:val="00824D19"/>
    <w:rsid w:val="00846C1D"/>
    <w:rsid w:val="00853C9B"/>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D609F"/>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12111287">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91</TotalTime>
  <Pages>2</Pages>
  <Words>217</Words>
  <Characters>1242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2025-11-12T14:43:00Z</dcterms:modified>
</cp:coreProperties>
</file>