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230056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A175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230056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A175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3043FF5" w14:textId="77777777" w:rsidR="000A175D" w:rsidRPr="00FC3B42" w:rsidRDefault="000A175D" w:rsidP="000A175D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3D3402E5" w14:textId="3100C68D" w:rsidR="000A175D" w:rsidRPr="00782752" w:rsidRDefault="00A10460" w:rsidP="00782752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DCC726F" w14:textId="77777777" w:rsidR="000A175D" w:rsidRDefault="000A175D" w:rsidP="000A175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A175D">
        <w:rPr>
          <w:rFonts w:ascii="Verdana" w:hAnsi="Verdana"/>
          <w:b/>
          <w:bCs/>
          <w:noProof/>
          <w:sz w:val="22"/>
          <w:szCs w:val="22"/>
        </w:rPr>
        <w:t>What was the Bank Expenditure  for Non-Clinical roles between April 1</w:t>
      </w:r>
      <w:r w:rsidRPr="000A175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0A175D">
        <w:rPr>
          <w:rFonts w:ascii="Verdana" w:hAnsi="Verdana"/>
          <w:b/>
          <w:bCs/>
          <w:noProof/>
          <w:sz w:val="22"/>
          <w:szCs w:val="22"/>
        </w:rPr>
        <w:t> 2024 - March 31</w:t>
      </w:r>
      <w:r w:rsidRPr="000A175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0A175D">
        <w:rPr>
          <w:rFonts w:ascii="Verdana" w:hAnsi="Verdana"/>
          <w:b/>
          <w:bCs/>
          <w:noProof/>
          <w:sz w:val="22"/>
          <w:szCs w:val="22"/>
        </w:rPr>
        <w:t> 2025</w:t>
      </w:r>
    </w:p>
    <w:p w14:paraId="36A83478" w14:textId="430FADDB" w:rsidR="000A175D" w:rsidRDefault="000A175D" w:rsidP="000A175D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During this time period, the bank spend for non-clinical roles was £912,684.82</w:t>
      </w:r>
    </w:p>
    <w:p w14:paraId="0E315956" w14:textId="77777777" w:rsidR="000A175D" w:rsidRPr="000A175D" w:rsidRDefault="000A175D" w:rsidP="000A175D">
      <w:pPr>
        <w:ind w:left="720"/>
        <w:rPr>
          <w:rFonts w:ascii="Verdana" w:hAnsi="Verdana"/>
          <w:noProof/>
          <w:sz w:val="22"/>
          <w:szCs w:val="22"/>
        </w:rPr>
      </w:pPr>
    </w:p>
    <w:p w14:paraId="674ED1DB" w14:textId="77777777" w:rsidR="000A175D" w:rsidRDefault="000A175D" w:rsidP="000A175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A175D">
        <w:rPr>
          <w:rFonts w:ascii="Verdana" w:hAnsi="Verdana"/>
          <w:b/>
          <w:bCs/>
          <w:noProof/>
          <w:sz w:val="22"/>
          <w:szCs w:val="22"/>
        </w:rPr>
        <w:t>What was the  Agency Expenditure for Non-Clinical roles between April 1</w:t>
      </w:r>
      <w:r w:rsidRPr="000A175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0A175D">
        <w:rPr>
          <w:rFonts w:ascii="Verdana" w:hAnsi="Verdana"/>
          <w:b/>
          <w:bCs/>
          <w:noProof/>
          <w:sz w:val="22"/>
          <w:szCs w:val="22"/>
        </w:rPr>
        <w:t> 2024 - March 31</w:t>
      </w:r>
      <w:r w:rsidRPr="000A175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Pr="000A175D">
        <w:rPr>
          <w:rFonts w:ascii="Verdana" w:hAnsi="Verdana"/>
          <w:b/>
          <w:bCs/>
          <w:noProof/>
          <w:sz w:val="22"/>
          <w:szCs w:val="22"/>
        </w:rPr>
        <w:t> 2025</w:t>
      </w:r>
    </w:p>
    <w:p w14:paraId="1BBB87EC" w14:textId="0EEE92CD" w:rsidR="000A175D" w:rsidRPr="000A175D" w:rsidRDefault="000A175D" w:rsidP="000A175D">
      <w:pPr>
        <w:pStyle w:val="ListParagrap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During this time period, the agency spend for non-clinical roles was £1,576,212.47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850087D"/>
    <w:multiLevelType w:val="multilevel"/>
    <w:tmpl w:val="C0A28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21028668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175D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82752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244B"/>
    <w:rsid w:val="00816437"/>
    <w:rsid w:val="00824D19"/>
    <w:rsid w:val="00846C1D"/>
    <w:rsid w:val="00873328"/>
    <w:rsid w:val="0089491A"/>
    <w:rsid w:val="008A2D60"/>
    <w:rsid w:val="008D6C92"/>
    <w:rsid w:val="008E3928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A6568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0A175D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A17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90</Words>
  <Characters>516</Characters>
  <Application>Microsoft Office Word</Application>
  <DocSecurity>0</DocSecurity>
  <Lines>17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2025-12-10T10:56:00Z</cp:lastPrinted>
  <dcterms:created xsi:type="dcterms:W3CDTF">2021-09-13T07:38:00Z</dcterms:created>
  <dcterms:modified xsi:type="dcterms:W3CDTF">2025-12-10T10:56:00Z</dcterms:modified>
</cp:coreProperties>
</file>