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237825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7027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237825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7027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CB55867" w14:textId="77777777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40D381D" w14:textId="77777777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SECTION 1</w:t>
      </w:r>
    </w:p>
    <w:p w14:paraId="6A2EA26D" w14:textId="69E1C665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Q1. How many patients were treated in total, regardless of diagnosis, with the following medicines in the 3 months between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February 2025 and April 2025.</w:t>
      </w:r>
    </w:p>
    <w:tbl>
      <w:tblPr>
        <w:tblpPr w:leftFromText="180" w:rightFromText="180" w:vertAnchor="text" w:horzAnchor="margin" w:tblpXSpec="center" w:tblpY="388"/>
        <w:tblW w:w="91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05"/>
        <w:gridCol w:w="1190"/>
        <w:gridCol w:w="2520"/>
      </w:tblGrid>
      <w:tr w:rsidR="00770274" w:rsidRPr="00770274" w14:paraId="08DF0BB2" w14:textId="77777777" w:rsidTr="00770274">
        <w:trPr>
          <w:trHeight w:val="1104"/>
        </w:trPr>
        <w:tc>
          <w:tcPr>
            <w:tcW w:w="54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1E4F31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D0FFD7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F3AA74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Number patients treated</w:t>
            </w:r>
          </w:p>
        </w:tc>
      </w:tr>
      <w:tr w:rsidR="00770274" w:rsidRPr="00770274" w14:paraId="1F09FA4B" w14:textId="77777777" w:rsidTr="00770274">
        <w:trPr>
          <w:trHeight w:val="423"/>
        </w:trPr>
        <w:tc>
          <w:tcPr>
            <w:tcW w:w="54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D06056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1.1 Fedratinib (Inrebic)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0CB7AF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EF728B" w14:textId="56D5D463" w:rsidR="00770274" w:rsidRPr="00770274" w:rsidRDefault="00770274" w:rsidP="00770274">
            <w:pPr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Nil</w:t>
            </w: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770274" w:rsidRPr="00770274" w14:paraId="6B2B6BF0" w14:textId="77777777" w:rsidTr="00770274">
        <w:trPr>
          <w:trHeight w:val="415"/>
        </w:trPr>
        <w:tc>
          <w:tcPr>
            <w:tcW w:w="54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D3C0C6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1.2 Momelotinib (Omjjara)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7483E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BB43F9" w14:textId="496A4647" w:rsidR="00770274" w:rsidRPr="00770274" w:rsidRDefault="00770274" w:rsidP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&lt;5*</w:t>
            </w:r>
          </w:p>
        </w:tc>
      </w:tr>
      <w:tr w:rsidR="00770274" w:rsidRPr="00770274" w14:paraId="1C97F758" w14:textId="77777777" w:rsidTr="00770274">
        <w:trPr>
          <w:trHeight w:val="394"/>
        </w:trPr>
        <w:tc>
          <w:tcPr>
            <w:tcW w:w="54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D8D723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1.3 Ruxolitinib (Jakavi)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C24AC8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BBB83D" w14:textId="42B69EE5" w:rsidR="00770274" w:rsidRPr="00770274" w:rsidRDefault="00770274" w:rsidP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14 </w:t>
            </w:r>
          </w:p>
        </w:tc>
      </w:tr>
      <w:tr w:rsidR="00770274" w:rsidRPr="00770274" w14:paraId="54FA63E6" w14:textId="77777777" w:rsidTr="00770274">
        <w:trPr>
          <w:trHeight w:val="399"/>
        </w:trPr>
        <w:tc>
          <w:tcPr>
            <w:tcW w:w="54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F8B620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1.4 Hydroxycarbamide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6FA438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FBD3D5" w14:textId="123E8A36" w:rsidR="00770274" w:rsidRPr="00770274" w:rsidRDefault="00770274" w:rsidP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72 </w:t>
            </w:r>
          </w:p>
        </w:tc>
      </w:tr>
    </w:tbl>
    <w:p w14:paraId="1A1A0D09" w14:textId="77777777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320184B1" w14:textId="77777777" w:rsidR="00770274" w:rsidRPr="00770274" w:rsidRDefault="00770274" w:rsidP="00770274">
      <w:pPr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317BD3C7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005699D2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43FDD38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587FED78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B13CD0E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5B362DBE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E8607C5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7F4C3F75" w14:textId="082085E4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Q2. How many patients were treated for the following myeloproliferative diseases in the 3 months between </w:t>
      </w:r>
      <w:r w:rsidR="00883C6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January 2025 and March 2025. </w:t>
      </w:r>
    </w:p>
    <w:p w14:paraId="18440DA3" w14:textId="61566AAF" w:rsidR="005E7DE4" w:rsidRPr="005E7DE4" w:rsidRDefault="005E7DE4" w:rsidP="005E7DE4">
      <w:pPr>
        <w:rPr>
          <w:rFonts w:ascii="Verdana" w:hAnsi="Verdana"/>
          <w:b/>
          <w:bCs/>
          <w:sz w:val="22"/>
          <w:szCs w:val="22"/>
        </w:rPr>
      </w:pPr>
      <w:r w:rsidRPr="005E7DE4">
        <w:rPr>
          <w:rFonts w:ascii="Verdana" w:hAnsi="Verdana"/>
          <w:sz w:val="22"/>
          <w:szCs w:val="22"/>
          <w:lang w:eastAsia="en-US"/>
        </w:rPr>
        <w:t xml:space="preserve">Please note that day case admissions to our Haematology </w:t>
      </w:r>
      <w:r w:rsidR="00B45BBE">
        <w:rPr>
          <w:rFonts w:ascii="Verdana" w:hAnsi="Verdana"/>
          <w:sz w:val="22"/>
          <w:szCs w:val="22"/>
          <w:lang w:eastAsia="en-US"/>
        </w:rPr>
        <w:t>U</w:t>
      </w:r>
      <w:r w:rsidRPr="005E7DE4">
        <w:rPr>
          <w:rFonts w:ascii="Verdana" w:hAnsi="Verdana"/>
          <w:sz w:val="22"/>
          <w:szCs w:val="22"/>
          <w:lang w:eastAsia="en-US"/>
        </w:rPr>
        <w:t xml:space="preserve">nit have not </w:t>
      </w:r>
      <w:proofErr w:type="gramStart"/>
      <w:r w:rsidRPr="005E7DE4">
        <w:rPr>
          <w:rFonts w:ascii="Verdana" w:hAnsi="Verdana"/>
          <w:sz w:val="22"/>
          <w:szCs w:val="22"/>
          <w:lang w:eastAsia="en-US"/>
        </w:rPr>
        <w:t>been  consistently</w:t>
      </w:r>
      <w:proofErr w:type="gramEnd"/>
      <w:r w:rsidRPr="005E7DE4">
        <w:rPr>
          <w:rFonts w:ascii="Verdana" w:hAnsi="Verdana"/>
          <w:sz w:val="22"/>
          <w:szCs w:val="22"/>
          <w:lang w:eastAsia="en-US"/>
        </w:rPr>
        <w:t xml:space="preserve"> recorded in an accurate manner, therefore the information we have provided below is not an accurate representation of the true number of admissions/patients treated.</w:t>
      </w:r>
    </w:p>
    <w:p w14:paraId="0A5FCCE4" w14:textId="53E53213" w:rsidR="005E7DE4" w:rsidRDefault="005E7DE4" w:rsidP="00770274">
      <w:pPr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</w:pPr>
      <w:r>
        <w:rPr>
          <w:rFonts w:ascii="Verdana" w:hAnsi="Verdana"/>
          <w:sz w:val="22"/>
          <w:szCs w:val="22"/>
          <w:lang w:eastAsia="en-US"/>
        </w:rPr>
        <w:t xml:space="preserve">As a result of this, </w:t>
      </w:r>
      <w:r w:rsidRPr="002B626F">
        <w:rPr>
          <w:rFonts w:ascii="Verdana" w:hAnsi="Verdana"/>
          <w:sz w:val="22"/>
          <w:szCs w:val="22"/>
          <w:lang w:eastAsia="en-US"/>
        </w:rPr>
        <w:t>the figures that are able to be provided need to be considered with caution</w:t>
      </w:r>
      <w:r>
        <w:rPr>
          <w:rFonts w:ascii="Verdana" w:hAnsi="Verdana"/>
          <w:sz w:val="22"/>
          <w:szCs w:val="22"/>
          <w:lang w:eastAsia="en-US"/>
        </w:rPr>
        <w:t xml:space="preserve">. </w:t>
      </w:r>
      <w:r w:rsidRPr="002B626F">
        <w:rPr>
          <w:rFonts w:ascii="Verdana" w:hAnsi="Verdana"/>
          <w:sz w:val="22"/>
          <w:szCs w:val="22"/>
          <w:lang w:eastAsia="en-US"/>
        </w:rPr>
        <w:t>Going forward day case patients will be recorded as admissions to ensure that we are able to provide valid data</w:t>
      </w:r>
      <w:r>
        <w:rPr>
          <w:rFonts w:ascii="Verdana" w:hAnsi="Verdana" w:cstheme="minorBidi"/>
          <w:kern w:val="2"/>
          <w:sz w:val="22"/>
          <w:szCs w:val="22"/>
          <w:lang w:eastAsia="en-US"/>
          <w14:ligatures w14:val="standardContextual"/>
        </w:rPr>
        <w:t>.</w:t>
      </w:r>
    </w:p>
    <w:p w14:paraId="1ABEE044" w14:textId="53F8F885" w:rsidR="005E7DE4" w:rsidRPr="005E7DE4" w:rsidRDefault="005E7DE4" w:rsidP="00770274">
      <w:pPr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 w:cstheme="minorBidi"/>
          <w:color w:val="000000"/>
          <w:kern w:val="2"/>
          <w:sz w:val="22"/>
          <w:szCs w:val="22"/>
          <w14:ligatures w14:val="standardContextual"/>
        </w:rPr>
        <w:t xml:space="preserve">Please see below the number of individual patients admitted with an admitting diagnosis of </w:t>
      </w:r>
      <w:r w:rsidRPr="005E7DE4">
        <w:rPr>
          <w:rFonts w:ascii="Verdana" w:eastAsia="Times New Roman" w:hAnsi="Verdana" w:cstheme="minorBidi"/>
          <w:color w:val="000000"/>
          <w:kern w:val="2"/>
          <w:sz w:val="22"/>
          <w:szCs w:val="22"/>
          <w14:ligatures w14:val="standardContextual"/>
        </w:rPr>
        <w:t>'D45', 'C944', 'D474', 'D473' or 'D471'</w:t>
      </w:r>
      <w:r>
        <w:rPr>
          <w:rFonts w:ascii="Verdana" w:eastAsia="Times New Roman" w:hAnsi="Verdana" w:cstheme="minorBidi"/>
          <w:color w:val="000000"/>
          <w:kern w:val="2"/>
          <w:sz w:val="22"/>
          <w:szCs w:val="22"/>
          <w14:ligatures w14:val="standardContextual"/>
        </w:rPr>
        <w:t xml:space="preserve"> between 1</w:t>
      </w:r>
      <w:r w:rsidRPr="005E7DE4">
        <w:rPr>
          <w:rFonts w:ascii="Verdana" w:eastAsia="Times New Roman" w:hAnsi="Verdana" w:cstheme="minorBidi"/>
          <w:color w:val="000000"/>
          <w:kern w:val="2"/>
          <w:sz w:val="22"/>
          <w:szCs w:val="22"/>
          <w:vertAlign w:val="superscript"/>
          <w14:ligatures w14:val="standardContextual"/>
        </w:rPr>
        <w:t>st</w:t>
      </w:r>
      <w:r>
        <w:rPr>
          <w:rFonts w:ascii="Verdana" w:eastAsia="Times New Roman" w:hAnsi="Verdana" w:cstheme="minorBidi"/>
          <w:color w:val="000000"/>
          <w:kern w:val="2"/>
          <w:sz w:val="22"/>
          <w:szCs w:val="22"/>
          <w14:ligatures w14:val="standardContextual"/>
        </w:rPr>
        <w:t xml:space="preserve"> January 2025 and 31</w:t>
      </w:r>
      <w:r w:rsidRPr="005E7DE4">
        <w:rPr>
          <w:rFonts w:ascii="Verdana" w:eastAsia="Times New Roman" w:hAnsi="Verdana" w:cstheme="minorBidi"/>
          <w:color w:val="000000"/>
          <w:kern w:val="2"/>
          <w:sz w:val="22"/>
          <w:szCs w:val="22"/>
          <w:vertAlign w:val="superscript"/>
          <w14:ligatures w14:val="standardContextual"/>
        </w:rPr>
        <w:t>st</w:t>
      </w:r>
      <w:r>
        <w:rPr>
          <w:rFonts w:ascii="Verdana" w:eastAsia="Times New Roman" w:hAnsi="Verdana" w:cstheme="minorBidi"/>
          <w:color w:val="000000"/>
          <w:kern w:val="2"/>
          <w:sz w:val="22"/>
          <w:szCs w:val="22"/>
          <w14:ligatures w14:val="standardContextual"/>
        </w:rPr>
        <w:t xml:space="preserve"> March 2025.</w:t>
      </w:r>
    </w:p>
    <w:tbl>
      <w:tblPr>
        <w:tblpPr w:leftFromText="180" w:rightFromText="180" w:vertAnchor="text" w:horzAnchor="margin" w:tblpXSpec="center" w:tblpY="301"/>
        <w:tblW w:w="90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2"/>
        <w:gridCol w:w="1177"/>
        <w:gridCol w:w="2497"/>
      </w:tblGrid>
      <w:tr w:rsidR="00770274" w:rsidRPr="00770274" w14:paraId="1BD4D83C" w14:textId="77777777" w:rsidTr="00770274">
        <w:tc>
          <w:tcPr>
            <w:tcW w:w="53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69B9FC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lastRenderedPageBreak/>
              <w:t>Diagnosis with ICD10 codes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10DA2E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8EE431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Number patients treated</w:t>
            </w:r>
          </w:p>
        </w:tc>
      </w:tr>
      <w:tr w:rsidR="00770274" w:rsidRPr="00770274" w14:paraId="291C3C88" w14:textId="77777777" w:rsidTr="00770274">
        <w:trPr>
          <w:trHeight w:val="604"/>
        </w:trPr>
        <w:tc>
          <w:tcPr>
            <w:tcW w:w="53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78449F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2.1 Polycythaemia vera</w:t>
            </w:r>
          </w:p>
          <w:p w14:paraId="53ED64E6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ICD10 codes = D45, D450, D45.0, D45X OR morphology code = 9950/3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449CED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4513FA" w14:textId="6EE1CC36" w:rsidR="00770274" w:rsidRPr="00770274" w:rsidRDefault="00770274" w:rsidP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5 </w:t>
            </w:r>
          </w:p>
        </w:tc>
      </w:tr>
      <w:tr w:rsidR="00770274" w:rsidRPr="00770274" w14:paraId="45309561" w14:textId="77777777" w:rsidTr="00770274">
        <w:trPr>
          <w:trHeight w:val="698"/>
        </w:trPr>
        <w:tc>
          <w:tcPr>
            <w:tcW w:w="53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4AF7A9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2.2 Myelofibrosis</w:t>
            </w:r>
          </w:p>
          <w:p w14:paraId="460BE875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ICD10 codes = C944, C94.4 or D474, D47.4; OR morphology codes = 9931/3 or 9961/3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E1B714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396DA7" w14:textId="22AB6E28" w:rsidR="00770274" w:rsidRPr="00770274" w:rsidRDefault="00770274" w:rsidP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&lt;5*</w:t>
            </w:r>
          </w:p>
        </w:tc>
      </w:tr>
      <w:tr w:rsidR="00770274" w:rsidRPr="00770274" w14:paraId="3FB38D71" w14:textId="77777777" w:rsidTr="00770274">
        <w:trPr>
          <w:trHeight w:val="455"/>
        </w:trPr>
        <w:tc>
          <w:tcPr>
            <w:tcW w:w="53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DF91C9" w14:textId="02FA41CF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&lt;5*</w:t>
            </w: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2.3 Essential thrombocythemia</w:t>
            </w:r>
          </w:p>
          <w:p w14:paraId="62E8CD45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ICD10 code = D473, D47.3 OR morphology code = 9962/3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17B6A5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C6A4F7" w14:textId="45A7FB5F" w:rsidR="00770274" w:rsidRPr="00770274" w:rsidRDefault="00770274" w:rsidP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&lt;5*</w:t>
            </w:r>
          </w:p>
        </w:tc>
      </w:tr>
      <w:tr w:rsidR="00770274" w:rsidRPr="00770274" w14:paraId="15B88A5E" w14:textId="77777777" w:rsidTr="00770274">
        <w:trPr>
          <w:trHeight w:val="449"/>
        </w:trPr>
        <w:tc>
          <w:tcPr>
            <w:tcW w:w="53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460F9A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2.4 Myeloproliferative Disease, Chronic</w:t>
            </w:r>
          </w:p>
          <w:p w14:paraId="28D161D6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ICD10 code = D471, D47.1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A30EE3" w14:textId="77777777" w:rsidR="00770274" w:rsidRPr="00770274" w:rsidRDefault="00770274" w:rsidP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7EBA29" w14:textId="586344FA" w:rsidR="00770274" w:rsidRPr="00770274" w:rsidRDefault="00770274" w:rsidP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5 </w:t>
            </w:r>
          </w:p>
        </w:tc>
      </w:tr>
    </w:tbl>
    <w:p w14:paraId="2B2B5E72" w14:textId="77777777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009D5D6F" w14:textId="77777777" w:rsidR="00770274" w:rsidRPr="00770274" w:rsidRDefault="00770274" w:rsidP="00770274">
      <w:pPr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19882C5C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9918D41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7FE253C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3D75B81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070590A2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00C2E7AE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0D3CA0C2" w14:textId="77777777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5EBF6115" w14:textId="2B5DF2F2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1B23FA59" w14:textId="77777777" w:rsidR="005E7DE4" w:rsidRDefault="005E7DE4" w:rsidP="005E7DE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A93CEA6" w14:textId="77777777" w:rsidR="005E7DE4" w:rsidRDefault="005E7DE4" w:rsidP="005E7DE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1350539" w14:textId="77777777" w:rsidR="005E7DE4" w:rsidRDefault="005E7DE4" w:rsidP="005E7DE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539210B1" w14:textId="77777777" w:rsidR="005E7DE4" w:rsidRDefault="005E7DE4" w:rsidP="005E7DE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44F848D" w14:textId="77777777" w:rsidR="005E7DE4" w:rsidRDefault="005E7DE4" w:rsidP="005E7DE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57A9FC0" w14:textId="77777777" w:rsidR="005E7DE4" w:rsidRDefault="005E7DE4" w:rsidP="005E7DE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5CF067BE" w14:textId="77777777" w:rsidR="005E7DE4" w:rsidRDefault="005E7DE4" w:rsidP="005E7DE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93CB80D" w14:textId="77777777" w:rsidR="005E7DE4" w:rsidRDefault="005E7DE4" w:rsidP="005E7DE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01622B3" w14:textId="596DADA0" w:rsidR="00770274" w:rsidRPr="00770274" w:rsidRDefault="00770274" w:rsidP="005E7DE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Q3. How many patients with Myelofibrosis (ICD10 codes = C944 or D474; OR morphology codes = 9931/3 or 9961/3) were treated with the following medicines in the 3 months between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February 2025 and April 2025</w:t>
      </w:r>
    </w:p>
    <w:p w14:paraId="5C3DE96B" w14:textId="77777777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6"/>
        <w:gridCol w:w="1177"/>
        <w:gridCol w:w="2493"/>
      </w:tblGrid>
      <w:tr w:rsidR="00770274" w:rsidRPr="00770274" w14:paraId="42F5E7FF" w14:textId="77777777" w:rsidTr="00770274">
        <w:tc>
          <w:tcPr>
            <w:tcW w:w="53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30A2A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DC8456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CD9C67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Number patients treated</w:t>
            </w:r>
          </w:p>
        </w:tc>
      </w:tr>
      <w:tr w:rsidR="00770274" w:rsidRPr="00770274" w14:paraId="24DA2F45" w14:textId="77777777" w:rsidTr="00770274">
        <w:trPr>
          <w:trHeight w:val="419"/>
        </w:trPr>
        <w:tc>
          <w:tcPr>
            <w:tcW w:w="53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D1ED89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3.1 Ruxolitinib (Jakavi)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92A10D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392200" w14:textId="2F8CF0F9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11*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  <w:tr w:rsidR="00770274" w:rsidRPr="00770274" w14:paraId="7B60D0CA" w14:textId="77777777" w:rsidTr="00770274">
        <w:trPr>
          <w:trHeight w:val="411"/>
        </w:trPr>
        <w:tc>
          <w:tcPr>
            <w:tcW w:w="53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5438AA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3.2 Hydroxycarbamide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0EC059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F61A6F" w14:textId="613DA917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53*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</w:t>
            </w:r>
          </w:p>
        </w:tc>
      </w:tr>
    </w:tbl>
    <w:p w14:paraId="4C36C5A0" w14:textId="158CC414" w:rsid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2E09D1E5" w14:textId="4DC31187" w:rsidR="00770274" w:rsidRPr="00770274" w:rsidRDefault="00770274" w:rsidP="00770274">
      <w:pPr>
        <w:rPr>
          <w:rFonts w:ascii="Verdana" w:hAnsi="Verdana"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color w:val="000000"/>
          <w:sz w:val="22"/>
          <w:szCs w:val="22"/>
        </w:rPr>
        <w:t>**</w:t>
      </w:r>
      <w:r w:rsidRPr="00770274">
        <w:rPr>
          <w:rFonts w:ascii="Verdana" w:hAnsi="Verdana"/>
          <w:color w:val="000000"/>
          <w:sz w:val="22"/>
          <w:szCs w:val="22"/>
        </w:rPr>
        <w:t xml:space="preserve"> long term patients on Hydroxycarbamide and Ruxolitinib will have been treated under a previous diagnosis of myeloproliferative disease</w:t>
      </w:r>
    </w:p>
    <w:p w14:paraId="544AFC3F" w14:textId="49C60BE4" w:rsidR="00770274" w:rsidRPr="00770274" w:rsidRDefault="00770274" w:rsidP="00770274">
      <w:pPr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</w:p>
    <w:p w14:paraId="2FA3DAF3" w14:textId="77777777" w:rsidR="005E7DE4" w:rsidRDefault="005E7DE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</w:pPr>
    </w:p>
    <w:p w14:paraId="6C4868DC" w14:textId="36211EB5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lastRenderedPageBreak/>
        <w:t>SECTION 2</w:t>
      </w:r>
    </w:p>
    <w:p w14:paraId="30EBA2AE" w14:textId="610E4496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Q4. How many patients were treated in total, regardless of diagnosis, with the following medicines in the 3 months between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February 2025 and April 2025.</w:t>
      </w:r>
    </w:p>
    <w:p w14:paraId="5ACCB045" w14:textId="77777777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5"/>
        <w:gridCol w:w="1177"/>
        <w:gridCol w:w="2514"/>
      </w:tblGrid>
      <w:tr w:rsidR="00770274" w:rsidRPr="00770274" w14:paraId="66BC2B01" w14:textId="77777777" w:rsidTr="00770274"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9336B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A6B052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C70949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Number patients treated</w:t>
            </w:r>
          </w:p>
        </w:tc>
      </w:tr>
      <w:tr w:rsidR="00770274" w:rsidRPr="00770274" w14:paraId="71614BF7" w14:textId="77777777" w:rsidTr="00770274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CABE5F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4.1 Acalabrutinib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Calquence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F629C4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AD0337" w14:textId="179D27AB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20</w:t>
            </w:r>
          </w:p>
        </w:tc>
      </w:tr>
      <w:tr w:rsidR="00770274" w:rsidRPr="00770274" w14:paraId="3E6FB293" w14:textId="77777777" w:rsidTr="00770274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AC2DA7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4.2 Ibrutinib (Imbruvica)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60414D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B5F472" w14:textId="52487CFA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27</w:t>
            </w:r>
          </w:p>
        </w:tc>
      </w:tr>
      <w:tr w:rsidR="00770274" w:rsidRPr="00770274" w14:paraId="7436A647" w14:textId="77777777" w:rsidTr="00770274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22804D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4.3 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Pirtobrutinib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Jaypirca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A0EE13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DA4284" w14:textId="40AA8885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&lt;5*</w:t>
            </w:r>
          </w:p>
        </w:tc>
      </w:tr>
      <w:tr w:rsidR="00770274" w:rsidRPr="00770274" w14:paraId="72038E0D" w14:textId="77777777" w:rsidTr="00770274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95FA62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4.4 Venetoclax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Venclyxto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B386E6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4B04C9" w14:textId="799BED51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21</w:t>
            </w:r>
          </w:p>
        </w:tc>
      </w:tr>
      <w:tr w:rsidR="00770274" w:rsidRPr="00770274" w14:paraId="2CA06D12" w14:textId="77777777" w:rsidTr="00770274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6D6C7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4.5 Zanubrutinib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Brukinsa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E66EFD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3CB960" w14:textId="211D6B2D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&lt;5*</w:t>
            </w:r>
          </w:p>
        </w:tc>
      </w:tr>
      <w:tr w:rsidR="00770274" w:rsidRPr="00770274" w14:paraId="3C7D9D39" w14:textId="77777777" w:rsidTr="00770274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85132C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4.6 Rituximab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3D4B57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7FFF9B" w14:textId="62CC8CCB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55</w:t>
            </w:r>
          </w:p>
        </w:tc>
      </w:tr>
      <w:tr w:rsidR="00770274" w:rsidRPr="00770274" w14:paraId="2A040933" w14:textId="77777777" w:rsidTr="00770274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056B39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4.7 Obinutuzumab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Gazyvaro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F4989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E51930" w14:textId="747901CD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20</w:t>
            </w:r>
          </w:p>
        </w:tc>
      </w:tr>
    </w:tbl>
    <w:p w14:paraId="77E1BD4C" w14:textId="77777777" w:rsidR="00770274" w:rsidRPr="00770274" w:rsidRDefault="00770274" w:rsidP="00770274">
      <w:pPr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2A28004D" w14:textId="68861A41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Q5. How many patients with </w:t>
      </w:r>
      <w:r w:rsidRPr="00770274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Chronic Lymphocytic Leukaemia</w:t>
      </w: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 OR </w:t>
      </w:r>
      <w:r w:rsidRPr="00770274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Small B-Cell Lymphoma</w:t>
      </w: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 – ICD10 codes = C911, C91.1 OR C830, C83.0 - were treated with the following medicines in the 3 months between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February 2025 and April 2025</w:t>
      </w:r>
    </w:p>
    <w:p w14:paraId="5BA04ED5" w14:textId="77777777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5"/>
        <w:gridCol w:w="1177"/>
        <w:gridCol w:w="2494"/>
      </w:tblGrid>
      <w:tr w:rsidR="00770274" w:rsidRPr="00770274" w14:paraId="1882EC32" w14:textId="77777777" w:rsidTr="00770274">
        <w:tc>
          <w:tcPr>
            <w:tcW w:w="53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FD1872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9FA9CE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41F5E3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Number patients treated</w:t>
            </w:r>
          </w:p>
        </w:tc>
      </w:tr>
      <w:tr w:rsidR="00770274" w:rsidRPr="00770274" w14:paraId="1FD892CB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ABEEC3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5.1 Acalabrutinib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Calquence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F39C4F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C06B12" w14:textId="7C937C8F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17</w:t>
            </w:r>
          </w:p>
        </w:tc>
      </w:tr>
      <w:tr w:rsidR="00770274" w:rsidRPr="00770274" w14:paraId="099ED430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8435F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5.2 Ibrutinib (Imbruvica)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16EB6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51510A" w14:textId="4A970C99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14</w:t>
            </w:r>
          </w:p>
        </w:tc>
      </w:tr>
      <w:tr w:rsidR="00770274" w:rsidRPr="00770274" w14:paraId="7D68FB01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3EE9F7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5.3 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Pirtobrutinib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Jaypirca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A268DE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9DF912" w14:textId="291876DB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&lt;5*</w:t>
            </w:r>
          </w:p>
        </w:tc>
      </w:tr>
      <w:tr w:rsidR="00770274" w:rsidRPr="00770274" w14:paraId="721B5D6A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7262E7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5.4 Venetoclax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Venclyxto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491668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ED4921" w14:textId="1CC17E40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10</w:t>
            </w:r>
          </w:p>
        </w:tc>
      </w:tr>
      <w:tr w:rsidR="00770274" w:rsidRPr="00770274" w14:paraId="60C0C18C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DB90F7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5.5 Zanubrutinib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Brukinsa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55051B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B1D18D" w14:textId="7C2041DD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Nil</w:t>
            </w:r>
          </w:p>
        </w:tc>
      </w:tr>
      <w:tr w:rsidR="00770274" w:rsidRPr="00770274" w14:paraId="763FC818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CE01F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lastRenderedPageBreak/>
              <w:t>5.6 Obinutuzumab (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Gazyvaro</w:t>
            </w:r>
            <w:proofErr w:type="spellEnd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2DF5A3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353BB1" w14:textId="7928F5EF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&lt;5*</w:t>
            </w:r>
          </w:p>
        </w:tc>
      </w:tr>
      <w:tr w:rsidR="00770274" w:rsidRPr="00770274" w14:paraId="3E34D267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EC35E9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5.7 Rituximab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DCE26C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E6F43F" w14:textId="6FD9A177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&lt;5*</w:t>
            </w:r>
          </w:p>
        </w:tc>
      </w:tr>
      <w:tr w:rsidR="00770274" w:rsidRPr="00770274" w14:paraId="105A0912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789822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5.8 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Bendamustine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70F43E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56C897" w14:textId="3A018FAB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Nil</w:t>
            </w:r>
          </w:p>
        </w:tc>
      </w:tr>
      <w:tr w:rsidR="00770274" w:rsidRPr="00770274" w14:paraId="424087D2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1AC490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5.9 Chlorambucil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F3BE06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CDD3BC" w14:textId="59C184E3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Nil</w:t>
            </w:r>
          </w:p>
        </w:tc>
      </w:tr>
      <w:tr w:rsidR="00770274" w:rsidRPr="00770274" w14:paraId="55C7C7A9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A769CB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5.10 Fludarabine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9256CD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18F04F" w14:textId="2CA17D86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Nil</w:t>
            </w:r>
          </w:p>
        </w:tc>
      </w:tr>
      <w:tr w:rsidR="00770274" w:rsidRPr="00770274" w14:paraId="4185B6CD" w14:textId="77777777" w:rsidTr="00770274">
        <w:trPr>
          <w:trHeight w:val="490"/>
        </w:trPr>
        <w:tc>
          <w:tcPr>
            <w:tcW w:w="53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438ABD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5.11 Cyclophosphamide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2E6786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466B0D" w14:textId="7DBA92A6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 Nil </w:t>
            </w:r>
          </w:p>
        </w:tc>
      </w:tr>
    </w:tbl>
    <w:p w14:paraId="41C2B1A9" w14:textId="77777777" w:rsidR="00770274" w:rsidRPr="00770274" w:rsidRDefault="00770274" w:rsidP="00770274">
      <w:pPr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65267C68" w14:textId="058C995E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Q6. How many patients with Chronic Lymphocytic Leukaemia OR Small B-Cell Lymphoma were treated with the following medicines as monotherapy, or in combination, in the 3 months between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February 2025 and April 2025</w:t>
      </w:r>
    </w:p>
    <w:p w14:paraId="107F7DB9" w14:textId="77777777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tbl>
      <w:tblPr>
        <w:tblW w:w="9067" w:type="dxa"/>
        <w:tblInd w:w="68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5"/>
        <w:gridCol w:w="1177"/>
        <w:gridCol w:w="2555"/>
      </w:tblGrid>
      <w:tr w:rsidR="00770274" w:rsidRPr="00770274" w14:paraId="481CC2D7" w14:textId="77777777" w:rsidTr="00770274">
        <w:tc>
          <w:tcPr>
            <w:tcW w:w="5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06D0D1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Name of monotherapy or combination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8594A7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A4A361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Number patients treated</w:t>
            </w:r>
          </w:p>
        </w:tc>
      </w:tr>
      <w:tr w:rsidR="00770274" w:rsidRPr="00770274" w14:paraId="47421DF6" w14:textId="77777777" w:rsidTr="00770274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6B7CAA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6.1 Ibrutinib + 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venetoclax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9A2EF8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08B62F" w14:textId="7998F704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5 </w:t>
            </w:r>
          </w:p>
        </w:tc>
      </w:tr>
      <w:tr w:rsidR="00770274" w:rsidRPr="00770274" w14:paraId="777489F1" w14:textId="77777777" w:rsidTr="00770274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844DFE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 xml:space="preserve">6.2 Obinutuzumab + </w:t>
            </w:r>
            <w:proofErr w:type="spellStart"/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venetoclax</w:t>
            </w:r>
            <w:proofErr w:type="spellEnd"/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0EB21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39335E" w14:textId="11DD65BB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Nil</w:t>
            </w:r>
          </w:p>
        </w:tc>
      </w:tr>
      <w:tr w:rsidR="00770274" w:rsidRPr="00770274" w14:paraId="13A48080" w14:textId="77777777" w:rsidTr="00770274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DCD8DD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6.3 Zanubrutinib monotherapy / maintenance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7868EE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5E59B6" w14:textId="1D189632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Nil</w:t>
            </w:r>
          </w:p>
        </w:tc>
      </w:tr>
      <w:tr w:rsidR="00770274" w:rsidRPr="00770274" w14:paraId="6287EC8A" w14:textId="77777777" w:rsidTr="00770274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E258C3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6.4 Ibrutinib monotherapy / maintenance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73F567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9A2B9D" w14:textId="5346D0AF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9</w:t>
            </w:r>
          </w:p>
        </w:tc>
      </w:tr>
      <w:tr w:rsidR="00770274" w:rsidRPr="00770274" w14:paraId="07364760" w14:textId="77777777" w:rsidTr="00770274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8A676A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6.5 Venetoclax monotherapy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AE1BF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7366AA" w14:textId="1EA8F26D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10</w:t>
            </w:r>
          </w:p>
        </w:tc>
      </w:tr>
      <w:tr w:rsidR="00770274" w:rsidRPr="00770274" w14:paraId="2CB81876" w14:textId="77777777" w:rsidTr="00770274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5CE98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6.6 Venetoclax + rituximab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775D46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4204A0" w14:textId="1C6A4193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Nil</w:t>
            </w:r>
          </w:p>
        </w:tc>
      </w:tr>
      <w:tr w:rsidR="00770274" w:rsidRPr="00770274" w14:paraId="7FC61067" w14:textId="77777777" w:rsidTr="00770274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8F326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6.7 Rituximab monotherapy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8D2A20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95FADE" w14:textId="55BD7768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&lt;5*</w:t>
            </w:r>
          </w:p>
        </w:tc>
      </w:tr>
    </w:tbl>
    <w:p w14:paraId="6C7045FD" w14:textId="77777777" w:rsidR="00770274" w:rsidRPr="00770274" w:rsidRDefault="00770274" w:rsidP="00770274">
      <w:pPr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2A39DD71" w14:textId="21610F1D" w:rsidR="00770274" w:rsidRPr="00770274" w:rsidRDefault="00770274" w:rsidP="00770274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Q7. How many patients with </w:t>
      </w:r>
      <w:r w:rsidRPr="00770274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Mantle Cell Lymphoma</w:t>
      </w:r>
      <w:r w:rsidRPr="00770274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(ICD-10 code = C83.1) were treated with the following medicines, in the 3 months between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February 2025 and April 2025</w:t>
      </w:r>
    </w:p>
    <w:tbl>
      <w:tblPr>
        <w:tblW w:w="9016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0"/>
        <w:gridCol w:w="1177"/>
        <w:gridCol w:w="2519"/>
      </w:tblGrid>
      <w:tr w:rsidR="00770274" w:rsidRPr="00770274" w14:paraId="5A522674" w14:textId="77777777" w:rsidTr="00770274"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F10C80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lastRenderedPageBreak/>
              <w:t>Name of monotherapy or combination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7932D0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9F24C4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Number patients treated</w:t>
            </w:r>
          </w:p>
        </w:tc>
      </w:tr>
      <w:tr w:rsidR="00770274" w:rsidRPr="00770274" w14:paraId="53D35EA5" w14:textId="77777777" w:rsidTr="00770274">
        <w:trPr>
          <w:trHeight w:val="49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9A1346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7.1 Acalabrutinib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E223D1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84FC64" w14:textId="4E7876F8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Nil</w:t>
            </w:r>
          </w:p>
        </w:tc>
      </w:tr>
      <w:tr w:rsidR="00770274" w:rsidRPr="00770274" w14:paraId="47C4F634" w14:textId="77777777" w:rsidTr="00770274">
        <w:trPr>
          <w:trHeight w:val="49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E2C35E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7.2 Ibrutinib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6DEEC7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6E050F" w14:textId="7E78E5E7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6</w:t>
            </w:r>
          </w:p>
        </w:tc>
      </w:tr>
      <w:tr w:rsidR="00770274" w:rsidRPr="00770274" w14:paraId="7519BF2F" w14:textId="77777777" w:rsidTr="00770274">
        <w:trPr>
          <w:trHeight w:val="490"/>
        </w:trPr>
        <w:tc>
          <w:tcPr>
            <w:tcW w:w="5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25F624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7.3 Zanubrutinib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60A755" w14:textId="77777777" w:rsidR="00770274" w:rsidRPr="00770274" w:rsidRDefault="00770274">
            <w:pP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004312" w14:textId="59D8D7F6" w:rsidR="00770274" w:rsidRPr="00770274" w:rsidRDefault="00770274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70274">
              <w:rPr>
                <w:rFonts w:ascii="Verdana" w:eastAsia="Times New Roman" w:hAnsi="Verdana"/>
                <w:color w:val="000000"/>
                <w:sz w:val="22"/>
                <w:szCs w:val="22"/>
              </w:rPr>
              <w:t> Nil</w:t>
            </w:r>
          </w:p>
        </w:tc>
      </w:tr>
    </w:tbl>
    <w:p w14:paraId="3436FC29" w14:textId="77777777" w:rsidR="005E7DE4" w:rsidRDefault="00770274" w:rsidP="00421E7F">
      <w:pPr>
        <w:rPr>
          <w:rFonts w:ascii="Verdana" w:eastAsia="Times New Roman" w:hAnsi="Verdana"/>
          <w:color w:val="000000"/>
          <w:sz w:val="22"/>
          <w:szCs w:val="22"/>
        </w:rPr>
      </w:pPr>
      <w:r w:rsidRPr="00770274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75970B72" w14:textId="135F0A1B" w:rsidR="00A10460" w:rsidRDefault="005E7DE4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*</w:t>
      </w:r>
      <w:r w:rsidRPr="005E7DE4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94141839" o:spid="_x0000_i2257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Picture 1194924093" o:spid="_x0000_i225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734242327" o:spid="_x0000_i2259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Picture 1290327603" o:spid="_x0000_i2260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21D10"/>
    <w:rsid w:val="005317D4"/>
    <w:rsid w:val="00534D7A"/>
    <w:rsid w:val="00553E1D"/>
    <w:rsid w:val="005925B8"/>
    <w:rsid w:val="0059485C"/>
    <w:rsid w:val="005E7DE4"/>
    <w:rsid w:val="005F0E79"/>
    <w:rsid w:val="00602EE5"/>
    <w:rsid w:val="006137E4"/>
    <w:rsid w:val="00635BDA"/>
    <w:rsid w:val="006564DF"/>
    <w:rsid w:val="00684641"/>
    <w:rsid w:val="0069550F"/>
    <w:rsid w:val="006C4048"/>
    <w:rsid w:val="006D5578"/>
    <w:rsid w:val="006F4A69"/>
    <w:rsid w:val="006F5A5D"/>
    <w:rsid w:val="00730DD2"/>
    <w:rsid w:val="00734492"/>
    <w:rsid w:val="0073651A"/>
    <w:rsid w:val="00770274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83C6D"/>
    <w:rsid w:val="0089491A"/>
    <w:rsid w:val="008A2D60"/>
    <w:rsid w:val="0090178A"/>
    <w:rsid w:val="00912B14"/>
    <w:rsid w:val="009269BD"/>
    <w:rsid w:val="00937E61"/>
    <w:rsid w:val="009574AC"/>
    <w:rsid w:val="00957E96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0B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45BBE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8231B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955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550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9550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55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550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2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85</TotalTime>
  <Pages>5</Pages>
  <Words>686</Words>
  <Characters>4023</Characters>
  <Application>Microsoft Office Word</Application>
  <DocSecurity>0</DocSecurity>
  <Lines>138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30</cp:revision>
  <cp:lastPrinted>2019-03-26T11:11:00Z</cp:lastPrinted>
  <dcterms:created xsi:type="dcterms:W3CDTF">2021-09-13T07:38:00Z</dcterms:created>
  <dcterms:modified xsi:type="dcterms:W3CDTF">2025-06-20T09:39:00Z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d2d812a5-9c66-44a3-8205-466043bb20e3</vt:lpwstr>
  </property>
</Properties>
</file>