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013929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47B12">
                              <w:rPr>
                                <w:rFonts w:ascii="Verdana" w:hAnsi="Verdana"/>
                                <w:b/>
                                <w:sz w:val="22"/>
                                <w:szCs w:val="22"/>
                              </w:rPr>
                              <w:t>25-C-020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013929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47B12">
                        <w:rPr>
                          <w:rFonts w:ascii="Verdana" w:hAnsi="Verdana"/>
                          <w:b/>
                          <w:sz w:val="22"/>
                          <w:szCs w:val="22"/>
                        </w:rPr>
                        <w:t>25-C-020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0F05ADF" w14:textId="0E9BBFD9" w:rsidR="00447B12" w:rsidRPr="00447B12" w:rsidRDefault="00447B12" w:rsidP="00447B12">
      <w:pPr>
        <w:spacing w:before="280"/>
        <w:rPr>
          <w:rFonts w:ascii="Verdana" w:hAnsi="Verdana"/>
          <w:b/>
          <w:sz w:val="22"/>
        </w:rPr>
      </w:pPr>
      <w:r w:rsidRPr="00447B12">
        <w:rPr>
          <w:rFonts w:ascii="Verdana" w:hAnsi="Verdana"/>
          <w:b/>
          <w:sz w:val="22"/>
        </w:rPr>
        <w:t xml:space="preserve">Section 12 doctors provide a vital role in assisting with Mental Health Act assessments, often at night or in high risk situations, however the rates for payment (typically around £170 per assessment, many of which may be 4 or more hours long) have not been revised for over a decade, even for inflation. This is making it difficult to obtain doctors willing to attend, putting lives at risk. The BMA pointed this out and recently made advisory rates for MHA assessments public in 2024: see </w:t>
      </w:r>
      <w:hyperlink r:id="rId8" w:history="1">
        <w:r w:rsidRPr="00447B12">
          <w:rPr>
            <w:rStyle w:val="Hyperlink"/>
            <w:rFonts w:ascii="Verdana" w:hAnsi="Verdana" w:cs="Arial"/>
            <w:b/>
            <w:sz w:val="22"/>
          </w:rPr>
          <w:t>https://eur03.safelinks.protection.outlook.com/?url=https%3A%2F%2Fwww.bma.org.uk%2Fpay-and-contracts&amp;data=05%7C02%7CFOIA.Requests%40wales.nhs.uk%7Cac5dda75be8848eebcd808dd60b50eb8%7Cbb5628b8e3284082a856433c9edc8fae%7C0%7C0%7C638773053052429775%7CUnknown%7CTWFpbGZsb3d8eyJFbXB0eU1hcGkiOnRydWUsIlYiOiIwLjAuMDAwMCIsIlAiOiJXaW4zMiIsIkFOIjoiTWFpbCIsIldUIjoyfQ%3D%3D%7C0%7C%7C%7C&amp;sdata=ZQjF%2BEi6MUL6mEBn12nnRks5q%2FTvaEUVmkIXUkmMUS4%3D&amp;reserved=0</w:t>
        </w:r>
      </w:hyperlink>
      <w:r w:rsidRPr="00447B12">
        <w:rPr>
          <w:rFonts w:ascii="Verdana" w:hAnsi="Verdana"/>
          <w:b/>
          <w:sz w:val="22"/>
        </w:rPr>
        <w:t>.... To date, few bodies have respected this advice in Wales.</w:t>
      </w:r>
    </w:p>
    <w:p w14:paraId="3E4B89E8" w14:textId="7823F0DC" w:rsidR="00286642" w:rsidRPr="00447B12" w:rsidRDefault="00447B12" w:rsidP="00447B12">
      <w:pPr>
        <w:spacing w:before="280"/>
        <w:rPr>
          <w:rFonts w:ascii="Verdana" w:hAnsi="Verdana"/>
          <w:bCs/>
          <w:sz w:val="22"/>
        </w:rPr>
      </w:pPr>
      <w:bookmarkStart w:id="0" w:name="_Hlk196304990"/>
      <w:r w:rsidRPr="00447B12">
        <w:rPr>
          <w:rFonts w:ascii="Verdana" w:hAnsi="Verdana"/>
          <w:b/>
          <w:sz w:val="22"/>
        </w:rPr>
        <w:t xml:space="preserve">I am requesting the standard fee rate for MHA assessments that doctors seeing patients in your health board are paid. If this is not paid directly by the health board, please </w:t>
      </w:r>
      <w:r w:rsidR="004C009D" w:rsidRPr="00447B12">
        <w:rPr>
          <w:rFonts w:ascii="Verdana" w:hAnsi="Verdana"/>
          <w:b/>
          <w:sz w:val="22"/>
        </w:rPr>
        <w:t>liaise</w:t>
      </w:r>
      <w:r w:rsidRPr="00447B12">
        <w:rPr>
          <w:rFonts w:ascii="Verdana" w:hAnsi="Verdana"/>
          <w:b/>
          <w:sz w:val="22"/>
        </w:rPr>
        <w:t xml:space="preserve"> with the relevant council to find the rates. Please provide typical rates to reimburse a doctor for MHA fee (and mileage rates) for each year since 2000 up to 2025 in a simple table with these two columns.</w:t>
      </w:r>
      <w:bookmarkEnd w:id="0"/>
      <w:r>
        <w:rPr>
          <w:rFonts w:ascii="Verdana" w:hAnsi="Verdana"/>
          <w:bCs/>
          <w:sz w:val="22"/>
        </w:rPr>
        <w:br/>
      </w:r>
    </w:p>
    <w:p w14:paraId="58B2F4E3" w14:textId="733CC469" w:rsidR="00286642" w:rsidRDefault="00286642" w:rsidP="00DC0D5A">
      <w:pPr>
        <w:spacing w:before="280"/>
      </w:pPr>
      <w:r>
        <w:rPr>
          <w:rFonts w:ascii="Verdana" w:hAnsi="Verdana"/>
          <w:b/>
          <w:sz w:val="22"/>
        </w:rPr>
        <w:t>Our Response:</w:t>
      </w:r>
    </w:p>
    <w:p w14:paraId="207CFA8A" w14:textId="569B3687" w:rsidR="002B33E9" w:rsidRDefault="00DD2662" w:rsidP="00DD2662">
      <w:pPr>
        <w:rPr>
          <w:rFonts w:ascii="Verdana" w:hAnsi="Verdana"/>
          <w:noProof/>
          <w:sz w:val="22"/>
          <w:szCs w:val="22"/>
        </w:rPr>
      </w:pPr>
      <w:r>
        <w:rPr>
          <w:rFonts w:ascii="Verdana" w:hAnsi="Verdana"/>
          <w:noProof/>
          <w:sz w:val="22"/>
          <w:szCs w:val="22"/>
        </w:rPr>
        <w:t>Prior to 1</w:t>
      </w:r>
      <w:r w:rsidRPr="00DD2662">
        <w:rPr>
          <w:rFonts w:ascii="Verdana" w:hAnsi="Verdana"/>
          <w:noProof/>
          <w:sz w:val="22"/>
          <w:szCs w:val="22"/>
          <w:vertAlign w:val="superscript"/>
        </w:rPr>
        <w:t>st</w:t>
      </w:r>
      <w:r>
        <w:rPr>
          <w:rFonts w:ascii="Verdana" w:hAnsi="Verdana"/>
          <w:noProof/>
          <w:sz w:val="22"/>
          <w:szCs w:val="22"/>
        </w:rPr>
        <w:t xml:space="preserve"> April 2021, claims forms were submitted directly by the assessing staff member to Payroll</w:t>
      </w:r>
      <w:r w:rsidR="002B33E9">
        <w:rPr>
          <w:rFonts w:ascii="Verdana" w:hAnsi="Verdana"/>
          <w:noProof/>
          <w:sz w:val="22"/>
          <w:szCs w:val="22"/>
        </w:rPr>
        <w:t xml:space="preserve">. A record of these historical rates </w:t>
      </w:r>
      <w:r w:rsidR="00047D39">
        <w:rPr>
          <w:rFonts w:ascii="Verdana" w:hAnsi="Verdana"/>
          <w:noProof/>
          <w:sz w:val="22"/>
          <w:szCs w:val="22"/>
        </w:rPr>
        <w:t>is</w:t>
      </w:r>
      <w:r w:rsidR="002B33E9">
        <w:rPr>
          <w:rFonts w:ascii="Verdana" w:hAnsi="Verdana"/>
          <w:noProof/>
          <w:sz w:val="22"/>
          <w:szCs w:val="22"/>
        </w:rPr>
        <w:t xml:space="preserve"> not held.</w:t>
      </w:r>
    </w:p>
    <w:p w14:paraId="549525F0" w14:textId="0A03CEC2" w:rsidR="00DD2662" w:rsidRPr="00DD2662" w:rsidRDefault="004C009D" w:rsidP="00DD2662">
      <w:pPr>
        <w:rPr>
          <w:rFonts w:ascii="Verdana" w:hAnsi="Verdana"/>
          <w:noProof/>
          <w:sz w:val="22"/>
          <w:szCs w:val="22"/>
        </w:rPr>
      </w:pPr>
      <w:r w:rsidRPr="00DD2662">
        <w:rPr>
          <w:rFonts w:ascii="Verdana" w:hAnsi="Verdana"/>
          <w:noProof/>
          <w:sz w:val="22"/>
          <w:szCs w:val="22"/>
        </w:rPr>
        <w:t>For doctors approved under Section 12(2) of the Mental Health Act the fee is £177.70</w:t>
      </w:r>
      <w:r w:rsidR="00DD2662" w:rsidRPr="00DD2662">
        <w:rPr>
          <w:rFonts w:ascii="Verdana" w:hAnsi="Verdana"/>
          <w:noProof/>
          <w:sz w:val="22"/>
          <w:szCs w:val="22"/>
        </w:rPr>
        <w:t xml:space="preserve"> per assessment. </w:t>
      </w:r>
      <w:r w:rsidRPr="00DD2662">
        <w:rPr>
          <w:rFonts w:ascii="Verdana" w:hAnsi="Verdana"/>
          <w:noProof/>
          <w:sz w:val="22"/>
          <w:szCs w:val="22"/>
        </w:rPr>
        <w:t>For doctors not approved the fee is £55.10</w:t>
      </w:r>
      <w:r w:rsidR="00DD2662" w:rsidRPr="00DD2662">
        <w:rPr>
          <w:rFonts w:ascii="Verdana" w:hAnsi="Verdana"/>
          <w:noProof/>
          <w:sz w:val="22"/>
          <w:szCs w:val="22"/>
        </w:rPr>
        <w:t xml:space="preserve"> per assessment.</w:t>
      </w:r>
    </w:p>
    <w:tbl>
      <w:tblPr>
        <w:tblStyle w:val="TableGrid"/>
        <w:tblW w:w="0" w:type="auto"/>
        <w:jc w:val="center"/>
        <w:tblLook w:val="04A0" w:firstRow="1" w:lastRow="0" w:firstColumn="1" w:lastColumn="0" w:noHBand="0" w:noVBand="1"/>
      </w:tblPr>
      <w:tblGrid>
        <w:gridCol w:w="1275"/>
        <w:gridCol w:w="2406"/>
        <w:gridCol w:w="2268"/>
      </w:tblGrid>
      <w:tr w:rsidR="00DD2662" w:rsidRPr="00DD2662" w14:paraId="18049201" w14:textId="17D2C104" w:rsidTr="002B33E9">
        <w:trPr>
          <w:trHeight w:val="456"/>
          <w:jc w:val="center"/>
        </w:trPr>
        <w:tc>
          <w:tcPr>
            <w:tcW w:w="1275" w:type="dxa"/>
            <w:vAlign w:val="center"/>
          </w:tcPr>
          <w:p w14:paraId="5DC70F57" w14:textId="1E6C68F1" w:rsidR="00DD2662" w:rsidRPr="00DD2662" w:rsidRDefault="00DD2662" w:rsidP="00DD2662">
            <w:pPr>
              <w:ind w:left="0" w:right="0"/>
              <w:jc w:val="center"/>
              <w:rPr>
                <w:rFonts w:ascii="Verdana" w:hAnsi="Verdana"/>
                <w:b/>
                <w:bCs/>
                <w:noProof/>
                <w:sz w:val="20"/>
                <w:szCs w:val="20"/>
              </w:rPr>
            </w:pPr>
            <w:r w:rsidRPr="00DD2662">
              <w:rPr>
                <w:rFonts w:ascii="Verdana" w:hAnsi="Verdana"/>
                <w:b/>
                <w:bCs/>
                <w:noProof/>
                <w:sz w:val="20"/>
                <w:szCs w:val="20"/>
              </w:rPr>
              <w:t>Year</w:t>
            </w:r>
          </w:p>
        </w:tc>
        <w:tc>
          <w:tcPr>
            <w:tcW w:w="2406" w:type="dxa"/>
            <w:vAlign w:val="center"/>
          </w:tcPr>
          <w:p w14:paraId="38A4740B" w14:textId="3D314F5A" w:rsidR="00DD2662" w:rsidRPr="00DD2662" w:rsidRDefault="00DD2662" w:rsidP="00DD2662">
            <w:pPr>
              <w:ind w:left="0" w:right="-51"/>
              <w:jc w:val="center"/>
              <w:rPr>
                <w:rFonts w:ascii="Verdana" w:hAnsi="Verdana"/>
                <w:b/>
                <w:bCs/>
                <w:noProof/>
                <w:sz w:val="20"/>
                <w:szCs w:val="20"/>
              </w:rPr>
            </w:pPr>
            <w:r w:rsidRPr="00DD2662">
              <w:rPr>
                <w:rFonts w:ascii="Verdana" w:hAnsi="Verdana"/>
                <w:b/>
                <w:bCs/>
                <w:noProof/>
                <w:sz w:val="20"/>
                <w:szCs w:val="20"/>
              </w:rPr>
              <w:t>Doctor Approved under S12(2) MHA</w:t>
            </w:r>
          </w:p>
        </w:tc>
        <w:tc>
          <w:tcPr>
            <w:tcW w:w="2268" w:type="dxa"/>
            <w:vAlign w:val="center"/>
          </w:tcPr>
          <w:p w14:paraId="0B4383EF" w14:textId="50F1B470" w:rsidR="00DD2662" w:rsidRPr="00DD2662" w:rsidRDefault="00DD2662" w:rsidP="00DD2662">
            <w:pPr>
              <w:ind w:left="0" w:right="4"/>
              <w:jc w:val="center"/>
              <w:rPr>
                <w:rFonts w:ascii="Verdana" w:hAnsi="Verdana"/>
                <w:b/>
                <w:bCs/>
                <w:noProof/>
                <w:sz w:val="20"/>
                <w:szCs w:val="20"/>
              </w:rPr>
            </w:pPr>
            <w:r w:rsidRPr="00DD2662">
              <w:rPr>
                <w:rFonts w:ascii="Verdana" w:hAnsi="Verdana"/>
                <w:b/>
                <w:bCs/>
                <w:noProof/>
                <w:sz w:val="20"/>
                <w:szCs w:val="20"/>
              </w:rPr>
              <w:t>Doctor Not Approved</w:t>
            </w:r>
          </w:p>
        </w:tc>
      </w:tr>
      <w:tr w:rsidR="00DD2662" w:rsidRPr="00DD2662" w14:paraId="6EB30E85" w14:textId="38291442" w:rsidTr="002B33E9">
        <w:trPr>
          <w:jc w:val="center"/>
        </w:trPr>
        <w:tc>
          <w:tcPr>
            <w:tcW w:w="1275" w:type="dxa"/>
            <w:vAlign w:val="center"/>
          </w:tcPr>
          <w:p w14:paraId="0261F933" w14:textId="1B09E6DF" w:rsidR="00DD2662" w:rsidRPr="00DD2662" w:rsidRDefault="002B33E9" w:rsidP="002B33E9">
            <w:pPr>
              <w:ind w:left="0" w:right="0"/>
              <w:jc w:val="center"/>
              <w:rPr>
                <w:rFonts w:ascii="Verdana" w:hAnsi="Verdana"/>
                <w:noProof/>
                <w:sz w:val="20"/>
                <w:szCs w:val="20"/>
              </w:rPr>
            </w:pPr>
            <w:r>
              <w:rPr>
                <w:rFonts w:ascii="Verdana" w:hAnsi="Verdana"/>
                <w:noProof/>
                <w:sz w:val="20"/>
                <w:szCs w:val="20"/>
              </w:rPr>
              <w:t>2021</w:t>
            </w:r>
          </w:p>
        </w:tc>
        <w:tc>
          <w:tcPr>
            <w:tcW w:w="2406" w:type="dxa"/>
            <w:vAlign w:val="center"/>
          </w:tcPr>
          <w:p w14:paraId="03A1BBEC" w14:textId="546EF088" w:rsidR="00DD2662" w:rsidRPr="00DD2662" w:rsidRDefault="002B33E9" w:rsidP="002B33E9">
            <w:pPr>
              <w:ind w:left="0" w:right="0"/>
              <w:jc w:val="center"/>
              <w:rPr>
                <w:rFonts w:ascii="Verdana" w:hAnsi="Verdana"/>
                <w:noProof/>
                <w:sz w:val="20"/>
                <w:szCs w:val="20"/>
              </w:rPr>
            </w:pPr>
            <w:r>
              <w:rPr>
                <w:rFonts w:ascii="Verdana" w:hAnsi="Verdana"/>
                <w:noProof/>
                <w:sz w:val="20"/>
                <w:szCs w:val="20"/>
              </w:rPr>
              <w:t>£177.70</w:t>
            </w:r>
          </w:p>
        </w:tc>
        <w:tc>
          <w:tcPr>
            <w:tcW w:w="2268" w:type="dxa"/>
            <w:vAlign w:val="center"/>
          </w:tcPr>
          <w:p w14:paraId="1AFAF6CE" w14:textId="3B1DA870" w:rsidR="00DD2662" w:rsidRPr="00DD2662" w:rsidRDefault="002B33E9" w:rsidP="002B33E9">
            <w:pPr>
              <w:ind w:left="0" w:right="-103"/>
              <w:jc w:val="center"/>
              <w:rPr>
                <w:rFonts w:ascii="Verdana" w:hAnsi="Verdana"/>
                <w:noProof/>
                <w:sz w:val="20"/>
                <w:szCs w:val="20"/>
              </w:rPr>
            </w:pPr>
            <w:r>
              <w:rPr>
                <w:rFonts w:ascii="Verdana" w:hAnsi="Verdana"/>
                <w:noProof/>
                <w:sz w:val="20"/>
                <w:szCs w:val="20"/>
              </w:rPr>
              <w:t>£55.10</w:t>
            </w:r>
          </w:p>
        </w:tc>
      </w:tr>
      <w:tr w:rsidR="002B33E9" w:rsidRPr="00DD2662" w14:paraId="7402054E" w14:textId="28DAF39C" w:rsidTr="002B33E9">
        <w:trPr>
          <w:jc w:val="center"/>
        </w:trPr>
        <w:tc>
          <w:tcPr>
            <w:tcW w:w="1275" w:type="dxa"/>
            <w:vAlign w:val="center"/>
          </w:tcPr>
          <w:p w14:paraId="40662A23" w14:textId="20B73FB4" w:rsidR="002B33E9" w:rsidRPr="00DD2662" w:rsidRDefault="002B33E9" w:rsidP="002B33E9">
            <w:pPr>
              <w:ind w:left="0" w:right="0"/>
              <w:jc w:val="center"/>
              <w:rPr>
                <w:rFonts w:ascii="Verdana" w:hAnsi="Verdana"/>
                <w:noProof/>
                <w:sz w:val="20"/>
                <w:szCs w:val="20"/>
              </w:rPr>
            </w:pPr>
            <w:r>
              <w:rPr>
                <w:rFonts w:ascii="Verdana" w:hAnsi="Verdana"/>
                <w:noProof/>
                <w:sz w:val="20"/>
                <w:szCs w:val="20"/>
              </w:rPr>
              <w:lastRenderedPageBreak/>
              <w:t>2022</w:t>
            </w:r>
          </w:p>
        </w:tc>
        <w:tc>
          <w:tcPr>
            <w:tcW w:w="2406" w:type="dxa"/>
            <w:vAlign w:val="center"/>
          </w:tcPr>
          <w:p w14:paraId="2A6B5E01" w14:textId="780A3EDA" w:rsidR="002B33E9" w:rsidRPr="00DD2662" w:rsidRDefault="002B33E9" w:rsidP="002B33E9">
            <w:pPr>
              <w:ind w:left="0" w:right="0"/>
              <w:jc w:val="center"/>
              <w:rPr>
                <w:rFonts w:ascii="Verdana" w:hAnsi="Verdana"/>
                <w:noProof/>
                <w:sz w:val="20"/>
                <w:szCs w:val="20"/>
              </w:rPr>
            </w:pPr>
            <w:r>
              <w:rPr>
                <w:rFonts w:ascii="Verdana" w:hAnsi="Verdana"/>
                <w:noProof/>
                <w:sz w:val="20"/>
                <w:szCs w:val="20"/>
              </w:rPr>
              <w:t>£177.70</w:t>
            </w:r>
          </w:p>
        </w:tc>
        <w:tc>
          <w:tcPr>
            <w:tcW w:w="2268" w:type="dxa"/>
            <w:vAlign w:val="center"/>
          </w:tcPr>
          <w:p w14:paraId="72C0790B" w14:textId="3C1A25B6" w:rsidR="002B33E9" w:rsidRPr="00DD2662" w:rsidRDefault="002B33E9" w:rsidP="002B33E9">
            <w:pPr>
              <w:ind w:left="0" w:right="-103"/>
              <w:jc w:val="center"/>
              <w:rPr>
                <w:rFonts w:ascii="Verdana" w:hAnsi="Verdana"/>
                <w:noProof/>
                <w:sz w:val="20"/>
                <w:szCs w:val="20"/>
              </w:rPr>
            </w:pPr>
            <w:r>
              <w:rPr>
                <w:rFonts w:ascii="Verdana" w:hAnsi="Verdana"/>
                <w:noProof/>
                <w:sz w:val="20"/>
                <w:szCs w:val="20"/>
              </w:rPr>
              <w:t>£55.10</w:t>
            </w:r>
          </w:p>
        </w:tc>
      </w:tr>
      <w:tr w:rsidR="002B33E9" w:rsidRPr="00DD2662" w14:paraId="6B8105B7" w14:textId="5CF07EE0" w:rsidTr="002B33E9">
        <w:trPr>
          <w:jc w:val="center"/>
        </w:trPr>
        <w:tc>
          <w:tcPr>
            <w:tcW w:w="1275" w:type="dxa"/>
            <w:vAlign w:val="center"/>
          </w:tcPr>
          <w:p w14:paraId="4C956E72" w14:textId="315E9C36" w:rsidR="002B33E9" w:rsidRPr="00DD2662" w:rsidRDefault="002B33E9" w:rsidP="002B33E9">
            <w:pPr>
              <w:ind w:left="0" w:right="0"/>
              <w:jc w:val="center"/>
              <w:rPr>
                <w:rFonts w:ascii="Verdana" w:hAnsi="Verdana"/>
                <w:noProof/>
                <w:sz w:val="20"/>
                <w:szCs w:val="20"/>
              </w:rPr>
            </w:pPr>
            <w:r>
              <w:rPr>
                <w:rFonts w:ascii="Verdana" w:hAnsi="Verdana"/>
                <w:noProof/>
                <w:sz w:val="20"/>
                <w:szCs w:val="20"/>
              </w:rPr>
              <w:t>2023</w:t>
            </w:r>
          </w:p>
        </w:tc>
        <w:tc>
          <w:tcPr>
            <w:tcW w:w="2406" w:type="dxa"/>
            <w:vAlign w:val="center"/>
          </w:tcPr>
          <w:p w14:paraId="1BBAE21C" w14:textId="52257BFA" w:rsidR="002B33E9" w:rsidRPr="00DD2662" w:rsidRDefault="002B33E9" w:rsidP="002B33E9">
            <w:pPr>
              <w:ind w:left="0" w:right="0"/>
              <w:jc w:val="center"/>
              <w:rPr>
                <w:rFonts w:ascii="Verdana" w:hAnsi="Verdana"/>
                <w:noProof/>
                <w:sz w:val="20"/>
                <w:szCs w:val="20"/>
              </w:rPr>
            </w:pPr>
            <w:r>
              <w:rPr>
                <w:rFonts w:ascii="Verdana" w:hAnsi="Verdana"/>
                <w:noProof/>
                <w:sz w:val="20"/>
                <w:szCs w:val="20"/>
              </w:rPr>
              <w:t>£177.70</w:t>
            </w:r>
          </w:p>
        </w:tc>
        <w:tc>
          <w:tcPr>
            <w:tcW w:w="2268" w:type="dxa"/>
            <w:vAlign w:val="center"/>
          </w:tcPr>
          <w:p w14:paraId="1140362A" w14:textId="0311FCE4" w:rsidR="002B33E9" w:rsidRPr="00DD2662" w:rsidRDefault="002B33E9" w:rsidP="002B33E9">
            <w:pPr>
              <w:ind w:left="0" w:right="-103"/>
              <w:jc w:val="center"/>
              <w:rPr>
                <w:rFonts w:ascii="Verdana" w:hAnsi="Verdana"/>
                <w:noProof/>
                <w:sz w:val="20"/>
                <w:szCs w:val="20"/>
              </w:rPr>
            </w:pPr>
            <w:r>
              <w:rPr>
                <w:rFonts w:ascii="Verdana" w:hAnsi="Verdana"/>
                <w:noProof/>
                <w:sz w:val="20"/>
                <w:szCs w:val="20"/>
              </w:rPr>
              <w:t>£55.10</w:t>
            </w:r>
          </w:p>
        </w:tc>
      </w:tr>
      <w:tr w:rsidR="002B33E9" w:rsidRPr="00DD2662" w14:paraId="7B9CC2B2" w14:textId="77777777" w:rsidTr="002B33E9">
        <w:trPr>
          <w:jc w:val="center"/>
        </w:trPr>
        <w:tc>
          <w:tcPr>
            <w:tcW w:w="1275" w:type="dxa"/>
            <w:vAlign w:val="center"/>
          </w:tcPr>
          <w:p w14:paraId="3C37BB73" w14:textId="47A70839" w:rsidR="002B33E9" w:rsidRDefault="002B33E9" w:rsidP="002B33E9">
            <w:pPr>
              <w:ind w:left="0" w:right="0"/>
              <w:jc w:val="center"/>
              <w:rPr>
                <w:rFonts w:ascii="Verdana" w:hAnsi="Verdana"/>
                <w:noProof/>
                <w:sz w:val="20"/>
                <w:szCs w:val="20"/>
              </w:rPr>
            </w:pPr>
            <w:r>
              <w:rPr>
                <w:rFonts w:ascii="Verdana" w:hAnsi="Verdana"/>
                <w:noProof/>
                <w:sz w:val="20"/>
                <w:szCs w:val="20"/>
              </w:rPr>
              <w:t>2024</w:t>
            </w:r>
          </w:p>
        </w:tc>
        <w:tc>
          <w:tcPr>
            <w:tcW w:w="2406" w:type="dxa"/>
            <w:vAlign w:val="center"/>
          </w:tcPr>
          <w:p w14:paraId="411EF196" w14:textId="641F6CD9" w:rsidR="002B33E9" w:rsidRPr="00DD2662" w:rsidRDefault="002B33E9" w:rsidP="002B33E9">
            <w:pPr>
              <w:ind w:left="0" w:right="0"/>
              <w:jc w:val="center"/>
              <w:rPr>
                <w:rFonts w:ascii="Verdana" w:hAnsi="Verdana"/>
                <w:noProof/>
                <w:sz w:val="20"/>
                <w:szCs w:val="20"/>
              </w:rPr>
            </w:pPr>
            <w:r>
              <w:rPr>
                <w:rFonts w:ascii="Verdana" w:hAnsi="Verdana"/>
                <w:noProof/>
                <w:sz w:val="20"/>
                <w:szCs w:val="20"/>
              </w:rPr>
              <w:t>£177.70</w:t>
            </w:r>
          </w:p>
        </w:tc>
        <w:tc>
          <w:tcPr>
            <w:tcW w:w="2268" w:type="dxa"/>
            <w:vAlign w:val="center"/>
          </w:tcPr>
          <w:p w14:paraId="5B26D3EB" w14:textId="249FBF9D" w:rsidR="002B33E9" w:rsidRPr="00DD2662" w:rsidRDefault="002B33E9" w:rsidP="002B33E9">
            <w:pPr>
              <w:ind w:left="0" w:right="-103"/>
              <w:jc w:val="center"/>
              <w:rPr>
                <w:rFonts w:ascii="Verdana" w:hAnsi="Verdana"/>
                <w:noProof/>
                <w:sz w:val="20"/>
                <w:szCs w:val="20"/>
              </w:rPr>
            </w:pPr>
            <w:r>
              <w:rPr>
                <w:rFonts w:ascii="Verdana" w:hAnsi="Verdana"/>
                <w:noProof/>
                <w:sz w:val="20"/>
                <w:szCs w:val="20"/>
              </w:rPr>
              <w:t>£55.10</w:t>
            </w:r>
          </w:p>
        </w:tc>
      </w:tr>
      <w:tr w:rsidR="002B33E9" w:rsidRPr="00DD2662" w14:paraId="62C68362" w14:textId="77777777" w:rsidTr="002B33E9">
        <w:trPr>
          <w:jc w:val="center"/>
        </w:trPr>
        <w:tc>
          <w:tcPr>
            <w:tcW w:w="1275" w:type="dxa"/>
            <w:vAlign w:val="center"/>
          </w:tcPr>
          <w:p w14:paraId="26D1A0EF" w14:textId="44C83A43" w:rsidR="002B33E9" w:rsidRDefault="002B33E9" w:rsidP="002B33E9">
            <w:pPr>
              <w:ind w:left="0" w:right="0"/>
              <w:jc w:val="center"/>
              <w:rPr>
                <w:rFonts w:ascii="Verdana" w:hAnsi="Verdana"/>
                <w:noProof/>
                <w:sz w:val="20"/>
                <w:szCs w:val="20"/>
              </w:rPr>
            </w:pPr>
            <w:r>
              <w:rPr>
                <w:rFonts w:ascii="Verdana" w:hAnsi="Verdana"/>
                <w:noProof/>
                <w:sz w:val="20"/>
                <w:szCs w:val="20"/>
              </w:rPr>
              <w:t>2025</w:t>
            </w:r>
          </w:p>
        </w:tc>
        <w:tc>
          <w:tcPr>
            <w:tcW w:w="2406" w:type="dxa"/>
            <w:vAlign w:val="center"/>
          </w:tcPr>
          <w:p w14:paraId="5317AFEA" w14:textId="1F86C167" w:rsidR="002B33E9" w:rsidRPr="00DD2662" w:rsidRDefault="002B33E9" w:rsidP="002B33E9">
            <w:pPr>
              <w:ind w:left="0" w:right="0"/>
              <w:jc w:val="center"/>
              <w:rPr>
                <w:rFonts w:ascii="Verdana" w:hAnsi="Verdana"/>
                <w:noProof/>
                <w:sz w:val="20"/>
                <w:szCs w:val="20"/>
              </w:rPr>
            </w:pPr>
            <w:r>
              <w:rPr>
                <w:rFonts w:ascii="Verdana" w:hAnsi="Verdana"/>
                <w:noProof/>
                <w:sz w:val="20"/>
                <w:szCs w:val="20"/>
              </w:rPr>
              <w:t>£177.70</w:t>
            </w:r>
          </w:p>
        </w:tc>
        <w:tc>
          <w:tcPr>
            <w:tcW w:w="2268" w:type="dxa"/>
            <w:vAlign w:val="center"/>
          </w:tcPr>
          <w:p w14:paraId="4EC47B99" w14:textId="0FB65E51" w:rsidR="002B33E9" w:rsidRPr="00DD2662" w:rsidRDefault="002B33E9" w:rsidP="002B33E9">
            <w:pPr>
              <w:ind w:left="0" w:right="-103"/>
              <w:jc w:val="center"/>
              <w:rPr>
                <w:rFonts w:ascii="Verdana" w:hAnsi="Verdana"/>
                <w:noProof/>
                <w:sz w:val="20"/>
                <w:szCs w:val="20"/>
              </w:rPr>
            </w:pPr>
            <w:r>
              <w:rPr>
                <w:rFonts w:ascii="Verdana" w:hAnsi="Verdana"/>
                <w:noProof/>
                <w:sz w:val="20"/>
                <w:szCs w:val="20"/>
              </w:rPr>
              <w:t>£55.10</w:t>
            </w:r>
          </w:p>
        </w:tc>
      </w:tr>
    </w:tbl>
    <w:p w14:paraId="23DF621B" w14:textId="4AFC855D" w:rsidR="00873328" w:rsidRPr="00DD2662" w:rsidRDefault="004C009D" w:rsidP="00DD2662">
      <w:pPr>
        <w:rPr>
          <w:rFonts w:ascii="Verdana" w:hAnsi="Verdana"/>
          <w:noProof/>
          <w:sz w:val="22"/>
          <w:szCs w:val="22"/>
        </w:rPr>
      </w:pPr>
      <w:r w:rsidRPr="00DD2662">
        <w:rPr>
          <w:rFonts w:ascii="Verdana" w:hAnsi="Verdana"/>
          <w:noProof/>
          <w:sz w:val="22"/>
          <w:szCs w:val="22"/>
        </w:rPr>
        <w:br/>
      </w:r>
      <w:r w:rsidRPr="00DD2662">
        <w:rPr>
          <w:rFonts w:ascii="Verdana" w:hAnsi="Verdana"/>
          <w:noProof/>
          <w:sz w:val="22"/>
          <w:szCs w:val="22"/>
        </w:rPr>
        <w:br/>
        <w:t>Mileage claims are not processed through the same channels a</w:t>
      </w:r>
      <w:r w:rsidR="00DD2662" w:rsidRPr="00DD2662">
        <w:rPr>
          <w:rFonts w:ascii="Verdana" w:hAnsi="Verdana"/>
          <w:noProof/>
          <w:sz w:val="22"/>
          <w:szCs w:val="22"/>
        </w:rPr>
        <w:t>s</w:t>
      </w:r>
      <w:r w:rsidRPr="00DD2662">
        <w:rPr>
          <w:rFonts w:ascii="Verdana" w:hAnsi="Verdana"/>
          <w:noProof/>
          <w:sz w:val="22"/>
          <w:szCs w:val="22"/>
        </w:rPr>
        <w:t xml:space="preserve"> assessment payments. </w:t>
      </w:r>
      <w:r w:rsidR="00DD2662" w:rsidRPr="00DD2662">
        <w:rPr>
          <w:rFonts w:ascii="Verdana" w:hAnsi="Verdana"/>
          <w:noProof/>
          <w:sz w:val="22"/>
          <w:szCs w:val="22"/>
        </w:rPr>
        <w:t>Staff would claim these payments via our Expenses system, the payment rates of which are listed below for “Medical and Dental (essential)”;</w:t>
      </w:r>
    </w:p>
    <w:p w14:paraId="2E3ED09C" w14:textId="3AD5CCFC" w:rsidR="00DD2662" w:rsidRDefault="00DD2662" w:rsidP="004C009D">
      <w:pPr>
        <w:rPr>
          <w:rFonts w:ascii="Verdana" w:hAnsi="Verdana"/>
          <w:b/>
          <w:bCs/>
          <w:noProof/>
          <w:sz w:val="22"/>
          <w:szCs w:val="22"/>
        </w:rPr>
      </w:pPr>
    </w:p>
    <w:tbl>
      <w:tblPr>
        <w:tblW w:w="9594" w:type="dxa"/>
        <w:jc w:val="center"/>
        <w:tblCellMar>
          <w:top w:w="15" w:type="dxa"/>
          <w:bottom w:w="15" w:type="dxa"/>
        </w:tblCellMar>
        <w:tblLook w:val="04A0" w:firstRow="1" w:lastRow="0" w:firstColumn="1" w:lastColumn="0" w:noHBand="0" w:noVBand="1"/>
      </w:tblPr>
      <w:tblGrid>
        <w:gridCol w:w="1680"/>
        <w:gridCol w:w="2946"/>
        <w:gridCol w:w="1242"/>
        <w:gridCol w:w="1242"/>
        <w:gridCol w:w="1242"/>
        <w:gridCol w:w="1242"/>
      </w:tblGrid>
      <w:tr w:rsidR="00DD2662" w:rsidRPr="00DD2662" w14:paraId="4FA348A6" w14:textId="77777777" w:rsidTr="006330EB">
        <w:trPr>
          <w:trHeight w:val="531"/>
          <w:jc w:val="center"/>
        </w:trPr>
        <w:tc>
          <w:tcPr>
            <w:tcW w:w="1680" w:type="dxa"/>
            <w:tcBorders>
              <w:top w:val="single" w:sz="8" w:space="0" w:color="auto"/>
              <w:left w:val="single" w:sz="8" w:space="0" w:color="auto"/>
              <w:bottom w:val="single" w:sz="8" w:space="0" w:color="auto"/>
              <w:right w:val="single" w:sz="4" w:space="0" w:color="auto"/>
            </w:tcBorders>
            <w:shd w:val="clear" w:color="000000" w:fill="DAEEF3"/>
            <w:vAlign w:val="center"/>
            <w:hideMark/>
          </w:tcPr>
          <w:p w14:paraId="00E0C376" w14:textId="77777777" w:rsidR="00DD2662" w:rsidRPr="00DD2662" w:rsidRDefault="00DD2662" w:rsidP="00DD2662">
            <w:pPr>
              <w:spacing w:before="0" w:after="0" w:line="240" w:lineRule="auto"/>
              <w:ind w:left="0" w:right="0"/>
              <w:jc w:val="center"/>
              <w:rPr>
                <w:rFonts w:ascii="Verdana" w:eastAsia="Times New Roman" w:hAnsi="Verdana" w:cs="Times New Roman"/>
                <w:b/>
                <w:bCs/>
                <w:sz w:val="20"/>
                <w:szCs w:val="20"/>
              </w:rPr>
            </w:pPr>
            <w:r w:rsidRPr="00DD2662">
              <w:rPr>
                <w:rFonts w:ascii="Verdana" w:eastAsia="Times New Roman" w:hAnsi="Verdana" w:cs="Times New Roman"/>
                <w:b/>
                <w:bCs/>
                <w:sz w:val="20"/>
                <w:szCs w:val="20"/>
              </w:rPr>
              <w:t>Effective Date</w:t>
            </w:r>
          </w:p>
        </w:tc>
        <w:tc>
          <w:tcPr>
            <w:tcW w:w="2946" w:type="dxa"/>
            <w:tcBorders>
              <w:top w:val="single" w:sz="8" w:space="0" w:color="auto"/>
              <w:left w:val="single" w:sz="8" w:space="0" w:color="auto"/>
              <w:bottom w:val="single" w:sz="8" w:space="0" w:color="auto"/>
              <w:right w:val="single" w:sz="4" w:space="0" w:color="auto"/>
            </w:tcBorders>
            <w:shd w:val="clear" w:color="000000" w:fill="DAEEF3"/>
            <w:vAlign w:val="center"/>
            <w:hideMark/>
          </w:tcPr>
          <w:p w14:paraId="49B7446F" w14:textId="77777777" w:rsidR="00DD2662" w:rsidRPr="00DD2662" w:rsidRDefault="00DD2662" w:rsidP="00DD2662">
            <w:pPr>
              <w:spacing w:before="0" w:after="0" w:line="240" w:lineRule="auto"/>
              <w:ind w:left="0" w:right="0"/>
              <w:jc w:val="center"/>
              <w:rPr>
                <w:rFonts w:ascii="Verdana" w:eastAsia="Times New Roman" w:hAnsi="Verdana" w:cs="Times New Roman"/>
                <w:b/>
                <w:bCs/>
                <w:sz w:val="20"/>
                <w:szCs w:val="20"/>
              </w:rPr>
            </w:pPr>
            <w:r w:rsidRPr="00DD2662">
              <w:rPr>
                <w:rFonts w:ascii="Verdana" w:eastAsia="Times New Roman" w:hAnsi="Verdana" w:cs="Times New Roman"/>
                <w:b/>
                <w:bCs/>
                <w:sz w:val="20"/>
                <w:szCs w:val="20"/>
              </w:rPr>
              <w:t xml:space="preserve">Engine Bandings </w:t>
            </w:r>
          </w:p>
        </w:tc>
        <w:tc>
          <w:tcPr>
            <w:tcW w:w="1242" w:type="dxa"/>
            <w:tcBorders>
              <w:top w:val="single" w:sz="8" w:space="0" w:color="auto"/>
              <w:left w:val="single" w:sz="4" w:space="0" w:color="auto"/>
              <w:bottom w:val="single" w:sz="8" w:space="0" w:color="auto"/>
              <w:right w:val="single" w:sz="4" w:space="0" w:color="auto"/>
            </w:tcBorders>
            <w:shd w:val="clear" w:color="000000" w:fill="DAEEF3"/>
            <w:vAlign w:val="center"/>
            <w:hideMark/>
          </w:tcPr>
          <w:p w14:paraId="16C92381" w14:textId="77777777" w:rsidR="00DD2662" w:rsidRPr="00DD2662" w:rsidRDefault="00DD2662" w:rsidP="00DD2662">
            <w:pPr>
              <w:spacing w:before="0" w:after="0" w:line="240" w:lineRule="auto"/>
              <w:ind w:left="0" w:right="0"/>
              <w:jc w:val="center"/>
              <w:rPr>
                <w:rFonts w:ascii="Verdana" w:eastAsia="Times New Roman" w:hAnsi="Verdana" w:cs="Times New Roman"/>
                <w:b/>
                <w:bCs/>
                <w:sz w:val="20"/>
                <w:szCs w:val="20"/>
              </w:rPr>
            </w:pPr>
            <w:r w:rsidRPr="00DD2662">
              <w:rPr>
                <w:rFonts w:ascii="Verdana" w:eastAsia="Times New Roman" w:hAnsi="Verdana" w:cs="Times New Roman"/>
                <w:b/>
                <w:bCs/>
                <w:sz w:val="20"/>
                <w:szCs w:val="20"/>
              </w:rPr>
              <w:t xml:space="preserve">501-1000cc </w:t>
            </w:r>
          </w:p>
        </w:tc>
        <w:tc>
          <w:tcPr>
            <w:tcW w:w="1242" w:type="dxa"/>
            <w:tcBorders>
              <w:top w:val="single" w:sz="8" w:space="0" w:color="auto"/>
              <w:left w:val="single" w:sz="4" w:space="0" w:color="auto"/>
              <w:bottom w:val="single" w:sz="8" w:space="0" w:color="auto"/>
              <w:right w:val="single" w:sz="4" w:space="0" w:color="auto"/>
            </w:tcBorders>
            <w:shd w:val="clear" w:color="000000" w:fill="DAEEF3"/>
            <w:vAlign w:val="center"/>
            <w:hideMark/>
          </w:tcPr>
          <w:p w14:paraId="3D63CE40" w14:textId="77777777" w:rsidR="00DD2662" w:rsidRPr="00DD2662" w:rsidRDefault="00DD2662" w:rsidP="00DD2662">
            <w:pPr>
              <w:spacing w:before="0" w:after="0" w:line="240" w:lineRule="auto"/>
              <w:ind w:left="0" w:right="0"/>
              <w:jc w:val="center"/>
              <w:rPr>
                <w:rFonts w:ascii="Verdana" w:eastAsia="Times New Roman" w:hAnsi="Verdana" w:cs="Times New Roman"/>
                <w:b/>
                <w:bCs/>
                <w:sz w:val="20"/>
                <w:szCs w:val="20"/>
              </w:rPr>
            </w:pPr>
            <w:r w:rsidRPr="00DD2662">
              <w:rPr>
                <w:rFonts w:ascii="Verdana" w:eastAsia="Times New Roman" w:hAnsi="Verdana" w:cs="Times New Roman"/>
                <w:b/>
                <w:bCs/>
                <w:sz w:val="20"/>
                <w:szCs w:val="20"/>
              </w:rPr>
              <w:t xml:space="preserve">1001-1500cc </w:t>
            </w:r>
          </w:p>
        </w:tc>
        <w:tc>
          <w:tcPr>
            <w:tcW w:w="1242" w:type="dxa"/>
            <w:tcBorders>
              <w:top w:val="single" w:sz="8" w:space="0" w:color="auto"/>
              <w:left w:val="single" w:sz="4" w:space="0" w:color="auto"/>
              <w:bottom w:val="single" w:sz="8" w:space="0" w:color="auto"/>
              <w:right w:val="single" w:sz="4" w:space="0" w:color="auto"/>
            </w:tcBorders>
            <w:shd w:val="clear" w:color="000000" w:fill="DAEEF3"/>
            <w:vAlign w:val="center"/>
            <w:hideMark/>
          </w:tcPr>
          <w:p w14:paraId="38EC448B" w14:textId="77777777" w:rsidR="00DD2662" w:rsidRPr="00DD2662" w:rsidRDefault="00DD2662" w:rsidP="00DD2662">
            <w:pPr>
              <w:spacing w:before="0" w:after="0" w:line="240" w:lineRule="auto"/>
              <w:ind w:left="0" w:right="0"/>
              <w:jc w:val="center"/>
              <w:rPr>
                <w:rFonts w:ascii="Verdana" w:eastAsia="Times New Roman" w:hAnsi="Verdana" w:cs="Times New Roman"/>
                <w:b/>
                <w:bCs/>
                <w:sz w:val="20"/>
                <w:szCs w:val="20"/>
              </w:rPr>
            </w:pPr>
            <w:r w:rsidRPr="00DD2662">
              <w:rPr>
                <w:rFonts w:ascii="Verdana" w:eastAsia="Times New Roman" w:hAnsi="Verdana" w:cs="Times New Roman"/>
                <w:b/>
                <w:bCs/>
                <w:sz w:val="20"/>
                <w:szCs w:val="20"/>
              </w:rPr>
              <w:t xml:space="preserve">1501-2000cc </w:t>
            </w:r>
          </w:p>
        </w:tc>
        <w:tc>
          <w:tcPr>
            <w:tcW w:w="1242" w:type="dxa"/>
            <w:tcBorders>
              <w:top w:val="single" w:sz="8" w:space="0" w:color="auto"/>
              <w:left w:val="single" w:sz="4" w:space="0" w:color="auto"/>
              <w:bottom w:val="single" w:sz="8" w:space="0" w:color="auto"/>
              <w:right w:val="single" w:sz="4" w:space="0" w:color="auto"/>
            </w:tcBorders>
            <w:shd w:val="clear" w:color="000000" w:fill="DAEEF3"/>
            <w:vAlign w:val="center"/>
            <w:hideMark/>
          </w:tcPr>
          <w:p w14:paraId="5B0E536C" w14:textId="77777777" w:rsidR="00DD2662" w:rsidRPr="00DD2662" w:rsidRDefault="00DD2662" w:rsidP="00DD2662">
            <w:pPr>
              <w:spacing w:before="0" w:after="0" w:line="240" w:lineRule="auto"/>
              <w:ind w:left="0" w:right="0"/>
              <w:jc w:val="center"/>
              <w:rPr>
                <w:rFonts w:ascii="Verdana" w:eastAsia="Times New Roman" w:hAnsi="Verdana" w:cs="Times New Roman"/>
                <w:b/>
                <w:bCs/>
                <w:sz w:val="20"/>
                <w:szCs w:val="20"/>
              </w:rPr>
            </w:pPr>
            <w:r w:rsidRPr="00DD2662">
              <w:rPr>
                <w:rFonts w:ascii="Verdana" w:eastAsia="Times New Roman" w:hAnsi="Verdana" w:cs="Times New Roman"/>
                <w:b/>
                <w:bCs/>
                <w:sz w:val="20"/>
                <w:szCs w:val="20"/>
              </w:rPr>
              <w:t xml:space="preserve">Over 2000cc </w:t>
            </w:r>
          </w:p>
        </w:tc>
      </w:tr>
      <w:tr w:rsidR="00DD2662" w:rsidRPr="00DD2662" w14:paraId="7EBE8ABD" w14:textId="77777777" w:rsidTr="006330EB">
        <w:trPr>
          <w:trHeight w:val="300"/>
          <w:jc w:val="center"/>
        </w:trPr>
        <w:tc>
          <w:tcPr>
            <w:tcW w:w="1680" w:type="dxa"/>
            <w:vMerge w:val="restart"/>
            <w:tcBorders>
              <w:top w:val="single" w:sz="8" w:space="0" w:color="auto"/>
              <w:left w:val="single" w:sz="8" w:space="0" w:color="auto"/>
              <w:bottom w:val="nil"/>
              <w:right w:val="single" w:sz="8" w:space="0" w:color="auto"/>
            </w:tcBorders>
            <w:vAlign w:val="center"/>
            <w:hideMark/>
          </w:tcPr>
          <w:p w14:paraId="4626F028"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Prior to 01/04/22</w:t>
            </w:r>
          </w:p>
        </w:tc>
        <w:tc>
          <w:tcPr>
            <w:tcW w:w="2946" w:type="dxa"/>
            <w:tcBorders>
              <w:top w:val="nil"/>
              <w:left w:val="single" w:sz="8" w:space="0" w:color="auto"/>
              <w:bottom w:val="single" w:sz="4" w:space="0" w:color="auto"/>
              <w:right w:val="single" w:sz="4" w:space="0" w:color="auto"/>
            </w:tcBorders>
            <w:vAlign w:val="center"/>
            <w:hideMark/>
          </w:tcPr>
          <w:p w14:paraId="5ED7FEEE"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Lump Sum </w:t>
            </w:r>
          </w:p>
        </w:tc>
        <w:tc>
          <w:tcPr>
            <w:tcW w:w="1242" w:type="dxa"/>
            <w:tcBorders>
              <w:top w:val="nil"/>
              <w:left w:val="single" w:sz="4" w:space="0" w:color="auto"/>
              <w:bottom w:val="single" w:sz="4" w:space="0" w:color="auto"/>
              <w:right w:val="single" w:sz="4" w:space="0" w:color="auto"/>
            </w:tcBorders>
            <w:vAlign w:val="center"/>
            <w:hideMark/>
          </w:tcPr>
          <w:p w14:paraId="1F5BC67B"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£42.33</w:t>
            </w:r>
          </w:p>
        </w:tc>
        <w:tc>
          <w:tcPr>
            <w:tcW w:w="1242" w:type="dxa"/>
            <w:tcBorders>
              <w:top w:val="nil"/>
              <w:left w:val="single" w:sz="4" w:space="0" w:color="auto"/>
              <w:bottom w:val="single" w:sz="4" w:space="0" w:color="auto"/>
              <w:right w:val="single" w:sz="4" w:space="0" w:color="auto"/>
            </w:tcBorders>
            <w:vAlign w:val="center"/>
            <w:hideMark/>
          </w:tcPr>
          <w:p w14:paraId="1EDA243E"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£52.17</w:t>
            </w:r>
          </w:p>
        </w:tc>
        <w:tc>
          <w:tcPr>
            <w:tcW w:w="1242" w:type="dxa"/>
            <w:tcBorders>
              <w:top w:val="nil"/>
              <w:left w:val="single" w:sz="4" w:space="0" w:color="auto"/>
              <w:bottom w:val="single" w:sz="4" w:space="0" w:color="auto"/>
              <w:right w:val="single" w:sz="4" w:space="0" w:color="auto"/>
            </w:tcBorders>
            <w:vAlign w:val="center"/>
            <w:hideMark/>
          </w:tcPr>
          <w:p w14:paraId="31AD23E9"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£63.33</w:t>
            </w:r>
          </w:p>
        </w:tc>
        <w:tc>
          <w:tcPr>
            <w:tcW w:w="1242" w:type="dxa"/>
            <w:tcBorders>
              <w:top w:val="nil"/>
              <w:left w:val="single" w:sz="4" w:space="0" w:color="auto"/>
              <w:bottom w:val="single" w:sz="4" w:space="0" w:color="auto"/>
              <w:right w:val="single" w:sz="4" w:space="0" w:color="auto"/>
            </w:tcBorders>
            <w:vAlign w:val="center"/>
            <w:hideMark/>
          </w:tcPr>
          <w:p w14:paraId="5A475CC3"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£63.33</w:t>
            </w:r>
          </w:p>
        </w:tc>
      </w:tr>
      <w:tr w:rsidR="00DD2662" w:rsidRPr="00DD2662" w14:paraId="418B1E93" w14:textId="77777777" w:rsidTr="006330EB">
        <w:trPr>
          <w:trHeight w:val="600"/>
          <w:jc w:val="center"/>
        </w:trPr>
        <w:tc>
          <w:tcPr>
            <w:tcW w:w="1680" w:type="dxa"/>
            <w:vMerge/>
            <w:tcBorders>
              <w:top w:val="single" w:sz="8" w:space="0" w:color="auto"/>
              <w:left w:val="single" w:sz="8" w:space="0" w:color="auto"/>
              <w:bottom w:val="nil"/>
              <w:right w:val="single" w:sz="8" w:space="0" w:color="auto"/>
            </w:tcBorders>
            <w:vAlign w:val="center"/>
            <w:hideMark/>
          </w:tcPr>
          <w:p w14:paraId="6EDD760F"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p>
        </w:tc>
        <w:tc>
          <w:tcPr>
            <w:tcW w:w="2946" w:type="dxa"/>
            <w:tcBorders>
              <w:top w:val="single" w:sz="4" w:space="0" w:color="auto"/>
              <w:left w:val="single" w:sz="8" w:space="0" w:color="auto"/>
              <w:bottom w:val="single" w:sz="4" w:space="0" w:color="auto"/>
              <w:right w:val="single" w:sz="4" w:space="0" w:color="auto"/>
            </w:tcBorders>
            <w:vAlign w:val="center"/>
            <w:hideMark/>
          </w:tcPr>
          <w:p w14:paraId="410711F7"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Rate per mile up to 9000 miles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4748F597"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0.297</w:t>
            </w:r>
          </w:p>
        </w:tc>
        <w:tc>
          <w:tcPr>
            <w:tcW w:w="1242" w:type="dxa"/>
            <w:tcBorders>
              <w:top w:val="single" w:sz="4" w:space="0" w:color="auto"/>
              <w:left w:val="single" w:sz="4" w:space="0" w:color="auto"/>
              <w:bottom w:val="single" w:sz="4" w:space="0" w:color="auto"/>
              <w:right w:val="single" w:sz="4" w:space="0" w:color="auto"/>
            </w:tcBorders>
            <w:vAlign w:val="center"/>
            <w:hideMark/>
          </w:tcPr>
          <w:p w14:paraId="550278EC"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0.369</w:t>
            </w:r>
          </w:p>
        </w:tc>
        <w:tc>
          <w:tcPr>
            <w:tcW w:w="1242" w:type="dxa"/>
            <w:tcBorders>
              <w:top w:val="single" w:sz="4" w:space="0" w:color="auto"/>
              <w:left w:val="single" w:sz="4" w:space="0" w:color="auto"/>
              <w:bottom w:val="single" w:sz="4" w:space="0" w:color="auto"/>
              <w:right w:val="single" w:sz="4" w:space="0" w:color="auto"/>
            </w:tcBorders>
            <w:vAlign w:val="center"/>
            <w:hideMark/>
          </w:tcPr>
          <w:p w14:paraId="5AE5D21F"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0.44</w:t>
            </w:r>
          </w:p>
        </w:tc>
        <w:tc>
          <w:tcPr>
            <w:tcW w:w="1242" w:type="dxa"/>
            <w:tcBorders>
              <w:top w:val="single" w:sz="4" w:space="0" w:color="auto"/>
              <w:left w:val="single" w:sz="4" w:space="0" w:color="auto"/>
              <w:bottom w:val="single" w:sz="4" w:space="0" w:color="auto"/>
              <w:right w:val="single" w:sz="4" w:space="0" w:color="auto"/>
            </w:tcBorders>
            <w:vAlign w:val="center"/>
            <w:hideMark/>
          </w:tcPr>
          <w:p w14:paraId="3DBAC7AD"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0.44</w:t>
            </w:r>
          </w:p>
        </w:tc>
      </w:tr>
      <w:tr w:rsidR="00DD2662" w:rsidRPr="00DD2662" w14:paraId="1B561F9F" w14:textId="77777777" w:rsidTr="006330EB">
        <w:trPr>
          <w:trHeight w:val="600"/>
          <w:jc w:val="center"/>
        </w:trPr>
        <w:tc>
          <w:tcPr>
            <w:tcW w:w="1680" w:type="dxa"/>
            <w:vMerge/>
            <w:tcBorders>
              <w:top w:val="single" w:sz="8" w:space="0" w:color="auto"/>
              <w:left w:val="single" w:sz="8" w:space="0" w:color="auto"/>
              <w:bottom w:val="nil"/>
              <w:right w:val="single" w:sz="8" w:space="0" w:color="auto"/>
            </w:tcBorders>
            <w:vAlign w:val="center"/>
            <w:hideMark/>
          </w:tcPr>
          <w:p w14:paraId="1120C85E"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p>
        </w:tc>
        <w:tc>
          <w:tcPr>
            <w:tcW w:w="2946" w:type="dxa"/>
            <w:tcBorders>
              <w:top w:val="single" w:sz="4" w:space="0" w:color="auto"/>
              <w:left w:val="single" w:sz="8" w:space="0" w:color="auto"/>
              <w:bottom w:val="single" w:sz="4" w:space="0" w:color="auto"/>
              <w:right w:val="single" w:sz="4" w:space="0" w:color="auto"/>
            </w:tcBorders>
            <w:vAlign w:val="center"/>
            <w:hideMark/>
          </w:tcPr>
          <w:p w14:paraId="31B38542"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Rate per mile 9001-15000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4F0BF6EA"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0.178</w:t>
            </w:r>
          </w:p>
        </w:tc>
        <w:tc>
          <w:tcPr>
            <w:tcW w:w="1242" w:type="dxa"/>
            <w:tcBorders>
              <w:top w:val="single" w:sz="4" w:space="0" w:color="auto"/>
              <w:left w:val="single" w:sz="4" w:space="0" w:color="auto"/>
              <w:bottom w:val="single" w:sz="4" w:space="0" w:color="auto"/>
              <w:right w:val="single" w:sz="4" w:space="0" w:color="auto"/>
            </w:tcBorders>
            <w:vAlign w:val="center"/>
            <w:hideMark/>
          </w:tcPr>
          <w:p w14:paraId="190C42DB"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0.201</w:t>
            </w:r>
          </w:p>
        </w:tc>
        <w:tc>
          <w:tcPr>
            <w:tcW w:w="1242" w:type="dxa"/>
            <w:tcBorders>
              <w:top w:val="single" w:sz="4" w:space="0" w:color="auto"/>
              <w:left w:val="single" w:sz="4" w:space="0" w:color="auto"/>
              <w:bottom w:val="single" w:sz="4" w:space="0" w:color="auto"/>
              <w:right w:val="single" w:sz="4" w:space="0" w:color="auto"/>
            </w:tcBorders>
            <w:vAlign w:val="center"/>
            <w:hideMark/>
          </w:tcPr>
          <w:p w14:paraId="066D88DB"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0.226</w:t>
            </w:r>
          </w:p>
        </w:tc>
        <w:tc>
          <w:tcPr>
            <w:tcW w:w="1242" w:type="dxa"/>
            <w:tcBorders>
              <w:top w:val="single" w:sz="4" w:space="0" w:color="auto"/>
              <w:left w:val="single" w:sz="4" w:space="0" w:color="auto"/>
              <w:bottom w:val="single" w:sz="4" w:space="0" w:color="auto"/>
              <w:right w:val="single" w:sz="4" w:space="0" w:color="auto"/>
            </w:tcBorders>
            <w:vAlign w:val="center"/>
            <w:hideMark/>
          </w:tcPr>
          <w:p w14:paraId="3327DD00"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0.226</w:t>
            </w:r>
          </w:p>
        </w:tc>
      </w:tr>
      <w:tr w:rsidR="00DD2662" w:rsidRPr="00DD2662" w14:paraId="6BA23638" w14:textId="77777777" w:rsidTr="006330EB">
        <w:trPr>
          <w:trHeight w:val="600"/>
          <w:jc w:val="center"/>
        </w:trPr>
        <w:tc>
          <w:tcPr>
            <w:tcW w:w="1680" w:type="dxa"/>
            <w:vMerge/>
            <w:tcBorders>
              <w:top w:val="single" w:sz="8" w:space="0" w:color="auto"/>
              <w:left w:val="single" w:sz="8" w:space="0" w:color="auto"/>
              <w:bottom w:val="nil"/>
              <w:right w:val="single" w:sz="8" w:space="0" w:color="auto"/>
            </w:tcBorders>
            <w:vAlign w:val="center"/>
            <w:hideMark/>
          </w:tcPr>
          <w:p w14:paraId="5207C956"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p>
        </w:tc>
        <w:tc>
          <w:tcPr>
            <w:tcW w:w="2946" w:type="dxa"/>
            <w:tcBorders>
              <w:top w:val="single" w:sz="4" w:space="0" w:color="auto"/>
              <w:left w:val="single" w:sz="8" w:space="0" w:color="auto"/>
              <w:bottom w:val="single" w:sz="8" w:space="0" w:color="auto"/>
              <w:right w:val="single" w:sz="4" w:space="0" w:color="auto"/>
            </w:tcBorders>
            <w:vAlign w:val="center"/>
            <w:hideMark/>
          </w:tcPr>
          <w:p w14:paraId="0FC3D963"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Rate per mile over 15000miles </w:t>
            </w:r>
          </w:p>
        </w:tc>
        <w:tc>
          <w:tcPr>
            <w:tcW w:w="1242" w:type="dxa"/>
            <w:tcBorders>
              <w:top w:val="single" w:sz="4" w:space="0" w:color="auto"/>
              <w:left w:val="single" w:sz="4" w:space="0" w:color="auto"/>
              <w:bottom w:val="single" w:sz="8" w:space="0" w:color="auto"/>
              <w:right w:val="single" w:sz="4" w:space="0" w:color="auto"/>
            </w:tcBorders>
            <w:vAlign w:val="center"/>
            <w:hideMark/>
          </w:tcPr>
          <w:p w14:paraId="67776914"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0.178</w:t>
            </w:r>
          </w:p>
        </w:tc>
        <w:tc>
          <w:tcPr>
            <w:tcW w:w="1242" w:type="dxa"/>
            <w:tcBorders>
              <w:top w:val="single" w:sz="4" w:space="0" w:color="auto"/>
              <w:left w:val="single" w:sz="4" w:space="0" w:color="auto"/>
              <w:bottom w:val="single" w:sz="8" w:space="0" w:color="auto"/>
              <w:right w:val="single" w:sz="4" w:space="0" w:color="auto"/>
            </w:tcBorders>
            <w:vAlign w:val="center"/>
            <w:hideMark/>
          </w:tcPr>
          <w:p w14:paraId="6B07145B"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0.201</w:t>
            </w:r>
          </w:p>
        </w:tc>
        <w:tc>
          <w:tcPr>
            <w:tcW w:w="1242" w:type="dxa"/>
            <w:tcBorders>
              <w:top w:val="single" w:sz="4" w:space="0" w:color="auto"/>
              <w:left w:val="single" w:sz="4" w:space="0" w:color="auto"/>
              <w:bottom w:val="single" w:sz="8" w:space="0" w:color="auto"/>
              <w:right w:val="single" w:sz="4" w:space="0" w:color="auto"/>
            </w:tcBorders>
            <w:vAlign w:val="center"/>
            <w:hideMark/>
          </w:tcPr>
          <w:p w14:paraId="09A4DD13"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0.226</w:t>
            </w:r>
          </w:p>
        </w:tc>
        <w:tc>
          <w:tcPr>
            <w:tcW w:w="1242" w:type="dxa"/>
            <w:tcBorders>
              <w:top w:val="single" w:sz="4" w:space="0" w:color="auto"/>
              <w:left w:val="single" w:sz="4" w:space="0" w:color="auto"/>
              <w:bottom w:val="single" w:sz="8" w:space="0" w:color="auto"/>
              <w:right w:val="single" w:sz="4" w:space="0" w:color="auto"/>
            </w:tcBorders>
            <w:vAlign w:val="center"/>
            <w:hideMark/>
          </w:tcPr>
          <w:p w14:paraId="14C1D8AE"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0.226</w:t>
            </w:r>
          </w:p>
        </w:tc>
      </w:tr>
      <w:tr w:rsidR="00DD2662" w:rsidRPr="00DD2662" w14:paraId="6E18502E" w14:textId="77777777" w:rsidTr="006330EB">
        <w:trPr>
          <w:trHeight w:val="300"/>
          <w:jc w:val="center"/>
        </w:trPr>
        <w:tc>
          <w:tcPr>
            <w:tcW w:w="1680" w:type="dxa"/>
            <w:vMerge w:val="restart"/>
            <w:tcBorders>
              <w:top w:val="single" w:sz="8" w:space="0" w:color="auto"/>
              <w:left w:val="single" w:sz="8" w:space="0" w:color="auto"/>
              <w:bottom w:val="nil"/>
              <w:right w:val="single" w:sz="8" w:space="0" w:color="auto"/>
            </w:tcBorders>
            <w:vAlign w:val="center"/>
            <w:hideMark/>
          </w:tcPr>
          <w:p w14:paraId="4906E639"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01/04/2022</w:t>
            </w:r>
          </w:p>
        </w:tc>
        <w:tc>
          <w:tcPr>
            <w:tcW w:w="2946" w:type="dxa"/>
            <w:tcBorders>
              <w:top w:val="nil"/>
              <w:left w:val="single" w:sz="8" w:space="0" w:color="auto"/>
              <w:bottom w:val="single" w:sz="4" w:space="0" w:color="auto"/>
              <w:right w:val="single" w:sz="4" w:space="0" w:color="auto"/>
            </w:tcBorders>
            <w:vAlign w:val="center"/>
            <w:hideMark/>
          </w:tcPr>
          <w:p w14:paraId="28BAF77E"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Lump Sum </w:t>
            </w:r>
          </w:p>
        </w:tc>
        <w:tc>
          <w:tcPr>
            <w:tcW w:w="1242" w:type="dxa"/>
            <w:tcBorders>
              <w:top w:val="nil"/>
              <w:left w:val="single" w:sz="4" w:space="0" w:color="auto"/>
              <w:bottom w:val="single" w:sz="4" w:space="0" w:color="auto"/>
              <w:right w:val="single" w:sz="4" w:space="0" w:color="auto"/>
            </w:tcBorders>
            <w:vAlign w:val="center"/>
            <w:hideMark/>
          </w:tcPr>
          <w:p w14:paraId="27B56DFF"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£42.33</w:t>
            </w:r>
          </w:p>
        </w:tc>
        <w:tc>
          <w:tcPr>
            <w:tcW w:w="1242" w:type="dxa"/>
            <w:tcBorders>
              <w:top w:val="nil"/>
              <w:left w:val="single" w:sz="4" w:space="0" w:color="auto"/>
              <w:bottom w:val="single" w:sz="4" w:space="0" w:color="auto"/>
              <w:right w:val="single" w:sz="4" w:space="0" w:color="auto"/>
            </w:tcBorders>
            <w:vAlign w:val="center"/>
            <w:hideMark/>
          </w:tcPr>
          <w:p w14:paraId="7649A594"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£52.17</w:t>
            </w:r>
          </w:p>
        </w:tc>
        <w:tc>
          <w:tcPr>
            <w:tcW w:w="1242" w:type="dxa"/>
            <w:tcBorders>
              <w:top w:val="nil"/>
              <w:left w:val="single" w:sz="4" w:space="0" w:color="auto"/>
              <w:bottom w:val="single" w:sz="4" w:space="0" w:color="auto"/>
              <w:right w:val="single" w:sz="4" w:space="0" w:color="auto"/>
            </w:tcBorders>
            <w:vAlign w:val="center"/>
            <w:hideMark/>
          </w:tcPr>
          <w:p w14:paraId="026205B9"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£63.33</w:t>
            </w:r>
          </w:p>
        </w:tc>
        <w:tc>
          <w:tcPr>
            <w:tcW w:w="1242" w:type="dxa"/>
            <w:tcBorders>
              <w:top w:val="nil"/>
              <w:left w:val="single" w:sz="4" w:space="0" w:color="auto"/>
              <w:bottom w:val="single" w:sz="4" w:space="0" w:color="auto"/>
              <w:right w:val="single" w:sz="4" w:space="0" w:color="auto"/>
            </w:tcBorders>
            <w:vAlign w:val="center"/>
            <w:hideMark/>
          </w:tcPr>
          <w:p w14:paraId="05822D81"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£63.33</w:t>
            </w:r>
          </w:p>
        </w:tc>
      </w:tr>
      <w:tr w:rsidR="00DD2662" w:rsidRPr="00DD2662" w14:paraId="3D9A5746" w14:textId="77777777" w:rsidTr="006330EB">
        <w:trPr>
          <w:trHeight w:val="600"/>
          <w:jc w:val="center"/>
        </w:trPr>
        <w:tc>
          <w:tcPr>
            <w:tcW w:w="1680" w:type="dxa"/>
            <w:vMerge/>
            <w:tcBorders>
              <w:top w:val="single" w:sz="8" w:space="0" w:color="auto"/>
              <w:left w:val="single" w:sz="8" w:space="0" w:color="auto"/>
              <w:bottom w:val="nil"/>
              <w:right w:val="single" w:sz="8" w:space="0" w:color="auto"/>
            </w:tcBorders>
            <w:vAlign w:val="center"/>
            <w:hideMark/>
          </w:tcPr>
          <w:p w14:paraId="35C8ECE3"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p>
        </w:tc>
        <w:tc>
          <w:tcPr>
            <w:tcW w:w="2946" w:type="dxa"/>
            <w:tcBorders>
              <w:top w:val="single" w:sz="4" w:space="0" w:color="auto"/>
              <w:left w:val="single" w:sz="8" w:space="0" w:color="auto"/>
              <w:bottom w:val="single" w:sz="4" w:space="0" w:color="auto"/>
              <w:right w:val="single" w:sz="4" w:space="0" w:color="auto"/>
            </w:tcBorders>
            <w:vAlign w:val="center"/>
            <w:hideMark/>
          </w:tcPr>
          <w:p w14:paraId="783498A7"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Rate per mile up to 9000 miles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14D136DB"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0.297</w:t>
            </w:r>
          </w:p>
        </w:tc>
        <w:tc>
          <w:tcPr>
            <w:tcW w:w="1242" w:type="dxa"/>
            <w:tcBorders>
              <w:top w:val="single" w:sz="4" w:space="0" w:color="auto"/>
              <w:left w:val="single" w:sz="4" w:space="0" w:color="auto"/>
              <w:bottom w:val="single" w:sz="4" w:space="0" w:color="auto"/>
              <w:right w:val="single" w:sz="4" w:space="0" w:color="auto"/>
            </w:tcBorders>
            <w:vAlign w:val="center"/>
            <w:hideMark/>
          </w:tcPr>
          <w:p w14:paraId="39323086"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0.369</w:t>
            </w:r>
          </w:p>
        </w:tc>
        <w:tc>
          <w:tcPr>
            <w:tcW w:w="1242" w:type="dxa"/>
            <w:tcBorders>
              <w:top w:val="single" w:sz="4" w:space="0" w:color="auto"/>
              <w:left w:val="single" w:sz="4" w:space="0" w:color="auto"/>
              <w:bottom w:val="single" w:sz="4" w:space="0" w:color="auto"/>
              <w:right w:val="single" w:sz="4" w:space="0" w:color="auto"/>
            </w:tcBorders>
            <w:vAlign w:val="center"/>
            <w:hideMark/>
          </w:tcPr>
          <w:p w14:paraId="557C4AA9"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0.44</w:t>
            </w:r>
          </w:p>
        </w:tc>
        <w:tc>
          <w:tcPr>
            <w:tcW w:w="1242" w:type="dxa"/>
            <w:tcBorders>
              <w:top w:val="single" w:sz="4" w:space="0" w:color="auto"/>
              <w:left w:val="single" w:sz="4" w:space="0" w:color="auto"/>
              <w:bottom w:val="single" w:sz="4" w:space="0" w:color="auto"/>
              <w:right w:val="single" w:sz="4" w:space="0" w:color="auto"/>
            </w:tcBorders>
            <w:vAlign w:val="center"/>
            <w:hideMark/>
          </w:tcPr>
          <w:p w14:paraId="1C492843"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0.44</w:t>
            </w:r>
          </w:p>
        </w:tc>
      </w:tr>
      <w:tr w:rsidR="00DD2662" w:rsidRPr="00DD2662" w14:paraId="35E7C9A2" w14:textId="77777777" w:rsidTr="006330EB">
        <w:trPr>
          <w:trHeight w:val="600"/>
          <w:jc w:val="center"/>
        </w:trPr>
        <w:tc>
          <w:tcPr>
            <w:tcW w:w="1680" w:type="dxa"/>
            <w:vMerge/>
            <w:tcBorders>
              <w:top w:val="single" w:sz="8" w:space="0" w:color="auto"/>
              <w:left w:val="single" w:sz="8" w:space="0" w:color="auto"/>
              <w:bottom w:val="nil"/>
              <w:right w:val="single" w:sz="8" w:space="0" w:color="auto"/>
            </w:tcBorders>
            <w:vAlign w:val="center"/>
            <w:hideMark/>
          </w:tcPr>
          <w:p w14:paraId="6512F676"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p>
        </w:tc>
        <w:tc>
          <w:tcPr>
            <w:tcW w:w="2946" w:type="dxa"/>
            <w:tcBorders>
              <w:top w:val="single" w:sz="4" w:space="0" w:color="auto"/>
              <w:left w:val="single" w:sz="8" w:space="0" w:color="auto"/>
              <w:bottom w:val="single" w:sz="4" w:space="0" w:color="auto"/>
              <w:right w:val="single" w:sz="4" w:space="0" w:color="auto"/>
            </w:tcBorders>
            <w:vAlign w:val="center"/>
            <w:hideMark/>
          </w:tcPr>
          <w:p w14:paraId="23860B80"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Rate per mile 9001-15000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6873DFED"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0.178</w:t>
            </w:r>
          </w:p>
        </w:tc>
        <w:tc>
          <w:tcPr>
            <w:tcW w:w="1242" w:type="dxa"/>
            <w:tcBorders>
              <w:top w:val="single" w:sz="4" w:space="0" w:color="auto"/>
              <w:left w:val="single" w:sz="4" w:space="0" w:color="auto"/>
              <w:bottom w:val="single" w:sz="4" w:space="0" w:color="auto"/>
              <w:right w:val="single" w:sz="4" w:space="0" w:color="auto"/>
            </w:tcBorders>
            <w:vAlign w:val="center"/>
            <w:hideMark/>
          </w:tcPr>
          <w:p w14:paraId="40626A4E"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0.201</w:t>
            </w:r>
          </w:p>
        </w:tc>
        <w:tc>
          <w:tcPr>
            <w:tcW w:w="1242" w:type="dxa"/>
            <w:tcBorders>
              <w:top w:val="single" w:sz="4" w:space="0" w:color="auto"/>
              <w:left w:val="single" w:sz="4" w:space="0" w:color="auto"/>
              <w:bottom w:val="single" w:sz="4" w:space="0" w:color="auto"/>
              <w:right w:val="single" w:sz="4" w:space="0" w:color="auto"/>
            </w:tcBorders>
            <w:vAlign w:val="center"/>
            <w:hideMark/>
          </w:tcPr>
          <w:p w14:paraId="1A94F8B2"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0.226</w:t>
            </w:r>
          </w:p>
        </w:tc>
        <w:tc>
          <w:tcPr>
            <w:tcW w:w="1242" w:type="dxa"/>
            <w:tcBorders>
              <w:top w:val="single" w:sz="4" w:space="0" w:color="auto"/>
              <w:left w:val="single" w:sz="4" w:space="0" w:color="auto"/>
              <w:bottom w:val="single" w:sz="4" w:space="0" w:color="auto"/>
              <w:right w:val="single" w:sz="4" w:space="0" w:color="auto"/>
            </w:tcBorders>
            <w:vAlign w:val="center"/>
            <w:hideMark/>
          </w:tcPr>
          <w:p w14:paraId="60158DA5"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0.226</w:t>
            </w:r>
          </w:p>
        </w:tc>
      </w:tr>
      <w:tr w:rsidR="00DD2662" w:rsidRPr="00DD2662" w14:paraId="6993530A" w14:textId="77777777" w:rsidTr="006330EB">
        <w:trPr>
          <w:trHeight w:val="600"/>
          <w:jc w:val="center"/>
        </w:trPr>
        <w:tc>
          <w:tcPr>
            <w:tcW w:w="1680" w:type="dxa"/>
            <w:vMerge/>
            <w:tcBorders>
              <w:top w:val="single" w:sz="8" w:space="0" w:color="auto"/>
              <w:left w:val="single" w:sz="8" w:space="0" w:color="auto"/>
              <w:bottom w:val="nil"/>
              <w:right w:val="single" w:sz="8" w:space="0" w:color="auto"/>
            </w:tcBorders>
            <w:vAlign w:val="center"/>
            <w:hideMark/>
          </w:tcPr>
          <w:p w14:paraId="182F2BC3"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p>
        </w:tc>
        <w:tc>
          <w:tcPr>
            <w:tcW w:w="2946" w:type="dxa"/>
            <w:tcBorders>
              <w:top w:val="single" w:sz="4" w:space="0" w:color="auto"/>
              <w:left w:val="single" w:sz="8" w:space="0" w:color="auto"/>
              <w:bottom w:val="single" w:sz="8" w:space="0" w:color="auto"/>
              <w:right w:val="single" w:sz="4" w:space="0" w:color="auto"/>
            </w:tcBorders>
            <w:vAlign w:val="center"/>
            <w:hideMark/>
          </w:tcPr>
          <w:p w14:paraId="64AE9E7F"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Rate per mile over 15000miles </w:t>
            </w:r>
          </w:p>
        </w:tc>
        <w:tc>
          <w:tcPr>
            <w:tcW w:w="1242" w:type="dxa"/>
            <w:tcBorders>
              <w:top w:val="single" w:sz="4" w:space="0" w:color="auto"/>
              <w:left w:val="single" w:sz="4" w:space="0" w:color="auto"/>
              <w:bottom w:val="single" w:sz="8" w:space="0" w:color="auto"/>
              <w:right w:val="single" w:sz="4" w:space="0" w:color="auto"/>
            </w:tcBorders>
            <w:vAlign w:val="center"/>
            <w:hideMark/>
          </w:tcPr>
          <w:p w14:paraId="1A0352FE"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0.178</w:t>
            </w:r>
          </w:p>
        </w:tc>
        <w:tc>
          <w:tcPr>
            <w:tcW w:w="1242" w:type="dxa"/>
            <w:tcBorders>
              <w:top w:val="single" w:sz="4" w:space="0" w:color="auto"/>
              <w:left w:val="single" w:sz="4" w:space="0" w:color="auto"/>
              <w:bottom w:val="single" w:sz="8" w:space="0" w:color="auto"/>
              <w:right w:val="single" w:sz="4" w:space="0" w:color="auto"/>
            </w:tcBorders>
            <w:vAlign w:val="center"/>
            <w:hideMark/>
          </w:tcPr>
          <w:p w14:paraId="0C93A07C"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0.201</w:t>
            </w:r>
          </w:p>
        </w:tc>
        <w:tc>
          <w:tcPr>
            <w:tcW w:w="1242" w:type="dxa"/>
            <w:tcBorders>
              <w:top w:val="single" w:sz="4" w:space="0" w:color="auto"/>
              <w:left w:val="single" w:sz="4" w:space="0" w:color="auto"/>
              <w:bottom w:val="single" w:sz="8" w:space="0" w:color="auto"/>
              <w:right w:val="single" w:sz="4" w:space="0" w:color="auto"/>
            </w:tcBorders>
            <w:vAlign w:val="center"/>
            <w:hideMark/>
          </w:tcPr>
          <w:p w14:paraId="16807018"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0.226</w:t>
            </w:r>
          </w:p>
        </w:tc>
        <w:tc>
          <w:tcPr>
            <w:tcW w:w="1242" w:type="dxa"/>
            <w:tcBorders>
              <w:top w:val="single" w:sz="4" w:space="0" w:color="auto"/>
              <w:left w:val="single" w:sz="4" w:space="0" w:color="auto"/>
              <w:bottom w:val="single" w:sz="8" w:space="0" w:color="auto"/>
              <w:right w:val="single" w:sz="4" w:space="0" w:color="auto"/>
            </w:tcBorders>
            <w:vAlign w:val="center"/>
            <w:hideMark/>
          </w:tcPr>
          <w:p w14:paraId="5859014A"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0.226</w:t>
            </w:r>
          </w:p>
        </w:tc>
      </w:tr>
      <w:tr w:rsidR="00DD2662" w:rsidRPr="00DD2662" w14:paraId="46DA9A1F" w14:textId="77777777" w:rsidTr="006330EB">
        <w:trPr>
          <w:trHeight w:val="300"/>
          <w:jc w:val="center"/>
        </w:trPr>
        <w:tc>
          <w:tcPr>
            <w:tcW w:w="1680" w:type="dxa"/>
            <w:vMerge w:val="restart"/>
            <w:tcBorders>
              <w:top w:val="single" w:sz="8" w:space="0" w:color="auto"/>
              <w:left w:val="single" w:sz="8" w:space="0" w:color="auto"/>
              <w:bottom w:val="nil"/>
              <w:right w:val="single" w:sz="8" w:space="0" w:color="auto"/>
            </w:tcBorders>
            <w:vAlign w:val="center"/>
            <w:hideMark/>
          </w:tcPr>
          <w:p w14:paraId="53E59AB2"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01/06/2022</w:t>
            </w:r>
          </w:p>
        </w:tc>
        <w:tc>
          <w:tcPr>
            <w:tcW w:w="2946" w:type="dxa"/>
            <w:tcBorders>
              <w:top w:val="nil"/>
              <w:left w:val="single" w:sz="8" w:space="0" w:color="auto"/>
              <w:bottom w:val="single" w:sz="4" w:space="0" w:color="auto"/>
              <w:right w:val="single" w:sz="4" w:space="0" w:color="auto"/>
            </w:tcBorders>
            <w:vAlign w:val="center"/>
            <w:hideMark/>
          </w:tcPr>
          <w:p w14:paraId="2A6C865E"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Lump Sum </w:t>
            </w:r>
          </w:p>
        </w:tc>
        <w:tc>
          <w:tcPr>
            <w:tcW w:w="1242" w:type="dxa"/>
            <w:tcBorders>
              <w:top w:val="nil"/>
              <w:left w:val="single" w:sz="4" w:space="0" w:color="auto"/>
              <w:bottom w:val="single" w:sz="4" w:space="0" w:color="auto"/>
              <w:right w:val="single" w:sz="4" w:space="0" w:color="auto"/>
            </w:tcBorders>
            <w:vAlign w:val="center"/>
            <w:hideMark/>
          </w:tcPr>
          <w:p w14:paraId="206B869D"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£42.33</w:t>
            </w:r>
          </w:p>
        </w:tc>
        <w:tc>
          <w:tcPr>
            <w:tcW w:w="1242" w:type="dxa"/>
            <w:tcBorders>
              <w:top w:val="nil"/>
              <w:left w:val="single" w:sz="4" w:space="0" w:color="auto"/>
              <w:bottom w:val="single" w:sz="4" w:space="0" w:color="auto"/>
              <w:right w:val="single" w:sz="4" w:space="0" w:color="auto"/>
            </w:tcBorders>
            <w:vAlign w:val="center"/>
            <w:hideMark/>
          </w:tcPr>
          <w:p w14:paraId="5817ECEE"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£52.17</w:t>
            </w:r>
          </w:p>
        </w:tc>
        <w:tc>
          <w:tcPr>
            <w:tcW w:w="1242" w:type="dxa"/>
            <w:tcBorders>
              <w:top w:val="nil"/>
              <w:left w:val="single" w:sz="4" w:space="0" w:color="auto"/>
              <w:bottom w:val="single" w:sz="4" w:space="0" w:color="auto"/>
              <w:right w:val="single" w:sz="4" w:space="0" w:color="auto"/>
            </w:tcBorders>
            <w:vAlign w:val="center"/>
            <w:hideMark/>
          </w:tcPr>
          <w:p w14:paraId="28E953A2"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£63.33</w:t>
            </w:r>
          </w:p>
        </w:tc>
        <w:tc>
          <w:tcPr>
            <w:tcW w:w="1242" w:type="dxa"/>
            <w:tcBorders>
              <w:top w:val="nil"/>
              <w:left w:val="single" w:sz="4" w:space="0" w:color="auto"/>
              <w:bottom w:val="single" w:sz="4" w:space="0" w:color="auto"/>
              <w:right w:val="single" w:sz="4" w:space="0" w:color="auto"/>
            </w:tcBorders>
            <w:vAlign w:val="center"/>
            <w:hideMark/>
          </w:tcPr>
          <w:p w14:paraId="1A3A3A48"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£63.33</w:t>
            </w:r>
          </w:p>
        </w:tc>
      </w:tr>
      <w:tr w:rsidR="00DD2662" w:rsidRPr="00DD2662" w14:paraId="6BC944AB" w14:textId="77777777" w:rsidTr="006330EB">
        <w:trPr>
          <w:trHeight w:val="600"/>
          <w:jc w:val="center"/>
        </w:trPr>
        <w:tc>
          <w:tcPr>
            <w:tcW w:w="1680" w:type="dxa"/>
            <w:vMerge/>
            <w:tcBorders>
              <w:top w:val="single" w:sz="8" w:space="0" w:color="auto"/>
              <w:left w:val="single" w:sz="8" w:space="0" w:color="auto"/>
              <w:bottom w:val="nil"/>
              <w:right w:val="single" w:sz="8" w:space="0" w:color="auto"/>
            </w:tcBorders>
            <w:vAlign w:val="center"/>
            <w:hideMark/>
          </w:tcPr>
          <w:p w14:paraId="4B57796B"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p>
        </w:tc>
        <w:tc>
          <w:tcPr>
            <w:tcW w:w="2946" w:type="dxa"/>
            <w:tcBorders>
              <w:top w:val="single" w:sz="4" w:space="0" w:color="auto"/>
              <w:left w:val="single" w:sz="8" w:space="0" w:color="auto"/>
              <w:bottom w:val="single" w:sz="4" w:space="0" w:color="auto"/>
              <w:right w:val="single" w:sz="4" w:space="0" w:color="auto"/>
            </w:tcBorders>
            <w:vAlign w:val="center"/>
            <w:hideMark/>
          </w:tcPr>
          <w:p w14:paraId="75D9D5C2"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Rate per mile up to 9000 miles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40EA7627"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0.297</w:t>
            </w:r>
          </w:p>
        </w:tc>
        <w:tc>
          <w:tcPr>
            <w:tcW w:w="1242" w:type="dxa"/>
            <w:tcBorders>
              <w:top w:val="single" w:sz="4" w:space="0" w:color="auto"/>
              <w:left w:val="single" w:sz="4" w:space="0" w:color="auto"/>
              <w:bottom w:val="single" w:sz="4" w:space="0" w:color="auto"/>
              <w:right w:val="single" w:sz="4" w:space="0" w:color="auto"/>
            </w:tcBorders>
            <w:vAlign w:val="center"/>
            <w:hideMark/>
          </w:tcPr>
          <w:p w14:paraId="7DC3879D"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0.369</w:t>
            </w:r>
          </w:p>
        </w:tc>
        <w:tc>
          <w:tcPr>
            <w:tcW w:w="1242" w:type="dxa"/>
            <w:tcBorders>
              <w:top w:val="single" w:sz="4" w:space="0" w:color="auto"/>
              <w:left w:val="single" w:sz="4" w:space="0" w:color="auto"/>
              <w:bottom w:val="single" w:sz="4" w:space="0" w:color="auto"/>
              <w:right w:val="single" w:sz="4" w:space="0" w:color="auto"/>
            </w:tcBorders>
            <w:vAlign w:val="center"/>
            <w:hideMark/>
          </w:tcPr>
          <w:p w14:paraId="51367CE2"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0.44</w:t>
            </w:r>
          </w:p>
        </w:tc>
        <w:tc>
          <w:tcPr>
            <w:tcW w:w="1242" w:type="dxa"/>
            <w:tcBorders>
              <w:top w:val="single" w:sz="4" w:space="0" w:color="auto"/>
              <w:left w:val="single" w:sz="4" w:space="0" w:color="auto"/>
              <w:bottom w:val="single" w:sz="4" w:space="0" w:color="auto"/>
              <w:right w:val="single" w:sz="4" w:space="0" w:color="auto"/>
            </w:tcBorders>
            <w:vAlign w:val="center"/>
            <w:hideMark/>
          </w:tcPr>
          <w:p w14:paraId="3261C4D7"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0.44</w:t>
            </w:r>
          </w:p>
        </w:tc>
      </w:tr>
      <w:tr w:rsidR="00DD2662" w:rsidRPr="00DD2662" w14:paraId="43ADA93C" w14:textId="77777777" w:rsidTr="006330EB">
        <w:trPr>
          <w:trHeight w:val="600"/>
          <w:jc w:val="center"/>
        </w:trPr>
        <w:tc>
          <w:tcPr>
            <w:tcW w:w="1680" w:type="dxa"/>
            <w:vMerge/>
            <w:tcBorders>
              <w:top w:val="single" w:sz="8" w:space="0" w:color="auto"/>
              <w:left w:val="single" w:sz="8" w:space="0" w:color="auto"/>
              <w:bottom w:val="nil"/>
              <w:right w:val="single" w:sz="8" w:space="0" w:color="auto"/>
            </w:tcBorders>
            <w:vAlign w:val="center"/>
            <w:hideMark/>
          </w:tcPr>
          <w:p w14:paraId="235C48C9"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p>
        </w:tc>
        <w:tc>
          <w:tcPr>
            <w:tcW w:w="2946" w:type="dxa"/>
            <w:tcBorders>
              <w:top w:val="single" w:sz="4" w:space="0" w:color="auto"/>
              <w:left w:val="single" w:sz="8" w:space="0" w:color="auto"/>
              <w:bottom w:val="single" w:sz="4" w:space="0" w:color="auto"/>
              <w:right w:val="single" w:sz="4" w:space="0" w:color="auto"/>
            </w:tcBorders>
            <w:vAlign w:val="center"/>
            <w:hideMark/>
          </w:tcPr>
          <w:p w14:paraId="266119D1"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Rate per mile 9001-15000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762835BF"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0.178</w:t>
            </w:r>
          </w:p>
        </w:tc>
        <w:tc>
          <w:tcPr>
            <w:tcW w:w="1242" w:type="dxa"/>
            <w:tcBorders>
              <w:top w:val="single" w:sz="4" w:space="0" w:color="auto"/>
              <w:left w:val="single" w:sz="4" w:space="0" w:color="auto"/>
              <w:bottom w:val="single" w:sz="4" w:space="0" w:color="auto"/>
              <w:right w:val="single" w:sz="4" w:space="0" w:color="auto"/>
            </w:tcBorders>
            <w:vAlign w:val="center"/>
            <w:hideMark/>
          </w:tcPr>
          <w:p w14:paraId="7FA2E3E2"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0.201</w:t>
            </w:r>
          </w:p>
        </w:tc>
        <w:tc>
          <w:tcPr>
            <w:tcW w:w="1242" w:type="dxa"/>
            <w:tcBorders>
              <w:top w:val="single" w:sz="4" w:space="0" w:color="auto"/>
              <w:left w:val="single" w:sz="4" w:space="0" w:color="auto"/>
              <w:bottom w:val="single" w:sz="4" w:space="0" w:color="auto"/>
              <w:right w:val="single" w:sz="4" w:space="0" w:color="auto"/>
            </w:tcBorders>
            <w:vAlign w:val="center"/>
            <w:hideMark/>
          </w:tcPr>
          <w:p w14:paraId="270D4CEA"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0.226</w:t>
            </w:r>
          </w:p>
        </w:tc>
        <w:tc>
          <w:tcPr>
            <w:tcW w:w="1242" w:type="dxa"/>
            <w:tcBorders>
              <w:top w:val="single" w:sz="4" w:space="0" w:color="auto"/>
              <w:left w:val="single" w:sz="4" w:space="0" w:color="auto"/>
              <w:bottom w:val="single" w:sz="4" w:space="0" w:color="auto"/>
              <w:right w:val="single" w:sz="4" w:space="0" w:color="auto"/>
            </w:tcBorders>
            <w:vAlign w:val="center"/>
            <w:hideMark/>
          </w:tcPr>
          <w:p w14:paraId="444C7191"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0.226</w:t>
            </w:r>
          </w:p>
        </w:tc>
      </w:tr>
      <w:tr w:rsidR="00DD2662" w:rsidRPr="00DD2662" w14:paraId="71E1903E" w14:textId="77777777" w:rsidTr="006330EB">
        <w:trPr>
          <w:trHeight w:val="600"/>
          <w:jc w:val="center"/>
        </w:trPr>
        <w:tc>
          <w:tcPr>
            <w:tcW w:w="1680" w:type="dxa"/>
            <w:vMerge/>
            <w:tcBorders>
              <w:top w:val="single" w:sz="8" w:space="0" w:color="auto"/>
              <w:left w:val="single" w:sz="8" w:space="0" w:color="auto"/>
              <w:bottom w:val="nil"/>
              <w:right w:val="single" w:sz="8" w:space="0" w:color="auto"/>
            </w:tcBorders>
            <w:vAlign w:val="center"/>
            <w:hideMark/>
          </w:tcPr>
          <w:p w14:paraId="7842294D"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p>
        </w:tc>
        <w:tc>
          <w:tcPr>
            <w:tcW w:w="2946" w:type="dxa"/>
            <w:tcBorders>
              <w:top w:val="single" w:sz="4" w:space="0" w:color="auto"/>
              <w:left w:val="single" w:sz="8" w:space="0" w:color="auto"/>
              <w:bottom w:val="single" w:sz="8" w:space="0" w:color="auto"/>
              <w:right w:val="single" w:sz="4" w:space="0" w:color="auto"/>
            </w:tcBorders>
            <w:vAlign w:val="center"/>
            <w:hideMark/>
          </w:tcPr>
          <w:p w14:paraId="1D376C41"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Rate per mile over 15000miles </w:t>
            </w:r>
          </w:p>
        </w:tc>
        <w:tc>
          <w:tcPr>
            <w:tcW w:w="1242" w:type="dxa"/>
            <w:tcBorders>
              <w:top w:val="single" w:sz="4" w:space="0" w:color="auto"/>
              <w:left w:val="single" w:sz="4" w:space="0" w:color="auto"/>
              <w:bottom w:val="single" w:sz="8" w:space="0" w:color="auto"/>
              <w:right w:val="single" w:sz="4" w:space="0" w:color="auto"/>
            </w:tcBorders>
            <w:vAlign w:val="center"/>
            <w:hideMark/>
          </w:tcPr>
          <w:p w14:paraId="7240C80F"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0.178</w:t>
            </w:r>
          </w:p>
        </w:tc>
        <w:tc>
          <w:tcPr>
            <w:tcW w:w="1242" w:type="dxa"/>
            <w:tcBorders>
              <w:top w:val="single" w:sz="4" w:space="0" w:color="auto"/>
              <w:left w:val="single" w:sz="4" w:space="0" w:color="auto"/>
              <w:bottom w:val="single" w:sz="8" w:space="0" w:color="auto"/>
              <w:right w:val="single" w:sz="4" w:space="0" w:color="auto"/>
            </w:tcBorders>
            <w:vAlign w:val="center"/>
            <w:hideMark/>
          </w:tcPr>
          <w:p w14:paraId="3A47EE78"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0.201</w:t>
            </w:r>
          </w:p>
        </w:tc>
        <w:tc>
          <w:tcPr>
            <w:tcW w:w="1242" w:type="dxa"/>
            <w:tcBorders>
              <w:top w:val="single" w:sz="4" w:space="0" w:color="auto"/>
              <w:left w:val="single" w:sz="4" w:space="0" w:color="auto"/>
              <w:bottom w:val="single" w:sz="8" w:space="0" w:color="auto"/>
              <w:right w:val="single" w:sz="4" w:space="0" w:color="auto"/>
            </w:tcBorders>
            <w:vAlign w:val="center"/>
            <w:hideMark/>
          </w:tcPr>
          <w:p w14:paraId="749457B8"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0.226</w:t>
            </w:r>
          </w:p>
        </w:tc>
        <w:tc>
          <w:tcPr>
            <w:tcW w:w="1242" w:type="dxa"/>
            <w:tcBorders>
              <w:top w:val="single" w:sz="4" w:space="0" w:color="auto"/>
              <w:left w:val="single" w:sz="4" w:space="0" w:color="auto"/>
              <w:bottom w:val="single" w:sz="8" w:space="0" w:color="auto"/>
              <w:right w:val="single" w:sz="4" w:space="0" w:color="auto"/>
            </w:tcBorders>
            <w:vAlign w:val="center"/>
            <w:hideMark/>
          </w:tcPr>
          <w:p w14:paraId="79F61DC9"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0.226</w:t>
            </w:r>
          </w:p>
        </w:tc>
      </w:tr>
      <w:tr w:rsidR="00DD2662" w:rsidRPr="00DD2662" w14:paraId="64ED17E6" w14:textId="77777777" w:rsidTr="006330EB">
        <w:trPr>
          <w:trHeight w:val="300"/>
          <w:jc w:val="center"/>
        </w:trPr>
        <w:tc>
          <w:tcPr>
            <w:tcW w:w="1680" w:type="dxa"/>
            <w:vMerge w:val="restart"/>
            <w:tcBorders>
              <w:top w:val="single" w:sz="8" w:space="0" w:color="auto"/>
              <w:left w:val="single" w:sz="8" w:space="0" w:color="auto"/>
              <w:bottom w:val="nil"/>
              <w:right w:val="single" w:sz="8" w:space="0" w:color="auto"/>
            </w:tcBorders>
            <w:vAlign w:val="center"/>
            <w:hideMark/>
          </w:tcPr>
          <w:p w14:paraId="75678DD6"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01/09/2022</w:t>
            </w:r>
          </w:p>
        </w:tc>
        <w:tc>
          <w:tcPr>
            <w:tcW w:w="2946" w:type="dxa"/>
            <w:tcBorders>
              <w:top w:val="nil"/>
              <w:left w:val="single" w:sz="8" w:space="0" w:color="auto"/>
              <w:bottom w:val="single" w:sz="4" w:space="0" w:color="auto"/>
              <w:right w:val="single" w:sz="4" w:space="0" w:color="auto"/>
            </w:tcBorders>
            <w:vAlign w:val="center"/>
            <w:hideMark/>
          </w:tcPr>
          <w:p w14:paraId="20B93990"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Lump Sum </w:t>
            </w:r>
          </w:p>
        </w:tc>
        <w:tc>
          <w:tcPr>
            <w:tcW w:w="1242" w:type="dxa"/>
            <w:tcBorders>
              <w:top w:val="nil"/>
              <w:left w:val="single" w:sz="4" w:space="0" w:color="auto"/>
              <w:bottom w:val="single" w:sz="4" w:space="0" w:color="auto"/>
              <w:right w:val="single" w:sz="4" w:space="0" w:color="auto"/>
            </w:tcBorders>
            <w:vAlign w:val="center"/>
            <w:hideMark/>
          </w:tcPr>
          <w:p w14:paraId="7CE215A9"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£42.33</w:t>
            </w:r>
          </w:p>
        </w:tc>
        <w:tc>
          <w:tcPr>
            <w:tcW w:w="1242" w:type="dxa"/>
            <w:tcBorders>
              <w:top w:val="nil"/>
              <w:left w:val="single" w:sz="4" w:space="0" w:color="auto"/>
              <w:bottom w:val="single" w:sz="4" w:space="0" w:color="auto"/>
              <w:right w:val="single" w:sz="4" w:space="0" w:color="auto"/>
            </w:tcBorders>
            <w:vAlign w:val="center"/>
            <w:hideMark/>
          </w:tcPr>
          <w:p w14:paraId="0865F81F"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£52.17</w:t>
            </w:r>
          </w:p>
        </w:tc>
        <w:tc>
          <w:tcPr>
            <w:tcW w:w="1242" w:type="dxa"/>
            <w:tcBorders>
              <w:top w:val="nil"/>
              <w:left w:val="single" w:sz="4" w:space="0" w:color="auto"/>
              <w:bottom w:val="single" w:sz="4" w:space="0" w:color="auto"/>
              <w:right w:val="single" w:sz="4" w:space="0" w:color="auto"/>
            </w:tcBorders>
            <w:vAlign w:val="center"/>
            <w:hideMark/>
          </w:tcPr>
          <w:p w14:paraId="4AEC7D53"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£63.33</w:t>
            </w:r>
          </w:p>
        </w:tc>
        <w:tc>
          <w:tcPr>
            <w:tcW w:w="1242" w:type="dxa"/>
            <w:tcBorders>
              <w:top w:val="nil"/>
              <w:left w:val="single" w:sz="4" w:space="0" w:color="auto"/>
              <w:bottom w:val="single" w:sz="4" w:space="0" w:color="auto"/>
              <w:right w:val="single" w:sz="4" w:space="0" w:color="auto"/>
            </w:tcBorders>
            <w:vAlign w:val="center"/>
            <w:hideMark/>
          </w:tcPr>
          <w:p w14:paraId="6D90BE9A"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£63.33</w:t>
            </w:r>
          </w:p>
        </w:tc>
      </w:tr>
      <w:tr w:rsidR="00DD2662" w:rsidRPr="00DD2662" w14:paraId="16464315" w14:textId="77777777" w:rsidTr="006330EB">
        <w:trPr>
          <w:trHeight w:val="900"/>
          <w:jc w:val="center"/>
        </w:trPr>
        <w:tc>
          <w:tcPr>
            <w:tcW w:w="1680" w:type="dxa"/>
            <w:vMerge/>
            <w:tcBorders>
              <w:top w:val="single" w:sz="8" w:space="0" w:color="auto"/>
              <w:left w:val="single" w:sz="8" w:space="0" w:color="auto"/>
              <w:bottom w:val="nil"/>
              <w:right w:val="single" w:sz="8" w:space="0" w:color="auto"/>
            </w:tcBorders>
            <w:vAlign w:val="center"/>
            <w:hideMark/>
          </w:tcPr>
          <w:p w14:paraId="76BAB96E"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p>
        </w:tc>
        <w:tc>
          <w:tcPr>
            <w:tcW w:w="2946" w:type="dxa"/>
            <w:tcBorders>
              <w:top w:val="single" w:sz="4" w:space="0" w:color="auto"/>
              <w:left w:val="single" w:sz="8" w:space="0" w:color="auto"/>
              <w:bottom w:val="single" w:sz="4" w:space="0" w:color="auto"/>
              <w:right w:val="single" w:sz="4" w:space="0" w:color="auto"/>
            </w:tcBorders>
            <w:vAlign w:val="center"/>
            <w:hideMark/>
          </w:tcPr>
          <w:p w14:paraId="746899DC"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Rate per mile up to 9000 miles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6BE37226"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0.307</w:t>
            </w:r>
          </w:p>
        </w:tc>
        <w:tc>
          <w:tcPr>
            <w:tcW w:w="1242" w:type="dxa"/>
            <w:tcBorders>
              <w:top w:val="single" w:sz="4" w:space="0" w:color="auto"/>
              <w:left w:val="single" w:sz="4" w:space="0" w:color="auto"/>
              <w:bottom w:val="single" w:sz="4" w:space="0" w:color="auto"/>
              <w:right w:val="single" w:sz="4" w:space="0" w:color="auto"/>
            </w:tcBorders>
            <w:vAlign w:val="center"/>
            <w:hideMark/>
          </w:tcPr>
          <w:p w14:paraId="0F9F04EF"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0.379</w:t>
            </w:r>
          </w:p>
        </w:tc>
        <w:tc>
          <w:tcPr>
            <w:tcW w:w="1242" w:type="dxa"/>
            <w:tcBorders>
              <w:top w:val="single" w:sz="4" w:space="0" w:color="auto"/>
              <w:left w:val="single" w:sz="4" w:space="0" w:color="auto"/>
              <w:bottom w:val="single" w:sz="4" w:space="0" w:color="auto"/>
              <w:right w:val="single" w:sz="4" w:space="0" w:color="auto"/>
            </w:tcBorders>
            <w:vAlign w:val="center"/>
            <w:hideMark/>
          </w:tcPr>
          <w:p w14:paraId="628CF24E"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0.45</w:t>
            </w:r>
          </w:p>
        </w:tc>
        <w:tc>
          <w:tcPr>
            <w:tcW w:w="1242" w:type="dxa"/>
            <w:tcBorders>
              <w:top w:val="single" w:sz="4" w:space="0" w:color="auto"/>
              <w:left w:val="single" w:sz="4" w:space="0" w:color="auto"/>
              <w:bottom w:val="single" w:sz="4" w:space="0" w:color="auto"/>
              <w:right w:val="single" w:sz="4" w:space="0" w:color="auto"/>
            </w:tcBorders>
            <w:vAlign w:val="center"/>
            <w:hideMark/>
          </w:tcPr>
          <w:p w14:paraId="54387DFD"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0.45</w:t>
            </w:r>
          </w:p>
        </w:tc>
      </w:tr>
      <w:tr w:rsidR="00DD2662" w:rsidRPr="00DD2662" w14:paraId="55C06451" w14:textId="77777777" w:rsidTr="006330EB">
        <w:trPr>
          <w:trHeight w:val="600"/>
          <w:jc w:val="center"/>
        </w:trPr>
        <w:tc>
          <w:tcPr>
            <w:tcW w:w="1680" w:type="dxa"/>
            <w:vMerge/>
            <w:tcBorders>
              <w:top w:val="single" w:sz="8" w:space="0" w:color="auto"/>
              <w:left w:val="single" w:sz="8" w:space="0" w:color="auto"/>
              <w:bottom w:val="nil"/>
              <w:right w:val="single" w:sz="8" w:space="0" w:color="auto"/>
            </w:tcBorders>
            <w:vAlign w:val="center"/>
            <w:hideMark/>
          </w:tcPr>
          <w:p w14:paraId="20882CE3"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p>
        </w:tc>
        <w:tc>
          <w:tcPr>
            <w:tcW w:w="2946" w:type="dxa"/>
            <w:tcBorders>
              <w:top w:val="single" w:sz="4" w:space="0" w:color="auto"/>
              <w:left w:val="single" w:sz="8" w:space="0" w:color="auto"/>
              <w:bottom w:val="single" w:sz="4" w:space="0" w:color="auto"/>
              <w:right w:val="single" w:sz="4" w:space="0" w:color="auto"/>
            </w:tcBorders>
            <w:vAlign w:val="center"/>
            <w:hideMark/>
          </w:tcPr>
          <w:p w14:paraId="232EB30B"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Rate per mile 9001-15000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519777C6"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0.188</w:t>
            </w:r>
          </w:p>
        </w:tc>
        <w:tc>
          <w:tcPr>
            <w:tcW w:w="1242" w:type="dxa"/>
            <w:tcBorders>
              <w:top w:val="single" w:sz="4" w:space="0" w:color="auto"/>
              <w:left w:val="single" w:sz="4" w:space="0" w:color="auto"/>
              <w:bottom w:val="single" w:sz="4" w:space="0" w:color="auto"/>
              <w:right w:val="single" w:sz="4" w:space="0" w:color="auto"/>
            </w:tcBorders>
            <w:vAlign w:val="center"/>
            <w:hideMark/>
          </w:tcPr>
          <w:p w14:paraId="3ADACB69"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0.211</w:t>
            </w:r>
          </w:p>
        </w:tc>
        <w:tc>
          <w:tcPr>
            <w:tcW w:w="1242" w:type="dxa"/>
            <w:tcBorders>
              <w:top w:val="single" w:sz="4" w:space="0" w:color="auto"/>
              <w:left w:val="single" w:sz="4" w:space="0" w:color="auto"/>
              <w:bottom w:val="single" w:sz="4" w:space="0" w:color="auto"/>
              <w:right w:val="single" w:sz="4" w:space="0" w:color="auto"/>
            </w:tcBorders>
            <w:vAlign w:val="center"/>
            <w:hideMark/>
          </w:tcPr>
          <w:p w14:paraId="76BA44DF"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0.236</w:t>
            </w:r>
          </w:p>
        </w:tc>
        <w:tc>
          <w:tcPr>
            <w:tcW w:w="1242" w:type="dxa"/>
            <w:tcBorders>
              <w:top w:val="single" w:sz="4" w:space="0" w:color="auto"/>
              <w:left w:val="single" w:sz="4" w:space="0" w:color="auto"/>
              <w:bottom w:val="single" w:sz="4" w:space="0" w:color="auto"/>
              <w:right w:val="single" w:sz="4" w:space="0" w:color="auto"/>
            </w:tcBorders>
            <w:vAlign w:val="center"/>
            <w:hideMark/>
          </w:tcPr>
          <w:p w14:paraId="62F11506"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0.236</w:t>
            </w:r>
          </w:p>
        </w:tc>
      </w:tr>
      <w:tr w:rsidR="00DD2662" w:rsidRPr="00DD2662" w14:paraId="76DA666E" w14:textId="77777777" w:rsidTr="006330EB">
        <w:trPr>
          <w:trHeight w:val="600"/>
          <w:jc w:val="center"/>
        </w:trPr>
        <w:tc>
          <w:tcPr>
            <w:tcW w:w="1680" w:type="dxa"/>
            <w:vMerge/>
            <w:tcBorders>
              <w:top w:val="single" w:sz="8" w:space="0" w:color="auto"/>
              <w:left w:val="single" w:sz="8" w:space="0" w:color="auto"/>
              <w:bottom w:val="nil"/>
              <w:right w:val="single" w:sz="8" w:space="0" w:color="auto"/>
            </w:tcBorders>
            <w:vAlign w:val="center"/>
            <w:hideMark/>
          </w:tcPr>
          <w:p w14:paraId="50D548CC"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p>
        </w:tc>
        <w:tc>
          <w:tcPr>
            <w:tcW w:w="2946" w:type="dxa"/>
            <w:tcBorders>
              <w:top w:val="single" w:sz="4" w:space="0" w:color="auto"/>
              <w:left w:val="single" w:sz="8" w:space="0" w:color="auto"/>
              <w:bottom w:val="single" w:sz="8" w:space="0" w:color="auto"/>
              <w:right w:val="single" w:sz="4" w:space="0" w:color="auto"/>
            </w:tcBorders>
            <w:vAlign w:val="center"/>
            <w:hideMark/>
          </w:tcPr>
          <w:p w14:paraId="21569DFE"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Rate per mile over 15000miles </w:t>
            </w:r>
          </w:p>
        </w:tc>
        <w:tc>
          <w:tcPr>
            <w:tcW w:w="1242" w:type="dxa"/>
            <w:tcBorders>
              <w:top w:val="single" w:sz="4" w:space="0" w:color="auto"/>
              <w:left w:val="single" w:sz="4" w:space="0" w:color="auto"/>
              <w:bottom w:val="single" w:sz="8" w:space="0" w:color="auto"/>
              <w:right w:val="single" w:sz="4" w:space="0" w:color="auto"/>
            </w:tcBorders>
            <w:vAlign w:val="center"/>
            <w:hideMark/>
          </w:tcPr>
          <w:p w14:paraId="12F7D19F"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0.188</w:t>
            </w:r>
          </w:p>
        </w:tc>
        <w:tc>
          <w:tcPr>
            <w:tcW w:w="1242" w:type="dxa"/>
            <w:tcBorders>
              <w:top w:val="single" w:sz="4" w:space="0" w:color="auto"/>
              <w:left w:val="single" w:sz="4" w:space="0" w:color="auto"/>
              <w:bottom w:val="single" w:sz="8" w:space="0" w:color="auto"/>
              <w:right w:val="single" w:sz="4" w:space="0" w:color="auto"/>
            </w:tcBorders>
            <w:vAlign w:val="center"/>
            <w:hideMark/>
          </w:tcPr>
          <w:p w14:paraId="48318B04"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0.211</w:t>
            </w:r>
          </w:p>
        </w:tc>
        <w:tc>
          <w:tcPr>
            <w:tcW w:w="1242" w:type="dxa"/>
            <w:tcBorders>
              <w:top w:val="single" w:sz="4" w:space="0" w:color="auto"/>
              <w:left w:val="single" w:sz="4" w:space="0" w:color="auto"/>
              <w:bottom w:val="single" w:sz="8" w:space="0" w:color="auto"/>
              <w:right w:val="single" w:sz="4" w:space="0" w:color="auto"/>
            </w:tcBorders>
            <w:vAlign w:val="center"/>
            <w:hideMark/>
          </w:tcPr>
          <w:p w14:paraId="2FAEF285"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0.236</w:t>
            </w:r>
          </w:p>
        </w:tc>
        <w:tc>
          <w:tcPr>
            <w:tcW w:w="1242" w:type="dxa"/>
            <w:tcBorders>
              <w:top w:val="single" w:sz="4" w:space="0" w:color="auto"/>
              <w:left w:val="single" w:sz="4" w:space="0" w:color="auto"/>
              <w:bottom w:val="single" w:sz="8" w:space="0" w:color="auto"/>
              <w:right w:val="single" w:sz="4" w:space="0" w:color="auto"/>
            </w:tcBorders>
            <w:vAlign w:val="center"/>
            <w:hideMark/>
          </w:tcPr>
          <w:p w14:paraId="659A9887"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0.236</w:t>
            </w:r>
          </w:p>
        </w:tc>
      </w:tr>
      <w:tr w:rsidR="00DD2662" w:rsidRPr="00DD2662" w14:paraId="657833C6" w14:textId="77777777" w:rsidTr="006330EB">
        <w:trPr>
          <w:trHeight w:val="300"/>
          <w:jc w:val="center"/>
        </w:trPr>
        <w:tc>
          <w:tcPr>
            <w:tcW w:w="1680" w:type="dxa"/>
            <w:vMerge w:val="restart"/>
            <w:tcBorders>
              <w:top w:val="single" w:sz="8" w:space="0" w:color="auto"/>
              <w:left w:val="single" w:sz="8" w:space="0" w:color="auto"/>
              <w:bottom w:val="nil"/>
              <w:right w:val="single" w:sz="8" w:space="0" w:color="auto"/>
            </w:tcBorders>
            <w:vAlign w:val="center"/>
            <w:hideMark/>
          </w:tcPr>
          <w:p w14:paraId="33987FAD"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01/12/2022</w:t>
            </w:r>
          </w:p>
        </w:tc>
        <w:tc>
          <w:tcPr>
            <w:tcW w:w="2946" w:type="dxa"/>
            <w:tcBorders>
              <w:top w:val="nil"/>
              <w:left w:val="single" w:sz="8" w:space="0" w:color="auto"/>
              <w:bottom w:val="single" w:sz="4" w:space="0" w:color="auto"/>
              <w:right w:val="single" w:sz="4" w:space="0" w:color="auto"/>
            </w:tcBorders>
            <w:vAlign w:val="center"/>
            <w:hideMark/>
          </w:tcPr>
          <w:p w14:paraId="7C66D11B"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Lump Sum </w:t>
            </w:r>
          </w:p>
        </w:tc>
        <w:tc>
          <w:tcPr>
            <w:tcW w:w="1242" w:type="dxa"/>
            <w:tcBorders>
              <w:top w:val="nil"/>
              <w:left w:val="single" w:sz="4" w:space="0" w:color="auto"/>
              <w:bottom w:val="single" w:sz="4" w:space="0" w:color="auto"/>
              <w:right w:val="single" w:sz="4" w:space="0" w:color="auto"/>
            </w:tcBorders>
            <w:vAlign w:val="center"/>
            <w:hideMark/>
          </w:tcPr>
          <w:p w14:paraId="0F710108"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£42.33</w:t>
            </w:r>
          </w:p>
        </w:tc>
        <w:tc>
          <w:tcPr>
            <w:tcW w:w="1242" w:type="dxa"/>
            <w:tcBorders>
              <w:top w:val="nil"/>
              <w:left w:val="single" w:sz="4" w:space="0" w:color="auto"/>
              <w:bottom w:val="single" w:sz="4" w:space="0" w:color="auto"/>
              <w:right w:val="single" w:sz="4" w:space="0" w:color="auto"/>
            </w:tcBorders>
            <w:vAlign w:val="center"/>
            <w:hideMark/>
          </w:tcPr>
          <w:p w14:paraId="7D414C12"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£52.17</w:t>
            </w:r>
          </w:p>
        </w:tc>
        <w:tc>
          <w:tcPr>
            <w:tcW w:w="1242" w:type="dxa"/>
            <w:tcBorders>
              <w:top w:val="nil"/>
              <w:left w:val="single" w:sz="4" w:space="0" w:color="auto"/>
              <w:bottom w:val="single" w:sz="4" w:space="0" w:color="auto"/>
              <w:right w:val="single" w:sz="4" w:space="0" w:color="auto"/>
            </w:tcBorders>
            <w:vAlign w:val="center"/>
            <w:hideMark/>
          </w:tcPr>
          <w:p w14:paraId="4D104945"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£63.33</w:t>
            </w:r>
          </w:p>
        </w:tc>
        <w:tc>
          <w:tcPr>
            <w:tcW w:w="1242" w:type="dxa"/>
            <w:tcBorders>
              <w:top w:val="nil"/>
              <w:left w:val="single" w:sz="4" w:space="0" w:color="auto"/>
              <w:bottom w:val="single" w:sz="4" w:space="0" w:color="auto"/>
              <w:right w:val="single" w:sz="4" w:space="0" w:color="auto"/>
            </w:tcBorders>
            <w:vAlign w:val="center"/>
            <w:hideMark/>
          </w:tcPr>
          <w:p w14:paraId="04D7CA4A"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£63.33</w:t>
            </w:r>
          </w:p>
        </w:tc>
      </w:tr>
      <w:tr w:rsidR="00DD2662" w:rsidRPr="00DD2662" w14:paraId="338C1457" w14:textId="77777777" w:rsidTr="006330EB">
        <w:trPr>
          <w:trHeight w:val="600"/>
          <w:jc w:val="center"/>
        </w:trPr>
        <w:tc>
          <w:tcPr>
            <w:tcW w:w="1680" w:type="dxa"/>
            <w:vMerge/>
            <w:tcBorders>
              <w:top w:val="single" w:sz="8" w:space="0" w:color="auto"/>
              <w:left w:val="single" w:sz="8" w:space="0" w:color="auto"/>
              <w:bottom w:val="nil"/>
              <w:right w:val="single" w:sz="8" w:space="0" w:color="auto"/>
            </w:tcBorders>
            <w:vAlign w:val="center"/>
            <w:hideMark/>
          </w:tcPr>
          <w:p w14:paraId="4F672A4A"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p>
        </w:tc>
        <w:tc>
          <w:tcPr>
            <w:tcW w:w="2946" w:type="dxa"/>
            <w:tcBorders>
              <w:top w:val="single" w:sz="4" w:space="0" w:color="auto"/>
              <w:left w:val="single" w:sz="8" w:space="0" w:color="auto"/>
              <w:bottom w:val="single" w:sz="4" w:space="0" w:color="auto"/>
              <w:right w:val="single" w:sz="4" w:space="0" w:color="auto"/>
            </w:tcBorders>
            <w:vAlign w:val="center"/>
            <w:hideMark/>
          </w:tcPr>
          <w:p w14:paraId="43CE4049"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Rate per mile up to 9000 miles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5A84FD78"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0.297</w:t>
            </w:r>
          </w:p>
        </w:tc>
        <w:tc>
          <w:tcPr>
            <w:tcW w:w="1242" w:type="dxa"/>
            <w:tcBorders>
              <w:top w:val="single" w:sz="4" w:space="0" w:color="auto"/>
              <w:left w:val="single" w:sz="4" w:space="0" w:color="auto"/>
              <w:bottom w:val="single" w:sz="4" w:space="0" w:color="auto"/>
              <w:right w:val="single" w:sz="4" w:space="0" w:color="auto"/>
            </w:tcBorders>
            <w:vAlign w:val="center"/>
            <w:hideMark/>
          </w:tcPr>
          <w:p w14:paraId="3AFCD357"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0.369</w:t>
            </w:r>
          </w:p>
        </w:tc>
        <w:tc>
          <w:tcPr>
            <w:tcW w:w="1242" w:type="dxa"/>
            <w:tcBorders>
              <w:top w:val="single" w:sz="4" w:space="0" w:color="auto"/>
              <w:left w:val="single" w:sz="4" w:space="0" w:color="auto"/>
              <w:bottom w:val="single" w:sz="4" w:space="0" w:color="auto"/>
              <w:right w:val="single" w:sz="4" w:space="0" w:color="auto"/>
            </w:tcBorders>
            <w:vAlign w:val="center"/>
            <w:hideMark/>
          </w:tcPr>
          <w:p w14:paraId="104475EB"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0.44</w:t>
            </w:r>
          </w:p>
        </w:tc>
        <w:tc>
          <w:tcPr>
            <w:tcW w:w="1242" w:type="dxa"/>
            <w:tcBorders>
              <w:top w:val="single" w:sz="4" w:space="0" w:color="auto"/>
              <w:left w:val="single" w:sz="4" w:space="0" w:color="auto"/>
              <w:bottom w:val="single" w:sz="4" w:space="0" w:color="auto"/>
              <w:right w:val="single" w:sz="4" w:space="0" w:color="auto"/>
            </w:tcBorders>
            <w:vAlign w:val="center"/>
            <w:hideMark/>
          </w:tcPr>
          <w:p w14:paraId="2D6C6C86"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0.44</w:t>
            </w:r>
          </w:p>
        </w:tc>
      </w:tr>
      <w:tr w:rsidR="00DD2662" w:rsidRPr="00DD2662" w14:paraId="1AF483E5" w14:textId="77777777" w:rsidTr="006330EB">
        <w:trPr>
          <w:trHeight w:val="600"/>
          <w:jc w:val="center"/>
        </w:trPr>
        <w:tc>
          <w:tcPr>
            <w:tcW w:w="1680" w:type="dxa"/>
            <w:vMerge/>
            <w:tcBorders>
              <w:top w:val="single" w:sz="8" w:space="0" w:color="auto"/>
              <w:left w:val="single" w:sz="8" w:space="0" w:color="auto"/>
              <w:bottom w:val="nil"/>
              <w:right w:val="single" w:sz="8" w:space="0" w:color="auto"/>
            </w:tcBorders>
            <w:vAlign w:val="center"/>
            <w:hideMark/>
          </w:tcPr>
          <w:p w14:paraId="1FF52845"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p>
        </w:tc>
        <w:tc>
          <w:tcPr>
            <w:tcW w:w="2946" w:type="dxa"/>
            <w:tcBorders>
              <w:top w:val="single" w:sz="4" w:space="0" w:color="auto"/>
              <w:left w:val="single" w:sz="8" w:space="0" w:color="auto"/>
              <w:bottom w:val="single" w:sz="4" w:space="0" w:color="auto"/>
              <w:right w:val="single" w:sz="4" w:space="0" w:color="auto"/>
            </w:tcBorders>
            <w:vAlign w:val="center"/>
            <w:hideMark/>
          </w:tcPr>
          <w:p w14:paraId="1B16B0AA"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Rate per mile 9001-15000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50843C2E"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0.178</w:t>
            </w:r>
          </w:p>
        </w:tc>
        <w:tc>
          <w:tcPr>
            <w:tcW w:w="1242" w:type="dxa"/>
            <w:tcBorders>
              <w:top w:val="single" w:sz="4" w:space="0" w:color="auto"/>
              <w:left w:val="single" w:sz="4" w:space="0" w:color="auto"/>
              <w:bottom w:val="single" w:sz="4" w:space="0" w:color="auto"/>
              <w:right w:val="single" w:sz="4" w:space="0" w:color="auto"/>
            </w:tcBorders>
            <w:vAlign w:val="center"/>
            <w:hideMark/>
          </w:tcPr>
          <w:p w14:paraId="7C05830E"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0.201</w:t>
            </w:r>
          </w:p>
        </w:tc>
        <w:tc>
          <w:tcPr>
            <w:tcW w:w="1242" w:type="dxa"/>
            <w:tcBorders>
              <w:top w:val="single" w:sz="4" w:space="0" w:color="auto"/>
              <w:left w:val="single" w:sz="4" w:space="0" w:color="auto"/>
              <w:bottom w:val="single" w:sz="4" w:space="0" w:color="auto"/>
              <w:right w:val="single" w:sz="4" w:space="0" w:color="auto"/>
            </w:tcBorders>
            <w:vAlign w:val="center"/>
            <w:hideMark/>
          </w:tcPr>
          <w:p w14:paraId="7A81A1D3"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0.226</w:t>
            </w:r>
          </w:p>
        </w:tc>
        <w:tc>
          <w:tcPr>
            <w:tcW w:w="1242" w:type="dxa"/>
            <w:tcBorders>
              <w:top w:val="single" w:sz="4" w:space="0" w:color="auto"/>
              <w:left w:val="single" w:sz="4" w:space="0" w:color="auto"/>
              <w:bottom w:val="single" w:sz="4" w:space="0" w:color="auto"/>
              <w:right w:val="single" w:sz="4" w:space="0" w:color="auto"/>
            </w:tcBorders>
            <w:vAlign w:val="center"/>
            <w:hideMark/>
          </w:tcPr>
          <w:p w14:paraId="5A2A11AA"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0.226</w:t>
            </w:r>
          </w:p>
        </w:tc>
      </w:tr>
      <w:tr w:rsidR="00DD2662" w:rsidRPr="00DD2662" w14:paraId="37DFA993" w14:textId="77777777" w:rsidTr="006330EB">
        <w:trPr>
          <w:trHeight w:val="600"/>
          <w:jc w:val="center"/>
        </w:trPr>
        <w:tc>
          <w:tcPr>
            <w:tcW w:w="1680" w:type="dxa"/>
            <w:vMerge/>
            <w:tcBorders>
              <w:top w:val="single" w:sz="8" w:space="0" w:color="auto"/>
              <w:left w:val="single" w:sz="8" w:space="0" w:color="auto"/>
              <w:bottom w:val="nil"/>
              <w:right w:val="single" w:sz="8" w:space="0" w:color="auto"/>
            </w:tcBorders>
            <w:vAlign w:val="center"/>
            <w:hideMark/>
          </w:tcPr>
          <w:p w14:paraId="3174B991"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p>
        </w:tc>
        <w:tc>
          <w:tcPr>
            <w:tcW w:w="2946" w:type="dxa"/>
            <w:tcBorders>
              <w:top w:val="single" w:sz="4" w:space="0" w:color="auto"/>
              <w:left w:val="single" w:sz="8" w:space="0" w:color="auto"/>
              <w:bottom w:val="single" w:sz="8" w:space="0" w:color="auto"/>
              <w:right w:val="single" w:sz="4" w:space="0" w:color="auto"/>
            </w:tcBorders>
            <w:vAlign w:val="center"/>
            <w:hideMark/>
          </w:tcPr>
          <w:p w14:paraId="65FFAD31"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Rate per mile over 15000miles </w:t>
            </w:r>
          </w:p>
        </w:tc>
        <w:tc>
          <w:tcPr>
            <w:tcW w:w="1242" w:type="dxa"/>
            <w:tcBorders>
              <w:top w:val="single" w:sz="4" w:space="0" w:color="auto"/>
              <w:left w:val="single" w:sz="4" w:space="0" w:color="auto"/>
              <w:bottom w:val="single" w:sz="8" w:space="0" w:color="auto"/>
              <w:right w:val="single" w:sz="4" w:space="0" w:color="auto"/>
            </w:tcBorders>
            <w:vAlign w:val="center"/>
            <w:hideMark/>
          </w:tcPr>
          <w:p w14:paraId="1CA40F83"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0.178</w:t>
            </w:r>
          </w:p>
        </w:tc>
        <w:tc>
          <w:tcPr>
            <w:tcW w:w="1242" w:type="dxa"/>
            <w:tcBorders>
              <w:top w:val="single" w:sz="4" w:space="0" w:color="auto"/>
              <w:left w:val="single" w:sz="4" w:space="0" w:color="auto"/>
              <w:bottom w:val="single" w:sz="8" w:space="0" w:color="auto"/>
              <w:right w:val="single" w:sz="4" w:space="0" w:color="auto"/>
            </w:tcBorders>
            <w:vAlign w:val="center"/>
            <w:hideMark/>
          </w:tcPr>
          <w:p w14:paraId="5CF3DED8"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0.201</w:t>
            </w:r>
          </w:p>
        </w:tc>
        <w:tc>
          <w:tcPr>
            <w:tcW w:w="1242" w:type="dxa"/>
            <w:tcBorders>
              <w:top w:val="single" w:sz="4" w:space="0" w:color="auto"/>
              <w:left w:val="single" w:sz="4" w:space="0" w:color="auto"/>
              <w:bottom w:val="single" w:sz="8" w:space="0" w:color="auto"/>
              <w:right w:val="single" w:sz="4" w:space="0" w:color="auto"/>
            </w:tcBorders>
            <w:vAlign w:val="center"/>
            <w:hideMark/>
          </w:tcPr>
          <w:p w14:paraId="12B8DE89"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0.226</w:t>
            </w:r>
          </w:p>
        </w:tc>
        <w:tc>
          <w:tcPr>
            <w:tcW w:w="1242" w:type="dxa"/>
            <w:tcBorders>
              <w:top w:val="single" w:sz="4" w:space="0" w:color="auto"/>
              <w:left w:val="single" w:sz="4" w:space="0" w:color="auto"/>
              <w:bottom w:val="single" w:sz="8" w:space="0" w:color="auto"/>
              <w:right w:val="single" w:sz="4" w:space="0" w:color="auto"/>
            </w:tcBorders>
            <w:vAlign w:val="center"/>
            <w:hideMark/>
          </w:tcPr>
          <w:p w14:paraId="593DEDFB"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0.226</w:t>
            </w:r>
          </w:p>
        </w:tc>
      </w:tr>
      <w:tr w:rsidR="00DD2662" w:rsidRPr="00DD2662" w14:paraId="619A2EAD" w14:textId="77777777" w:rsidTr="006330EB">
        <w:trPr>
          <w:trHeight w:val="300"/>
          <w:jc w:val="center"/>
        </w:trPr>
        <w:tc>
          <w:tcPr>
            <w:tcW w:w="1680" w:type="dxa"/>
            <w:vMerge w:val="restart"/>
            <w:tcBorders>
              <w:top w:val="single" w:sz="8" w:space="0" w:color="auto"/>
              <w:left w:val="single" w:sz="8" w:space="0" w:color="auto"/>
              <w:bottom w:val="nil"/>
              <w:right w:val="single" w:sz="8" w:space="0" w:color="auto"/>
            </w:tcBorders>
            <w:vAlign w:val="center"/>
            <w:hideMark/>
          </w:tcPr>
          <w:p w14:paraId="1A793BC1"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01/07/2023</w:t>
            </w:r>
          </w:p>
        </w:tc>
        <w:tc>
          <w:tcPr>
            <w:tcW w:w="2946" w:type="dxa"/>
            <w:tcBorders>
              <w:top w:val="nil"/>
              <w:left w:val="single" w:sz="8" w:space="0" w:color="auto"/>
              <w:bottom w:val="single" w:sz="4" w:space="0" w:color="auto"/>
              <w:right w:val="single" w:sz="4" w:space="0" w:color="auto"/>
            </w:tcBorders>
            <w:vAlign w:val="center"/>
            <w:hideMark/>
          </w:tcPr>
          <w:p w14:paraId="37F61C4D"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Lump Sum </w:t>
            </w:r>
          </w:p>
        </w:tc>
        <w:tc>
          <w:tcPr>
            <w:tcW w:w="1242" w:type="dxa"/>
            <w:tcBorders>
              <w:top w:val="nil"/>
              <w:left w:val="single" w:sz="4" w:space="0" w:color="auto"/>
              <w:bottom w:val="single" w:sz="4" w:space="0" w:color="auto"/>
              <w:right w:val="single" w:sz="4" w:space="0" w:color="auto"/>
            </w:tcBorders>
            <w:vAlign w:val="center"/>
            <w:hideMark/>
          </w:tcPr>
          <w:p w14:paraId="77A890DC"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£42.33</w:t>
            </w:r>
          </w:p>
        </w:tc>
        <w:tc>
          <w:tcPr>
            <w:tcW w:w="1242" w:type="dxa"/>
            <w:tcBorders>
              <w:top w:val="nil"/>
              <w:left w:val="single" w:sz="4" w:space="0" w:color="auto"/>
              <w:bottom w:val="single" w:sz="4" w:space="0" w:color="auto"/>
              <w:right w:val="single" w:sz="4" w:space="0" w:color="auto"/>
            </w:tcBorders>
            <w:vAlign w:val="center"/>
            <w:hideMark/>
          </w:tcPr>
          <w:p w14:paraId="18CA2E6D"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£52.17</w:t>
            </w:r>
          </w:p>
        </w:tc>
        <w:tc>
          <w:tcPr>
            <w:tcW w:w="1242" w:type="dxa"/>
            <w:tcBorders>
              <w:top w:val="nil"/>
              <w:left w:val="single" w:sz="4" w:space="0" w:color="auto"/>
              <w:bottom w:val="single" w:sz="4" w:space="0" w:color="auto"/>
              <w:right w:val="single" w:sz="4" w:space="0" w:color="auto"/>
            </w:tcBorders>
            <w:vAlign w:val="center"/>
            <w:hideMark/>
          </w:tcPr>
          <w:p w14:paraId="1F63D1A8"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£63.33</w:t>
            </w:r>
          </w:p>
        </w:tc>
        <w:tc>
          <w:tcPr>
            <w:tcW w:w="1242" w:type="dxa"/>
            <w:tcBorders>
              <w:top w:val="nil"/>
              <w:left w:val="single" w:sz="4" w:space="0" w:color="auto"/>
              <w:bottom w:val="single" w:sz="4" w:space="0" w:color="auto"/>
              <w:right w:val="single" w:sz="4" w:space="0" w:color="auto"/>
            </w:tcBorders>
            <w:vAlign w:val="center"/>
            <w:hideMark/>
          </w:tcPr>
          <w:p w14:paraId="536EED80"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£63.33</w:t>
            </w:r>
          </w:p>
        </w:tc>
      </w:tr>
      <w:tr w:rsidR="00DD2662" w:rsidRPr="00DD2662" w14:paraId="7577A1E0" w14:textId="77777777" w:rsidTr="006330EB">
        <w:trPr>
          <w:trHeight w:val="600"/>
          <w:jc w:val="center"/>
        </w:trPr>
        <w:tc>
          <w:tcPr>
            <w:tcW w:w="1680" w:type="dxa"/>
            <w:vMerge/>
            <w:tcBorders>
              <w:top w:val="single" w:sz="8" w:space="0" w:color="auto"/>
              <w:left w:val="single" w:sz="8" w:space="0" w:color="auto"/>
              <w:bottom w:val="nil"/>
              <w:right w:val="single" w:sz="8" w:space="0" w:color="auto"/>
            </w:tcBorders>
            <w:vAlign w:val="center"/>
            <w:hideMark/>
          </w:tcPr>
          <w:p w14:paraId="72FD8141"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p>
        </w:tc>
        <w:tc>
          <w:tcPr>
            <w:tcW w:w="2946" w:type="dxa"/>
            <w:tcBorders>
              <w:top w:val="single" w:sz="4" w:space="0" w:color="auto"/>
              <w:left w:val="single" w:sz="8" w:space="0" w:color="auto"/>
              <w:bottom w:val="single" w:sz="4" w:space="0" w:color="auto"/>
              <w:right w:val="single" w:sz="4" w:space="0" w:color="auto"/>
            </w:tcBorders>
            <w:vAlign w:val="center"/>
            <w:hideMark/>
          </w:tcPr>
          <w:p w14:paraId="025495B9"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Rate per mile up to 9000 miles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02009E79"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0.297</w:t>
            </w:r>
          </w:p>
        </w:tc>
        <w:tc>
          <w:tcPr>
            <w:tcW w:w="1242" w:type="dxa"/>
            <w:tcBorders>
              <w:top w:val="single" w:sz="4" w:space="0" w:color="auto"/>
              <w:left w:val="single" w:sz="4" w:space="0" w:color="auto"/>
              <w:bottom w:val="single" w:sz="4" w:space="0" w:color="auto"/>
              <w:right w:val="single" w:sz="4" w:space="0" w:color="auto"/>
            </w:tcBorders>
            <w:vAlign w:val="center"/>
            <w:hideMark/>
          </w:tcPr>
          <w:p w14:paraId="6CCC2747"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0.369</w:t>
            </w:r>
          </w:p>
        </w:tc>
        <w:tc>
          <w:tcPr>
            <w:tcW w:w="1242" w:type="dxa"/>
            <w:tcBorders>
              <w:top w:val="single" w:sz="4" w:space="0" w:color="auto"/>
              <w:left w:val="single" w:sz="4" w:space="0" w:color="auto"/>
              <w:bottom w:val="single" w:sz="4" w:space="0" w:color="auto"/>
              <w:right w:val="single" w:sz="4" w:space="0" w:color="auto"/>
            </w:tcBorders>
            <w:vAlign w:val="center"/>
            <w:hideMark/>
          </w:tcPr>
          <w:p w14:paraId="6F0BBCC8"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0.44</w:t>
            </w:r>
          </w:p>
        </w:tc>
        <w:tc>
          <w:tcPr>
            <w:tcW w:w="1242" w:type="dxa"/>
            <w:tcBorders>
              <w:top w:val="single" w:sz="4" w:space="0" w:color="auto"/>
              <w:left w:val="single" w:sz="4" w:space="0" w:color="auto"/>
              <w:bottom w:val="single" w:sz="4" w:space="0" w:color="auto"/>
              <w:right w:val="single" w:sz="4" w:space="0" w:color="auto"/>
            </w:tcBorders>
            <w:vAlign w:val="center"/>
            <w:hideMark/>
          </w:tcPr>
          <w:p w14:paraId="30562FE1"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0.44</w:t>
            </w:r>
          </w:p>
        </w:tc>
      </w:tr>
      <w:tr w:rsidR="00DD2662" w:rsidRPr="00DD2662" w14:paraId="69228E20" w14:textId="77777777" w:rsidTr="006330EB">
        <w:trPr>
          <w:trHeight w:val="600"/>
          <w:jc w:val="center"/>
        </w:trPr>
        <w:tc>
          <w:tcPr>
            <w:tcW w:w="1680" w:type="dxa"/>
            <w:vMerge/>
            <w:tcBorders>
              <w:top w:val="single" w:sz="8" w:space="0" w:color="auto"/>
              <w:left w:val="single" w:sz="8" w:space="0" w:color="auto"/>
              <w:bottom w:val="nil"/>
              <w:right w:val="single" w:sz="8" w:space="0" w:color="auto"/>
            </w:tcBorders>
            <w:vAlign w:val="center"/>
            <w:hideMark/>
          </w:tcPr>
          <w:p w14:paraId="098A1819"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p>
        </w:tc>
        <w:tc>
          <w:tcPr>
            <w:tcW w:w="2946" w:type="dxa"/>
            <w:tcBorders>
              <w:top w:val="single" w:sz="4" w:space="0" w:color="auto"/>
              <w:left w:val="single" w:sz="8" w:space="0" w:color="auto"/>
              <w:bottom w:val="single" w:sz="4" w:space="0" w:color="auto"/>
              <w:right w:val="single" w:sz="4" w:space="0" w:color="auto"/>
            </w:tcBorders>
            <w:vAlign w:val="center"/>
            <w:hideMark/>
          </w:tcPr>
          <w:p w14:paraId="11CB252B"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Rate per mile 9001-15000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395D8AEF"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0.178</w:t>
            </w:r>
          </w:p>
        </w:tc>
        <w:tc>
          <w:tcPr>
            <w:tcW w:w="1242" w:type="dxa"/>
            <w:tcBorders>
              <w:top w:val="single" w:sz="4" w:space="0" w:color="auto"/>
              <w:left w:val="single" w:sz="4" w:space="0" w:color="auto"/>
              <w:bottom w:val="single" w:sz="4" w:space="0" w:color="auto"/>
              <w:right w:val="single" w:sz="4" w:space="0" w:color="auto"/>
            </w:tcBorders>
            <w:vAlign w:val="center"/>
            <w:hideMark/>
          </w:tcPr>
          <w:p w14:paraId="54A7C206"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0.201</w:t>
            </w:r>
          </w:p>
        </w:tc>
        <w:tc>
          <w:tcPr>
            <w:tcW w:w="1242" w:type="dxa"/>
            <w:tcBorders>
              <w:top w:val="single" w:sz="4" w:space="0" w:color="auto"/>
              <w:left w:val="single" w:sz="4" w:space="0" w:color="auto"/>
              <w:bottom w:val="single" w:sz="4" w:space="0" w:color="auto"/>
              <w:right w:val="single" w:sz="4" w:space="0" w:color="auto"/>
            </w:tcBorders>
            <w:vAlign w:val="center"/>
            <w:hideMark/>
          </w:tcPr>
          <w:p w14:paraId="42CB39CB"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0.226</w:t>
            </w:r>
          </w:p>
        </w:tc>
        <w:tc>
          <w:tcPr>
            <w:tcW w:w="1242" w:type="dxa"/>
            <w:tcBorders>
              <w:top w:val="single" w:sz="4" w:space="0" w:color="auto"/>
              <w:left w:val="single" w:sz="4" w:space="0" w:color="auto"/>
              <w:bottom w:val="single" w:sz="4" w:space="0" w:color="auto"/>
              <w:right w:val="single" w:sz="4" w:space="0" w:color="auto"/>
            </w:tcBorders>
            <w:vAlign w:val="center"/>
            <w:hideMark/>
          </w:tcPr>
          <w:p w14:paraId="097503E1"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0.226</w:t>
            </w:r>
          </w:p>
        </w:tc>
      </w:tr>
      <w:tr w:rsidR="00DD2662" w:rsidRPr="00DD2662" w14:paraId="29304A14" w14:textId="77777777" w:rsidTr="006330EB">
        <w:trPr>
          <w:trHeight w:val="600"/>
          <w:jc w:val="center"/>
        </w:trPr>
        <w:tc>
          <w:tcPr>
            <w:tcW w:w="1680" w:type="dxa"/>
            <w:vMerge/>
            <w:tcBorders>
              <w:top w:val="single" w:sz="8" w:space="0" w:color="auto"/>
              <w:left w:val="single" w:sz="8" w:space="0" w:color="auto"/>
              <w:bottom w:val="nil"/>
              <w:right w:val="single" w:sz="8" w:space="0" w:color="auto"/>
            </w:tcBorders>
            <w:vAlign w:val="center"/>
            <w:hideMark/>
          </w:tcPr>
          <w:p w14:paraId="6DB35516"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p>
        </w:tc>
        <w:tc>
          <w:tcPr>
            <w:tcW w:w="2946" w:type="dxa"/>
            <w:tcBorders>
              <w:top w:val="single" w:sz="4" w:space="0" w:color="auto"/>
              <w:left w:val="single" w:sz="8" w:space="0" w:color="auto"/>
              <w:bottom w:val="single" w:sz="8" w:space="0" w:color="auto"/>
              <w:right w:val="single" w:sz="4" w:space="0" w:color="auto"/>
            </w:tcBorders>
            <w:vAlign w:val="center"/>
            <w:hideMark/>
          </w:tcPr>
          <w:p w14:paraId="13D429AD" w14:textId="77777777" w:rsidR="00DD2662" w:rsidRPr="00DD2662" w:rsidRDefault="00DD2662" w:rsidP="00DD2662">
            <w:pPr>
              <w:spacing w:before="0" w:after="0" w:line="240" w:lineRule="auto"/>
              <w:ind w:left="0" w:right="0"/>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 xml:space="preserve">Rate per mile over 15000miles </w:t>
            </w:r>
          </w:p>
        </w:tc>
        <w:tc>
          <w:tcPr>
            <w:tcW w:w="1242" w:type="dxa"/>
            <w:tcBorders>
              <w:top w:val="single" w:sz="4" w:space="0" w:color="auto"/>
              <w:left w:val="single" w:sz="4" w:space="0" w:color="auto"/>
              <w:bottom w:val="single" w:sz="8" w:space="0" w:color="auto"/>
              <w:right w:val="single" w:sz="4" w:space="0" w:color="auto"/>
            </w:tcBorders>
            <w:vAlign w:val="center"/>
            <w:hideMark/>
          </w:tcPr>
          <w:p w14:paraId="4D4F8EEA"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0.178</w:t>
            </w:r>
          </w:p>
        </w:tc>
        <w:tc>
          <w:tcPr>
            <w:tcW w:w="1242" w:type="dxa"/>
            <w:tcBorders>
              <w:top w:val="single" w:sz="4" w:space="0" w:color="auto"/>
              <w:left w:val="single" w:sz="4" w:space="0" w:color="auto"/>
              <w:bottom w:val="single" w:sz="8" w:space="0" w:color="auto"/>
              <w:right w:val="single" w:sz="4" w:space="0" w:color="auto"/>
            </w:tcBorders>
            <w:vAlign w:val="center"/>
            <w:hideMark/>
          </w:tcPr>
          <w:p w14:paraId="002A8246"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0.201</w:t>
            </w:r>
          </w:p>
        </w:tc>
        <w:tc>
          <w:tcPr>
            <w:tcW w:w="1242" w:type="dxa"/>
            <w:tcBorders>
              <w:top w:val="single" w:sz="4" w:space="0" w:color="auto"/>
              <w:left w:val="single" w:sz="4" w:space="0" w:color="auto"/>
              <w:bottom w:val="single" w:sz="8" w:space="0" w:color="auto"/>
              <w:right w:val="single" w:sz="4" w:space="0" w:color="auto"/>
            </w:tcBorders>
            <w:vAlign w:val="center"/>
            <w:hideMark/>
          </w:tcPr>
          <w:p w14:paraId="79D4740B"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0.226</w:t>
            </w:r>
          </w:p>
        </w:tc>
        <w:tc>
          <w:tcPr>
            <w:tcW w:w="1242" w:type="dxa"/>
            <w:tcBorders>
              <w:top w:val="single" w:sz="4" w:space="0" w:color="auto"/>
              <w:left w:val="single" w:sz="4" w:space="0" w:color="auto"/>
              <w:bottom w:val="single" w:sz="8" w:space="0" w:color="auto"/>
              <w:right w:val="single" w:sz="4" w:space="0" w:color="auto"/>
            </w:tcBorders>
            <w:vAlign w:val="center"/>
            <w:hideMark/>
          </w:tcPr>
          <w:p w14:paraId="6674C82D" w14:textId="77777777" w:rsidR="00DD2662" w:rsidRPr="00DD2662" w:rsidRDefault="00DD2662" w:rsidP="00DD2662">
            <w:pPr>
              <w:spacing w:before="0" w:after="0" w:line="240" w:lineRule="auto"/>
              <w:ind w:left="0" w:right="0"/>
              <w:jc w:val="center"/>
              <w:rPr>
                <w:rFonts w:ascii="Verdana" w:eastAsia="Times New Roman" w:hAnsi="Verdana" w:cs="Times New Roman"/>
                <w:color w:val="000000"/>
                <w:sz w:val="20"/>
                <w:szCs w:val="20"/>
              </w:rPr>
            </w:pPr>
            <w:r w:rsidRPr="00DD2662">
              <w:rPr>
                <w:rFonts w:ascii="Verdana" w:eastAsia="Times New Roman" w:hAnsi="Verdana" w:cs="Times New Roman"/>
                <w:color w:val="000000"/>
                <w:sz w:val="20"/>
                <w:szCs w:val="20"/>
              </w:rPr>
              <w:t>0.226</w:t>
            </w:r>
          </w:p>
        </w:tc>
      </w:tr>
    </w:tbl>
    <w:p w14:paraId="3725B0FF" w14:textId="77777777" w:rsidR="00DD2662" w:rsidRDefault="00DD2662" w:rsidP="004C009D">
      <w:pPr>
        <w:rPr>
          <w:rFonts w:ascii="Verdana" w:hAnsi="Verdana"/>
          <w:b/>
          <w:bCs/>
          <w:noProof/>
          <w:sz w:val="22"/>
          <w:szCs w:val="22"/>
        </w:rPr>
      </w:pP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47D39"/>
    <w:rsid w:val="00075AC4"/>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33E9"/>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47B12"/>
    <w:rsid w:val="00453C57"/>
    <w:rsid w:val="0048724F"/>
    <w:rsid w:val="004C009D"/>
    <w:rsid w:val="004C59CA"/>
    <w:rsid w:val="004C7B47"/>
    <w:rsid w:val="004E1954"/>
    <w:rsid w:val="004F001A"/>
    <w:rsid w:val="004F1E5A"/>
    <w:rsid w:val="004F4D32"/>
    <w:rsid w:val="005029F2"/>
    <w:rsid w:val="005317D4"/>
    <w:rsid w:val="00534D7A"/>
    <w:rsid w:val="00553E1D"/>
    <w:rsid w:val="005925B8"/>
    <w:rsid w:val="0059272C"/>
    <w:rsid w:val="0059485C"/>
    <w:rsid w:val="005F0E79"/>
    <w:rsid w:val="00602EE5"/>
    <w:rsid w:val="006137E4"/>
    <w:rsid w:val="006330EB"/>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2662"/>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447B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380785741">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03.safelinks.protection.outlook.com/?url=https%3A%2F%2Fwww.bma.org.uk%2Fpay-and-contracts&amp;data=05%7C02%7CFOIA.Requests%40wales.nhs.uk%7Cac5dda75be8848eebcd808dd60b50eb8%7Cbb5628b8e3284082a856433c9edc8fae%7C0%7C0%7C638773053052429775%7CUnknown%7CTWFpbGZsb3d8eyJFbXB0eU1hcGkiOnRydWUsIlYiOiIwLjAuMDAwMCIsIlAiOiJXaW4zMiIsIkFOIjoiTWFpbCIsIldUIjoyfQ%3D%3D%7C0%7C%7C%7C&amp;sdata=ZQjF%2BEi6MUL6mEBn12nnRks5q%2FTvaEUVmkIXUkmMUS4%3D&amp;reserved=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130</TotalTime>
  <Pages>3</Pages>
  <Words>600</Words>
  <Characters>3420</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2025-04-25T10:54:00Z</dcterms:modified>
</cp:coreProperties>
</file>