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6E553C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3363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25-G-059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46E553C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3363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25-G-059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25360C2C" w:rsidR="00DC7FA9" w:rsidRPr="00A10460" w:rsidRDefault="00F0654A" w:rsidP="00D62A67">
      <w:pPr>
        <w:spacing w:before="280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br/>
      </w:r>
      <w:r>
        <w:rPr>
          <w:rFonts w:ascii="Verdana" w:hAnsi="Verdana"/>
          <w:sz w:val="22"/>
        </w:rPr>
        <w:br/>
        <w:t>Our response covers the period May -July 2025</w:t>
      </w:r>
    </w:p>
    <w:p w14:paraId="635CAE49" w14:textId="7F70CB59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66A165BF" w14:textId="59356E1A" w:rsidR="00233631" w:rsidRPr="00233631" w:rsidRDefault="00233631" w:rsidP="00233631">
      <w:pPr>
        <w:rPr>
          <w:rFonts w:ascii="Verdana" w:hAnsi="Verdana"/>
          <w:b/>
          <w:bCs/>
          <w:i/>
          <w:iCs/>
          <w:noProof/>
          <w:sz w:val="22"/>
          <w:szCs w:val="22"/>
        </w:rPr>
      </w:pPr>
      <w:r w:rsidRPr="00233631">
        <w:rPr>
          <w:rFonts w:ascii="Verdana" w:hAnsi="Verdana"/>
          <w:b/>
          <w:bCs/>
          <w:i/>
          <w:iCs/>
          <w:noProof/>
          <w:sz w:val="22"/>
          <w:szCs w:val="22"/>
        </w:rPr>
        <w:t>HAE: Hereditary Angioedema - these treatments are primarily for HAE but please do provide data for the treatment of any diseases</w:t>
      </w:r>
    </w:p>
    <w:p w14:paraId="542A3D08" w14:textId="3A19057B" w:rsidR="00233631" w:rsidRPr="00233631" w:rsidRDefault="00233631" w:rsidP="00233631">
      <w:pPr>
        <w:rPr>
          <w:rFonts w:ascii="Verdana" w:hAnsi="Verdana"/>
          <w:b/>
          <w:bCs/>
          <w:i/>
          <w:iCs/>
          <w:noProof/>
          <w:sz w:val="22"/>
          <w:szCs w:val="22"/>
        </w:rPr>
      </w:pPr>
      <w:r w:rsidRPr="00233631">
        <w:rPr>
          <w:rFonts w:ascii="Verdana" w:hAnsi="Verdana"/>
          <w:b/>
          <w:bCs/>
          <w:i/>
          <w:iCs/>
          <w:noProof/>
          <w:sz w:val="22"/>
          <w:szCs w:val="22"/>
        </w:rPr>
        <w:t>IG: Immunoglobulin - these are immunoglobulin products</w:t>
      </w:r>
    </w:p>
    <w:p w14:paraId="737448ED" w14:textId="77777777" w:rsidR="00233631" w:rsidRPr="00233631" w:rsidRDefault="00233631" w:rsidP="00233631">
      <w:pPr>
        <w:rPr>
          <w:rFonts w:ascii="Verdana" w:hAnsi="Verdana"/>
          <w:b/>
          <w:bCs/>
          <w:noProof/>
          <w:sz w:val="22"/>
          <w:szCs w:val="22"/>
          <w:u w:val="single"/>
        </w:rPr>
      </w:pPr>
      <w:r w:rsidRPr="00233631">
        <w:rPr>
          <w:rFonts w:ascii="Verdana" w:hAnsi="Verdana"/>
          <w:b/>
          <w:bCs/>
          <w:noProof/>
          <w:sz w:val="22"/>
          <w:szCs w:val="22"/>
          <w:u w:val="single"/>
        </w:rPr>
        <w:t>HAE:</w:t>
      </w:r>
    </w:p>
    <w:p w14:paraId="4F1E90F3" w14:textId="6B55A810" w:rsidR="00233631" w:rsidRPr="00233631" w:rsidRDefault="00233631" w:rsidP="0023363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233631">
        <w:rPr>
          <w:rFonts w:ascii="Verdana" w:hAnsi="Verdana"/>
          <w:b/>
          <w:bCs/>
          <w:noProof/>
          <w:sz w:val="22"/>
          <w:szCs w:val="22"/>
        </w:rPr>
        <w:t>In the past 3 months [latest 3 months available] how many patients have received the following treatments [for any disease]:</w:t>
      </w:r>
    </w:p>
    <w:p w14:paraId="62ABA6FF" w14:textId="77777777" w:rsidR="00233631" w:rsidRPr="00233631" w:rsidRDefault="00233631" w:rsidP="00233631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233631">
        <w:rPr>
          <w:rFonts w:ascii="Verdana" w:hAnsi="Verdana"/>
          <w:b/>
          <w:bCs/>
          <w:noProof/>
          <w:sz w:val="22"/>
          <w:szCs w:val="22"/>
        </w:rPr>
        <w:t xml:space="preserve">Berinert (Human C1-esterase inhibitor) </w:t>
      </w:r>
    </w:p>
    <w:p w14:paraId="6E3273FA" w14:textId="77777777" w:rsidR="00233631" w:rsidRPr="00233631" w:rsidRDefault="00233631" w:rsidP="00233631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233631">
        <w:rPr>
          <w:rFonts w:ascii="Verdana" w:hAnsi="Verdana"/>
          <w:b/>
          <w:bCs/>
          <w:noProof/>
          <w:sz w:val="22"/>
          <w:szCs w:val="22"/>
        </w:rPr>
        <w:t xml:space="preserve">Cinryze (Human C1-esterase inhibitor) </w:t>
      </w:r>
    </w:p>
    <w:p w14:paraId="20983AE1" w14:textId="77777777" w:rsidR="00233631" w:rsidRPr="00233631" w:rsidRDefault="00233631" w:rsidP="00233631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233631">
        <w:rPr>
          <w:rFonts w:ascii="Verdana" w:hAnsi="Verdana"/>
          <w:b/>
          <w:bCs/>
          <w:noProof/>
          <w:sz w:val="22"/>
          <w:szCs w:val="22"/>
        </w:rPr>
        <w:t>Orladeyo (Berotralstat)</w:t>
      </w:r>
    </w:p>
    <w:p w14:paraId="0B17835D" w14:textId="77777777" w:rsidR="00233631" w:rsidRPr="00233631" w:rsidRDefault="00233631" w:rsidP="00233631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233631">
        <w:rPr>
          <w:rFonts w:ascii="Verdana" w:hAnsi="Verdana"/>
          <w:b/>
          <w:bCs/>
          <w:noProof/>
          <w:sz w:val="22"/>
          <w:szCs w:val="22"/>
        </w:rPr>
        <w:t xml:space="preserve">Takhzyro (Lanadelumab) </w:t>
      </w:r>
    </w:p>
    <w:p w14:paraId="20172E0D" w14:textId="77777777" w:rsidR="00233631" w:rsidRPr="00233631" w:rsidRDefault="00233631" w:rsidP="00233631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233631">
        <w:rPr>
          <w:rFonts w:ascii="Verdana" w:hAnsi="Verdana"/>
          <w:b/>
          <w:bCs/>
          <w:noProof/>
          <w:sz w:val="22"/>
          <w:szCs w:val="22"/>
        </w:rPr>
        <w:t xml:space="preserve">Ruconest (Recombinant human C1-esterase inhibitor)  </w:t>
      </w:r>
    </w:p>
    <w:p w14:paraId="344E6318" w14:textId="77777777" w:rsidR="00233631" w:rsidRPr="00233631" w:rsidRDefault="00233631" w:rsidP="00233631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233631">
        <w:rPr>
          <w:rFonts w:ascii="Verdana" w:hAnsi="Verdana"/>
          <w:b/>
          <w:bCs/>
          <w:noProof/>
          <w:sz w:val="22"/>
          <w:szCs w:val="22"/>
        </w:rPr>
        <w:t>Firazyr (Icatibant injection)</w:t>
      </w:r>
    </w:p>
    <w:p w14:paraId="3E3C564D" w14:textId="77777777" w:rsidR="00233631" w:rsidRPr="00233631" w:rsidRDefault="00233631" w:rsidP="00233631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233631">
        <w:rPr>
          <w:rFonts w:ascii="Verdana" w:hAnsi="Verdana"/>
          <w:b/>
          <w:bCs/>
          <w:noProof/>
          <w:sz w:val="22"/>
          <w:szCs w:val="22"/>
        </w:rPr>
        <w:t>Icatibant - any brand except Firazyr</w:t>
      </w:r>
    </w:p>
    <w:p w14:paraId="2BC7A5DC" w14:textId="268CF1FB" w:rsidR="00233631" w:rsidRPr="00AD638F" w:rsidRDefault="00233631" w:rsidP="00AD638F">
      <w:pPr>
        <w:ind w:left="865"/>
        <w:rPr>
          <w:rFonts w:ascii="Verdana" w:hAnsi="Verdana"/>
          <w:noProof/>
          <w:sz w:val="22"/>
          <w:szCs w:val="22"/>
        </w:rPr>
      </w:pPr>
      <w:r w:rsidRPr="00AD638F">
        <w:rPr>
          <w:rFonts w:ascii="Verdana" w:hAnsi="Verdana"/>
          <w:noProof/>
          <w:sz w:val="22"/>
          <w:szCs w:val="22"/>
        </w:rPr>
        <w:t xml:space="preserve"> </w:t>
      </w:r>
      <w:r w:rsidR="00AD638F" w:rsidRPr="00AD638F">
        <w:rPr>
          <w:rFonts w:ascii="Verdana" w:hAnsi="Verdana"/>
          <w:noProof/>
          <w:sz w:val="22"/>
          <w:szCs w:val="22"/>
        </w:rPr>
        <w:t>Nil</w:t>
      </w:r>
      <w:r w:rsidR="00AD638F">
        <w:rPr>
          <w:rFonts w:ascii="Verdana" w:hAnsi="Verdana"/>
          <w:noProof/>
          <w:sz w:val="22"/>
          <w:szCs w:val="22"/>
        </w:rPr>
        <w:t xml:space="preserve"> for all products</w:t>
      </w:r>
      <w:r w:rsidR="00AD638F">
        <w:rPr>
          <w:rFonts w:ascii="Verdana" w:hAnsi="Verdana"/>
          <w:noProof/>
          <w:sz w:val="22"/>
          <w:szCs w:val="22"/>
        </w:rPr>
        <w:br/>
      </w:r>
    </w:p>
    <w:p w14:paraId="2532B341" w14:textId="77777777" w:rsidR="00233631" w:rsidRPr="00233631" w:rsidRDefault="00233631" w:rsidP="00233631">
      <w:pPr>
        <w:rPr>
          <w:rFonts w:ascii="Verdana" w:hAnsi="Verdana"/>
          <w:b/>
          <w:bCs/>
          <w:noProof/>
          <w:sz w:val="22"/>
          <w:szCs w:val="22"/>
          <w:u w:val="single"/>
        </w:rPr>
      </w:pPr>
      <w:r w:rsidRPr="00233631">
        <w:rPr>
          <w:rFonts w:ascii="Verdana" w:hAnsi="Verdana"/>
          <w:b/>
          <w:bCs/>
          <w:noProof/>
          <w:sz w:val="22"/>
          <w:szCs w:val="22"/>
          <w:u w:val="single"/>
        </w:rPr>
        <w:t>IG:</w:t>
      </w:r>
    </w:p>
    <w:p w14:paraId="25137F49" w14:textId="081A7AE8" w:rsidR="00233631" w:rsidRPr="00233631" w:rsidRDefault="00233631" w:rsidP="0023363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233631">
        <w:rPr>
          <w:rFonts w:ascii="Verdana" w:hAnsi="Verdana"/>
          <w:b/>
          <w:bCs/>
          <w:noProof/>
          <w:sz w:val="22"/>
          <w:szCs w:val="22"/>
        </w:rPr>
        <w:t>In the past 3 months how many patients have received the following treatment for any disease:</w:t>
      </w:r>
    </w:p>
    <w:p w14:paraId="7806CF9C" w14:textId="77777777" w:rsidR="00233631" w:rsidRPr="00233631" w:rsidRDefault="00233631" w:rsidP="00233631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233631">
        <w:rPr>
          <w:rFonts w:ascii="Verdana" w:hAnsi="Verdana"/>
          <w:b/>
          <w:bCs/>
          <w:noProof/>
          <w:sz w:val="22"/>
          <w:szCs w:val="22"/>
        </w:rPr>
        <w:t>Octagam</w:t>
      </w:r>
    </w:p>
    <w:p w14:paraId="38578770" w14:textId="77777777" w:rsidR="00233631" w:rsidRPr="00233631" w:rsidRDefault="00233631" w:rsidP="00233631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233631">
        <w:rPr>
          <w:rFonts w:ascii="Verdana" w:hAnsi="Verdana"/>
          <w:b/>
          <w:bCs/>
          <w:noProof/>
          <w:sz w:val="22"/>
          <w:szCs w:val="22"/>
        </w:rPr>
        <w:t>Gamunex</w:t>
      </w:r>
    </w:p>
    <w:p w14:paraId="10F39F98" w14:textId="77777777" w:rsidR="00233631" w:rsidRPr="00233631" w:rsidRDefault="00233631" w:rsidP="00233631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233631">
        <w:rPr>
          <w:rFonts w:ascii="Verdana" w:hAnsi="Verdana"/>
          <w:b/>
          <w:bCs/>
          <w:noProof/>
          <w:sz w:val="22"/>
          <w:szCs w:val="22"/>
        </w:rPr>
        <w:t xml:space="preserve">Intratect </w:t>
      </w:r>
    </w:p>
    <w:p w14:paraId="6D3E3DC4" w14:textId="77777777" w:rsidR="00233631" w:rsidRPr="00233631" w:rsidRDefault="00233631" w:rsidP="00233631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233631">
        <w:rPr>
          <w:rFonts w:ascii="Verdana" w:hAnsi="Verdana"/>
          <w:b/>
          <w:bCs/>
          <w:noProof/>
          <w:sz w:val="22"/>
          <w:szCs w:val="22"/>
        </w:rPr>
        <w:t>Kiovig</w:t>
      </w:r>
    </w:p>
    <w:p w14:paraId="07D48736" w14:textId="77777777" w:rsidR="00233631" w:rsidRPr="00233631" w:rsidRDefault="00233631" w:rsidP="00233631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233631">
        <w:rPr>
          <w:rFonts w:ascii="Verdana" w:hAnsi="Verdana"/>
          <w:b/>
          <w:bCs/>
          <w:noProof/>
          <w:sz w:val="22"/>
          <w:szCs w:val="22"/>
        </w:rPr>
        <w:t>Gamten</w:t>
      </w:r>
    </w:p>
    <w:p w14:paraId="7F53D198" w14:textId="77777777" w:rsidR="00233631" w:rsidRPr="00233631" w:rsidRDefault="00233631" w:rsidP="00233631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233631">
        <w:rPr>
          <w:rFonts w:ascii="Verdana" w:hAnsi="Verdana"/>
          <w:b/>
          <w:bCs/>
          <w:noProof/>
          <w:sz w:val="22"/>
          <w:szCs w:val="22"/>
        </w:rPr>
        <w:t>Panzyga</w:t>
      </w:r>
    </w:p>
    <w:p w14:paraId="4D9CB026" w14:textId="77777777" w:rsidR="00233631" w:rsidRPr="00233631" w:rsidRDefault="00233631" w:rsidP="00233631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233631">
        <w:rPr>
          <w:rFonts w:ascii="Verdana" w:hAnsi="Verdana"/>
          <w:b/>
          <w:bCs/>
          <w:noProof/>
          <w:sz w:val="22"/>
          <w:szCs w:val="22"/>
        </w:rPr>
        <w:t>Xembify</w:t>
      </w:r>
    </w:p>
    <w:p w14:paraId="0F1E8C6E" w14:textId="77777777" w:rsidR="00233631" w:rsidRPr="00233631" w:rsidRDefault="00233631" w:rsidP="00233631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233631">
        <w:rPr>
          <w:rFonts w:ascii="Verdana" w:hAnsi="Verdana"/>
          <w:b/>
          <w:bCs/>
          <w:noProof/>
          <w:sz w:val="22"/>
          <w:szCs w:val="22"/>
        </w:rPr>
        <w:t>Cuvitru</w:t>
      </w:r>
    </w:p>
    <w:p w14:paraId="21FE1DA5" w14:textId="77777777" w:rsidR="00233631" w:rsidRPr="00233631" w:rsidRDefault="00233631" w:rsidP="00233631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233631">
        <w:rPr>
          <w:rFonts w:ascii="Verdana" w:hAnsi="Verdana"/>
          <w:b/>
          <w:bCs/>
          <w:noProof/>
          <w:sz w:val="22"/>
          <w:szCs w:val="22"/>
        </w:rPr>
        <w:t xml:space="preserve">Cutaquig </w:t>
      </w:r>
    </w:p>
    <w:p w14:paraId="2CC419EF" w14:textId="77777777" w:rsidR="00233631" w:rsidRPr="00233631" w:rsidRDefault="00233631" w:rsidP="00233631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233631">
        <w:rPr>
          <w:rFonts w:ascii="Verdana" w:hAnsi="Verdana"/>
          <w:b/>
          <w:bCs/>
          <w:noProof/>
          <w:sz w:val="22"/>
          <w:szCs w:val="22"/>
        </w:rPr>
        <w:t>Hyqvia</w:t>
      </w:r>
    </w:p>
    <w:p w14:paraId="7A23BB3D" w14:textId="421E7C22" w:rsidR="00233631" w:rsidRPr="00AD638F" w:rsidRDefault="00233631" w:rsidP="00AD638F">
      <w:pPr>
        <w:ind w:left="865"/>
        <w:rPr>
          <w:rFonts w:ascii="Verdana" w:hAnsi="Verdana"/>
          <w:noProof/>
          <w:sz w:val="22"/>
          <w:szCs w:val="22"/>
        </w:rPr>
      </w:pPr>
      <w:r w:rsidRPr="00AD638F">
        <w:rPr>
          <w:rFonts w:ascii="Verdana" w:hAnsi="Verdana"/>
          <w:noProof/>
          <w:sz w:val="22"/>
          <w:szCs w:val="22"/>
        </w:rPr>
        <w:t xml:space="preserve"> </w:t>
      </w:r>
      <w:r w:rsidR="00AD638F" w:rsidRPr="00AD638F">
        <w:rPr>
          <w:rFonts w:ascii="Verdana" w:hAnsi="Verdana"/>
          <w:noProof/>
          <w:sz w:val="22"/>
          <w:szCs w:val="22"/>
        </w:rPr>
        <w:t>Nil for all products</w:t>
      </w:r>
      <w:r w:rsidR="00AD638F">
        <w:rPr>
          <w:rFonts w:ascii="Verdana" w:hAnsi="Verdana"/>
          <w:noProof/>
          <w:sz w:val="22"/>
          <w:szCs w:val="22"/>
        </w:rPr>
        <w:br/>
      </w:r>
    </w:p>
    <w:p w14:paraId="47D3160F" w14:textId="33AABCAA" w:rsidR="00233631" w:rsidRPr="00233631" w:rsidRDefault="00233631" w:rsidP="0023363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233631">
        <w:rPr>
          <w:rFonts w:ascii="Verdana" w:hAnsi="Verdana"/>
          <w:b/>
          <w:bCs/>
          <w:noProof/>
          <w:sz w:val="22"/>
          <w:szCs w:val="22"/>
        </w:rPr>
        <w:t>In the past 3 months, how many patients have received any immunoglobulin treatment for the following diseases:</w:t>
      </w:r>
    </w:p>
    <w:p w14:paraId="080223E1" w14:textId="77777777" w:rsidR="00233631" w:rsidRPr="00233631" w:rsidRDefault="00233631" w:rsidP="00233631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233631">
        <w:rPr>
          <w:rFonts w:ascii="Verdana" w:hAnsi="Verdana"/>
          <w:b/>
          <w:bCs/>
          <w:noProof/>
          <w:sz w:val="22"/>
          <w:szCs w:val="22"/>
        </w:rPr>
        <w:lastRenderedPageBreak/>
        <w:t>Primary immunodeficiency (PID)</w:t>
      </w:r>
    </w:p>
    <w:p w14:paraId="55272DD4" w14:textId="77777777" w:rsidR="00233631" w:rsidRPr="00233631" w:rsidRDefault="00233631" w:rsidP="00233631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233631">
        <w:rPr>
          <w:rFonts w:ascii="Verdana" w:hAnsi="Verdana"/>
          <w:b/>
          <w:bCs/>
          <w:noProof/>
          <w:sz w:val="22"/>
          <w:szCs w:val="22"/>
        </w:rPr>
        <w:t>Secondary immunodeficiency (SID)</w:t>
      </w:r>
    </w:p>
    <w:p w14:paraId="23DF621B" w14:textId="5B15F59B" w:rsidR="00873328" w:rsidRPr="00233631" w:rsidRDefault="00233631" w:rsidP="00233631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233631">
        <w:rPr>
          <w:rFonts w:ascii="Verdana" w:hAnsi="Verdana"/>
          <w:b/>
          <w:bCs/>
          <w:noProof/>
          <w:sz w:val="22"/>
          <w:szCs w:val="22"/>
        </w:rPr>
        <w:t>Chronic Inflammatory Demyelinating Polyneuropathy (CIDP)</w:t>
      </w:r>
    </w:p>
    <w:p w14:paraId="45D3359B" w14:textId="77777777" w:rsidR="00AD638F" w:rsidRPr="00AD638F" w:rsidRDefault="00AD638F" w:rsidP="00AD638F">
      <w:pPr>
        <w:pStyle w:val="ListParagraph"/>
        <w:ind w:left="1225"/>
        <w:rPr>
          <w:rFonts w:ascii="Verdana" w:hAnsi="Verdana"/>
          <w:sz w:val="22"/>
          <w:szCs w:val="22"/>
          <w:lang w:val="en"/>
        </w:rPr>
      </w:pPr>
      <w:bookmarkStart w:id="0" w:name="_Hlk193722340"/>
    </w:p>
    <w:p w14:paraId="6E9AD99B" w14:textId="77777777" w:rsidR="00AD638F" w:rsidRDefault="00AD638F" w:rsidP="00AD638F">
      <w:pPr>
        <w:ind w:left="865"/>
        <w:rPr>
          <w:rFonts w:ascii="Verdana" w:hAnsi="Verdana"/>
          <w:sz w:val="22"/>
          <w:szCs w:val="22"/>
          <w:lang w:val="en"/>
        </w:rPr>
      </w:pPr>
      <w:r w:rsidRPr="00AD638F">
        <w:rPr>
          <w:rFonts w:ascii="Verdana" w:hAnsi="Verdana"/>
          <w:noProof/>
          <w:sz w:val="22"/>
          <w:szCs w:val="22"/>
        </w:rPr>
        <w:t>This information is not held centrally.</w:t>
      </w:r>
      <w:r w:rsidRPr="00AD638F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AD638F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AD638F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FOI Act as the reasonable limit. </w:t>
      </w:r>
      <w:r w:rsidRPr="00AD638F">
        <w:rPr>
          <w:rFonts w:ascii="Verdana" w:hAnsi="Verdana" w:cs="Tahoma"/>
          <w:sz w:val="22"/>
          <w:szCs w:val="22"/>
        </w:rPr>
        <w:t>Section 12 of the FOI Act and T</w:t>
      </w:r>
      <w:r w:rsidRPr="00AD638F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AD638F">
        <w:rPr>
          <w:rFonts w:ascii="Verdana" w:hAnsi="Verdana" w:cs="Times New Roman"/>
          <w:sz w:val="22"/>
          <w:szCs w:val="22"/>
        </w:rPr>
        <w:t xml:space="preserve">provides that we are not obliged to spend </w:t>
      </w:r>
      <w:proofErr w:type="gramStart"/>
      <w:r w:rsidRPr="00AD638F">
        <w:rPr>
          <w:rFonts w:ascii="Verdana" w:hAnsi="Verdana" w:cs="Times New Roman"/>
          <w:sz w:val="22"/>
          <w:szCs w:val="22"/>
        </w:rPr>
        <w:t>in excess of</w:t>
      </w:r>
      <w:proofErr w:type="gramEnd"/>
      <w:r w:rsidRPr="00AD638F">
        <w:rPr>
          <w:rFonts w:ascii="Verdana" w:hAnsi="Verdana" w:cs="Times New Roman"/>
          <w:sz w:val="22"/>
          <w:szCs w:val="22"/>
        </w:rPr>
        <w:t xml:space="preserve"> 18 hours in any </w:t>
      </w:r>
      <w:proofErr w:type="gramStart"/>
      <w:r w:rsidRPr="00AD638F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AD638F">
        <w:rPr>
          <w:rFonts w:ascii="Verdana" w:hAnsi="Verdana" w:cs="Times New Roman"/>
          <w:sz w:val="22"/>
          <w:szCs w:val="22"/>
        </w:rPr>
        <w:t xml:space="preserve"> period locating, retrieving and identifying information </w:t>
      </w:r>
      <w:proofErr w:type="gramStart"/>
      <w:r w:rsidRPr="00AD638F">
        <w:rPr>
          <w:rFonts w:ascii="Verdana" w:hAnsi="Verdana" w:cs="Times New Roman"/>
          <w:sz w:val="22"/>
          <w:szCs w:val="22"/>
        </w:rPr>
        <w:t>in order to</w:t>
      </w:r>
      <w:proofErr w:type="gramEnd"/>
      <w:r w:rsidRPr="00AD638F">
        <w:rPr>
          <w:rFonts w:ascii="Verdana" w:hAnsi="Verdana" w:cs="Times New Roman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AD638F">
        <w:rPr>
          <w:rFonts w:ascii="Verdana" w:hAnsi="Verdana" w:cs="Times New Roman"/>
          <w:sz w:val="22"/>
          <w:szCs w:val="22"/>
        </w:rPr>
        <w:t>at this time</w:t>
      </w:r>
      <w:proofErr w:type="gramEnd"/>
      <w:r w:rsidRPr="00AD638F">
        <w:rPr>
          <w:rFonts w:ascii="Verdana" w:hAnsi="Verdana" w:cs="Times New Roman"/>
          <w:sz w:val="22"/>
          <w:szCs w:val="22"/>
        </w:rPr>
        <w:t xml:space="preserve">. </w:t>
      </w:r>
      <w:bookmarkEnd w:id="0"/>
      <w:r w:rsidRPr="00AD638F">
        <w:rPr>
          <w:rFonts w:ascii="Verdana" w:hAnsi="Verdana"/>
          <w:b/>
          <w:bCs/>
          <w:noProof/>
          <w:sz w:val="22"/>
          <w:szCs w:val="22"/>
        </w:rPr>
        <w:br/>
      </w:r>
    </w:p>
    <w:p w14:paraId="75970B72" w14:textId="36E610EB" w:rsidR="00A10460" w:rsidRPr="00AD638F" w:rsidRDefault="00421E7F" w:rsidP="00AD638F">
      <w:pPr>
        <w:ind w:left="865"/>
        <w:rPr>
          <w:rFonts w:ascii="Verdana" w:hAnsi="Verdana"/>
          <w:sz w:val="22"/>
          <w:szCs w:val="22"/>
          <w:lang w:val="en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__________________________________________________________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6" type="#_x0000_t75" style="width:21.75pt;height:21.75pt;visibility:visible;mso-wrap-style:square" o:bullet="t">
        <v:imagedata r:id="rId1" o:title=""/>
      </v:shape>
    </w:pict>
  </w:numPicBullet>
  <w:numPicBullet w:numPicBulletId="1">
    <w:pict>
      <v:shape id="_x0000_i1107" type="#_x0000_t75" style="width:381.75pt;height:381.75pt;visibility:visible;mso-wrap-style:square" o:bullet="t">
        <v:imagedata r:id="rId2" o:title=""/>
      </v:shape>
    </w:pict>
  </w:numPicBullet>
  <w:numPicBullet w:numPicBulletId="2">
    <w:pict>
      <v:shape id="_x0000_i1108" type="#_x0000_t75" style="width:223.5pt;height:223.5pt;visibility:visible;mso-wrap-style:square" o:bullet="t">
        <v:imagedata r:id="rId3" o:title=""/>
      </v:shape>
    </w:pict>
  </w:numPicBullet>
  <w:numPicBullet w:numPicBulletId="3">
    <w:pict>
      <v:shape id="_x0000_i1109" type="#_x0000_t75" style="width:14.25pt;height:14.2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58D0EF2"/>
    <w:multiLevelType w:val="hybridMultilevel"/>
    <w:tmpl w:val="0E2AC336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4831D3F"/>
    <w:multiLevelType w:val="hybridMultilevel"/>
    <w:tmpl w:val="16AC11E4"/>
    <w:lvl w:ilvl="0" w:tplc="EEA6D524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7E732C2"/>
    <w:multiLevelType w:val="hybridMultilevel"/>
    <w:tmpl w:val="E7845FC6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7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0CD618D"/>
    <w:multiLevelType w:val="hybridMultilevel"/>
    <w:tmpl w:val="31D88EAC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0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1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F370276"/>
    <w:multiLevelType w:val="hybridMultilevel"/>
    <w:tmpl w:val="29589918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9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7"/>
  </w:num>
  <w:num w:numId="2" w16cid:durableId="828599020">
    <w:abstractNumId w:val="0"/>
  </w:num>
  <w:num w:numId="3" w16cid:durableId="1966037800">
    <w:abstractNumId w:val="12"/>
  </w:num>
  <w:num w:numId="4" w16cid:durableId="1125923312">
    <w:abstractNumId w:val="20"/>
  </w:num>
  <w:num w:numId="5" w16cid:durableId="1143425367">
    <w:abstractNumId w:val="7"/>
  </w:num>
  <w:num w:numId="6" w16cid:durableId="1293360629">
    <w:abstractNumId w:val="5"/>
  </w:num>
  <w:num w:numId="7" w16cid:durableId="479228409">
    <w:abstractNumId w:val="14"/>
  </w:num>
  <w:num w:numId="8" w16cid:durableId="1553300907">
    <w:abstractNumId w:val="19"/>
  </w:num>
  <w:num w:numId="9" w16cid:durableId="687946864">
    <w:abstractNumId w:val="22"/>
  </w:num>
  <w:num w:numId="10" w16cid:durableId="993416643">
    <w:abstractNumId w:val="1"/>
  </w:num>
  <w:num w:numId="11" w16cid:durableId="1541481371">
    <w:abstractNumId w:val="13"/>
  </w:num>
  <w:num w:numId="12" w16cid:durableId="1525171868">
    <w:abstractNumId w:val="16"/>
  </w:num>
  <w:num w:numId="13" w16cid:durableId="200629463">
    <w:abstractNumId w:val="21"/>
  </w:num>
  <w:num w:numId="14" w16cid:durableId="5438320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5"/>
  </w:num>
  <w:num w:numId="17" w16cid:durableId="1764229674">
    <w:abstractNumId w:val="8"/>
  </w:num>
  <w:num w:numId="18" w16cid:durableId="949163570">
    <w:abstractNumId w:val="3"/>
  </w:num>
  <w:num w:numId="19" w16cid:durableId="418798296">
    <w:abstractNumId w:val="18"/>
  </w:num>
  <w:num w:numId="20" w16cid:durableId="1242910904">
    <w:abstractNumId w:val="4"/>
  </w:num>
  <w:num w:numId="21" w16cid:durableId="413094023">
    <w:abstractNumId w:val="2"/>
  </w:num>
  <w:num w:numId="22" w16cid:durableId="1337532495">
    <w:abstractNumId w:val="9"/>
  </w:num>
  <w:num w:numId="23" w16cid:durableId="13627849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2FA0"/>
    <w:rsid w:val="00213076"/>
    <w:rsid w:val="002156AF"/>
    <w:rsid w:val="00233631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75ABD"/>
    <w:rsid w:val="00A84640"/>
    <w:rsid w:val="00AB4D54"/>
    <w:rsid w:val="00AD638F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72E21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0654A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76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2025-08-20T11:45:00Z</dcterms:modified>
</cp:coreProperties>
</file>