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0879F5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65AEE">
                              <w:rPr>
                                <w:rFonts w:ascii="Verdana" w:hAnsi="Verdana"/>
                                <w:b/>
                                <w:sz w:val="22"/>
                                <w:szCs w:val="22"/>
                              </w:rPr>
                              <w:t>25-B-001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0879F5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65AEE">
                        <w:rPr>
                          <w:rFonts w:ascii="Verdana" w:hAnsi="Verdana"/>
                          <w:b/>
                          <w:sz w:val="22"/>
                          <w:szCs w:val="22"/>
                        </w:rPr>
                        <w:t>25-B-001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68B4823" w14:textId="137C869D" w:rsidR="00165AEE" w:rsidRPr="00165AEE" w:rsidRDefault="00165AEE" w:rsidP="00165AEE">
      <w:pPr>
        <w:rPr>
          <w:rFonts w:ascii="Verdana" w:hAnsi="Verdana"/>
          <w:b/>
          <w:sz w:val="22"/>
        </w:rPr>
      </w:pPr>
      <w:r w:rsidRPr="00165AEE">
        <w:rPr>
          <w:rFonts w:ascii="Verdana" w:hAnsi="Verdana"/>
          <w:b/>
          <w:sz w:val="22"/>
        </w:rPr>
        <w:t>Please provide the following information (as at 31/01/2025 or later) for each of the past three calendar years separately (2022, 2023, and 2024), ensuring that data for each year is reported individually rather than grouped together.</w:t>
      </w:r>
    </w:p>
    <w:p w14:paraId="58FA67A1" w14:textId="13C2B506" w:rsidR="00165AEE" w:rsidRPr="00165AEE" w:rsidRDefault="00165AEE" w:rsidP="00856DD5">
      <w:pPr>
        <w:rPr>
          <w:rFonts w:ascii="Verdana" w:hAnsi="Verdana"/>
          <w:b/>
          <w:sz w:val="22"/>
        </w:rPr>
      </w:pPr>
      <w:r w:rsidRPr="00165AEE">
        <w:rPr>
          <w:rFonts w:ascii="Verdana" w:hAnsi="Verdana"/>
          <w:b/>
          <w:sz w:val="22"/>
        </w:rPr>
        <w:t>Additionally, please break down the data by hospital and by the responsible consultant orthopaedic surgeon (or, if data is recorded differently, by the most relevant classification available).</w:t>
      </w:r>
    </w:p>
    <w:p w14:paraId="741F343D" w14:textId="1EE7A7B8" w:rsidR="00165AEE" w:rsidRPr="00856DD5" w:rsidRDefault="00165AEE" w:rsidP="00856DD5">
      <w:pPr>
        <w:pStyle w:val="ListParagraph"/>
        <w:numPr>
          <w:ilvl w:val="0"/>
          <w:numId w:val="19"/>
        </w:numPr>
        <w:rPr>
          <w:rFonts w:ascii="Verdana" w:hAnsi="Verdana"/>
          <w:b/>
          <w:sz w:val="22"/>
        </w:rPr>
      </w:pPr>
      <w:r w:rsidRPr="00165AEE">
        <w:rPr>
          <w:rFonts w:ascii="Verdana" w:hAnsi="Verdana"/>
          <w:b/>
          <w:sz w:val="22"/>
        </w:rPr>
        <w:t>Total number of patients who had knee replacement operations performed in each year.</w:t>
      </w:r>
      <w:r w:rsidR="00A054DA">
        <w:rPr>
          <w:rFonts w:ascii="Verdana" w:hAnsi="Verdana"/>
          <w:b/>
          <w:sz w:val="22"/>
        </w:rPr>
        <w:br/>
      </w:r>
      <w:r w:rsidR="00A054DA" w:rsidRPr="00A054DA">
        <w:rPr>
          <w:rFonts w:ascii="Verdana" w:hAnsi="Verdana"/>
          <w:bCs/>
          <w:sz w:val="22"/>
        </w:rPr>
        <w:t>Please note that we have provided this information for our 3 main hospital sites. We have also provided figures for operations performed outside of the health board boundary via outsourcing arrangements</w:t>
      </w:r>
      <w:r w:rsidR="007154C9">
        <w:rPr>
          <w:rFonts w:ascii="Verdana" w:hAnsi="Verdana"/>
          <w:bCs/>
          <w:sz w:val="22"/>
        </w:rPr>
        <w:t xml:space="preserve"> under the category “private providers”</w:t>
      </w:r>
      <w:r w:rsidR="00A054DA" w:rsidRPr="00A054DA">
        <w:rPr>
          <w:rFonts w:ascii="Verdana" w:hAnsi="Verdana"/>
          <w:bCs/>
          <w:sz w:val="22"/>
        </w:rPr>
        <w:t>.</w:t>
      </w:r>
      <w:r w:rsidR="00A054DA">
        <w:rPr>
          <w:rFonts w:ascii="Verdana" w:hAnsi="Verdana"/>
          <w:bCs/>
          <w:sz w:val="22"/>
        </w:rPr>
        <w:t xml:space="preserve">  </w:t>
      </w:r>
      <w:r w:rsidR="00DA56E1">
        <w:rPr>
          <w:rFonts w:ascii="Verdana" w:hAnsi="Verdana"/>
          <w:bCs/>
          <w:sz w:val="22"/>
        </w:rPr>
        <w:br/>
      </w:r>
      <w:r w:rsidR="007154C9">
        <w:rPr>
          <w:rFonts w:ascii="Verdana" w:hAnsi="Verdana"/>
          <w:bCs/>
          <w:sz w:val="22"/>
        </w:rPr>
        <w:br/>
        <w:t>Procedures undertaken at Prince Philip Hospital are performed under a working agreement with Hywel Dda Health Board. Swansea Bay surgeons utilise the operating theatres at Prince Philip Hospital to treat Swansea Bay patients.</w:t>
      </w:r>
    </w:p>
    <w:tbl>
      <w:tblPr>
        <w:tblW w:w="6495" w:type="dxa"/>
        <w:jc w:val="center"/>
        <w:tblLook w:val="04A0" w:firstRow="1" w:lastRow="0" w:firstColumn="1" w:lastColumn="0" w:noHBand="0" w:noVBand="1"/>
      </w:tblPr>
      <w:tblGrid>
        <w:gridCol w:w="3260"/>
        <w:gridCol w:w="1143"/>
        <w:gridCol w:w="1116"/>
        <w:gridCol w:w="976"/>
      </w:tblGrid>
      <w:tr w:rsidR="00DA56E1" w:rsidRPr="00DA56E1" w14:paraId="763244E3" w14:textId="77777777" w:rsidTr="00B87AC7">
        <w:trPr>
          <w:trHeight w:val="300"/>
          <w:jc w:val="center"/>
        </w:trPr>
        <w:tc>
          <w:tcPr>
            <w:tcW w:w="3260" w:type="dxa"/>
            <w:tcBorders>
              <w:top w:val="nil"/>
              <w:left w:val="nil"/>
              <w:bottom w:val="nil"/>
              <w:right w:val="nil"/>
            </w:tcBorders>
            <w:shd w:val="clear" w:color="D9E1F2" w:fill="D9E1F2"/>
            <w:noWrap/>
            <w:vAlign w:val="bottom"/>
            <w:hideMark/>
          </w:tcPr>
          <w:p w14:paraId="1EFB33AB" w14:textId="2C8BA350" w:rsidR="00DA56E1" w:rsidRPr="00DA56E1" w:rsidRDefault="00DA56E1" w:rsidP="00DA56E1">
            <w:pPr>
              <w:spacing w:before="0" w:after="0" w:line="240" w:lineRule="auto"/>
              <w:ind w:left="0" w:right="0"/>
              <w:rPr>
                <w:rFonts w:ascii="Calibri" w:eastAsia="Times New Roman" w:hAnsi="Calibri" w:cs="Calibri"/>
                <w:b/>
                <w:bCs/>
                <w:color w:val="000000"/>
                <w:sz w:val="22"/>
                <w:szCs w:val="22"/>
              </w:rPr>
            </w:pPr>
          </w:p>
        </w:tc>
        <w:tc>
          <w:tcPr>
            <w:tcW w:w="3235" w:type="dxa"/>
            <w:gridSpan w:val="3"/>
            <w:tcBorders>
              <w:top w:val="nil"/>
              <w:left w:val="nil"/>
              <w:bottom w:val="nil"/>
              <w:right w:val="nil"/>
            </w:tcBorders>
            <w:shd w:val="clear" w:color="D9E1F2" w:fill="D9E1F2"/>
            <w:noWrap/>
            <w:vAlign w:val="center"/>
            <w:hideMark/>
          </w:tcPr>
          <w:p w14:paraId="671C54CB" w14:textId="67AF6CC8" w:rsidR="00DA56E1" w:rsidRPr="00DA56E1" w:rsidRDefault="00DA56E1" w:rsidP="00DA56E1">
            <w:pPr>
              <w:spacing w:before="0" w:after="0" w:line="240" w:lineRule="auto"/>
              <w:ind w:left="0" w:right="0"/>
              <w:jc w:val="center"/>
              <w:rPr>
                <w:rFonts w:ascii="Times New Roman" w:eastAsia="Times New Roman" w:hAnsi="Times New Roman" w:cs="Times New Roman"/>
                <w:sz w:val="20"/>
                <w:szCs w:val="20"/>
              </w:rPr>
            </w:pPr>
            <w:r w:rsidRPr="00DA56E1">
              <w:rPr>
                <w:rFonts w:ascii="Calibri" w:eastAsia="Times New Roman" w:hAnsi="Calibri" w:cs="Calibri"/>
                <w:b/>
                <w:bCs/>
                <w:color w:val="000000"/>
                <w:sz w:val="22"/>
                <w:szCs w:val="22"/>
              </w:rPr>
              <w:t>Years</w:t>
            </w:r>
          </w:p>
        </w:tc>
      </w:tr>
      <w:tr w:rsidR="00DA56E1" w:rsidRPr="00DA56E1" w14:paraId="484CBFB9" w14:textId="77777777" w:rsidTr="00B87AC7">
        <w:trPr>
          <w:trHeight w:val="300"/>
          <w:jc w:val="center"/>
        </w:trPr>
        <w:tc>
          <w:tcPr>
            <w:tcW w:w="3260" w:type="dxa"/>
            <w:tcBorders>
              <w:top w:val="nil"/>
              <w:left w:val="nil"/>
              <w:bottom w:val="single" w:sz="4" w:space="0" w:color="8EA9DB"/>
              <w:right w:val="nil"/>
            </w:tcBorders>
            <w:shd w:val="clear" w:color="D9E1F2" w:fill="D9E1F2"/>
            <w:noWrap/>
            <w:vAlign w:val="bottom"/>
            <w:hideMark/>
          </w:tcPr>
          <w:p w14:paraId="0189A4BE" w14:textId="0404F302" w:rsidR="00DA56E1" w:rsidRPr="00DA56E1" w:rsidRDefault="00DA56E1" w:rsidP="00DA56E1">
            <w:pPr>
              <w:spacing w:before="0" w:after="0" w:line="240" w:lineRule="auto"/>
              <w:ind w:left="0" w:right="0"/>
              <w:rPr>
                <w:rFonts w:ascii="Calibri" w:eastAsia="Times New Roman" w:hAnsi="Calibri" w:cs="Calibri"/>
                <w:b/>
                <w:bCs/>
                <w:color w:val="000000"/>
                <w:sz w:val="22"/>
                <w:szCs w:val="22"/>
              </w:rPr>
            </w:pPr>
          </w:p>
        </w:tc>
        <w:tc>
          <w:tcPr>
            <w:tcW w:w="1143" w:type="dxa"/>
            <w:tcBorders>
              <w:top w:val="nil"/>
              <w:left w:val="nil"/>
              <w:bottom w:val="single" w:sz="4" w:space="0" w:color="8EA9DB"/>
              <w:right w:val="nil"/>
            </w:tcBorders>
            <w:shd w:val="clear" w:color="D9E1F2" w:fill="D9E1F2"/>
            <w:noWrap/>
            <w:vAlign w:val="center"/>
            <w:hideMark/>
          </w:tcPr>
          <w:p w14:paraId="1881AC45" w14:textId="77777777" w:rsidR="00DA56E1" w:rsidRPr="00DA56E1" w:rsidRDefault="00DA56E1" w:rsidP="00DA56E1">
            <w:pPr>
              <w:spacing w:before="0" w:after="0" w:line="240" w:lineRule="auto"/>
              <w:ind w:left="0" w:right="0"/>
              <w:jc w:val="center"/>
              <w:rPr>
                <w:rFonts w:ascii="Calibri" w:eastAsia="Times New Roman" w:hAnsi="Calibri" w:cs="Calibri"/>
                <w:b/>
                <w:bCs/>
                <w:color w:val="000000"/>
                <w:sz w:val="22"/>
                <w:szCs w:val="22"/>
              </w:rPr>
            </w:pPr>
            <w:r w:rsidRPr="00DA56E1">
              <w:rPr>
                <w:rFonts w:ascii="Calibri" w:eastAsia="Times New Roman" w:hAnsi="Calibri" w:cs="Calibri"/>
                <w:b/>
                <w:bCs/>
                <w:color w:val="000000"/>
                <w:sz w:val="22"/>
                <w:szCs w:val="22"/>
              </w:rPr>
              <w:t>2022</w:t>
            </w:r>
          </w:p>
        </w:tc>
        <w:tc>
          <w:tcPr>
            <w:tcW w:w="1116" w:type="dxa"/>
            <w:tcBorders>
              <w:top w:val="nil"/>
              <w:left w:val="nil"/>
              <w:bottom w:val="single" w:sz="4" w:space="0" w:color="8EA9DB"/>
              <w:right w:val="nil"/>
            </w:tcBorders>
            <w:shd w:val="clear" w:color="D9E1F2" w:fill="D9E1F2"/>
            <w:noWrap/>
            <w:vAlign w:val="center"/>
            <w:hideMark/>
          </w:tcPr>
          <w:p w14:paraId="41BAA317" w14:textId="77777777" w:rsidR="00DA56E1" w:rsidRPr="00DA56E1" w:rsidRDefault="00DA56E1" w:rsidP="00DA56E1">
            <w:pPr>
              <w:spacing w:before="0" w:after="0" w:line="240" w:lineRule="auto"/>
              <w:ind w:left="0" w:right="0"/>
              <w:jc w:val="center"/>
              <w:rPr>
                <w:rFonts w:ascii="Calibri" w:eastAsia="Times New Roman" w:hAnsi="Calibri" w:cs="Calibri"/>
                <w:b/>
                <w:bCs/>
                <w:color w:val="000000"/>
                <w:sz w:val="22"/>
                <w:szCs w:val="22"/>
              </w:rPr>
            </w:pPr>
            <w:r w:rsidRPr="00DA56E1">
              <w:rPr>
                <w:rFonts w:ascii="Calibri" w:eastAsia="Times New Roman" w:hAnsi="Calibri" w:cs="Calibri"/>
                <w:b/>
                <w:bCs/>
                <w:color w:val="000000"/>
                <w:sz w:val="22"/>
                <w:szCs w:val="22"/>
              </w:rPr>
              <w:t>2023</w:t>
            </w:r>
          </w:p>
        </w:tc>
        <w:tc>
          <w:tcPr>
            <w:tcW w:w="976" w:type="dxa"/>
            <w:tcBorders>
              <w:top w:val="nil"/>
              <w:left w:val="nil"/>
              <w:bottom w:val="single" w:sz="4" w:space="0" w:color="8EA9DB"/>
              <w:right w:val="nil"/>
            </w:tcBorders>
            <w:shd w:val="clear" w:color="D9E1F2" w:fill="D9E1F2"/>
            <w:noWrap/>
            <w:vAlign w:val="center"/>
            <w:hideMark/>
          </w:tcPr>
          <w:p w14:paraId="300F8E66" w14:textId="77777777" w:rsidR="00DA56E1" w:rsidRPr="00DA56E1" w:rsidRDefault="00DA56E1" w:rsidP="00DA56E1">
            <w:pPr>
              <w:spacing w:before="0" w:after="0" w:line="240" w:lineRule="auto"/>
              <w:ind w:left="0" w:right="0"/>
              <w:jc w:val="center"/>
              <w:rPr>
                <w:rFonts w:ascii="Calibri" w:eastAsia="Times New Roman" w:hAnsi="Calibri" w:cs="Calibri"/>
                <w:b/>
                <w:bCs/>
                <w:color w:val="000000"/>
                <w:sz w:val="22"/>
                <w:szCs w:val="22"/>
              </w:rPr>
            </w:pPr>
            <w:r w:rsidRPr="00DA56E1">
              <w:rPr>
                <w:rFonts w:ascii="Calibri" w:eastAsia="Times New Roman" w:hAnsi="Calibri" w:cs="Calibri"/>
                <w:b/>
                <w:bCs/>
                <w:color w:val="000000"/>
                <w:sz w:val="22"/>
                <w:szCs w:val="22"/>
              </w:rPr>
              <w:t>2024</w:t>
            </w:r>
          </w:p>
        </w:tc>
      </w:tr>
      <w:tr w:rsidR="00DA56E1" w:rsidRPr="00DA56E1" w14:paraId="08A8801C" w14:textId="77777777" w:rsidTr="00B87AC7">
        <w:trPr>
          <w:trHeight w:val="300"/>
          <w:jc w:val="center"/>
        </w:trPr>
        <w:tc>
          <w:tcPr>
            <w:tcW w:w="3260" w:type="dxa"/>
            <w:tcBorders>
              <w:top w:val="nil"/>
              <w:left w:val="nil"/>
              <w:bottom w:val="nil"/>
              <w:right w:val="nil"/>
            </w:tcBorders>
            <w:shd w:val="clear" w:color="auto" w:fill="auto"/>
            <w:noWrap/>
            <w:vAlign w:val="bottom"/>
            <w:hideMark/>
          </w:tcPr>
          <w:p w14:paraId="4363E6D6" w14:textId="77777777" w:rsidR="00DA56E1" w:rsidRPr="00DA56E1" w:rsidRDefault="00DA56E1" w:rsidP="00DA56E1">
            <w:pPr>
              <w:spacing w:before="0" w:after="0" w:line="240" w:lineRule="auto"/>
              <w:ind w:left="0" w:right="0"/>
              <w:rPr>
                <w:rFonts w:ascii="Calibri" w:eastAsia="Times New Roman" w:hAnsi="Calibri" w:cs="Calibri"/>
                <w:color w:val="000000"/>
                <w:sz w:val="22"/>
                <w:szCs w:val="22"/>
              </w:rPr>
            </w:pPr>
            <w:r w:rsidRPr="00DA56E1">
              <w:rPr>
                <w:rFonts w:ascii="Calibri" w:eastAsia="Times New Roman" w:hAnsi="Calibri" w:cs="Calibri"/>
                <w:color w:val="000000"/>
                <w:sz w:val="22"/>
                <w:szCs w:val="22"/>
              </w:rPr>
              <w:t>Morriston Hospital</w:t>
            </w:r>
          </w:p>
        </w:tc>
        <w:tc>
          <w:tcPr>
            <w:tcW w:w="1143" w:type="dxa"/>
            <w:tcBorders>
              <w:top w:val="nil"/>
              <w:left w:val="nil"/>
              <w:bottom w:val="nil"/>
              <w:right w:val="nil"/>
            </w:tcBorders>
            <w:shd w:val="clear" w:color="auto" w:fill="auto"/>
            <w:noWrap/>
            <w:vAlign w:val="center"/>
            <w:hideMark/>
          </w:tcPr>
          <w:p w14:paraId="6A9B7648" w14:textId="77777777"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8</w:t>
            </w:r>
          </w:p>
        </w:tc>
        <w:tc>
          <w:tcPr>
            <w:tcW w:w="1116" w:type="dxa"/>
            <w:tcBorders>
              <w:top w:val="nil"/>
              <w:left w:val="nil"/>
              <w:bottom w:val="nil"/>
              <w:right w:val="nil"/>
            </w:tcBorders>
            <w:shd w:val="clear" w:color="auto" w:fill="auto"/>
            <w:noWrap/>
            <w:vAlign w:val="center"/>
            <w:hideMark/>
          </w:tcPr>
          <w:p w14:paraId="6915A07D" w14:textId="77777777"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46</w:t>
            </w:r>
          </w:p>
        </w:tc>
        <w:tc>
          <w:tcPr>
            <w:tcW w:w="976" w:type="dxa"/>
            <w:tcBorders>
              <w:top w:val="nil"/>
              <w:left w:val="nil"/>
              <w:bottom w:val="nil"/>
              <w:right w:val="nil"/>
            </w:tcBorders>
            <w:shd w:val="clear" w:color="auto" w:fill="auto"/>
            <w:noWrap/>
            <w:vAlign w:val="center"/>
            <w:hideMark/>
          </w:tcPr>
          <w:p w14:paraId="7DBAD0AB" w14:textId="77777777"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53</w:t>
            </w:r>
          </w:p>
        </w:tc>
      </w:tr>
      <w:tr w:rsidR="00DA56E1" w:rsidRPr="00DA56E1" w14:paraId="4246D90A" w14:textId="77777777" w:rsidTr="00B87AC7">
        <w:trPr>
          <w:trHeight w:val="300"/>
          <w:jc w:val="center"/>
        </w:trPr>
        <w:tc>
          <w:tcPr>
            <w:tcW w:w="3260" w:type="dxa"/>
            <w:tcBorders>
              <w:top w:val="nil"/>
              <w:left w:val="nil"/>
              <w:bottom w:val="nil"/>
              <w:right w:val="nil"/>
            </w:tcBorders>
            <w:shd w:val="clear" w:color="auto" w:fill="auto"/>
            <w:noWrap/>
            <w:vAlign w:val="bottom"/>
            <w:hideMark/>
          </w:tcPr>
          <w:p w14:paraId="43477011" w14:textId="77777777" w:rsidR="00DA56E1" w:rsidRPr="00DA56E1" w:rsidRDefault="00DA56E1" w:rsidP="00DA56E1">
            <w:pPr>
              <w:spacing w:before="0" w:after="0" w:line="240" w:lineRule="auto"/>
              <w:ind w:left="0" w:right="0"/>
              <w:rPr>
                <w:rFonts w:ascii="Calibri" w:eastAsia="Times New Roman" w:hAnsi="Calibri" w:cs="Calibri"/>
                <w:color w:val="000000"/>
                <w:sz w:val="22"/>
                <w:szCs w:val="22"/>
              </w:rPr>
            </w:pPr>
            <w:r w:rsidRPr="00DA56E1">
              <w:rPr>
                <w:rFonts w:ascii="Calibri" w:eastAsia="Times New Roman" w:hAnsi="Calibri" w:cs="Calibri"/>
                <w:color w:val="000000"/>
                <w:sz w:val="22"/>
                <w:szCs w:val="22"/>
              </w:rPr>
              <w:t>Neath Port Talbot Hospital</w:t>
            </w:r>
          </w:p>
        </w:tc>
        <w:tc>
          <w:tcPr>
            <w:tcW w:w="1143" w:type="dxa"/>
            <w:tcBorders>
              <w:top w:val="nil"/>
              <w:left w:val="nil"/>
              <w:bottom w:val="nil"/>
              <w:right w:val="nil"/>
            </w:tcBorders>
            <w:shd w:val="clear" w:color="auto" w:fill="auto"/>
            <w:noWrap/>
            <w:vAlign w:val="center"/>
            <w:hideMark/>
          </w:tcPr>
          <w:p w14:paraId="26A307FF" w14:textId="77777777"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171</w:t>
            </w:r>
          </w:p>
        </w:tc>
        <w:tc>
          <w:tcPr>
            <w:tcW w:w="1116" w:type="dxa"/>
            <w:tcBorders>
              <w:top w:val="nil"/>
              <w:left w:val="nil"/>
              <w:bottom w:val="nil"/>
              <w:right w:val="nil"/>
            </w:tcBorders>
            <w:shd w:val="clear" w:color="auto" w:fill="auto"/>
            <w:noWrap/>
            <w:vAlign w:val="center"/>
            <w:hideMark/>
          </w:tcPr>
          <w:p w14:paraId="5776854C" w14:textId="77777777"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213</w:t>
            </w:r>
          </w:p>
        </w:tc>
        <w:tc>
          <w:tcPr>
            <w:tcW w:w="976" w:type="dxa"/>
            <w:tcBorders>
              <w:top w:val="nil"/>
              <w:left w:val="nil"/>
              <w:bottom w:val="nil"/>
              <w:right w:val="nil"/>
            </w:tcBorders>
            <w:shd w:val="clear" w:color="auto" w:fill="auto"/>
            <w:noWrap/>
            <w:vAlign w:val="center"/>
            <w:hideMark/>
          </w:tcPr>
          <w:p w14:paraId="78E48F45" w14:textId="77777777"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256</w:t>
            </w:r>
          </w:p>
        </w:tc>
      </w:tr>
      <w:tr w:rsidR="00DA56E1" w:rsidRPr="00DA56E1" w14:paraId="666AEF8D" w14:textId="77777777" w:rsidTr="00B87AC7">
        <w:trPr>
          <w:trHeight w:val="300"/>
          <w:jc w:val="center"/>
        </w:trPr>
        <w:tc>
          <w:tcPr>
            <w:tcW w:w="3260" w:type="dxa"/>
            <w:tcBorders>
              <w:top w:val="nil"/>
              <w:left w:val="nil"/>
              <w:bottom w:val="nil"/>
              <w:right w:val="nil"/>
            </w:tcBorders>
            <w:shd w:val="clear" w:color="auto" w:fill="auto"/>
            <w:noWrap/>
            <w:vAlign w:val="bottom"/>
          </w:tcPr>
          <w:p w14:paraId="6D4ED25E" w14:textId="12ABFB7E" w:rsidR="00DA56E1" w:rsidRPr="00DA56E1" w:rsidRDefault="00DA56E1" w:rsidP="00DA56E1">
            <w:pPr>
              <w:spacing w:before="0" w:after="0" w:line="240" w:lineRule="auto"/>
              <w:ind w:left="0" w:right="0"/>
              <w:rPr>
                <w:rFonts w:ascii="Calibri" w:eastAsia="Times New Roman" w:hAnsi="Calibri" w:cs="Calibri"/>
                <w:color w:val="000000"/>
                <w:sz w:val="22"/>
                <w:szCs w:val="22"/>
              </w:rPr>
            </w:pPr>
            <w:r w:rsidRPr="00DA56E1">
              <w:rPr>
                <w:rFonts w:ascii="Calibri" w:eastAsia="Times New Roman" w:hAnsi="Calibri" w:cs="Calibri"/>
                <w:color w:val="000000"/>
                <w:sz w:val="22"/>
                <w:szCs w:val="22"/>
              </w:rPr>
              <w:t>Singleton Hospital</w:t>
            </w:r>
          </w:p>
        </w:tc>
        <w:tc>
          <w:tcPr>
            <w:tcW w:w="1143" w:type="dxa"/>
            <w:tcBorders>
              <w:top w:val="nil"/>
              <w:left w:val="nil"/>
              <w:bottom w:val="nil"/>
              <w:right w:val="nil"/>
            </w:tcBorders>
            <w:shd w:val="clear" w:color="auto" w:fill="auto"/>
            <w:noWrap/>
            <w:vAlign w:val="center"/>
          </w:tcPr>
          <w:p w14:paraId="03E954D1" w14:textId="4D6083ED"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&lt;5</w:t>
            </w:r>
          </w:p>
        </w:tc>
        <w:tc>
          <w:tcPr>
            <w:tcW w:w="1116" w:type="dxa"/>
            <w:tcBorders>
              <w:top w:val="nil"/>
              <w:left w:val="nil"/>
              <w:bottom w:val="nil"/>
              <w:right w:val="nil"/>
            </w:tcBorders>
            <w:shd w:val="clear" w:color="auto" w:fill="auto"/>
            <w:noWrap/>
            <w:vAlign w:val="center"/>
          </w:tcPr>
          <w:p w14:paraId="2967825C" w14:textId="2C5CB0C0"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0</w:t>
            </w:r>
          </w:p>
        </w:tc>
        <w:tc>
          <w:tcPr>
            <w:tcW w:w="976" w:type="dxa"/>
            <w:tcBorders>
              <w:top w:val="nil"/>
              <w:left w:val="nil"/>
              <w:bottom w:val="nil"/>
              <w:right w:val="nil"/>
            </w:tcBorders>
            <w:shd w:val="clear" w:color="auto" w:fill="auto"/>
            <w:noWrap/>
            <w:vAlign w:val="center"/>
          </w:tcPr>
          <w:p w14:paraId="0300D240" w14:textId="7AF57FB3"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0</w:t>
            </w:r>
          </w:p>
        </w:tc>
      </w:tr>
      <w:tr w:rsidR="00DA56E1" w:rsidRPr="00DA56E1" w14:paraId="106D4597" w14:textId="77777777" w:rsidTr="00B87AC7">
        <w:trPr>
          <w:trHeight w:val="300"/>
          <w:jc w:val="center"/>
        </w:trPr>
        <w:tc>
          <w:tcPr>
            <w:tcW w:w="3260" w:type="dxa"/>
            <w:tcBorders>
              <w:top w:val="nil"/>
              <w:left w:val="nil"/>
              <w:bottom w:val="nil"/>
              <w:right w:val="nil"/>
            </w:tcBorders>
            <w:shd w:val="clear" w:color="auto" w:fill="auto"/>
            <w:noWrap/>
            <w:vAlign w:val="bottom"/>
            <w:hideMark/>
          </w:tcPr>
          <w:p w14:paraId="33012E06" w14:textId="77777777" w:rsidR="00DA56E1" w:rsidRPr="00DA56E1" w:rsidRDefault="00DA56E1" w:rsidP="00DA56E1">
            <w:pPr>
              <w:spacing w:before="0" w:after="0" w:line="240" w:lineRule="auto"/>
              <w:ind w:left="0" w:right="0"/>
              <w:rPr>
                <w:rFonts w:ascii="Calibri" w:eastAsia="Times New Roman" w:hAnsi="Calibri" w:cs="Calibri"/>
                <w:color w:val="000000"/>
                <w:sz w:val="22"/>
                <w:szCs w:val="22"/>
              </w:rPr>
            </w:pPr>
            <w:r w:rsidRPr="00DA56E1">
              <w:rPr>
                <w:rFonts w:ascii="Calibri" w:eastAsia="Times New Roman" w:hAnsi="Calibri" w:cs="Calibri"/>
                <w:color w:val="000000"/>
                <w:sz w:val="22"/>
                <w:szCs w:val="22"/>
              </w:rPr>
              <w:t>Prince Philip Hospital</w:t>
            </w:r>
          </w:p>
        </w:tc>
        <w:tc>
          <w:tcPr>
            <w:tcW w:w="1143" w:type="dxa"/>
            <w:tcBorders>
              <w:top w:val="nil"/>
              <w:left w:val="nil"/>
              <w:bottom w:val="nil"/>
              <w:right w:val="nil"/>
            </w:tcBorders>
            <w:shd w:val="clear" w:color="auto" w:fill="auto"/>
            <w:noWrap/>
            <w:vAlign w:val="center"/>
            <w:hideMark/>
          </w:tcPr>
          <w:p w14:paraId="4F4F6A67" w14:textId="582CC5B1" w:rsidR="00DA56E1" w:rsidRPr="007154C9" w:rsidRDefault="007154C9"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0</w:t>
            </w:r>
          </w:p>
        </w:tc>
        <w:tc>
          <w:tcPr>
            <w:tcW w:w="1116" w:type="dxa"/>
            <w:tcBorders>
              <w:top w:val="nil"/>
              <w:left w:val="nil"/>
              <w:bottom w:val="nil"/>
              <w:right w:val="nil"/>
            </w:tcBorders>
            <w:shd w:val="clear" w:color="auto" w:fill="auto"/>
            <w:noWrap/>
            <w:vAlign w:val="center"/>
            <w:hideMark/>
          </w:tcPr>
          <w:p w14:paraId="34B1E389" w14:textId="48A8F556" w:rsidR="00DA56E1" w:rsidRPr="007154C9" w:rsidRDefault="007154C9" w:rsidP="00DA56E1">
            <w:pPr>
              <w:spacing w:before="0" w:after="0" w:line="240" w:lineRule="auto"/>
              <w:ind w:left="0" w:right="0"/>
              <w:jc w:val="center"/>
              <w:rPr>
                <w:rFonts w:asciiTheme="minorHAnsi" w:eastAsia="Times New Roman" w:hAnsiTheme="minorHAnsi" w:cstheme="minorHAnsi"/>
                <w:sz w:val="22"/>
                <w:szCs w:val="22"/>
              </w:rPr>
            </w:pPr>
            <w:r w:rsidRPr="007154C9">
              <w:rPr>
                <w:rFonts w:asciiTheme="minorHAnsi" w:eastAsia="Times New Roman" w:hAnsiTheme="minorHAnsi" w:cstheme="minorHAnsi"/>
                <w:sz w:val="22"/>
                <w:szCs w:val="22"/>
              </w:rPr>
              <w:t>0</w:t>
            </w:r>
          </w:p>
        </w:tc>
        <w:tc>
          <w:tcPr>
            <w:tcW w:w="976" w:type="dxa"/>
            <w:tcBorders>
              <w:top w:val="nil"/>
              <w:left w:val="nil"/>
              <w:bottom w:val="nil"/>
              <w:right w:val="nil"/>
            </w:tcBorders>
            <w:shd w:val="clear" w:color="auto" w:fill="auto"/>
            <w:noWrap/>
            <w:vAlign w:val="center"/>
            <w:hideMark/>
          </w:tcPr>
          <w:p w14:paraId="2772CAC0" w14:textId="77777777"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15</w:t>
            </w:r>
          </w:p>
        </w:tc>
      </w:tr>
      <w:tr w:rsidR="00DA56E1" w:rsidRPr="00DA56E1" w14:paraId="75EAA447" w14:textId="77777777" w:rsidTr="00B87AC7">
        <w:trPr>
          <w:trHeight w:val="80"/>
          <w:jc w:val="center"/>
        </w:trPr>
        <w:tc>
          <w:tcPr>
            <w:tcW w:w="3260" w:type="dxa"/>
            <w:tcBorders>
              <w:top w:val="nil"/>
              <w:left w:val="nil"/>
              <w:bottom w:val="nil"/>
              <w:right w:val="nil"/>
            </w:tcBorders>
            <w:shd w:val="clear" w:color="auto" w:fill="auto"/>
            <w:noWrap/>
            <w:vAlign w:val="bottom"/>
          </w:tcPr>
          <w:p w14:paraId="09B5BFC8" w14:textId="77777777" w:rsidR="00DA56E1" w:rsidRPr="00DA56E1" w:rsidRDefault="00DA56E1" w:rsidP="00DA56E1">
            <w:pPr>
              <w:spacing w:before="0" w:after="0" w:line="240" w:lineRule="auto"/>
              <w:ind w:left="0" w:right="0"/>
              <w:rPr>
                <w:rFonts w:ascii="Calibri" w:eastAsia="Times New Roman" w:hAnsi="Calibri" w:cs="Calibri"/>
                <w:color w:val="000000"/>
                <w:sz w:val="22"/>
                <w:szCs w:val="22"/>
              </w:rPr>
            </w:pPr>
          </w:p>
        </w:tc>
        <w:tc>
          <w:tcPr>
            <w:tcW w:w="1143" w:type="dxa"/>
            <w:tcBorders>
              <w:top w:val="nil"/>
              <w:left w:val="nil"/>
              <w:bottom w:val="nil"/>
              <w:right w:val="nil"/>
            </w:tcBorders>
            <w:shd w:val="clear" w:color="auto" w:fill="auto"/>
            <w:noWrap/>
            <w:vAlign w:val="center"/>
          </w:tcPr>
          <w:p w14:paraId="1C8B1FC5" w14:textId="77777777"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p>
        </w:tc>
        <w:tc>
          <w:tcPr>
            <w:tcW w:w="1116" w:type="dxa"/>
            <w:tcBorders>
              <w:top w:val="nil"/>
              <w:left w:val="nil"/>
              <w:bottom w:val="nil"/>
              <w:right w:val="nil"/>
            </w:tcBorders>
            <w:shd w:val="clear" w:color="auto" w:fill="auto"/>
            <w:noWrap/>
            <w:vAlign w:val="center"/>
          </w:tcPr>
          <w:p w14:paraId="204E8051" w14:textId="77777777" w:rsidR="00DA56E1" w:rsidRPr="007154C9" w:rsidRDefault="00DA56E1" w:rsidP="00DA56E1">
            <w:pPr>
              <w:spacing w:before="0" w:after="0" w:line="240" w:lineRule="auto"/>
              <w:ind w:left="0" w:right="0"/>
              <w:jc w:val="center"/>
              <w:rPr>
                <w:rFonts w:asciiTheme="minorHAnsi" w:eastAsia="Times New Roman" w:hAnsiTheme="minorHAnsi" w:cstheme="minorHAnsi"/>
                <w:sz w:val="22"/>
                <w:szCs w:val="22"/>
              </w:rPr>
            </w:pPr>
          </w:p>
        </w:tc>
        <w:tc>
          <w:tcPr>
            <w:tcW w:w="976" w:type="dxa"/>
            <w:tcBorders>
              <w:top w:val="nil"/>
              <w:left w:val="nil"/>
              <w:bottom w:val="nil"/>
              <w:right w:val="nil"/>
            </w:tcBorders>
            <w:shd w:val="clear" w:color="auto" w:fill="auto"/>
            <w:noWrap/>
            <w:vAlign w:val="center"/>
          </w:tcPr>
          <w:p w14:paraId="7E9D5C4B" w14:textId="77777777"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p>
        </w:tc>
      </w:tr>
      <w:tr w:rsidR="00DA56E1" w:rsidRPr="00DA56E1" w14:paraId="3B228DF0" w14:textId="77777777" w:rsidTr="00B87AC7">
        <w:trPr>
          <w:trHeight w:val="300"/>
          <w:jc w:val="center"/>
        </w:trPr>
        <w:tc>
          <w:tcPr>
            <w:tcW w:w="3260" w:type="dxa"/>
            <w:tcBorders>
              <w:top w:val="nil"/>
              <w:left w:val="nil"/>
              <w:bottom w:val="nil"/>
              <w:right w:val="nil"/>
            </w:tcBorders>
            <w:shd w:val="clear" w:color="auto" w:fill="auto"/>
            <w:noWrap/>
            <w:vAlign w:val="bottom"/>
            <w:hideMark/>
          </w:tcPr>
          <w:p w14:paraId="4B136123" w14:textId="560B1487" w:rsidR="00DA56E1" w:rsidRPr="00DA56E1" w:rsidRDefault="00DA56E1" w:rsidP="00DA56E1">
            <w:pPr>
              <w:spacing w:before="0" w:after="0" w:line="240" w:lineRule="auto"/>
              <w:ind w:left="0" w:right="0"/>
              <w:rPr>
                <w:rFonts w:ascii="Calibri" w:eastAsia="Times New Roman" w:hAnsi="Calibri" w:cs="Calibri"/>
                <w:color w:val="000000"/>
                <w:sz w:val="22"/>
                <w:szCs w:val="22"/>
              </w:rPr>
            </w:pPr>
            <w:r>
              <w:rPr>
                <w:rFonts w:ascii="Calibri" w:eastAsia="Times New Roman" w:hAnsi="Calibri" w:cs="Calibri"/>
                <w:color w:val="000000"/>
                <w:sz w:val="22"/>
                <w:szCs w:val="22"/>
              </w:rPr>
              <w:t>Private Providers</w:t>
            </w:r>
          </w:p>
        </w:tc>
        <w:tc>
          <w:tcPr>
            <w:tcW w:w="1143" w:type="dxa"/>
            <w:tcBorders>
              <w:top w:val="nil"/>
              <w:left w:val="nil"/>
              <w:bottom w:val="nil"/>
              <w:right w:val="nil"/>
            </w:tcBorders>
            <w:shd w:val="clear" w:color="auto" w:fill="auto"/>
            <w:noWrap/>
            <w:vAlign w:val="center"/>
            <w:hideMark/>
          </w:tcPr>
          <w:p w14:paraId="418246CB" w14:textId="4CCCC94B" w:rsidR="00DA56E1" w:rsidRPr="007154C9" w:rsidRDefault="007154C9" w:rsidP="00DA56E1">
            <w:pPr>
              <w:spacing w:before="0" w:after="0" w:line="240" w:lineRule="auto"/>
              <w:ind w:left="0" w:right="0"/>
              <w:jc w:val="center"/>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0</w:t>
            </w:r>
          </w:p>
        </w:tc>
        <w:tc>
          <w:tcPr>
            <w:tcW w:w="1116" w:type="dxa"/>
            <w:tcBorders>
              <w:top w:val="nil"/>
              <w:left w:val="nil"/>
              <w:bottom w:val="nil"/>
              <w:right w:val="nil"/>
            </w:tcBorders>
            <w:shd w:val="clear" w:color="auto" w:fill="auto"/>
            <w:noWrap/>
            <w:vAlign w:val="center"/>
            <w:hideMark/>
          </w:tcPr>
          <w:p w14:paraId="3DE2B3BC" w14:textId="08F7B863" w:rsidR="00DA56E1" w:rsidRPr="007154C9" w:rsidRDefault="00DA56E1" w:rsidP="00DA56E1">
            <w:pPr>
              <w:spacing w:before="0" w:after="0" w:line="240" w:lineRule="auto"/>
              <w:ind w:left="0" w:right="0"/>
              <w:jc w:val="center"/>
              <w:rPr>
                <w:rFonts w:asciiTheme="minorHAnsi" w:eastAsia="Times New Roman" w:hAnsiTheme="minorHAnsi" w:cstheme="minorHAnsi"/>
                <w:sz w:val="22"/>
                <w:szCs w:val="22"/>
              </w:rPr>
            </w:pPr>
            <w:r w:rsidRPr="007154C9">
              <w:rPr>
                <w:rFonts w:asciiTheme="minorHAnsi" w:eastAsia="Times New Roman" w:hAnsiTheme="minorHAnsi" w:cstheme="minorHAnsi"/>
                <w:sz w:val="22"/>
                <w:szCs w:val="22"/>
              </w:rPr>
              <w:t>17</w:t>
            </w:r>
          </w:p>
        </w:tc>
        <w:tc>
          <w:tcPr>
            <w:tcW w:w="976" w:type="dxa"/>
            <w:tcBorders>
              <w:top w:val="nil"/>
              <w:left w:val="nil"/>
              <w:bottom w:val="nil"/>
              <w:right w:val="nil"/>
            </w:tcBorders>
            <w:shd w:val="clear" w:color="auto" w:fill="auto"/>
            <w:noWrap/>
            <w:vAlign w:val="center"/>
            <w:hideMark/>
          </w:tcPr>
          <w:p w14:paraId="3D1612E8" w14:textId="4E250670" w:rsidR="00DA56E1" w:rsidRPr="007154C9" w:rsidRDefault="00DA56E1" w:rsidP="00DA56E1">
            <w:pPr>
              <w:spacing w:before="0" w:after="0" w:line="240" w:lineRule="auto"/>
              <w:ind w:left="0" w:right="0"/>
              <w:jc w:val="center"/>
              <w:rPr>
                <w:rFonts w:asciiTheme="minorHAnsi" w:eastAsia="Times New Roman" w:hAnsiTheme="minorHAnsi" w:cstheme="minorHAnsi"/>
                <w:color w:val="000000"/>
                <w:sz w:val="22"/>
                <w:szCs w:val="22"/>
              </w:rPr>
            </w:pPr>
            <w:r w:rsidRPr="007154C9">
              <w:rPr>
                <w:rFonts w:asciiTheme="minorHAnsi" w:eastAsia="Times New Roman" w:hAnsiTheme="minorHAnsi" w:cstheme="minorHAnsi"/>
                <w:color w:val="000000"/>
                <w:sz w:val="22"/>
                <w:szCs w:val="22"/>
              </w:rPr>
              <w:t>34</w:t>
            </w:r>
          </w:p>
        </w:tc>
      </w:tr>
    </w:tbl>
    <w:p w14:paraId="11CF5305" w14:textId="36093456" w:rsidR="00165AEE" w:rsidRPr="00165AEE" w:rsidRDefault="00165AEE" w:rsidP="007154C9">
      <w:pPr>
        <w:ind w:left="865"/>
        <w:rPr>
          <w:rFonts w:ascii="Verdana" w:hAnsi="Verdana"/>
          <w:b/>
          <w:sz w:val="22"/>
        </w:rPr>
      </w:pPr>
      <w:r>
        <w:rPr>
          <w:rFonts w:ascii="Verdana" w:hAnsi="Verdana"/>
          <w:b/>
          <w:sz w:val="22"/>
        </w:rPr>
        <w:br/>
      </w:r>
      <w:r w:rsidR="007154C9">
        <w:rPr>
          <w:rFonts w:ascii="Verdana" w:hAnsi="Verdana"/>
          <w:bCs/>
          <w:sz w:val="22"/>
        </w:rPr>
        <w:t>To break this down further by consultant would make the majority of the figures less than five. D</w:t>
      </w:r>
      <w:r w:rsidR="007154C9" w:rsidRPr="00A054DA">
        <w:rPr>
          <w:rFonts w:ascii="Verdana" w:hAnsi="Verdana"/>
          <w:bCs/>
          <w:sz w:val="22"/>
        </w:rPr>
        <w:t>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67D6D882" w14:textId="18C989EB" w:rsidR="00165AEE" w:rsidRPr="00165AEE" w:rsidRDefault="00165AEE" w:rsidP="00165AEE">
      <w:pPr>
        <w:pStyle w:val="ListParagraph"/>
        <w:numPr>
          <w:ilvl w:val="0"/>
          <w:numId w:val="19"/>
        </w:numPr>
        <w:rPr>
          <w:rFonts w:ascii="Verdana" w:hAnsi="Verdana"/>
          <w:b/>
          <w:sz w:val="22"/>
        </w:rPr>
      </w:pPr>
      <w:bookmarkStart w:id="0" w:name="_Hlk191280671"/>
      <w:r w:rsidRPr="00165AEE">
        <w:rPr>
          <w:rFonts w:ascii="Verdana" w:hAnsi="Verdana"/>
          <w:b/>
          <w:sz w:val="22"/>
        </w:rPr>
        <w:lastRenderedPageBreak/>
        <w:t>Number of successful knee replacement operations – defined as cases where no reported complications, mobility issues, or further interventions were required beyond routine post-operative care.</w:t>
      </w:r>
      <w:r w:rsidR="001A2103">
        <w:rPr>
          <w:rFonts w:ascii="Verdana" w:hAnsi="Verdana"/>
          <w:b/>
          <w:sz w:val="22"/>
        </w:rPr>
        <w:br/>
      </w:r>
      <w:r w:rsidR="001A2103">
        <w:rPr>
          <w:rFonts w:ascii="Verdana" w:hAnsi="Verdana"/>
          <w:bCs/>
          <w:sz w:val="22"/>
        </w:rPr>
        <w:t>I can confirm that SBUHB do not</w:t>
      </w:r>
      <w:r w:rsidR="001A2103" w:rsidRPr="00165AEE">
        <w:rPr>
          <w:rFonts w:ascii="Verdana" w:hAnsi="Verdana"/>
          <w:bCs/>
          <w:sz w:val="22"/>
        </w:rPr>
        <w:t xml:space="preserve"> </w:t>
      </w:r>
      <w:r w:rsidR="002F77DE">
        <w:rPr>
          <w:rFonts w:ascii="Verdana" w:hAnsi="Verdana"/>
          <w:bCs/>
          <w:sz w:val="22"/>
        </w:rPr>
        <w:t>record</w:t>
      </w:r>
      <w:r w:rsidR="001A2103">
        <w:rPr>
          <w:rFonts w:ascii="Verdana" w:hAnsi="Verdana"/>
          <w:bCs/>
          <w:sz w:val="22"/>
        </w:rPr>
        <w:t xml:space="preserve"> this information specifically. T</w:t>
      </w:r>
      <w:r w:rsidR="001A2103" w:rsidRPr="00165AEE">
        <w:rPr>
          <w:rFonts w:ascii="Verdana" w:hAnsi="Verdana"/>
          <w:bCs/>
          <w:sz w:val="22"/>
        </w:rPr>
        <w:t xml:space="preserve">o obtain this information would involve a manual trawl and search of </w:t>
      </w:r>
      <w:r w:rsidR="001A2103">
        <w:rPr>
          <w:rFonts w:ascii="Verdana" w:hAnsi="Verdana"/>
          <w:bCs/>
          <w:sz w:val="22"/>
        </w:rPr>
        <w:t>patient records</w:t>
      </w:r>
      <w:r w:rsidR="001A2103" w:rsidRPr="00165AEE">
        <w:rPr>
          <w:rFonts w:ascii="Verdana" w:hAnsi="Verdana"/>
          <w:bCs/>
          <w:sz w:val="22"/>
        </w:rPr>
        <w:t xml:space="preserve">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bookmarkEnd w:id="0"/>
    <w:p w14:paraId="383CF3A8" w14:textId="77777777" w:rsidR="00165AEE" w:rsidRPr="00165AEE" w:rsidRDefault="00165AEE" w:rsidP="00165AEE">
      <w:pPr>
        <w:rPr>
          <w:rFonts w:ascii="Verdana" w:hAnsi="Verdana"/>
          <w:b/>
          <w:sz w:val="22"/>
        </w:rPr>
      </w:pPr>
    </w:p>
    <w:p w14:paraId="631ADD5B" w14:textId="43B7E357" w:rsidR="00165AEE" w:rsidRPr="00856DD5" w:rsidRDefault="00165AEE" w:rsidP="00856DD5">
      <w:pPr>
        <w:pStyle w:val="ListParagraph"/>
        <w:numPr>
          <w:ilvl w:val="0"/>
          <w:numId w:val="19"/>
        </w:numPr>
        <w:rPr>
          <w:rFonts w:ascii="Verdana" w:hAnsi="Verdana"/>
          <w:b/>
          <w:sz w:val="22"/>
        </w:rPr>
      </w:pPr>
      <w:r w:rsidRPr="00165AEE">
        <w:rPr>
          <w:rFonts w:ascii="Verdana" w:hAnsi="Verdana"/>
          <w:b/>
          <w:sz w:val="22"/>
        </w:rPr>
        <w:t>Number of patients who reported post-operative complications or dissatisfaction with their outcome (i.e., formal complaints, clinical concerns, or feedback indicating persistent pain, lack of mobility, or other issues).</w:t>
      </w:r>
      <w:r>
        <w:rPr>
          <w:rFonts w:ascii="Verdana" w:hAnsi="Verdana"/>
          <w:b/>
          <w:sz w:val="22"/>
        </w:rPr>
        <w:br/>
      </w:r>
      <w:r>
        <w:rPr>
          <w:rFonts w:ascii="Verdana" w:hAnsi="Verdana"/>
          <w:bCs/>
          <w:sz w:val="22"/>
        </w:rPr>
        <w:t>I can confirm that SBUHB do not</w:t>
      </w:r>
      <w:r w:rsidRPr="00165AEE">
        <w:rPr>
          <w:rFonts w:ascii="Verdana" w:hAnsi="Verdana"/>
          <w:bCs/>
          <w:sz w:val="22"/>
        </w:rPr>
        <w:t xml:space="preserve"> record dissatisfaction with outcomes unless they are submitted as complaints.</w:t>
      </w:r>
      <w:r>
        <w:rPr>
          <w:rFonts w:ascii="Verdana" w:hAnsi="Verdana"/>
          <w:bCs/>
          <w:sz w:val="22"/>
        </w:rPr>
        <w:t xml:space="preserve"> Due to the way that information is recorded on our complaint recording system, t</w:t>
      </w:r>
      <w:r w:rsidRPr="00165AEE">
        <w:rPr>
          <w:rFonts w:ascii="Verdana" w:hAnsi="Verdana"/>
          <w:bCs/>
          <w:sz w:val="22"/>
        </w:rPr>
        <w:t xml:space="preserve">o obtain this information would involve a manual trawl and search of </w:t>
      </w:r>
      <w:r>
        <w:rPr>
          <w:rFonts w:ascii="Verdana" w:hAnsi="Verdana"/>
          <w:bCs/>
          <w:sz w:val="22"/>
        </w:rPr>
        <w:t>complaints</w:t>
      </w:r>
      <w:r w:rsidRPr="00165AEE">
        <w:rPr>
          <w:rFonts w:ascii="Verdana" w:hAnsi="Verdana"/>
          <w:bCs/>
          <w:sz w:val="22"/>
        </w:rPr>
        <w:t xml:space="preserve">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856DD5">
        <w:rPr>
          <w:rFonts w:ascii="Verdana" w:hAnsi="Verdana"/>
          <w:bCs/>
          <w:sz w:val="22"/>
        </w:rPr>
        <w:br/>
      </w:r>
    </w:p>
    <w:p w14:paraId="40F46E74" w14:textId="6006DD93" w:rsidR="00165AEE" w:rsidRPr="00165AEE" w:rsidRDefault="00165AEE" w:rsidP="00165AEE">
      <w:pPr>
        <w:pStyle w:val="ListParagraph"/>
        <w:numPr>
          <w:ilvl w:val="0"/>
          <w:numId w:val="19"/>
        </w:numPr>
        <w:rPr>
          <w:rFonts w:ascii="Verdana" w:hAnsi="Verdana"/>
          <w:b/>
          <w:sz w:val="22"/>
        </w:rPr>
      </w:pPr>
      <w:r w:rsidRPr="00165AEE">
        <w:rPr>
          <w:rFonts w:ascii="Verdana" w:hAnsi="Verdana"/>
          <w:b/>
          <w:sz w:val="22"/>
        </w:rPr>
        <w:t>Number of patients who required follow-up or corrective surgery on the same knee following the initial knee replacement operation.</w:t>
      </w:r>
      <w:r>
        <w:rPr>
          <w:rFonts w:ascii="Verdana" w:hAnsi="Verdana"/>
          <w:b/>
          <w:sz w:val="22"/>
        </w:rPr>
        <w:br/>
      </w:r>
      <w:r w:rsidRPr="00FC3B42">
        <w:rPr>
          <w:rFonts w:ascii="Verdana" w:hAnsi="Verdana" w:cs="Tahoma"/>
          <w:sz w:val="22"/>
          <w:szCs w:val="22"/>
        </w:rPr>
        <w:t xml:space="preserve">I can confirm that the information you are seeking is held </w:t>
      </w:r>
      <w:r>
        <w:rPr>
          <w:rFonts w:ascii="Verdana" w:hAnsi="Verdana" w:cs="Tahoma"/>
          <w:sz w:val="22"/>
          <w:szCs w:val="22"/>
        </w:rPr>
        <w:t>online</w:t>
      </w:r>
      <w:r w:rsidRPr="00FC3B42">
        <w:rPr>
          <w:rFonts w:ascii="Verdana" w:hAnsi="Verdana" w:cs="Tahoma"/>
          <w:sz w:val="22"/>
          <w:szCs w:val="22"/>
        </w:rPr>
        <w:t xml:space="preserve">.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May I therefore recommend that you look at this link to obtain the information you require</w:t>
      </w:r>
      <w:r>
        <w:rPr>
          <w:rFonts w:ascii="Verdana" w:hAnsi="Verdana"/>
          <w:sz w:val="22"/>
          <w:szCs w:val="22"/>
        </w:rPr>
        <w:t xml:space="preserve">: </w:t>
      </w:r>
      <w:hyperlink r:id="rId8" w:history="1">
        <w:r w:rsidRPr="00165AEE">
          <w:rPr>
            <w:rStyle w:val="Hyperlink"/>
            <w:rFonts w:ascii="Verdana" w:hAnsi="Verdana" w:cs="Arial"/>
            <w:bCs/>
            <w:sz w:val="22"/>
          </w:rPr>
          <w:t>https://surgeonprofile.njrcentre.org.uk/HospitalProfile?hospitalName=Neath%20Port%20Talbot%20Hospital</w:t>
        </w:r>
      </w:hyperlink>
      <w:r w:rsidRPr="00165AEE">
        <w:rPr>
          <w:rFonts w:ascii="Verdana" w:hAnsi="Verdana"/>
          <w:b/>
          <w:sz w:val="22"/>
        </w:rPr>
        <w:t xml:space="preserve"> </w:t>
      </w:r>
      <w:r w:rsidR="00ED5DF3">
        <w:rPr>
          <w:rFonts w:ascii="Verdana" w:hAnsi="Verdana"/>
          <w:b/>
          <w:sz w:val="22"/>
        </w:rPr>
        <w:br/>
      </w:r>
      <w:r w:rsidR="00ED5DF3">
        <w:rPr>
          <w:rFonts w:ascii="Verdana" w:hAnsi="Verdana"/>
          <w:b/>
          <w:sz w:val="22"/>
        </w:rPr>
        <w:br/>
      </w:r>
      <w:r w:rsidR="00ED5DF3">
        <w:rPr>
          <w:rFonts w:ascii="Verdana" w:hAnsi="Verdana"/>
          <w:sz w:val="22"/>
          <w:szCs w:val="22"/>
        </w:rPr>
        <w:t>We are not able to break this down further by year</w:t>
      </w:r>
      <w:r w:rsidR="00ED5DF3" w:rsidRPr="00FC3B42">
        <w:rPr>
          <w:rFonts w:ascii="Verdana" w:hAnsi="Verdana"/>
          <w:sz w:val="22"/>
          <w:szCs w:val="22"/>
        </w:rPr>
        <w:t xml:space="preserve"> as due to the low numbers, there is a potential risk of identifying individuals if this was disclosed.  We are therefore withholding this detail under Section 40(2) of the </w:t>
      </w:r>
      <w:smartTag w:uri="urn:schemas-microsoft-com:office:smarttags" w:element="address">
        <w:r w:rsidR="00ED5DF3" w:rsidRPr="00FC3B42">
          <w:rPr>
            <w:rFonts w:ascii="Verdana" w:hAnsi="Verdana"/>
            <w:sz w:val="22"/>
            <w:szCs w:val="22"/>
          </w:rPr>
          <w:t>Freedom of Information</w:t>
        </w:r>
      </w:smartTag>
      <w:r w:rsidR="00ED5DF3" w:rsidRPr="00FC3B42">
        <w:rPr>
          <w:rFonts w:ascii="Verdana" w:hAnsi="Verdana"/>
          <w:sz w:val="22"/>
          <w:szCs w:val="22"/>
        </w:rPr>
        <w:t xml:space="preserve"> Act 2000.  This information is protected by the </w:t>
      </w:r>
      <w:r w:rsidR="00ED5DF3"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ED5DF3" w:rsidRPr="00FC3B42">
        <w:rPr>
          <w:rFonts w:ascii="Verdana" w:hAnsi="Verdana"/>
          <w:bCs/>
          <w:iCs/>
          <w:sz w:val="22"/>
          <w:szCs w:val="22"/>
        </w:rPr>
        <w:t>in regard to</w:t>
      </w:r>
      <w:r w:rsidR="00ED5DF3" w:rsidRPr="00FC3B42">
        <w:rPr>
          <w:rFonts w:ascii="Verdana" w:hAnsi="Verdana"/>
          <w:iCs/>
          <w:sz w:val="22"/>
          <w:szCs w:val="22"/>
        </w:rPr>
        <w:t xml:space="preserve"> Articles 5, 6, and 9 of GDPR.  </w:t>
      </w:r>
      <w:r w:rsidR="00ED5DF3" w:rsidRPr="00FC3B42">
        <w:rPr>
          <w:rFonts w:ascii="Verdana" w:hAnsi="Verdana"/>
          <w:sz w:val="22"/>
          <w:szCs w:val="22"/>
        </w:rPr>
        <w:t>This exemption is absolute and therefore there is no requirement to apply the public interest test.</w:t>
      </w:r>
      <w:r>
        <w:rPr>
          <w:rFonts w:ascii="Verdana" w:hAnsi="Verdana"/>
          <w:b/>
          <w:sz w:val="22"/>
        </w:rPr>
        <w:br/>
      </w:r>
    </w:p>
    <w:p w14:paraId="5ADCE749" w14:textId="4C670B7F" w:rsidR="00A054DA" w:rsidRPr="00165AEE" w:rsidRDefault="00165AEE" w:rsidP="00165AEE">
      <w:pPr>
        <w:pStyle w:val="ListParagraph"/>
        <w:numPr>
          <w:ilvl w:val="0"/>
          <w:numId w:val="19"/>
        </w:numPr>
        <w:rPr>
          <w:rFonts w:ascii="Verdana" w:hAnsi="Verdana"/>
          <w:b/>
          <w:sz w:val="22"/>
        </w:rPr>
      </w:pPr>
      <w:r w:rsidRPr="00165AEE">
        <w:rPr>
          <w:rFonts w:ascii="Verdana" w:hAnsi="Verdana"/>
          <w:b/>
          <w:sz w:val="22"/>
        </w:rPr>
        <w:lastRenderedPageBreak/>
        <w:t>Average patient waiting time for patients who received knee replacement operations during each of these years.</w:t>
      </w:r>
      <w:r w:rsidR="00A054DA">
        <w:rPr>
          <w:rFonts w:ascii="Verdana" w:hAnsi="Verdana"/>
          <w:b/>
          <w:sz w:val="22"/>
        </w:rPr>
        <w:br/>
      </w:r>
      <w:r w:rsidR="00A054DA" w:rsidRPr="00A054DA">
        <w:rPr>
          <w:rFonts w:ascii="Verdana" w:hAnsi="Verdana"/>
          <w:bCs/>
          <w:sz w:val="22"/>
        </w:rPr>
        <w:t>Please note that these figures include both routine and urgent knee replacements.</w:t>
      </w:r>
    </w:p>
    <w:tbl>
      <w:tblPr>
        <w:tblW w:w="5236" w:type="dxa"/>
        <w:jc w:val="center"/>
        <w:tblLook w:val="04A0" w:firstRow="1" w:lastRow="0" w:firstColumn="1" w:lastColumn="0" w:noHBand="0" w:noVBand="1"/>
      </w:tblPr>
      <w:tblGrid>
        <w:gridCol w:w="3331"/>
        <w:gridCol w:w="1905"/>
      </w:tblGrid>
      <w:tr w:rsidR="00A054DA" w:rsidRPr="00A054DA" w14:paraId="417AFECF" w14:textId="77777777" w:rsidTr="00A054DA">
        <w:trPr>
          <w:trHeight w:val="300"/>
          <w:jc w:val="center"/>
        </w:trPr>
        <w:tc>
          <w:tcPr>
            <w:tcW w:w="5236" w:type="dxa"/>
            <w:gridSpan w:val="2"/>
            <w:tcBorders>
              <w:top w:val="nil"/>
              <w:left w:val="nil"/>
              <w:bottom w:val="nil"/>
              <w:right w:val="nil"/>
            </w:tcBorders>
            <w:shd w:val="clear" w:color="D9E1F2" w:fill="D9E1F2"/>
            <w:noWrap/>
            <w:vAlign w:val="center"/>
            <w:hideMark/>
          </w:tcPr>
          <w:p w14:paraId="67A1B3C8" w14:textId="4897019B" w:rsidR="00A054DA" w:rsidRPr="00A054DA" w:rsidRDefault="00A054DA" w:rsidP="00A054DA">
            <w:pPr>
              <w:spacing w:before="0" w:after="0" w:line="240" w:lineRule="auto"/>
              <w:ind w:left="0" w:right="0"/>
              <w:jc w:val="center"/>
              <w:rPr>
                <w:rFonts w:ascii="Calibri" w:eastAsia="Times New Roman" w:hAnsi="Calibri" w:cs="Calibri"/>
                <w:b/>
                <w:bCs/>
                <w:color w:val="000000"/>
                <w:sz w:val="22"/>
                <w:szCs w:val="22"/>
              </w:rPr>
            </w:pPr>
            <w:r w:rsidRPr="00A054DA">
              <w:rPr>
                <w:rFonts w:ascii="Calibri" w:eastAsia="Times New Roman" w:hAnsi="Calibri" w:cs="Calibri"/>
                <w:b/>
                <w:bCs/>
                <w:color w:val="000000"/>
                <w:sz w:val="22"/>
                <w:szCs w:val="22"/>
              </w:rPr>
              <w:t>Average of wait</w:t>
            </w:r>
            <w:r>
              <w:rPr>
                <w:rFonts w:ascii="Calibri" w:eastAsia="Times New Roman" w:hAnsi="Calibri" w:cs="Calibri"/>
                <w:b/>
                <w:bCs/>
                <w:color w:val="000000"/>
                <w:sz w:val="22"/>
                <w:szCs w:val="22"/>
              </w:rPr>
              <w:t xml:space="preserve"> in </w:t>
            </w:r>
            <w:r w:rsidRPr="00A054DA">
              <w:rPr>
                <w:rFonts w:ascii="Calibri" w:eastAsia="Times New Roman" w:hAnsi="Calibri" w:cs="Calibri"/>
                <w:b/>
                <w:bCs/>
                <w:color w:val="000000"/>
                <w:sz w:val="22"/>
                <w:szCs w:val="22"/>
              </w:rPr>
              <w:t>weeks</w:t>
            </w:r>
          </w:p>
        </w:tc>
      </w:tr>
      <w:tr w:rsidR="00A054DA" w:rsidRPr="00A054DA" w14:paraId="399FB80F" w14:textId="77777777" w:rsidTr="00A054DA">
        <w:trPr>
          <w:trHeight w:val="300"/>
          <w:jc w:val="center"/>
        </w:trPr>
        <w:tc>
          <w:tcPr>
            <w:tcW w:w="3331" w:type="dxa"/>
            <w:tcBorders>
              <w:top w:val="nil"/>
              <w:left w:val="nil"/>
              <w:bottom w:val="single" w:sz="4" w:space="0" w:color="8EA9DB"/>
              <w:right w:val="nil"/>
            </w:tcBorders>
            <w:shd w:val="clear" w:color="D9E1F2" w:fill="D9E1F2"/>
            <w:noWrap/>
            <w:vAlign w:val="center"/>
            <w:hideMark/>
          </w:tcPr>
          <w:p w14:paraId="268E2E68" w14:textId="77777777" w:rsidR="00A054DA" w:rsidRPr="00A054DA" w:rsidRDefault="00A054DA" w:rsidP="00A054DA">
            <w:pPr>
              <w:spacing w:before="0" w:after="0" w:line="240" w:lineRule="auto"/>
              <w:ind w:left="0" w:right="0"/>
              <w:jc w:val="center"/>
              <w:rPr>
                <w:rFonts w:ascii="Calibri" w:eastAsia="Times New Roman" w:hAnsi="Calibri" w:cs="Calibri"/>
                <w:b/>
                <w:bCs/>
                <w:color w:val="000000"/>
                <w:sz w:val="22"/>
                <w:szCs w:val="22"/>
              </w:rPr>
            </w:pPr>
            <w:r w:rsidRPr="00A054DA">
              <w:rPr>
                <w:rFonts w:ascii="Calibri" w:eastAsia="Times New Roman" w:hAnsi="Calibri" w:cs="Calibri"/>
                <w:b/>
                <w:bCs/>
                <w:color w:val="000000"/>
                <w:sz w:val="22"/>
                <w:szCs w:val="22"/>
              </w:rPr>
              <w:t>Years</w:t>
            </w:r>
          </w:p>
        </w:tc>
        <w:tc>
          <w:tcPr>
            <w:tcW w:w="1905" w:type="dxa"/>
            <w:tcBorders>
              <w:top w:val="nil"/>
              <w:left w:val="nil"/>
              <w:bottom w:val="single" w:sz="4" w:space="0" w:color="8EA9DB"/>
              <w:right w:val="nil"/>
            </w:tcBorders>
            <w:shd w:val="clear" w:color="D9E1F2" w:fill="D9E1F2"/>
            <w:noWrap/>
            <w:vAlign w:val="center"/>
            <w:hideMark/>
          </w:tcPr>
          <w:p w14:paraId="37971224" w14:textId="77777777" w:rsidR="00A054DA" w:rsidRPr="00A054DA" w:rsidRDefault="00A054DA" w:rsidP="00A054DA">
            <w:pPr>
              <w:spacing w:before="0" w:after="0" w:line="240" w:lineRule="auto"/>
              <w:ind w:left="0" w:right="0"/>
              <w:jc w:val="center"/>
              <w:rPr>
                <w:rFonts w:ascii="Calibri" w:eastAsia="Times New Roman" w:hAnsi="Calibri" w:cs="Calibri"/>
                <w:b/>
                <w:bCs/>
                <w:color w:val="000000"/>
                <w:sz w:val="22"/>
                <w:szCs w:val="22"/>
              </w:rPr>
            </w:pPr>
            <w:r w:rsidRPr="00A054DA">
              <w:rPr>
                <w:rFonts w:ascii="Calibri" w:eastAsia="Times New Roman" w:hAnsi="Calibri" w:cs="Calibri"/>
                <w:b/>
                <w:bCs/>
                <w:color w:val="000000"/>
                <w:sz w:val="22"/>
                <w:szCs w:val="22"/>
              </w:rPr>
              <w:t>Total</w:t>
            </w:r>
          </w:p>
        </w:tc>
      </w:tr>
      <w:tr w:rsidR="00A054DA" w:rsidRPr="00A054DA" w14:paraId="02E24292" w14:textId="77777777" w:rsidTr="00A054DA">
        <w:trPr>
          <w:trHeight w:val="300"/>
          <w:jc w:val="center"/>
        </w:trPr>
        <w:tc>
          <w:tcPr>
            <w:tcW w:w="3331" w:type="dxa"/>
            <w:tcBorders>
              <w:top w:val="nil"/>
              <w:left w:val="nil"/>
              <w:bottom w:val="nil"/>
              <w:right w:val="nil"/>
            </w:tcBorders>
            <w:shd w:val="clear" w:color="auto" w:fill="auto"/>
            <w:noWrap/>
            <w:vAlign w:val="center"/>
            <w:hideMark/>
          </w:tcPr>
          <w:p w14:paraId="3F64EE24" w14:textId="77777777" w:rsidR="00A054DA" w:rsidRPr="00A054DA" w:rsidRDefault="00A054DA" w:rsidP="00A054DA">
            <w:pPr>
              <w:spacing w:before="0" w:after="0" w:line="240" w:lineRule="auto"/>
              <w:ind w:left="0" w:right="0"/>
              <w:jc w:val="center"/>
              <w:rPr>
                <w:rFonts w:ascii="Calibri" w:eastAsia="Times New Roman" w:hAnsi="Calibri" w:cs="Calibri"/>
                <w:color w:val="000000"/>
                <w:sz w:val="22"/>
                <w:szCs w:val="22"/>
              </w:rPr>
            </w:pPr>
            <w:r w:rsidRPr="00A054DA">
              <w:rPr>
                <w:rFonts w:ascii="Calibri" w:eastAsia="Times New Roman" w:hAnsi="Calibri" w:cs="Calibri"/>
                <w:color w:val="000000"/>
                <w:sz w:val="22"/>
                <w:szCs w:val="22"/>
              </w:rPr>
              <w:t>2022</w:t>
            </w:r>
          </w:p>
        </w:tc>
        <w:tc>
          <w:tcPr>
            <w:tcW w:w="1905" w:type="dxa"/>
            <w:tcBorders>
              <w:top w:val="nil"/>
              <w:left w:val="nil"/>
              <w:bottom w:val="nil"/>
              <w:right w:val="nil"/>
            </w:tcBorders>
            <w:shd w:val="clear" w:color="auto" w:fill="auto"/>
            <w:noWrap/>
            <w:vAlign w:val="center"/>
            <w:hideMark/>
          </w:tcPr>
          <w:p w14:paraId="1E10BAFD" w14:textId="4429F9E2" w:rsidR="00A054DA" w:rsidRPr="00A054DA" w:rsidRDefault="00A054DA" w:rsidP="00A054DA">
            <w:pPr>
              <w:spacing w:before="0" w:after="0" w:line="240" w:lineRule="auto"/>
              <w:ind w:left="0" w:right="0"/>
              <w:jc w:val="center"/>
              <w:rPr>
                <w:rFonts w:ascii="Calibri" w:eastAsia="Times New Roman" w:hAnsi="Calibri" w:cs="Calibri"/>
                <w:color w:val="000000"/>
                <w:sz w:val="22"/>
                <w:szCs w:val="22"/>
              </w:rPr>
            </w:pPr>
            <w:r w:rsidRPr="00A054DA">
              <w:rPr>
                <w:rFonts w:ascii="Calibri" w:eastAsia="Times New Roman" w:hAnsi="Calibri" w:cs="Calibri"/>
                <w:color w:val="000000"/>
                <w:sz w:val="22"/>
                <w:szCs w:val="22"/>
              </w:rPr>
              <w:t>128.53</w:t>
            </w:r>
          </w:p>
        </w:tc>
      </w:tr>
      <w:tr w:rsidR="00A054DA" w:rsidRPr="00A054DA" w14:paraId="1886CB73" w14:textId="77777777" w:rsidTr="00A054DA">
        <w:trPr>
          <w:trHeight w:val="300"/>
          <w:jc w:val="center"/>
        </w:trPr>
        <w:tc>
          <w:tcPr>
            <w:tcW w:w="3331" w:type="dxa"/>
            <w:tcBorders>
              <w:top w:val="nil"/>
              <w:left w:val="nil"/>
              <w:bottom w:val="nil"/>
              <w:right w:val="nil"/>
            </w:tcBorders>
            <w:shd w:val="clear" w:color="auto" w:fill="auto"/>
            <w:noWrap/>
            <w:vAlign w:val="center"/>
            <w:hideMark/>
          </w:tcPr>
          <w:p w14:paraId="3D209988" w14:textId="77777777" w:rsidR="00A054DA" w:rsidRPr="00A054DA" w:rsidRDefault="00A054DA" w:rsidP="00A054DA">
            <w:pPr>
              <w:spacing w:before="0" w:after="0" w:line="240" w:lineRule="auto"/>
              <w:ind w:left="0" w:right="0"/>
              <w:jc w:val="center"/>
              <w:rPr>
                <w:rFonts w:ascii="Calibri" w:eastAsia="Times New Roman" w:hAnsi="Calibri" w:cs="Calibri"/>
                <w:color w:val="000000"/>
                <w:sz w:val="22"/>
                <w:szCs w:val="22"/>
              </w:rPr>
            </w:pPr>
            <w:r w:rsidRPr="00A054DA">
              <w:rPr>
                <w:rFonts w:ascii="Calibri" w:eastAsia="Times New Roman" w:hAnsi="Calibri" w:cs="Calibri"/>
                <w:color w:val="000000"/>
                <w:sz w:val="22"/>
                <w:szCs w:val="22"/>
              </w:rPr>
              <w:t>2023</w:t>
            </w:r>
          </w:p>
        </w:tc>
        <w:tc>
          <w:tcPr>
            <w:tcW w:w="1905" w:type="dxa"/>
            <w:tcBorders>
              <w:top w:val="nil"/>
              <w:left w:val="nil"/>
              <w:bottom w:val="nil"/>
              <w:right w:val="nil"/>
            </w:tcBorders>
            <w:shd w:val="clear" w:color="auto" w:fill="auto"/>
            <w:noWrap/>
            <w:vAlign w:val="center"/>
            <w:hideMark/>
          </w:tcPr>
          <w:p w14:paraId="26AEBC9E" w14:textId="19641D82" w:rsidR="00A054DA" w:rsidRPr="00A054DA" w:rsidRDefault="00A054DA" w:rsidP="00A054DA">
            <w:pPr>
              <w:spacing w:before="0" w:after="0" w:line="240" w:lineRule="auto"/>
              <w:ind w:left="0" w:right="0"/>
              <w:jc w:val="center"/>
              <w:rPr>
                <w:rFonts w:ascii="Calibri" w:eastAsia="Times New Roman" w:hAnsi="Calibri" w:cs="Calibri"/>
                <w:color w:val="000000"/>
                <w:sz w:val="22"/>
                <w:szCs w:val="22"/>
              </w:rPr>
            </w:pPr>
            <w:r w:rsidRPr="00A054DA">
              <w:rPr>
                <w:rFonts w:ascii="Calibri" w:eastAsia="Times New Roman" w:hAnsi="Calibri" w:cs="Calibri"/>
                <w:color w:val="000000"/>
                <w:sz w:val="22"/>
                <w:szCs w:val="22"/>
              </w:rPr>
              <w:t>127.16</w:t>
            </w:r>
          </w:p>
        </w:tc>
      </w:tr>
      <w:tr w:rsidR="00A054DA" w:rsidRPr="00A054DA" w14:paraId="461D6EB4" w14:textId="77777777" w:rsidTr="00A054DA">
        <w:trPr>
          <w:trHeight w:val="300"/>
          <w:jc w:val="center"/>
        </w:trPr>
        <w:tc>
          <w:tcPr>
            <w:tcW w:w="3331" w:type="dxa"/>
            <w:tcBorders>
              <w:top w:val="nil"/>
              <w:left w:val="nil"/>
              <w:bottom w:val="nil"/>
              <w:right w:val="nil"/>
            </w:tcBorders>
            <w:shd w:val="clear" w:color="auto" w:fill="auto"/>
            <w:noWrap/>
            <w:vAlign w:val="center"/>
            <w:hideMark/>
          </w:tcPr>
          <w:p w14:paraId="0637AA49" w14:textId="77777777" w:rsidR="00A054DA" w:rsidRPr="00A054DA" w:rsidRDefault="00A054DA" w:rsidP="00A054DA">
            <w:pPr>
              <w:spacing w:before="0" w:after="0" w:line="240" w:lineRule="auto"/>
              <w:ind w:left="0" w:right="0"/>
              <w:jc w:val="center"/>
              <w:rPr>
                <w:rFonts w:ascii="Calibri" w:eastAsia="Times New Roman" w:hAnsi="Calibri" w:cs="Calibri"/>
                <w:color w:val="000000"/>
                <w:sz w:val="22"/>
                <w:szCs w:val="22"/>
              </w:rPr>
            </w:pPr>
            <w:r w:rsidRPr="00A054DA">
              <w:rPr>
                <w:rFonts w:ascii="Calibri" w:eastAsia="Times New Roman" w:hAnsi="Calibri" w:cs="Calibri"/>
                <w:color w:val="000000"/>
                <w:sz w:val="22"/>
                <w:szCs w:val="22"/>
              </w:rPr>
              <w:t>2024</w:t>
            </w:r>
          </w:p>
        </w:tc>
        <w:tc>
          <w:tcPr>
            <w:tcW w:w="1905" w:type="dxa"/>
            <w:tcBorders>
              <w:top w:val="nil"/>
              <w:left w:val="nil"/>
              <w:bottom w:val="nil"/>
              <w:right w:val="nil"/>
            </w:tcBorders>
            <w:shd w:val="clear" w:color="auto" w:fill="auto"/>
            <w:noWrap/>
            <w:vAlign w:val="center"/>
            <w:hideMark/>
          </w:tcPr>
          <w:p w14:paraId="208C6C24" w14:textId="30CCC5DD" w:rsidR="00A054DA" w:rsidRPr="00A054DA" w:rsidRDefault="00A054DA" w:rsidP="00A054DA">
            <w:pPr>
              <w:spacing w:before="0" w:after="0" w:line="240" w:lineRule="auto"/>
              <w:ind w:left="0" w:right="0"/>
              <w:jc w:val="center"/>
              <w:rPr>
                <w:rFonts w:ascii="Calibri" w:eastAsia="Times New Roman" w:hAnsi="Calibri" w:cs="Calibri"/>
                <w:color w:val="000000"/>
                <w:sz w:val="22"/>
                <w:szCs w:val="22"/>
              </w:rPr>
            </w:pPr>
            <w:r w:rsidRPr="00A054DA">
              <w:rPr>
                <w:rFonts w:ascii="Calibri" w:eastAsia="Times New Roman" w:hAnsi="Calibri" w:cs="Calibri"/>
                <w:color w:val="000000"/>
                <w:sz w:val="22"/>
                <w:szCs w:val="22"/>
              </w:rPr>
              <w:t>99.85</w:t>
            </w:r>
          </w:p>
        </w:tc>
      </w:tr>
      <w:tr w:rsidR="00A054DA" w:rsidRPr="00A054DA" w14:paraId="76E22949" w14:textId="77777777" w:rsidTr="00A054DA">
        <w:trPr>
          <w:trHeight w:val="300"/>
          <w:jc w:val="center"/>
        </w:trPr>
        <w:tc>
          <w:tcPr>
            <w:tcW w:w="3331" w:type="dxa"/>
            <w:tcBorders>
              <w:top w:val="single" w:sz="4" w:space="0" w:color="8EA9DB"/>
              <w:left w:val="nil"/>
              <w:bottom w:val="nil"/>
              <w:right w:val="nil"/>
            </w:tcBorders>
            <w:shd w:val="clear" w:color="D9E1F2" w:fill="D9E1F2"/>
            <w:noWrap/>
            <w:vAlign w:val="center"/>
            <w:hideMark/>
          </w:tcPr>
          <w:p w14:paraId="722CD01F" w14:textId="77777777" w:rsidR="00A054DA" w:rsidRPr="00A054DA" w:rsidRDefault="00A054DA" w:rsidP="00A054DA">
            <w:pPr>
              <w:spacing w:before="0" w:after="0" w:line="240" w:lineRule="auto"/>
              <w:ind w:left="0" w:right="0"/>
              <w:jc w:val="center"/>
              <w:rPr>
                <w:rFonts w:ascii="Calibri" w:eastAsia="Times New Roman" w:hAnsi="Calibri" w:cs="Calibri"/>
                <w:b/>
                <w:bCs/>
                <w:color w:val="000000"/>
                <w:sz w:val="22"/>
                <w:szCs w:val="22"/>
              </w:rPr>
            </w:pPr>
            <w:r w:rsidRPr="00A054DA">
              <w:rPr>
                <w:rFonts w:ascii="Calibri" w:eastAsia="Times New Roman" w:hAnsi="Calibri" w:cs="Calibri"/>
                <w:b/>
                <w:bCs/>
                <w:color w:val="000000"/>
                <w:sz w:val="22"/>
                <w:szCs w:val="22"/>
              </w:rPr>
              <w:t>Grand Total</w:t>
            </w:r>
          </w:p>
        </w:tc>
        <w:tc>
          <w:tcPr>
            <w:tcW w:w="1905" w:type="dxa"/>
            <w:tcBorders>
              <w:top w:val="single" w:sz="4" w:space="0" w:color="8EA9DB"/>
              <w:left w:val="nil"/>
              <w:bottom w:val="nil"/>
              <w:right w:val="nil"/>
            </w:tcBorders>
            <w:shd w:val="clear" w:color="D9E1F2" w:fill="D9E1F2"/>
            <w:noWrap/>
            <w:vAlign w:val="center"/>
            <w:hideMark/>
          </w:tcPr>
          <w:p w14:paraId="3C392235" w14:textId="3ACF8D9F" w:rsidR="00A054DA" w:rsidRPr="00A054DA" w:rsidRDefault="00A054DA" w:rsidP="00A054DA">
            <w:pPr>
              <w:spacing w:before="0" w:after="0" w:line="240" w:lineRule="auto"/>
              <w:ind w:left="0" w:right="0"/>
              <w:jc w:val="center"/>
              <w:rPr>
                <w:rFonts w:ascii="Calibri" w:eastAsia="Times New Roman" w:hAnsi="Calibri" w:cs="Calibri"/>
                <w:b/>
                <w:bCs/>
                <w:color w:val="000000"/>
                <w:sz w:val="22"/>
                <w:szCs w:val="22"/>
              </w:rPr>
            </w:pPr>
            <w:r w:rsidRPr="00A054DA">
              <w:rPr>
                <w:rFonts w:ascii="Calibri" w:eastAsia="Times New Roman" w:hAnsi="Calibri" w:cs="Calibri"/>
                <w:b/>
                <w:bCs/>
                <w:color w:val="000000"/>
                <w:sz w:val="22"/>
                <w:szCs w:val="22"/>
              </w:rPr>
              <w:t>115.45</w:t>
            </w:r>
          </w:p>
        </w:tc>
      </w:tr>
    </w:tbl>
    <w:p w14:paraId="6644CEA6" w14:textId="0054940B" w:rsidR="004F001A" w:rsidRPr="00A10460" w:rsidRDefault="00421E7F" w:rsidP="001A2103">
      <w:pPr>
        <w:rPr>
          <w:rFonts w:ascii="Verdana" w:hAnsi="Verdana"/>
          <w:b/>
          <w:bCs/>
          <w:noProof/>
          <w:sz w:val="22"/>
          <w:szCs w:val="22"/>
        </w:rPr>
      </w:pPr>
      <w:r>
        <w:rPr>
          <w:rFonts w:ascii="Verdana" w:hAnsi="Verdana"/>
          <w:b/>
          <w:bCs/>
          <w:noProof/>
          <w:sz w:val="22"/>
          <w:szCs w:val="22"/>
        </w:rPr>
        <w:t>_____________________________________________________________</w:t>
      </w: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EA8750F"/>
    <w:multiLevelType w:val="hybridMultilevel"/>
    <w:tmpl w:val="20F8351C"/>
    <w:lvl w:ilvl="0" w:tplc="C37CE57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65AEE"/>
    <w:rsid w:val="00185784"/>
    <w:rsid w:val="001A2103"/>
    <w:rsid w:val="001B1339"/>
    <w:rsid w:val="001E2D50"/>
    <w:rsid w:val="00213076"/>
    <w:rsid w:val="002156AF"/>
    <w:rsid w:val="00236F74"/>
    <w:rsid w:val="00257A6E"/>
    <w:rsid w:val="002677FD"/>
    <w:rsid w:val="00286642"/>
    <w:rsid w:val="00296FDA"/>
    <w:rsid w:val="002B74C8"/>
    <w:rsid w:val="002C252B"/>
    <w:rsid w:val="002D32B6"/>
    <w:rsid w:val="002E02A9"/>
    <w:rsid w:val="002F1B41"/>
    <w:rsid w:val="002F77DE"/>
    <w:rsid w:val="00304A21"/>
    <w:rsid w:val="0035435D"/>
    <w:rsid w:val="00355B9A"/>
    <w:rsid w:val="003648A8"/>
    <w:rsid w:val="0039422D"/>
    <w:rsid w:val="003B09B5"/>
    <w:rsid w:val="003F2312"/>
    <w:rsid w:val="004039EB"/>
    <w:rsid w:val="00421E7F"/>
    <w:rsid w:val="00442A3A"/>
    <w:rsid w:val="00453C57"/>
    <w:rsid w:val="0046543B"/>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154C9"/>
    <w:rsid w:val="00730DD2"/>
    <w:rsid w:val="00734492"/>
    <w:rsid w:val="0073651A"/>
    <w:rsid w:val="00771F1B"/>
    <w:rsid w:val="007778CB"/>
    <w:rsid w:val="0078511F"/>
    <w:rsid w:val="00790973"/>
    <w:rsid w:val="007953A0"/>
    <w:rsid w:val="00795AD1"/>
    <w:rsid w:val="007A5616"/>
    <w:rsid w:val="007B0951"/>
    <w:rsid w:val="007B516B"/>
    <w:rsid w:val="007B6D99"/>
    <w:rsid w:val="007D0444"/>
    <w:rsid w:val="007D06BB"/>
    <w:rsid w:val="007D6A3E"/>
    <w:rsid w:val="007F192C"/>
    <w:rsid w:val="00824D19"/>
    <w:rsid w:val="00846C1D"/>
    <w:rsid w:val="00856DD5"/>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54DA"/>
    <w:rsid w:val="00A10460"/>
    <w:rsid w:val="00A17614"/>
    <w:rsid w:val="00A56076"/>
    <w:rsid w:val="00A84640"/>
    <w:rsid w:val="00AB4D54"/>
    <w:rsid w:val="00AF0E8B"/>
    <w:rsid w:val="00AF691A"/>
    <w:rsid w:val="00B031C2"/>
    <w:rsid w:val="00B34966"/>
    <w:rsid w:val="00B61DE2"/>
    <w:rsid w:val="00B73D24"/>
    <w:rsid w:val="00B82C9E"/>
    <w:rsid w:val="00B8458F"/>
    <w:rsid w:val="00B87AC7"/>
    <w:rsid w:val="00BB4931"/>
    <w:rsid w:val="00BC67E1"/>
    <w:rsid w:val="00BE0A96"/>
    <w:rsid w:val="00C021A4"/>
    <w:rsid w:val="00C050BE"/>
    <w:rsid w:val="00C75A00"/>
    <w:rsid w:val="00CA07E3"/>
    <w:rsid w:val="00CB2BBE"/>
    <w:rsid w:val="00CE1516"/>
    <w:rsid w:val="00CE325E"/>
    <w:rsid w:val="00CE3DBC"/>
    <w:rsid w:val="00D15865"/>
    <w:rsid w:val="00D62A67"/>
    <w:rsid w:val="00DA56E1"/>
    <w:rsid w:val="00DC0D5A"/>
    <w:rsid w:val="00DC47F3"/>
    <w:rsid w:val="00DC7FA9"/>
    <w:rsid w:val="00DD5E37"/>
    <w:rsid w:val="00DF2EA1"/>
    <w:rsid w:val="00E11F2D"/>
    <w:rsid w:val="00E26720"/>
    <w:rsid w:val="00E545D8"/>
    <w:rsid w:val="00E817B3"/>
    <w:rsid w:val="00E90BC7"/>
    <w:rsid w:val="00ED5DF3"/>
    <w:rsid w:val="00EE0615"/>
    <w:rsid w:val="00F26B29"/>
    <w:rsid w:val="00F642D0"/>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165AEE"/>
    <w:rPr>
      <w:color w:val="605E5C"/>
      <w:shd w:val="clear" w:color="auto" w:fill="E1DFDD"/>
    </w:rPr>
  </w:style>
  <w:style w:type="character" w:customStyle="1" w:styleId="EmailStyle33">
    <w:name w:val="EmailStyle33"/>
    <w:semiHidden/>
    <w:rsid w:val="00165AEE"/>
    <w:rPr>
      <w:rFonts w:ascii="Arial" w:hAnsi="Arial" w:cs="Arial"/>
      <w:color w:val="000080"/>
      <w:sz w:val="20"/>
      <w:szCs w:val="20"/>
    </w:rPr>
  </w:style>
  <w:style w:type="character" w:styleId="CommentReference">
    <w:name w:val="annotation reference"/>
    <w:basedOn w:val="DefaultParagraphFont"/>
    <w:uiPriority w:val="99"/>
    <w:semiHidden/>
    <w:unhideWhenUsed/>
    <w:rsid w:val="00BE0A96"/>
    <w:rPr>
      <w:sz w:val="16"/>
      <w:szCs w:val="16"/>
    </w:rPr>
  </w:style>
  <w:style w:type="paragraph" w:styleId="CommentText">
    <w:name w:val="annotation text"/>
    <w:basedOn w:val="Normal"/>
    <w:link w:val="CommentTextChar"/>
    <w:uiPriority w:val="99"/>
    <w:unhideWhenUsed/>
    <w:rsid w:val="00BE0A96"/>
    <w:pPr>
      <w:spacing w:line="240" w:lineRule="auto"/>
    </w:pPr>
    <w:rPr>
      <w:sz w:val="20"/>
      <w:szCs w:val="20"/>
    </w:rPr>
  </w:style>
  <w:style w:type="character" w:customStyle="1" w:styleId="CommentTextChar">
    <w:name w:val="Comment Text Char"/>
    <w:basedOn w:val="DefaultParagraphFont"/>
    <w:link w:val="CommentText"/>
    <w:uiPriority w:val="99"/>
    <w:rsid w:val="00BE0A96"/>
  </w:style>
  <w:style w:type="paragraph" w:styleId="CommentSubject">
    <w:name w:val="annotation subject"/>
    <w:basedOn w:val="CommentText"/>
    <w:next w:val="CommentText"/>
    <w:link w:val="CommentSubjectChar"/>
    <w:uiPriority w:val="99"/>
    <w:semiHidden/>
    <w:unhideWhenUsed/>
    <w:rsid w:val="00BE0A96"/>
    <w:rPr>
      <w:b/>
      <w:bCs/>
    </w:rPr>
  </w:style>
  <w:style w:type="character" w:customStyle="1" w:styleId="CommentSubjectChar">
    <w:name w:val="Comment Subject Char"/>
    <w:basedOn w:val="CommentTextChar"/>
    <w:link w:val="CommentSubject"/>
    <w:uiPriority w:val="99"/>
    <w:semiHidden/>
    <w:rsid w:val="00BE0A9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666504">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77962458">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97631833">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43961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rgeonprofile.njrcentre.org.uk/HospitalProfile?hospitalName=Neath%20Port%20Talbot%20Hospita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120</TotalTime>
  <Pages>3</Pages>
  <Words>804</Words>
  <Characters>4585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2019-03-26T11:11:00Z</cp:lastPrinted>
  <dcterms:created xsi:type="dcterms:W3CDTF">2021-09-13T07:38:00Z</dcterms:created>
  <dcterms:modified xsi:type="dcterms:W3CDTF">2025-03-04T08:30:00Z</dcterms:modified>
</cp:coreProperties>
</file>