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D98111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03BB9">
                              <w:rPr>
                                <w:rFonts w:ascii="Verdana" w:hAnsi="Verdana"/>
                                <w:b/>
                                <w:sz w:val="22"/>
                                <w:szCs w:val="22"/>
                              </w:rPr>
                              <w:t>25-D-054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D98111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03BB9">
                        <w:rPr>
                          <w:rFonts w:ascii="Verdana" w:hAnsi="Verdana"/>
                          <w:b/>
                          <w:sz w:val="22"/>
                          <w:szCs w:val="22"/>
                        </w:rPr>
                        <w:t>25-D-054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8064978" w14:textId="25AB932E" w:rsidR="00B03BB9" w:rsidRDefault="00B03BB9" w:rsidP="00B03BB9">
      <w:pPr>
        <w:pStyle w:val="ListParagraph"/>
        <w:numPr>
          <w:ilvl w:val="0"/>
          <w:numId w:val="20"/>
        </w:numPr>
        <w:spacing w:before="280"/>
        <w:rPr>
          <w:rFonts w:ascii="Verdana" w:hAnsi="Verdana"/>
          <w:b/>
          <w:sz w:val="22"/>
        </w:rPr>
      </w:pPr>
      <w:r w:rsidRPr="00B03BB9">
        <w:rPr>
          <w:rFonts w:ascii="Verdana" w:hAnsi="Verdana"/>
          <w:b/>
          <w:sz w:val="22"/>
        </w:rPr>
        <w:t>Does the health board offer all staff a 'flu vaccine every year or just staff in certain roles - if the latter can you be specific?</w:t>
      </w:r>
    </w:p>
    <w:p w14:paraId="5402F8AF" w14:textId="77777777" w:rsidR="00B03BB9" w:rsidRPr="00B03BB9" w:rsidRDefault="00B03BB9" w:rsidP="00B03BB9">
      <w:pPr>
        <w:pStyle w:val="ListParagraph"/>
        <w:spacing w:before="280"/>
        <w:ind w:left="865"/>
        <w:rPr>
          <w:rFonts w:ascii="Verdana" w:hAnsi="Verdana"/>
          <w:bCs/>
          <w:sz w:val="22"/>
        </w:rPr>
      </w:pPr>
      <w:r w:rsidRPr="00B03BB9">
        <w:rPr>
          <w:rFonts w:ascii="Verdana" w:hAnsi="Verdana"/>
          <w:bCs/>
          <w:sz w:val="22"/>
        </w:rPr>
        <w:t xml:space="preserve">The health board offers the Flu Vaccination all staff within the following groups: </w:t>
      </w:r>
    </w:p>
    <w:p w14:paraId="443D4F32" w14:textId="110B324F" w:rsidR="00B03BB9" w:rsidRPr="00B03BB9" w:rsidRDefault="00B03BB9" w:rsidP="00B03BB9">
      <w:pPr>
        <w:pStyle w:val="ListParagraph"/>
        <w:spacing w:before="280"/>
        <w:ind w:left="865"/>
        <w:rPr>
          <w:rFonts w:ascii="Verdana" w:hAnsi="Verdana"/>
          <w:bCs/>
          <w:sz w:val="22"/>
        </w:rPr>
      </w:pPr>
      <w:r w:rsidRPr="00B03BB9">
        <w:rPr>
          <w:rFonts w:ascii="Verdana" w:hAnsi="Verdana"/>
          <w:bCs/>
          <w:sz w:val="22"/>
        </w:rPr>
        <w:t xml:space="preserve"> Front line Health and Care workers, those in a clinical risk group, those ages over 65+ years, Carers of a person whose health or welfare may be at risk if the carer falls ill and those who are household contacts of immunosuppressed.</w:t>
      </w:r>
      <w:r>
        <w:rPr>
          <w:rFonts w:ascii="Verdana" w:hAnsi="Verdana"/>
          <w:bCs/>
          <w:sz w:val="22"/>
        </w:rPr>
        <w:br/>
      </w:r>
    </w:p>
    <w:p w14:paraId="7F13F964" w14:textId="719BDB50" w:rsidR="00B03BB9" w:rsidRPr="00B03BB9" w:rsidRDefault="00B03BB9" w:rsidP="00B03BB9">
      <w:pPr>
        <w:pStyle w:val="ListParagraph"/>
        <w:numPr>
          <w:ilvl w:val="0"/>
          <w:numId w:val="20"/>
        </w:numPr>
        <w:spacing w:before="280"/>
        <w:rPr>
          <w:rFonts w:ascii="Verdana" w:hAnsi="Verdana"/>
          <w:b/>
          <w:sz w:val="22"/>
        </w:rPr>
      </w:pPr>
      <w:r w:rsidRPr="00B03BB9">
        <w:rPr>
          <w:rFonts w:ascii="Verdana" w:hAnsi="Verdana"/>
          <w:b/>
          <w:sz w:val="22"/>
        </w:rPr>
        <w:t>What was the percentage uptake of the 'flu vaccine among all staff offered it in 2024-25, in 2023-24, and in 2022-23?</w:t>
      </w:r>
    </w:p>
    <w:tbl>
      <w:tblPr>
        <w:tblW w:w="14480" w:type="dxa"/>
        <w:jc w:val="center"/>
        <w:tblLook w:val="04A0" w:firstRow="1" w:lastRow="0" w:firstColumn="1" w:lastColumn="0" w:noHBand="0" w:noVBand="1"/>
      </w:tblPr>
      <w:tblGrid>
        <w:gridCol w:w="3860"/>
        <w:gridCol w:w="1205"/>
        <w:gridCol w:w="1180"/>
        <w:gridCol w:w="1180"/>
        <w:gridCol w:w="1205"/>
        <w:gridCol w:w="1180"/>
        <w:gridCol w:w="1180"/>
        <w:gridCol w:w="1205"/>
        <w:gridCol w:w="1180"/>
        <w:gridCol w:w="1180"/>
      </w:tblGrid>
      <w:tr w:rsidR="00A238D3" w:rsidRPr="006121F6" w14:paraId="3E4F4B35" w14:textId="77777777" w:rsidTr="006B1CCB">
        <w:trPr>
          <w:trHeight w:val="300"/>
          <w:jc w:val="center"/>
        </w:trPr>
        <w:tc>
          <w:tcPr>
            <w:tcW w:w="3860" w:type="dxa"/>
            <w:vMerge w:val="restart"/>
            <w:tcBorders>
              <w:top w:val="single" w:sz="4" w:space="0" w:color="auto"/>
              <w:left w:val="single" w:sz="4" w:space="0" w:color="auto"/>
              <w:bottom w:val="single" w:sz="4" w:space="0" w:color="EBF1DE"/>
              <w:right w:val="single" w:sz="4" w:space="0" w:color="auto"/>
            </w:tcBorders>
            <w:shd w:val="clear" w:color="000000" w:fill="EBF1DE"/>
            <w:vAlign w:val="center"/>
            <w:hideMark/>
          </w:tcPr>
          <w:p w14:paraId="4C530619" w14:textId="77777777" w:rsidR="00A238D3" w:rsidRPr="006121F6" w:rsidRDefault="00A238D3" w:rsidP="006B1CCB">
            <w:pPr>
              <w:spacing w:before="0" w:after="0" w:line="240" w:lineRule="auto"/>
              <w:ind w:left="0" w:right="0"/>
              <w:jc w:val="center"/>
              <w:rPr>
                <w:rFonts w:ascii="Aptos Narrow" w:eastAsia="Times New Roman" w:hAnsi="Aptos Narrow" w:cs="Times New Roman"/>
                <w:b/>
                <w:bCs/>
                <w:color w:val="000000"/>
                <w:sz w:val="22"/>
                <w:szCs w:val="22"/>
              </w:rPr>
            </w:pPr>
            <w:r w:rsidRPr="006121F6">
              <w:rPr>
                <w:rFonts w:ascii="Aptos Narrow" w:eastAsia="Times New Roman" w:hAnsi="Aptos Narrow" w:cs="Times New Roman"/>
                <w:b/>
                <w:bCs/>
                <w:color w:val="000000"/>
                <w:sz w:val="22"/>
                <w:szCs w:val="22"/>
              </w:rPr>
              <w:t>Staff group</w:t>
            </w:r>
          </w:p>
        </w:tc>
        <w:tc>
          <w:tcPr>
            <w:tcW w:w="3540" w:type="dxa"/>
            <w:gridSpan w:val="3"/>
            <w:tcBorders>
              <w:top w:val="single" w:sz="4" w:space="0" w:color="auto"/>
              <w:left w:val="nil"/>
              <w:bottom w:val="single" w:sz="4" w:space="0" w:color="EBF1DE"/>
              <w:right w:val="single" w:sz="4" w:space="0" w:color="000000"/>
            </w:tcBorders>
            <w:shd w:val="clear" w:color="000000" w:fill="EBF1DE"/>
            <w:noWrap/>
            <w:vAlign w:val="bottom"/>
            <w:hideMark/>
          </w:tcPr>
          <w:p w14:paraId="281DD1A3" w14:textId="77777777" w:rsidR="00A238D3" w:rsidRPr="006121F6" w:rsidRDefault="00A238D3" w:rsidP="006B1CCB">
            <w:pPr>
              <w:spacing w:before="0" w:after="0" w:line="240" w:lineRule="auto"/>
              <w:ind w:left="0" w:right="0"/>
              <w:jc w:val="center"/>
              <w:rPr>
                <w:rFonts w:ascii="Aptos Narrow" w:eastAsia="Times New Roman" w:hAnsi="Aptos Narrow" w:cs="Times New Roman"/>
                <w:b/>
                <w:bCs/>
                <w:color w:val="000000"/>
                <w:sz w:val="22"/>
                <w:szCs w:val="22"/>
              </w:rPr>
            </w:pPr>
            <w:r w:rsidRPr="006121F6">
              <w:rPr>
                <w:rFonts w:ascii="Aptos Narrow" w:eastAsia="Times New Roman" w:hAnsi="Aptos Narrow" w:cs="Times New Roman"/>
                <w:b/>
                <w:bCs/>
                <w:color w:val="000000"/>
                <w:sz w:val="22"/>
                <w:szCs w:val="22"/>
              </w:rPr>
              <w:t>2022-23</w:t>
            </w:r>
          </w:p>
        </w:tc>
        <w:tc>
          <w:tcPr>
            <w:tcW w:w="3540" w:type="dxa"/>
            <w:gridSpan w:val="3"/>
            <w:tcBorders>
              <w:top w:val="single" w:sz="4" w:space="0" w:color="auto"/>
              <w:left w:val="nil"/>
              <w:bottom w:val="single" w:sz="4" w:space="0" w:color="EBF1DE"/>
              <w:right w:val="single" w:sz="4" w:space="0" w:color="000000"/>
            </w:tcBorders>
            <w:shd w:val="clear" w:color="000000" w:fill="EBF1DE"/>
            <w:noWrap/>
            <w:vAlign w:val="bottom"/>
            <w:hideMark/>
          </w:tcPr>
          <w:p w14:paraId="1B002AEA" w14:textId="77777777" w:rsidR="00A238D3" w:rsidRPr="006121F6" w:rsidRDefault="00A238D3" w:rsidP="006B1CCB">
            <w:pPr>
              <w:spacing w:before="0" w:after="0" w:line="240" w:lineRule="auto"/>
              <w:ind w:left="0" w:right="0"/>
              <w:jc w:val="center"/>
              <w:rPr>
                <w:rFonts w:ascii="Aptos Narrow" w:eastAsia="Times New Roman" w:hAnsi="Aptos Narrow" w:cs="Times New Roman"/>
                <w:b/>
                <w:bCs/>
                <w:color w:val="000000"/>
                <w:sz w:val="22"/>
                <w:szCs w:val="22"/>
              </w:rPr>
            </w:pPr>
            <w:r w:rsidRPr="006121F6">
              <w:rPr>
                <w:rFonts w:ascii="Aptos Narrow" w:eastAsia="Times New Roman" w:hAnsi="Aptos Narrow" w:cs="Times New Roman"/>
                <w:b/>
                <w:bCs/>
                <w:color w:val="000000"/>
                <w:sz w:val="22"/>
                <w:szCs w:val="22"/>
              </w:rPr>
              <w:t>2023-24</w:t>
            </w:r>
          </w:p>
        </w:tc>
        <w:tc>
          <w:tcPr>
            <w:tcW w:w="3540" w:type="dxa"/>
            <w:gridSpan w:val="3"/>
            <w:tcBorders>
              <w:top w:val="single" w:sz="4" w:space="0" w:color="auto"/>
              <w:left w:val="nil"/>
              <w:bottom w:val="single" w:sz="4" w:space="0" w:color="EBF1DE"/>
              <w:right w:val="single" w:sz="4" w:space="0" w:color="000000"/>
            </w:tcBorders>
            <w:shd w:val="clear" w:color="000000" w:fill="EBF1DE"/>
            <w:noWrap/>
            <w:vAlign w:val="bottom"/>
            <w:hideMark/>
          </w:tcPr>
          <w:p w14:paraId="707B1E88" w14:textId="77777777" w:rsidR="00A238D3" w:rsidRPr="006121F6" w:rsidRDefault="00A238D3" w:rsidP="006B1CCB">
            <w:pPr>
              <w:spacing w:before="0" w:after="0" w:line="240" w:lineRule="auto"/>
              <w:ind w:left="0" w:right="0"/>
              <w:jc w:val="center"/>
              <w:rPr>
                <w:rFonts w:ascii="Aptos Narrow" w:eastAsia="Times New Roman" w:hAnsi="Aptos Narrow" w:cs="Times New Roman"/>
                <w:b/>
                <w:bCs/>
                <w:color w:val="000000"/>
                <w:sz w:val="22"/>
                <w:szCs w:val="22"/>
              </w:rPr>
            </w:pPr>
            <w:r w:rsidRPr="006121F6">
              <w:rPr>
                <w:rFonts w:ascii="Aptos Narrow" w:eastAsia="Times New Roman" w:hAnsi="Aptos Narrow" w:cs="Times New Roman"/>
                <w:b/>
                <w:bCs/>
                <w:color w:val="000000"/>
                <w:sz w:val="22"/>
                <w:szCs w:val="22"/>
              </w:rPr>
              <w:t>2024-25</w:t>
            </w:r>
          </w:p>
        </w:tc>
      </w:tr>
      <w:tr w:rsidR="00A238D3" w:rsidRPr="006121F6" w14:paraId="75C9F886" w14:textId="77777777" w:rsidTr="006B1CCB">
        <w:trPr>
          <w:trHeight w:val="600"/>
          <w:jc w:val="center"/>
        </w:trPr>
        <w:tc>
          <w:tcPr>
            <w:tcW w:w="3860" w:type="dxa"/>
            <w:vMerge/>
            <w:tcBorders>
              <w:top w:val="single" w:sz="4" w:space="0" w:color="auto"/>
              <w:left w:val="single" w:sz="4" w:space="0" w:color="auto"/>
              <w:bottom w:val="single" w:sz="4" w:space="0" w:color="EBF1DE"/>
              <w:right w:val="single" w:sz="4" w:space="0" w:color="auto"/>
            </w:tcBorders>
            <w:vAlign w:val="center"/>
            <w:hideMark/>
          </w:tcPr>
          <w:p w14:paraId="0304F737" w14:textId="77777777" w:rsidR="00A238D3" w:rsidRPr="006121F6" w:rsidRDefault="00A238D3" w:rsidP="006B1CCB">
            <w:pPr>
              <w:spacing w:before="0" w:after="0" w:line="240" w:lineRule="auto"/>
              <w:ind w:left="0" w:right="0"/>
              <w:rPr>
                <w:rFonts w:ascii="Aptos Narrow" w:eastAsia="Times New Roman" w:hAnsi="Aptos Narrow" w:cs="Times New Roman"/>
                <w:b/>
                <w:bCs/>
                <w:color w:val="000000"/>
                <w:sz w:val="22"/>
                <w:szCs w:val="22"/>
              </w:rPr>
            </w:pPr>
          </w:p>
        </w:tc>
        <w:tc>
          <w:tcPr>
            <w:tcW w:w="1180" w:type="dxa"/>
            <w:tcBorders>
              <w:top w:val="nil"/>
              <w:left w:val="nil"/>
              <w:bottom w:val="single" w:sz="4" w:space="0" w:color="EBF1DE"/>
              <w:right w:val="single" w:sz="4" w:space="0" w:color="EBF1DE"/>
            </w:tcBorders>
            <w:shd w:val="clear" w:color="000000" w:fill="EBF1DE"/>
            <w:vAlign w:val="center"/>
            <w:hideMark/>
          </w:tcPr>
          <w:p w14:paraId="708CACFA" w14:textId="77777777" w:rsidR="00A238D3" w:rsidRPr="006121F6" w:rsidRDefault="00A238D3" w:rsidP="006B1CCB">
            <w:pPr>
              <w:spacing w:before="0" w:after="0" w:line="240" w:lineRule="auto"/>
              <w:ind w:left="0" w:right="0"/>
              <w:jc w:val="center"/>
              <w:rPr>
                <w:rFonts w:ascii="Aptos Narrow" w:eastAsia="Times New Roman" w:hAnsi="Aptos Narrow" w:cs="Times New Roman"/>
                <w:color w:val="000000"/>
                <w:sz w:val="22"/>
                <w:szCs w:val="22"/>
              </w:rPr>
            </w:pPr>
            <w:r w:rsidRPr="006121F6">
              <w:rPr>
                <w:rFonts w:ascii="Aptos Narrow" w:eastAsia="Times New Roman" w:hAnsi="Aptos Narrow" w:cs="Times New Roman"/>
                <w:color w:val="000000"/>
                <w:sz w:val="22"/>
                <w:szCs w:val="22"/>
              </w:rPr>
              <w:t>Immunised</w:t>
            </w:r>
          </w:p>
        </w:tc>
        <w:tc>
          <w:tcPr>
            <w:tcW w:w="1180" w:type="dxa"/>
            <w:tcBorders>
              <w:top w:val="nil"/>
              <w:left w:val="nil"/>
              <w:bottom w:val="single" w:sz="4" w:space="0" w:color="EBF1DE"/>
              <w:right w:val="single" w:sz="4" w:space="0" w:color="EBF1DE"/>
            </w:tcBorders>
            <w:shd w:val="clear" w:color="000000" w:fill="EBF1DE"/>
            <w:vAlign w:val="center"/>
            <w:hideMark/>
          </w:tcPr>
          <w:p w14:paraId="5FD4F545" w14:textId="77777777" w:rsidR="00A238D3" w:rsidRPr="006121F6" w:rsidRDefault="00A238D3" w:rsidP="006B1CCB">
            <w:pPr>
              <w:spacing w:before="0" w:after="0" w:line="240" w:lineRule="auto"/>
              <w:ind w:left="0" w:right="0"/>
              <w:jc w:val="center"/>
              <w:rPr>
                <w:rFonts w:ascii="Aptos Narrow" w:eastAsia="Times New Roman" w:hAnsi="Aptos Narrow" w:cs="Times New Roman"/>
                <w:color w:val="000000"/>
                <w:sz w:val="22"/>
                <w:szCs w:val="22"/>
              </w:rPr>
            </w:pPr>
            <w:r w:rsidRPr="006121F6">
              <w:rPr>
                <w:rFonts w:ascii="Aptos Narrow" w:eastAsia="Times New Roman" w:hAnsi="Aptos Narrow" w:cs="Times New Roman"/>
                <w:color w:val="000000"/>
                <w:sz w:val="22"/>
                <w:szCs w:val="22"/>
              </w:rPr>
              <w:t>Total eligible</w:t>
            </w:r>
          </w:p>
        </w:tc>
        <w:tc>
          <w:tcPr>
            <w:tcW w:w="1180" w:type="dxa"/>
            <w:tcBorders>
              <w:top w:val="nil"/>
              <w:left w:val="nil"/>
              <w:bottom w:val="single" w:sz="4" w:space="0" w:color="EBF1DE"/>
              <w:right w:val="single" w:sz="4" w:space="0" w:color="auto"/>
            </w:tcBorders>
            <w:shd w:val="clear" w:color="000000" w:fill="EBF1DE"/>
            <w:vAlign w:val="center"/>
            <w:hideMark/>
          </w:tcPr>
          <w:p w14:paraId="07D251FA" w14:textId="77777777" w:rsidR="00A238D3" w:rsidRPr="006121F6" w:rsidRDefault="00A238D3" w:rsidP="006B1CCB">
            <w:pPr>
              <w:spacing w:before="0" w:after="0" w:line="240" w:lineRule="auto"/>
              <w:ind w:left="0" w:right="0"/>
              <w:jc w:val="center"/>
              <w:rPr>
                <w:rFonts w:ascii="Aptos Narrow" w:eastAsia="Times New Roman" w:hAnsi="Aptos Narrow" w:cs="Times New Roman"/>
                <w:color w:val="000000"/>
                <w:sz w:val="22"/>
                <w:szCs w:val="22"/>
              </w:rPr>
            </w:pPr>
            <w:r w:rsidRPr="006121F6">
              <w:rPr>
                <w:rFonts w:ascii="Aptos Narrow" w:eastAsia="Times New Roman" w:hAnsi="Aptos Narrow" w:cs="Times New Roman"/>
                <w:color w:val="000000"/>
                <w:sz w:val="22"/>
                <w:szCs w:val="22"/>
              </w:rPr>
              <w:t>Uptake (%)</w:t>
            </w:r>
          </w:p>
        </w:tc>
        <w:tc>
          <w:tcPr>
            <w:tcW w:w="1180" w:type="dxa"/>
            <w:tcBorders>
              <w:top w:val="nil"/>
              <w:left w:val="nil"/>
              <w:bottom w:val="single" w:sz="4" w:space="0" w:color="EBF1DE"/>
              <w:right w:val="single" w:sz="4" w:space="0" w:color="EBF1DE"/>
            </w:tcBorders>
            <w:shd w:val="clear" w:color="000000" w:fill="EBF1DE"/>
            <w:vAlign w:val="center"/>
            <w:hideMark/>
          </w:tcPr>
          <w:p w14:paraId="2A9FAB9A" w14:textId="77777777" w:rsidR="00A238D3" w:rsidRPr="006121F6" w:rsidRDefault="00A238D3" w:rsidP="006B1CCB">
            <w:pPr>
              <w:spacing w:before="0" w:after="0" w:line="240" w:lineRule="auto"/>
              <w:ind w:left="0" w:right="0"/>
              <w:jc w:val="center"/>
              <w:rPr>
                <w:rFonts w:ascii="Aptos Narrow" w:eastAsia="Times New Roman" w:hAnsi="Aptos Narrow" w:cs="Times New Roman"/>
                <w:color w:val="000000"/>
                <w:sz w:val="22"/>
                <w:szCs w:val="22"/>
              </w:rPr>
            </w:pPr>
            <w:r w:rsidRPr="006121F6">
              <w:rPr>
                <w:rFonts w:ascii="Aptos Narrow" w:eastAsia="Times New Roman" w:hAnsi="Aptos Narrow" w:cs="Times New Roman"/>
                <w:color w:val="000000"/>
                <w:sz w:val="22"/>
                <w:szCs w:val="22"/>
              </w:rPr>
              <w:t>Immunised</w:t>
            </w:r>
          </w:p>
        </w:tc>
        <w:tc>
          <w:tcPr>
            <w:tcW w:w="1180" w:type="dxa"/>
            <w:tcBorders>
              <w:top w:val="nil"/>
              <w:left w:val="nil"/>
              <w:bottom w:val="single" w:sz="4" w:space="0" w:color="EBF1DE"/>
              <w:right w:val="single" w:sz="4" w:space="0" w:color="EBF1DE"/>
            </w:tcBorders>
            <w:shd w:val="clear" w:color="000000" w:fill="EBF1DE"/>
            <w:vAlign w:val="center"/>
            <w:hideMark/>
          </w:tcPr>
          <w:p w14:paraId="4A870D3C" w14:textId="77777777" w:rsidR="00A238D3" w:rsidRPr="006121F6" w:rsidRDefault="00A238D3" w:rsidP="006B1CCB">
            <w:pPr>
              <w:spacing w:before="0" w:after="0" w:line="240" w:lineRule="auto"/>
              <w:ind w:left="0" w:right="0"/>
              <w:jc w:val="center"/>
              <w:rPr>
                <w:rFonts w:ascii="Aptos Narrow" w:eastAsia="Times New Roman" w:hAnsi="Aptos Narrow" w:cs="Times New Roman"/>
                <w:color w:val="000000"/>
                <w:sz w:val="22"/>
                <w:szCs w:val="22"/>
              </w:rPr>
            </w:pPr>
            <w:r w:rsidRPr="006121F6">
              <w:rPr>
                <w:rFonts w:ascii="Aptos Narrow" w:eastAsia="Times New Roman" w:hAnsi="Aptos Narrow" w:cs="Times New Roman"/>
                <w:color w:val="000000"/>
                <w:sz w:val="22"/>
                <w:szCs w:val="22"/>
              </w:rPr>
              <w:t>Total eligible</w:t>
            </w:r>
          </w:p>
        </w:tc>
        <w:tc>
          <w:tcPr>
            <w:tcW w:w="1180" w:type="dxa"/>
            <w:tcBorders>
              <w:top w:val="nil"/>
              <w:left w:val="nil"/>
              <w:bottom w:val="single" w:sz="4" w:space="0" w:color="EBF1DE"/>
              <w:right w:val="single" w:sz="4" w:space="0" w:color="auto"/>
            </w:tcBorders>
            <w:shd w:val="clear" w:color="000000" w:fill="EBF1DE"/>
            <w:vAlign w:val="center"/>
            <w:hideMark/>
          </w:tcPr>
          <w:p w14:paraId="3A138BEB" w14:textId="77777777" w:rsidR="00A238D3" w:rsidRPr="006121F6" w:rsidRDefault="00A238D3" w:rsidP="006B1CCB">
            <w:pPr>
              <w:spacing w:before="0" w:after="0" w:line="240" w:lineRule="auto"/>
              <w:ind w:left="0" w:right="0"/>
              <w:jc w:val="center"/>
              <w:rPr>
                <w:rFonts w:ascii="Aptos Narrow" w:eastAsia="Times New Roman" w:hAnsi="Aptos Narrow" w:cs="Times New Roman"/>
                <w:color w:val="000000"/>
                <w:sz w:val="22"/>
                <w:szCs w:val="22"/>
              </w:rPr>
            </w:pPr>
            <w:r w:rsidRPr="006121F6">
              <w:rPr>
                <w:rFonts w:ascii="Aptos Narrow" w:eastAsia="Times New Roman" w:hAnsi="Aptos Narrow" w:cs="Times New Roman"/>
                <w:color w:val="000000"/>
                <w:sz w:val="22"/>
                <w:szCs w:val="22"/>
              </w:rPr>
              <w:t>Uptake (%)</w:t>
            </w:r>
          </w:p>
        </w:tc>
        <w:tc>
          <w:tcPr>
            <w:tcW w:w="1180" w:type="dxa"/>
            <w:tcBorders>
              <w:top w:val="nil"/>
              <w:left w:val="nil"/>
              <w:bottom w:val="single" w:sz="4" w:space="0" w:color="EBF1DE"/>
              <w:right w:val="single" w:sz="4" w:space="0" w:color="EBF1DE"/>
            </w:tcBorders>
            <w:shd w:val="clear" w:color="000000" w:fill="EBF1DE"/>
            <w:vAlign w:val="center"/>
            <w:hideMark/>
          </w:tcPr>
          <w:p w14:paraId="1AEB7709" w14:textId="77777777" w:rsidR="00A238D3" w:rsidRPr="006121F6" w:rsidRDefault="00A238D3" w:rsidP="006B1CCB">
            <w:pPr>
              <w:spacing w:before="0" w:after="0" w:line="240" w:lineRule="auto"/>
              <w:ind w:left="0" w:right="0"/>
              <w:jc w:val="center"/>
              <w:rPr>
                <w:rFonts w:ascii="Aptos Narrow" w:eastAsia="Times New Roman" w:hAnsi="Aptos Narrow" w:cs="Times New Roman"/>
                <w:color w:val="000000"/>
                <w:sz w:val="22"/>
                <w:szCs w:val="22"/>
              </w:rPr>
            </w:pPr>
            <w:r w:rsidRPr="006121F6">
              <w:rPr>
                <w:rFonts w:ascii="Aptos Narrow" w:eastAsia="Times New Roman" w:hAnsi="Aptos Narrow" w:cs="Times New Roman"/>
                <w:color w:val="000000"/>
                <w:sz w:val="22"/>
                <w:szCs w:val="22"/>
              </w:rPr>
              <w:t>Immunised</w:t>
            </w:r>
          </w:p>
        </w:tc>
        <w:tc>
          <w:tcPr>
            <w:tcW w:w="1180" w:type="dxa"/>
            <w:tcBorders>
              <w:top w:val="nil"/>
              <w:left w:val="nil"/>
              <w:bottom w:val="single" w:sz="4" w:space="0" w:color="EBF1DE"/>
              <w:right w:val="single" w:sz="4" w:space="0" w:color="EBF1DE"/>
            </w:tcBorders>
            <w:shd w:val="clear" w:color="000000" w:fill="EBF1DE"/>
            <w:vAlign w:val="center"/>
            <w:hideMark/>
          </w:tcPr>
          <w:p w14:paraId="564264BE" w14:textId="77777777" w:rsidR="00A238D3" w:rsidRPr="006121F6" w:rsidRDefault="00A238D3" w:rsidP="006B1CCB">
            <w:pPr>
              <w:spacing w:before="0" w:after="0" w:line="240" w:lineRule="auto"/>
              <w:ind w:left="0" w:right="0"/>
              <w:jc w:val="center"/>
              <w:rPr>
                <w:rFonts w:ascii="Aptos Narrow" w:eastAsia="Times New Roman" w:hAnsi="Aptos Narrow" w:cs="Times New Roman"/>
                <w:color w:val="000000"/>
                <w:sz w:val="22"/>
                <w:szCs w:val="22"/>
              </w:rPr>
            </w:pPr>
            <w:r w:rsidRPr="006121F6">
              <w:rPr>
                <w:rFonts w:ascii="Aptos Narrow" w:eastAsia="Times New Roman" w:hAnsi="Aptos Narrow" w:cs="Times New Roman"/>
                <w:color w:val="000000"/>
                <w:sz w:val="22"/>
                <w:szCs w:val="22"/>
              </w:rPr>
              <w:t>Total eligible</w:t>
            </w:r>
          </w:p>
        </w:tc>
        <w:tc>
          <w:tcPr>
            <w:tcW w:w="1180" w:type="dxa"/>
            <w:tcBorders>
              <w:top w:val="nil"/>
              <w:left w:val="nil"/>
              <w:bottom w:val="single" w:sz="4" w:space="0" w:color="EBF1DE"/>
              <w:right w:val="single" w:sz="4" w:space="0" w:color="auto"/>
            </w:tcBorders>
            <w:shd w:val="clear" w:color="000000" w:fill="EBF1DE"/>
            <w:vAlign w:val="center"/>
            <w:hideMark/>
          </w:tcPr>
          <w:p w14:paraId="4C1FAA02" w14:textId="77777777" w:rsidR="00A238D3" w:rsidRPr="006121F6" w:rsidRDefault="00A238D3" w:rsidP="006B1CCB">
            <w:pPr>
              <w:spacing w:before="0" w:after="0" w:line="240" w:lineRule="auto"/>
              <w:ind w:left="0" w:right="0"/>
              <w:jc w:val="center"/>
              <w:rPr>
                <w:rFonts w:ascii="Aptos Narrow" w:eastAsia="Times New Roman" w:hAnsi="Aptos Narrow" w:cs="Times New Roman"/>
                <w:color w:val="000000"/>
                <w:sz w:val="22"/>
                <w:szCs w:val="22"/>
              </w:rPr>
            </w:pPr>
            <w:r w:rsidRPr="006121F6">
              <w:rPr>
                <w:rFonts w:ascii="Aptos Narrow" w:eastAsia="Times New Roman" w:hAnsi="Aptos Narrow" w:cs="Times New Roman"/>
                <w:color w:val="000000"/>
                <w:sz w:val="22"/>
                <w:szCs w:val="22"/>
              </w:rPr>
              <w:t>Uptake (%)</w:t>
            </w:r>
          </w:p>
        </w:tc>
      </w:tr>
      <w:tr w:rsidR="00A238D3" w:rsidRPr="006121F6" w14:paraId="6D56B805" w14:textId="77777777" w:rsidTr="006B1CCB">
        <w:trPr>
          <w:trHeight w:val="300"/>
          <w:jc w:val="center"/>
        </w:trPr>
        <w:tc>
          <w:tcPr>
            <w:tcW w:w="3860" w:type="dxa"/>
            <w:tcBorders>
              <w:top w:val="nil"/>
              <w:left w:val="single" w:sz="4" w:space="0" w:color="auto"/>
              <w:bottom w:val="single" w:sz="4" w:space="0" w:color="EBF1DE"/>
              <w:right w:val="single" w:sz="4" w:space="0" w:color="auto"/>
            </w:tcBorders>
            <w:shd w:val="clear" w:color="auto" w:fill="auto"/>
            <w:noWrap/>
            <w:vAlign w:val="bottom"/>
            <w:hideMark/>
          </w:tcPr>
          <w:p w14:paraId="605018CD" w14:textId="77777777" w:rsidR="00A238D3" w:rsidRPr="006121F6" w:rsidRDefault="00A238D3" w:rsidP="006B1CCB">
            <w:pPr>
              <w:spacing w:before="0" w:after="0" w:line="240" w:lineRule="auto"/>
              <w:ind w:left="0" w:right="0"/>
              <w:rPr>
                <w:rFonts w:ascii="Aptos Narrow" w:eastAsia="Times New Roman" w:hAnsi="Aptos Narrow" w:cs="Times New Roman"/>
                <w:color w:val="000000"/>
                <w:sz w:val="22"/>
                <w:szCs w:val="22"/>
              </w:rPr>
            </w:pPr>
            <w:r w:rsidRPr="006121F6">
              <w:rPr>
                <w:rFonts w:ascii="Aptos Narrow" w:eastAsia="Times New Roman" w:hAnsi="Aptos Narrow" w:cs="Times New Roman"/>
                <w:color w:val="000000"/>
                <w:sz w:val="22"/>
                <w:szCs w:val="22"/>
              </w:rPr>
              <w:t>Additional Prof Scientific and Technical</w:t>
            </w:r>
          </w:p>
        </w:tc>
        <w:tc>
          <w:tcPr>
            <w:tcW w:w="1180" w:type="dxa"/>
            <w:tcBorders>
              <w:top w:val="nil"/>
              <w:left w:val="nil"/>
              <w:bottom w:val="single" w:sz="4" w:space="0" w:color="EBF1DE"/>
              <w:right w:val="single" w:sz="4" w:space="0" w:color="EBF1DE"/>
            </w:tcBorders>
            <w:shd w:val="clear" w:color="auto" w:fill="auto"/>
            <w:noWrap/>
            <w:vAlign w:val="bottom"/>
            <w:hideMark/>
          </w:tcPr>
          <w:p w14:paraId="7BD44E81"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205</w:t>
            </w:r>
          </w:p>
        </w:tc>
        <w:tc>
          <w:tcPr>
            <w:tcW w:w="1180" w:type="dxa"/>
            <w:tcBorders>
              <w:top w:val="nil"/>
              <w:left w:val="nil"/>
              <w:bottom w:val="single" w:sz="4" w:space="0" w:color="EBF1DE"/>
              <w:right w:val="single" w:sz="4" w:space="0" w:color="EBF1DE"/>
            </w:tcBorders>
            <w:shd w:val="clear" w:color="auto" w:fill="auto"/>
            <w:noWrap/>
            <w:vAlign w:val="bottom"/>
            <w:hideMark/>
          </w:tcPr>
          <w:p w14:paraId="1AD4A97F"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396</w:t>
            </w:r>
          </w:p>
        </w:tc>
        <w:tc>
          <w:tcPr>
            <w:tcW w:w="1180" w:type="dxa"/>
            <w:tcBorders>
              <w:top w:val="nil"/>
              <w:left w:val="nil"/>
              <w:bottom w:val="single" w:sz="4" w:space="0" w:color="EBF1DE"/>
              <w:right w:val="single" w:sz="4" w:space="0" w:color="auto"/>
            </w:tcBorders>
            <w:shd w:val="clear" w:color="auto" w:fill="auto"/>
            <w:noWrap/>
            <w:vAlign w:val="bottom"/>
            <w:hideMark/>
          </w:tcPr>
          <w:p w14:paraId="6B771FB6"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51.8</w:t>
            </w:r>
          </w:p>
        </w:tc>
        <w:tc>
          <w:tcPr>
            <w:tcW w:w="1180" w:type="dxa"/>
            <w:tcBorders>
              <w:top w:val="nil"/>
              <w:left w:val="nil"/>
              <w:bottom w:val="single" w:sz="4" w:space="0" w:color="EBF1DE"/>
              <w:right w:val="single" w:sz="4" w:space="0" w:color="EBF1DE"/>
            </w:tcBorders>
            <w:shd w:val="clear" w:color="auto" w:fill="auto"/>
            <w:noWrap/>
            <w:vAlign w:val="bottom"/>
            <w:hideMark/>
          </w:tcPr>
          <w:p w14:paraId="54087A42"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211</w:t>
            </w:r>
          </w:p>
        </w:tc>
        <w:tc>
          <w:tcPr>
            <w:tcW w:w="1180" w:type="dxa"/>
            <w:tcBorders>
              <w:top w:val="nil"/>
              <w:left w:val="nil"/>
              <w:bottom w:val="single" w:sz="4" w:space="0" w:color="EBF1DE"/>
              <w:right w:val="single" w:sz="4" w:space="0" w:color="EBF1DE"/>
            </w:tcBorders>
            <w:shd w:val="clear" w:color="auto" w:fill="auto"/>
            <w:noWrap/>
            <w:vAlign w:val="bottom"/>
            <w:hideMark/>
          </w:tcPr>
          <w:p w14:paraId="64471A9A"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370</w:t>
            </w:r>
          </w:p>
        </w:tc>
        <w:tc>
          <w:tcPr>
            <w:tcW w:w="1180" w:type="dxa"/>
            <w:tcBorders>
              <w:top w:val="nil"/>
              <w:left w:val="nil"/>
              <w:bottom w:val="single" w:sz="4" w:space="0" w:color="EBF1DE"/>
              <w:right w:val="single" w:sz="4" w:space="0" w:color="auto"/>
            </w:tcBorders>
            <w:shd w:val="clear" w:color="auto" w:fill="auto"/>
            <w:noWrap/>
            <w:vAlign w:val="bottom"/>
            <w:hideMark/>
          </w:tcPr>
          <w:p w14:paraId="16D483FA"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57.0</w:t>
            </w:r>
          </w:p>
        </w:tc>
        <w:tc>
          <w:tcPr>
            <w:tcW w:w="1180" w:type="dxa"/>
            <w:tcBorders>
              <w:top w:val="nil"/>
              <w:left w:val="nil"/>
              <w:bottom w:val="single" w:sz="4" w:space="0" w:color="EBF1DE"/>
              <w:right w:val="single" w:sz="4" w:space="0" w:color="EBF1DE"/>
            </w:tcBorders>
            <w:shd w:val="clear" w:color="auto" w:fill="auto"/>
            <w:noWrap/>
            <w:vAlign w:val="bottom"/>
            <w:hideMark/>
          </w:tcPr>
          <w:p w14:paraId="71D7D539"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235</w:t>
            </w:r>
          </w:p>
        </w:tc>
        <w:tc>
          <w:tcPr>
            <w:tcW w:w="1180" w:type="dxa"/>
            <w:tcBorders>
              <w:top w:val="nil"/>
              <w:left w:val="nil"/>
              <w:bottom w:val="single" w:sz="4" w:space="0" w:color="EBF1DE"/>
              <w:right w:val="single" w:sz="4" w:space="0" w:color="EBF1DE"/>
            </w:tcBorders>
            <w:shd w:val="clear" w:color="auto" w:fill="auto"/>
            <w:noWrap/>
            <w:vAlign w:val="bottom"/>
            <w:hideMark/>
          </w:tcPr>
          <w:p w14:paraId="001BEFE2"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572</w:t>
            </w:r>
          </w:p>
        </w:tc>
        <w:tc>
          <w:tcPr>
            <w:tcW w:w="1180" w:type="dxa"/>
            <w:tcBorders>
              <w:top w:val="nil"/>
              <w:left w:val="nil"/>
              <w:bottom w:val="single" w:sz="4" w:space="0" w:color="EBF1DE"/>
              <w:right w:val="single" w:sz="4" w:space="0" w:color="auto"/>
            </w:tcBorders>
            <w:shd w:val="clear" w:color="auto" w:fill="auto"/>
            <w:noWrap/>
            <w:vAlign w:val="bottom"/>
            <w:hideMark/>
          </w:tcPr>
          <w:p w14:paraId="4ACE7476"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41.1</w:t>
            </w:r>
          </w:p>
        </w:tc>
      </w:tr>
      <w:tr w:rsidR="00A238D3" w:rsidRPr="006121F6" w14:paraId="66BDB2E2" w14:textId="77777777" w:rsidTr="006B1CCB">
        <w:trPr>
          <w:trHeight w:val="300"/>
          <w:jc w:val="center"/>
        </w:trPr>
        <w:tc>
          <w:tcPr>
            <w:tcW w:w="3860" w:type="dxa"/>
            <w:tcBorders>
              <w:top w:val="nil"/>
              <w:left w:val="single" w:sz="4" w:space="0" w:color="auto"/>
              <w:bottom w:val="single" w:sz="4" w:space="0" w:color="EBF1DE"/>
              <w:right w:val="single" w:sz="4" w:space="0" w:color="auto"/>
            </w:tcBorders>
            <w:shd w:val="clear" w:color="auto" w:fill="auto"/>
            <w:noWrap/>
            <w:vAlign w:val="bottom"/>
            <w:hideMark/>
          </w:tcPr>
          <w:p w14:paraId="32DE8849" w14:textId="77777777" w:rsidR="00A238D3" w:rsidRPr="006121F6" w:rsidRDefault="00A238D3" w:rsidP="006B1CCB">
            <w:pPr>
              <w:spacing w:before="0" w:after="0" w:line="240" w:lineRule="auto"/>
              <w:ind w:left="0" w:right="0"/>
              <w:rPr>
                <w:rFonts w:ascii="Aptos Narrow" w:eastAsia="Times New Roman" w:hAnsi="Aptos Narrow" w:cs="Times New Roman"/>
                <w:color w:val="000000"/>
                <w:sz w:val="22"/>
                <w:szCs w:val="22"/>
              </w:rPr>
            </w:pPr>
            <w:r w:rsidRPr="006121F6">
              <w:rPr>
                <w:rFonts w:ascii="Aptos Narrow" w:eastAsia="Times New Roman" w:hAnsi="Aptos Narrow" w:cs="Times New Roman"/>
                <w:color w:val="000000"/>
                <w:sz w:val="22"/>
                <w:szCs w:val="22"/>
              </w:rPr>
              <w:t>Additional Clinical Services</w:t>
            </w:r>
          </w:p>
        </w:tc>
        <w:tc>
          <w:tcPr>
            <w:tcW w:w="1180" w:type="dxa"/>
            <w:tcBorders>
              <w:top w:val="nil"/>
              <w:left w:val="nil"/>
              <w:bottom w:val="single" w:sz="4" w:space="0" w:color="EBF1DE"/>
              <w:right w:val="single" w:sz="4" w:space="0" w:color="EBF1DE"/>
            </w:tcBorders>
            <w:shd w:val="clear" w:color="auto" w:fill="auto"/>
            <w:noWrap/>
            <w:vAlign w:val="bottom"/>
            <w:hideMark/>
          </w:tcPr>
          <w:p w14:paraId="1E1F24B9"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1044</w:t>
            </w:r>
          </w:p>
        </w:tc>
        <w:tc>
          <w:tcPr>
            <w:tcW w:w="1180" w:type="dxa"/>
            <w:tcBorders>
              <w:top w:val="nil"/>
              <w:left w:val="nil"/>
              <w:bottom w:val="single" w:sz="4" w:space="0" w:color="EBF1DE"/>
              <w:right w:val="single" w:sz="4" w:space="0" w:color="EBF1DE"/>
            </w:tcBorders>
            <w:shd w:val="clear" w:color="auto" w:fill="auto"/>
            <w:noWrap/>
            <w:vAlign w:val="bottom"/>
            <w:hideMark/>
          </w:tcPr>
          <w:p w14:paraId="2BD09CA2"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2880</w:t>
            </w:r>
          </w:p>
        </w:tc>
        <w:tc>
          <w:tcPr>
            <w:tcW w:w="1180" w:type="dxa"/>
            <w:tcBorders>
              <w:top w:val="nil"/>
              <w:left w:val="nil"/>
              <w:bottom w:val="single" w:sz="4" w:space="0" w:color="EBF1DE"/>
              <w:right w:val="single" w:sz="4" w:space="0" w:color="auto"/>
            </w:tcBorders>
            <w:shd w:val="clear" w:color="auto" w:fill="auto"/>
            <w:noWrap/>
            <w:vAlign w:val="bottom"/>
            <w:hideMark/>
          </w:tcPr>
          <w:p w14:paraId="7D15BB01"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36.3</w:t>
            </w:r>
          </w:p>
        </w:tc>
        <w:tc>
          <w:tcPr>
            <w:tcW w:w="1180" w:type="dxa"/>
            <w:tcBorders>
              <w:top w:val="nil"/>
              <w:left w:val="nil"/>
              <w:bottom w:val="single" w:sz="4" w:space="0" w:color="EBF1DE"/>
              <w:right w:val="single" w:sz="4" w:space="0" w:color="EBF1DE"/>
            </w:tcBorders>
            <w:shd w:val="clear" w:color="auto" w:fill="auto"/>
            <w:noWrap/>
            <w:vAlign w:val="bottom"/>
            <w:hideMark/>
          </w:tcPr>
          <w:p w14:paraId="45B4127E"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1261</w:t>
            </w:r>
          </w:p>
        </w:tc>
        <w:tc>
          <w:tcPr>
            <w:tcW w:w="1180" w:type="dxa"/>
            <w:tcBorders>
              <w:top w:val="nil"/>
              <w:left w:val="nil"/>
              <w:bottom w:val="single" w:sz="4" w:space="0" w:color="EBF1DE"/>
              <w:right w:val="single" w:sz="4" w:space="0" w:color="EBF1DE"/>
            </w:tcBorders>
            <w:shd w:val="clear" w:color="auto" w:fill="auto"/>
            <w:noWrap/>
            <w:vAlign w:val="bottom"/>
            <w:hideMark/>
          </w:tcPr>
          <w:p w14:paraId="283652CD"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2812</w:t>
            </w:r>
          </w:p>
        </w:tc>
        <w:tc>
          <w:tcPr>
            <w:tcW w:w="1180" w:type="dxa"/>
            <w:tcBorders>
              <w:top w:val="nil"/>
              <w:left w:val="nil"/>
              <w:bottom w:val="single" w:sz="4" w:space="0" w:color="EBF1DE"/>
              <w:right w:val="single" w:sz="4" w:space="0" w:color="auto"/>
            </w:tcBorders>
            <w:shd w:val="clear" w:color="auto" w:fill="auto"/>
            <w:noWrap/>
            <w:vAlign w:val="bottom"/>
            <w:hideMark/>
          </w:tcPr>
          <w:p w14:paraId="471352F2"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44.8</w:t>
            </w:r>
          </w:p>
        </w:tc>
        <w:tc>
          <w:tcPr>
            <w:tcW w:w="1180" w:type="dxa"/>
            <w:tcBorders>
              <w:top w:val="nil"/>
              <w:left w:val="nil"/>
              <w:bottom w:val="single" w:sz="4" w:space="0" w:color="EBF1DE"/>
              <w:right w:val="single" w:sz="4" w:space="0" w:color="EBF1DE"/>
            </w:tcBorders>
            <w:shd w:val="clear" w:color="auto" w:fill="auto"/>
            <w:noWrap/>
            <w:vAlign w:val="bottom"/>
            <w:hideMark/>
          </w:tcPr>
          <w:p w14:paraId="4B61EAE6"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681</w:t>
            </w:r>
          </w:p>
        </w:tc>
        <w:tc>
          <w:tcPr>
            <w:tcW w:w="1180" w:type="dxa"/>
            <w:tcBorders>
              <w:top w:val="nil"/>
              <w:left w:val="nil"/>
              <w:bottom w:val="single" w:sz="4" w:space="0" w:color="EBF1DE"/>
              <w:right w:val="single" w:sz="4" w:space="0" w:color="EBF1DE"/>
            </w:tcBorders>
            <w:shd w:val="clear" w:color="auto" w:fill="auto"/>
            <w:noWrap/>
            <w:vAlign w:val="bottom"/>
            <w:hideMark/>
          </w:tcPr>
          <w:p w14:paraId="067D635B"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2504</w:t>
            </w:r>
          </w:p>
        </w:tc>
        <w:tc>
          <w:tcPr>
            <w:tcW w:w="1180" w:type="dxa"/>
            <w:tcBorders>
              <w:top w:val="nil"/>
              <w:left w:val="nil"/>
              <w:bottom w:val="single" w:sz="4" w:space="0" w:color="EBF1DE"/>
              <w:right w:val="single" w:sz="4" w:space="0" w:color="auto"/>
            </w:tcBorders>
            <w:shd w:val="clear" w:color="auto" w:fill="auto"/>
            <w:noWrap/>
            <w:vAlign w:val="bottom"/>
            <w:hideMark/>
          </w:tcPr>
          <w:p w14:paraId="13595FD2"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27.2</w:t>
            </w:r>
          </w:p>
        </w:tc>
      </w:tr>
      <w:tr w:rsidR="00A238D3" w:rsidRPr="006121F6" w14:paraId="67F80734" w14:textId="77777777" w:rsidTr="006B1CCB">
        <w:trPr>
          <w:trHeight w:val="300"/>
          <w:jc w:val="center"/>
        </w:trPr>
        <w:tc>
          <w:tcPr>
            <w:tcW w:w="3860" w:type="dxa"/>
            <w:tcBorders>
              <w:top w:val="nil"/>
              <w:left w:val="single" w:sz="4" w:space="0" w:color="auto"/>
              <w:bottom w:val="single" w:sz="4" w:space="0" w:color="EBF1DE"/>
              <w:right w:val="single" w:sz="4" w:space="0" w:color="auto"/>
            </w:tcBorders>
            <w:shd w:val="clear" w:color="auto" w:fill="auto"/>
            <w:noWrap/>
            <w:vAlign w:val="bottom"/>
            <w:hideMark/>
          </w:tcPr>
          <w:p w14:paraId="16847FC4" w14:textId="77777777" w:rsidR="00A238D3" w:rsidRPr="006121F6" w:rsidRDefault="00A238D3" w:rsidP="006B1CCB">
            <w:pPr>
              <w:spacing w:before="0" w:after="0" w:line="240" w:lineRule="auto"/>
              <w:ind w:left="0" w:right="0"/>
              <w:rPr>
                <w:rFonts w:ascii="Aptos Narrow" w:eastAsia="Times New Roman" w:hAnsi="Aptos Narrow" w:cs="Times New Roman"/>
                <w:color w:val="000000"/>
                <w:sz w:val="22"/>
                <w:szCs w:val="22"/>
              </w:rPr>
            </w:pPr>
            <w:r w:rsidRPr="006121F6">
              <w:rPr>
                <w:rFonts w:ascii="Aptos Narrow" w:eastAsia="Times New Roman" w:hAnsi="Aptos Narrow" w:cs="Times New Roman"/>
                <w:color w:val="000000"/>
                <w:sz w:val="22"/>
                <w:szCs w:val="22"/>
              </w:rPr>
              <w:t>Administrative and Clerical</w:t>
            </w:r>
          </w:p>
        </w:tc>
        <w:tc>
          <w:tcPr>
            <w:tcW w:w="1180" w:type="dxa"/>
            <w:tcBorders>
              <w:top w:val="nil"/>
              <w:left w:val="nil"/>
              <w:bottom w:val="single" w:sz="4" w:space="0" w:color="EBF1DE"/>
              <w:right w:val="single" w:sz="4" w:space="0" w:color="EBF1DE"/>
            </w:tcBorders>
            <w:shd w:val="clear" w:color="auto" w:fill="auto"/>
            <w:noWrap/>
            <w:vAlign w:val="bottom"/>
            <w:hideMark/>
          </w:tcPr>
          <w:p w14:paraId="742638C0"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1225</w:t>
            </w:r>
          </w:p>
        </w:tc>
        <w:tc>
          <w:tcPr>
            <w:tcW w:w="1180" w:type="dxa"/>
            <w:tcBorders>
              <w:top w:val="nil"/>
              <w:left w:val="nil"/>
              <w:bottom w:val="single" w:sz="4" w:space="0" w:color="EBF1DE"/>
              <w:right w:val="single" w:sz="4" w:space="0" w:color="EBF1DE"/>
            </w:tcBorders>
            <w:shd w:val="clear" w:color="auto" w:fill="auto"/>
            <w:noWrap/>
            <w:vAlign w:val="bottom"/>
            <w:hideMark/>
          </w:tcPr>
          <w:p w14:paraId="795C0094"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2579</w:t>
            </w:r>
          </w:p>
        </w:tc>
        <w:tc>
          <w:tcPr>
            <w:tcW w:w="1180" w:type="dxa"/>
            <w:tcBorders>
              <w:top w:val="nil"/>
              <w:left w:val="nil"/>
              <w:bottom w:val="single" w:sz="4" w:space="0" w:color="EBF1DE"/>
              <w:right w:val="single" w:sz="4" w:space="0" w:color="auto"/>
            </w:tcBorders>
            <w:shd w:val="clear" w:color="auto" w:fill="auto"/>
            <w:noWrap/>
            <w:vAlign w:val="bottom"/>
            <w:hideMark/>
          </w:tcPr>
          <w:p w14:paraId="598F1E15"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47.5</w:t>
            </w:r>
          </w:p>
        </w:tc>
        <w:tc>
          <w:tcPr>
            <w:tcW w:w="1180" w:type="dxa"/>
            <w:tcBorders>
              <w:top w:val="nil"/>
              <w:left w:val="nil"/>
              <w:bottom w:val="single" w:sz="4" w:space="0" w:color="EBF1DE"/>
              <w:right w:val="single" w:sz="4" w:space="0" w:color="EBF1DE"/>
            </w:tcBorders>
            <w:shd w:val="clear" w:color="auto" w:fill="auto"/>
            <w:noWrap/>
            <w:vAlign w:val="bottom"/>
            <w:hideMark/>
          </w:tcPr>
          <w:p w14:paraId="6281F041"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1550</w:t>
            </w:r>
          </w:p>
        </w:tc>
        <w:tc>
          <w:tcPr>
            <w:tcW w:w="1180" w:type="dxa"/>
            <w:tcBorders>
              <w:top w:val="nil"/>
              <w:left w:val="nil"/>
              <w:bottom w:val="single" w:sz="4" w:space="0" w:color="EBF1DE"/>
              <w:right w:val="single" w:sz="4" w:space="0" w:color="EBF1DE"/>
            </w:tcBorders>
            <w:shd w:val="clear" w:color="auto" w:fill="auto"/>
            <w:noWrap/>
            <w:vAlign w:val="bottom"/>
            <w:hideMark/>
          </w:tcPr>
          <w:p w14:paraId="2DEAEBA5"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2810</w:t>
            </w:r>
          </w:p>
        </w:tc>
        <w:tc>
          <w:tcPr>
            <w:tcW w:w="1180" w:type="dxa"/>
            <w:tcBorders>
              <w:top w:val="nil"/>
              <w:left w:val="nil"/>
              <w:bottom w:val="single" w:sz="4" w:space="0" w:color="EBF1DE"/>
              <w:right w:val="single" w:sz="4" w:space="0" w:color="auto"/>
            </w:tcBorders>
            <w:shd w:val="clear" w:color="auto" w:fill="auto"/>
            <w:noWrap/>
            <w:vAlign w:val="bottom"/>
            <w:hideMark/>
          </w:tcPr>
          <w:p w14:paraId="285EE05A"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55.2</w:t>
            </w:r>
          </w:p>
        </w:tc>
        <w:tc>
          <w:tcPr>
            <w:tcW w:w="1180" w:type="dxa"/>
            <w:tcBorders>
              <w:top w:val="nil"/>
              <w:left w:val="nil"/>
              <w:bottom w:val="single" w:sz="4" w:space="0" w:color="EBF1DE"/>
              <w:right w:val="single" w:sz="4" w:space="0" w:color="EBF1DE"/>
            </w:tcBorders>
            <w:shd w:val="clear" w:color="auto" w:fill="auto"/>
            <w:noWrap/>
            <w:vAlign w:val="bottom"/>
            <w:hideMark/>
          </w:tcPr>
          <w:p w14:paraId="5AD19424"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999</w:t>
            </w:r>
          </w:p>
        </w:tc>
        <w:tc>
          <w:tcPr>
            <w:tcW w:w="1180" w:type="dxa"/>
            <w:tcBorders>
              <w:top w:val="nil"/>
              <w:left w:val="nil"/>
              <w:bottom w:val="single" w:sz="4" w:space="0" w:color="EBF1DE"/>
              <w:right w:val="single" w:sz="4" w:space="0" w:color="EBF1DE"/>
            </w:tcBorders>
            <w:shd w:val="clear" w:color="auto" w:fill="auto"/>
            <w:noWrap/>
            <w:vAlign w:val="bottom"/>
            <w:hideMark/>
          </w:tcPr>
          <w:p w14:paraId="352D12CE"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2944</w:t>
            </w:r>
          </w:p>
        </w:tc>
        <w:tc>
          <w:tcPr>
            <w:tcW w:w="1180" w:type="dxa"/>
            <w:tcBorders>
              <w:top w:val="nil"/>
              <w:left w:val="nil"/>
              <w:bottom w:val="single" w:sz="4" w:space="0" w:color="EBF1DE"/>
              <w:right w:val="single" w:sz="4" w:space="0" w:color="auto"/>
            </w:tcBorders>
            <w:shd w:val="clear" w:color="auto" w:fill="auto"/>
            <w:noWrap/>
            <w:vAlign w:val="bottom"/>
            <w:hideMark/>
          </w:tcPr>
          <w:p w14:paraId="1D3727A1"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33.9</w:t>
            </w:r>
          </w:p>
        </w:tc>
      </w:tr>
      <w:tr w:rsidR="00A238D3" w:rsidRPr="006121F6" w14:paraId="1D615CCC" w14:textId="77777777" w:rsidTr="006B1CCB">
        <w:trPr>
          <w:trHeight w:val="300"/>
          <w:jc w:val="center"/>
        </w:trPr>
        <w:tc>
          <w:tcPr>
            <w:tcW w:w="3860" w:type="dxa"/>
            <w:tcBorders>
              <w:top w:val="nil"/>
              <w:left w:val="single" w:sz="4" w:space="0" w:color="auto"/>
              <w:bottom w:val="single" w:sz="4" w:space="0" w:color="EBF1DE"/>
              <w:right w:val="single" w:sz="4" w:space="0" w:color="auto"/>
            </w:tcBorders>
            <w:shd w:val="clear" w:color="auto" w:fill="auto"/>
            <w:noWrap/>
            <w:vAlign w:val="bottom"/>
            <w:hideMark/>
          </w:tcPr>
          <w:p w14:paraId="31394D2D" w14:textId="77777777" w:rsidR="00A238D3" w:rsidRPr="006121F6" w:rsidRDefault="00A238D3" w:rsidP="006B1CCB">
            <w:pPr>
              <w:spacing w:before="0" w:after="0" w:line="240" w:lineRule="auto"/>
              <w:ind w:left="0" w:right="0"/>
              <w:rPr>
                <w:rFonts w:ascii="Aptos Narrow" w:eastAsia="Times New Roman" w:hAnsi="Aptos Narrow" w:cs="Times New Roman"/>
                <w:color w:val="000000"/>
                <w:sz w:val="22"/>
                <w:szCs w:val="22"/>
              </w:rPr>
            </w:pPr>
            <w:r w:rsidRPr="006121F6">
              <w:rPr>
                <w:rFonts w:ascii="Aptos Narrow" w:eastAsia="Times New Roman" w:hAnsi="Aptos Narrow" w:cs="Times New Roman"/>
                <w:color w:val="000000"/>
                <w:sz w:val="22"/>
                <w:szCs w:val="22"/>
              </w:rPr>
              <w:t>Allied Health Professionals</w:t>
            </w:r>
          </w:p>
        </w:tc>
        <w:tc>
          <w:tcPr>
            <w:tcW w:w="1180" w:type="dxa"/>
            <w:tcBorders>
              <w:top w:val="nil"/>
              <w:left w:val="nil"/>
              <w:bottom w:val="single" w:sz="4" w:space="0" w:color="EBF1DE"/>
              <w:right w:val="single" w:sz="4" w:space="0" w:color="EBF1DE"/>
            </w:tcBorders>
            <w:shd w:val="clear" w:color="auto" w:fill="auto"/>
            <w:noWrap/>
            <w:vAlign w:val="bottom"/>
            <w:hideMark/>
          </w:tcPr>
          <w:p w14:paraId="7E5297C7"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421</w:t>
            </w:r>
          </w:p>
        </w:tc>
        <w:tc>
          <w:tcPr>
            <w:tcW w:w="1180" w:type="dxa"/>
            <w:tcBorders>
              <w:top w:val="nil"/>
              <w:left w:val="nil"/>
              <w:bottom w:val="single" w:sz="4" w:space="0" w:color="EBF1DE"/>
              <w:right w:val="single" w:sz="4" w:space="0" w:color="EBF1DE"/>
            </w:tcBorders>
            <w:shd w:val="clear" w:color="auto" w:fill="auto"/>
            <w:noWrap/>
            <w:vAlign w:val="bottom"/>
            <w:hideMark/>
          </w:tcPr>
          <w:p w14:paraId="4195A4BB"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925</w:t>
            </w:r>
          </w:p>
        </w:tc>
        <w:tc>
          <w:tcPr>
            <w:tcW w:w="1180" w:type="dxa"/>
            <w:tcBorders>
              <w:top w:val="nil"/>
              <w:left w:val="nil"/>
              <w:bottom w:val="single" w:sz="4" w:space="0" w:color="EBF1DE"/>
              <w:right w:val="single" w:sz="4" w:space="0" w:color="auto"/>
            </w:tcBorders>
            <w:shd w:val="clear" w:color="auto" w:fill="auto"/>
            <w:noWrap/>
            <w:vAlign w:val="bottom"/>
            <w:hideMark/>
          </w:tcPr>
          <w:p w14:paraId="24DD6217"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45.5</w:t>
            </w:r>
          </w:p>
        </w:tc>
        <w:tc>
          <w:tcPr>
            <w:tcW w:w="1180" w:type="dxa"/>
            <w:tcBorders>
              <w:top w:val="nil"/>
              <w:left w:val="nil"/>
              <w:bottom w:val="single" w:sz="4" w:space="0" w:color="EBF1DE"/>
              <w:right w:val="single" w:sz="4" w:space="0" w:color="EBF1DE"/>
            </w:tcBorders>
            <w:shd w:val="clear" w:color="auto" w:fill="auto"/>
            <w:noWrap/>
            <w:vAlign w:val="bottom"/>
            <w:hideMark/>
          </w:tcPr>
          <w:p w14:paraId="5C08E31F"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541</w:t>
            </w:r>
          </w:p>
        </w:tc>
        <w:tc>
          <w:tcPr>
            <w:tcW w:w="1180" w:type="dxa"/>
            <w:tcBorders>
              <w:top w:val="nil"/>
              <w:left w:val="nil"/>
              <w:bottom w:val="single" w:sz="4" w:space="0" w:color="EBF1DE"/>
              <w:right w:val="single" w:sz="4" w:space="0" w:color="EBF1DE"/>
            </w:tcBorders>
            <w:shd w:val="clear" w:color="auto" w:fill="auto"/>
            <w:noWrap/>
            <w:vAlign w:val="bottom"/>
            <w:hideMark/>
          </w:tcPr>
          <w:p w14:paraId="5BFE0323"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1050</w:t>
            </w:r>
          </w:p>
        </w:tc>
        <w:tc>
          <w:tcPr>
            <w:tcW w:w="1180" w:type="dxa"/>
            <w:tcBorders>
              <w:top w:val="nil"/>
              <w:left w:val="nil"/>
              <w:bottom w:val="single" w:sz="4" w:space="0" w:color="EBF1DE"/>
              <w:right w:val="single" w:sz="4" w:space="0" w:color="auto"/>
            </w:tcBorders>
            <w:shd w:val="clear" w:color="auto" w:fill="auto"/>
            <w:noWrap/>
            <w:vAlign w:val="bottom"/>
            <w:hideMark/>
          </w:tcPr>
          <w:p w14:paraId="3ACB3E9D"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51.5</w:t>
            </w:r>
          </w:p>
        </w:tc>
        <w:tc>
          <w:tcPr>
            <w:tcW w:w="1180" w:type="dxa"/>
            <w:tcBorders>
              <w:top w:val="nil"/>
              <w:left w:val="nil"/>
              <w:bottom w:val="single" w:sz="4" w:space="0" w:color="EBF1DE"/>
              <w:right w:val="single" w:sz="4" w:space="0" w:color="EBF1DE"/>
            </w:tcBorders>
            <w:shd w:val="clear" w:color="auto" w:fill="auto"/>
            <w:noWrap/>
            <w:vAlign w:val="bottom"/>
            <w:hideMark/>
          </w:tcPr>
          <w:p w14:paraId="222DF244"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446</w:t>
            </w:r>
          </w:p>
        </w:tc>
        <w:tc>
          <w:tcPr>
            <w:tcW w:w="1180" w:type="dxa"/>
            <w:tcBorders>
              <w:top w:val="nil"/>
              <w:left w:val="nil"/>
              <w:bottom w:val="single" w:sz="4" w:space="0" w:color="EBF1DE"/>
              <w:right w:val="single" w:sz="4" w:space="0" w:color="EBF1DE"/>
            </w:tcBorders>
            <w:shd w:val="clear" w:color="auto" w:fill="auto"/>
            <w:noWrap/>
            <w:vAlign w:val="bottom"/>
            <w:hideMark/>
          </w:tcPr>
          <w:p w14:paraId="57B3DD63"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1206</w:t>
            </w:r>
          </w:p>
        </w:tc>
        <w:tc>
          <w:tcPr>
            <w:tcW w:w="1180" w:type="dxa"/>
            <w:tcBorders>
              <w:top w:val="nil"/>
              <w:left w:val="nil"/>
              <w:bottom w:val="single" w:sz="4" w:space="0" w:color="EBF1DE"/>
              <w:right w:val="single" w:sz="4" w:space="0" w:color="auto"/>
            </w:tcBorders>
            <w:shd w:val="clear" w:color="auto" w:fill="auto"/>
            <w:noWrap/>
            <w:vAlign w:val="bottom"/>
            <w:hideMark/>
          </w:tcPr>
          <w:p w14:paraId="2A411222"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37.0</w:t>
            </w:r>
          </w:p>
        </w:tc>
      </w:tr>
      <w:tr w:rsidR="00A238D3" w:rsidRPr="006121F6" w14:paraId="0887CD68" w14:textId="77777777" w:rsidTr="006B1CCB">
        <w:trPr>
          <w:trHeight w:val="300"/>
          <w:jc w:val="center"/>
        </w:trPr>
        <w:tc>
          <w:tcPr>
            <w:tcW w:w="3860" w:type="dxa"/>
            <w:tcBorders>
              <w:top w:val="nil"/>
              <w:left w:val="single" w:sz="4" w:space="0" w:color="auto"/>
              <w:bottom w:val="single" w:sz="4" w:space="0" w:color="EBF1DE"/>
              <w:right w:val="single" w:sz="4" w:space="0" w:color="auto"/>
            </w:tcBorders>
            <w:shd w:val="clear" w:color="auto" w:fill="auto"/>
            <w:noWrap/>
            <w:vAlign w:val="bottom"/>
            <w:hideMark/>
          </w:tcPr>
          <w:p w14:paraId="3B31CBA9" w14:textId="77777777" w:rsidR="00A238D3" w:rsidRPr="006121F6" w:rsidRDefault="00A238D3" w:rsidP="006B1CCB">
            <w:pPr>
              <w:spacing w:before="0" w:after="0" w:line="240" w:lineRule="auto"/>
              <w:ind w:left="0" w:right="0"/>
              <w:rPr>
                <w:rFonts w:ascii="Aptos Narrow" w:eastAsia="Times New Roman" w:hAnsi="Aptos Narrow" w:cs="Times New Roman"/>
                <w:color w:val="000000"/>
                <w:sz w:val="22"/>
                <w:szCs w:val="22"/>
              </w:rPr>
            </w:pPr>
            <w:r w:rsidRPr="006121F6">
              <w:rPr>
                <w:rFonts w:ascii="Aptos Narrow" w:eastAsia="Times New Roman" w:hAnsi="Aptos Narrow" w:cs="Times New Roman"/>
                <w:color w:val="000000"/>
                <w:sz w:val="22"/>
                <w:szCs w:val="22"/>
              </w:rPr>
              <w:t>Estates and Ancillary</w:t>
            </w:r>
          </w:p>
        </w:tc>
        <w:tc>
          <w:tcPr>
            <w:tcW w:w="1180" w:type="dxa"/>
            <w:tcBorders>
              <w:top w:val="nil"/>
              <w:left w:val="nil"/>
              <w:bottom w:val="single" w:sz="4" w:space="0" w:color="EBF1DE"/>
              <w:right w:val="single" w:sz="4" w:space="0" w:color="EBF1DE"/>
            </w:tcBorders>
            <w:shd w:val="clear" w:color="auto" w:fill="auto"/>
            <w:noWrap/>
            <w:vAlign w:val="bottom"/>
            <w:hideMark/>
          </w:tcPr>
          <w:p w14:paraId="005EEC2A"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436</w:t>
            </w:r>
          </w:p>
        </w:tc>
        <w:tc>
          <w:tcPr>
            <w:tcW w:w="1180" w:type="dxa"/>
            <w:tcBorders>
              <w:top w:val="nil"/>
              <w:left w:val="nil"/>
              <w:bottom w:val="single" w:sz="4" w:space="0" w:color="EBF1DE"/>
              <w:right w:val="single" w:sz="4" w:space="0" w:color="EBF1DE"/>
            </w:tcBorders>
            <w:shd w:val="clear" w:color="auto" w:fill="auto"/>
            <w:noWrap/>
            <w:vAlign w:val="bottom"/>
            <w:hideMark/>
          </w:tcPr>
          <w:p w14:paraId="5496AB99"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1121</w:t>
            </w:r>
          </w:p>
        </w:tc>
        <w:tc>
          <w:tcPr>
            <w:tcW w:w="1180" w:type="dxa"/>
            <w:tcBorders>
              <w:top w:val="nil"/>
              <w:left w:val="nil"/>
              <w:bottom w:val="single" w:sz="4" w:space="0" w:color="EBF1DE"/>
              <w:right w:val="single" w:sz="4" w:space="0" w:color="auto"/>
            </w:tcBorders>
            <w:shd w:val="clear" w:color="auto" w:fill="auto"/>
            <w:noWrap/>
            <w:vAlign w:val="bottom"/>
            <w:hideMark/>
          </w:tcPr>
          <w:p w14:paraId="3341EA18"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38.9</w:t>
            </w:r>
          </w:p>
        </w:tc>
        <w:tc>
          <w:tcPr>
            <w:tcW w:w="1180" w:type="dxa"/>
            <w:tcBorders>
              <w:top w:val="nil"/>
              <w:left w:val="nil"/>
              <w:bottom w:val="single" w:sz="4" w:space="0" w:color="EBF1DE"/>
              <w:right w:val="single" w:sz="4" w:space="0" w:color="EBF1DE"/>
            </w:tcBorders>
            <w:shd w:val="clear" w:color="auto" w:fill="auto"/>
            <w:noWrap/>
            <w:vAlign w:val="bottom"/>
            <w:hideMark/>
          </w:tcPr>
          <w:p w14:paraId="02BE76F6"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754</w:t>
            </w:r>
          </w:p>
        </w:tc>
        <w:tc>
          <w:tcPr>
            <w:tcW w:w="1180" w:type="dxa"/>
            <w:tcBorders>
              <w:top w:val="nil"/>
              <w:left w:val="nil"/>
              <w:bottom w:val="single" w:sz="4" w:space="0" w:color="EBF1DE"/>
              <w:right w:val="single" w:sz="4" w:space="0" w:color="EBF1DE"/>
            </w:tcBorders>
            <w:shd w:val="clear" w:color="auto" w:fill="auto"/>
            <w:noWrap/>
            <w:vAlign w:val="bottom"/>
            <w:hideMark/>
          </w:tcPr>
          <w:p w14:paraId="5FE65F7B"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1180</w:t>
            </w:r>
          </w:p>
        </w:tc>
        <w:tc>
          <w:tcPr>
            <w:tcW w:w="1180" w:type="dxa"/>
            <w:tcBorders>
              <w:top w:val="nil"/>
              <w:left w:val="nil"/>
              <w:bottom w:val="single" w:sz="4" w:space="0" w:color="EBF1DE"/>
              <w:right w:val="single" w:sz="4" w:space="0" w:color="auto"/>
            </w:tcBorders>
            <w:shd w:val="clear" w:color="auto" w:fill="auto"/>
            <w:noWrap/>
            <w:vAlign w:val="bottom"/>
            <w:hideMark/>
          </w:tcPr>
          <w:p w14:paraId="23E9E0A8"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63.9</w:t>
            </w:r>
          </w:p>
        </w:tc>
        <w:tc>
          <w:tcPr>
            <w:tcW w:w="1180" w:type="dxa"/>
            <w:tcBorders>
              <w:top w:val="nil"/>
              <w:left w:val="nil"/>
              <w:bottom w:val="single" w:sz="4" w:space="0" w:color="EBF1DE"/>
              <w:right w:val="single" w:sz="4" w:space="0" w:color="EBF1DE"/>
            </w:tcBorders>
            <w:shd w:val="clear" w:color="auto" w:fill="auto"/>
            <w:noWrap/>
            <w:vAlign w:val="bottom"/>
            <w:hideMark/>
          </w:tcPr>
          <w:p w14:paraId="5E5C57E2"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357</w:t>
            </w:r>
          </w:p>
        </w:tc>
        <w:tc>
          <w:tcPr>
            <w:tcW w:w="1180" w:type="dxa"/>
            <w:tcBorders>
              <w:top w:val="nil"/>
              <w:left w:val="nil"/>
              <w:bottom w:val="single" w:sz="4" w:space="0" w:color="EBF1DE"/>
              <w:right w:val="single" w:sz="4" w:space="0" w:color="EBF1DE"/>
            </w:tcBorders>
            <w:shd w:val="clear" w:color="auto" w:fill="auto"/>
            <w:noWrap/>
            <w:vAlign w:val="bottom"/>
            <w:hideMark/>
          </w:tcPr>
          <w:p w14:paraId="17A4648D"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1234</w:t>
            </w:r>
          </w:p>
        </w:tc>
        <w:tc>
          <w:tcPr>
            <w:tcW w:w="1180" w:type="dxa"/>
            <w:tcBorders>
              <w:top w:val="nil"/>
              <w:left w:val="nil"/>
              <w:bottom w:val="single" w:sz="4" w:space="0" w:color="EBF1DE"/>
              <w:right w:val="single" w:sz="4" w:space="0" w:color="auto"/>
            </w:tcBorders>
            <w:shd w:val="clear" w:color="auto" w:fill="auto"/>
            <w:noWrap/>
            <w:vAlign w:val="bottom"/>
            <w:hideMark/>
          </w:tcPr>
          <w:p w14:paraId="18B23AD5"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28.9</w:t>
            </w:r>
          </w:p>
        </w:tc>
      </w:tr>
      <w:tr w:rsidR="00A238D3" w:rsidRPr="006121F6" w14:paraId="4F72E89F" w14:textId="77777777" w:rsidTr="006B1CCB">
        <w:trPr>
          <w:trHeight w:val="300"/>
          <w:jc w:val="center"/>
        </w:trPr>
        <w:tc>
          <w:tcPr>
            <w:tcW w:w="3860" w:type="dxa"/>
            <w:tcBorders>
              <w:top w:val="nil"/>
              <w:left w:val="single" w:sz="4" w:space="0" w:color="auto"/>
              <w:bottom w:val="single" w:sz="4" w:space="0" w:color="EBF1DE"/>
              <w:right w:val="single" w:sz="4" w:space="0" w:color="auto"/>
            </w:tcBorders>
            <w:shd w:val="clear" w:color="auto" w:fill="auto"/>
            <w:noWrap/>
            <w:vAlign w:val="bottom"/>
            <w:hideMark/>
          </w:tcPr>
          <w:p w14:paraId="5CDFC1F5" w14:textId="77777777" w:rsidR="00A238D3" w:rsidRPr="006121F6" w:rsidRDefault="00A238D3" w:rsidP="006B1CCB">
            <w:pPr>
              <w:spacing w:before="0" w:after="0" w:line="240" w:lineRule="auto"/>
              <w:ind w:left="0" w:right="0"/>
              <w:rPr>
                <w:rFonts w:ascii="Aptos Narrow" w:eastAsia="Times New Roman" w:hAnsi="Aptos Narrow" w:cs="Times New Roman"/>
                <w:color w:val="000000"/>
                <w:sz w:val="22"/>
                <w:szCs w:val="22"/>
              </w:rPr>
            </w:pPr>
            <w:r w:rsidRPr="006121F6">
              <w:rPr>
                <w:rFonts w:ascii="Aptos Narrow" w:eastAsia="Times New Roman" w:hAnsi="Aptos Narrow" w:cs="Times New Roman"/>
                <w:color w:val="000000"/>
                <w:sz w:val="22"/>
                <w:szCs w:val="22"/>
              </w:rPr>
              <w:t>Healthcare Scientists</w:t>
            </w:r>
          </w:p>
        </w:tc>
        <w:tc>
          <w:tcPr>
            <w:tcW w:w="1180" w:type="dxa"/>
            <w:tcBorders>
              <w:top w:val="nil"/>
              <w:left w:val="nil"/>
              <w:bottom w:val="single" w:sz="4" w:space="0" w:color="EBF1DE"/>
              <w:right w:val="single" w:sz="4" w:space="0" w:color="EBF1DE"/>
            </w:tcBorders>
            <w:shd w:val="clear" w:color="auto" w:fill="auto"/>
            <w:noWrap/>
            <w:vAlign w:val="bottom"/>
            <w:hideMark/>
          </w:tcPr>
          <w:p w14:paraId="0F20B02B"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171</w:t>
            </w:r>
          </w:p>
        </w:tc>
        <w:tc>
          <w:tcPr>
            <w:tcW w:w="1180" w:type="dxa"/>
            <w:tcBorders>
              <w:top w:val="nil"/>
              <w:left w:val="nil"/>
              <w:bottom w:val="single" w:sz="4" w:space="0" w:color="EBF1DE"/>
              <w:right w:val="single" w:sz="4" w:space="0" w:color="EBF1DE"/>
            </w:tcBorders>
            <w:shd w:val="clear" w:color="auto" w:fill="auto"/>
            <w:noWrap/>
            <w:vAlign w:val="bottom"/>
            <w:hideMark/>
          </w:tcPr>
          <w:p w14:paraId="74132521"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338</w:t>
            </w:r>
          </w:p>
        </w:tc>
        <w:tc>
          <w:tcPr>
            <w:tcW w:w="1180" w:type="dxa"/>
            <w:tcBorders>
              <w:top w:val="nil"/>
              <w:left w:val="nil"/>
              <w:bottom w:val="single" w:sz="4" w:space="0" w:color="EBF1DE"/>
              <w:right w:val="single" w:sz="4" w:space="0" w:color="auto"/>
            </w:tcBorders>
            <w:shd w:val="clear" w:color="auto" w:fill="auto"/>
            <w:noWrap/>
            <w:vAlign w:val="bottom"/>
            <w:hideMark/>
          </w:tcPr>
          <w:p w14:paraId="1D845615"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50.6</w:t>
            </w:r>
          </w:p>
        </w:tc>
        <w:tc>
          <w:tcPr>
            <w:tcW w:w="1180" w:type="dxa"/>
            <w:tcBorders>
              <w:top w:val="nil"/>
              <w:left w:val="nil"/>
              <w:bottom w:val="single" w:sz="4" w:space="0" w:color="EBF1DE"/>
              <w:right w:val="single" w:sz="4" w:space="0" w:color="EBF1DE"/>
            </w:tcBorders>
            <w:shd w:val="clear" w:color="auto" w:fill="auto"/>
            <w:noWrap/>
            <w:vAlign w:val="bottom"/>
            <w:hideMark/>
          </w:tcPr>
          <w:p w14:paraId="78E7171A"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183</w:t>
            </w:r>
          </w:p>
        </w:tc>
        <w:tc>
          <w:tcPr>
            <w:tcW w:w="1180" w:type="dxa"/>
            <w:tcBorders>
              <w:top w:val="nil"/>
              <w:left w:val="nil"/>
              <w:bottom w:val="single" w:sz="4" w:space="0" w:color="EBF1DE"/>
              <w:right w:val="single" w:sz="4" w:space="0" w:color="EBF1DE"/>
            </w:tcBorders>
            <w:shd w:val="clear" w:color="auto" w:fill="auto"/>
            <w:noWrap/>
            <w:vAlign w:val="bottom"/>
            <w:hideMark/>
          </w:tcPr>
          <w:p w14:paraId="546E387B"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385</w:t>
            </w:r>
          </w:p>
        </w:tc>
        <w:tc>
          <w:tcPr>
            <w:tcW w:w="1180" w:type="dxa"/>
            <w:tcBorders>
              <w:top w:val="nil"/>
              <w:left w:val="nil"/>
              <w:bottom w:val="single" w:sz="4" w:space="0" w:color="EBF1DE"/>
              <w:right w:val="single" w:sz="4" w:space="0" w:color="auto"/>
            </w:tcBorders>
            <w:shd w:val="clear" w:color="auto" w:fill="auto"/>
            <w:noWrap/>
            <w:vAlign w:val="bottom"/>
            <w:hideMark/>
          </w:tcPr>
          <w:p w14:paraId="2379A03A"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47.5</w:t>
            </w:r>
          </w:p>
        </w:tc>
        <w:tc>
          <w:tcPr>
            <w:tcW w:w="1180" w:type="dxa"/>
            <w:tcBorders>
              <w:top w:val="nil"/>
              <w:left w:val="nil"/>
              <w:bottom w:val="single" w:sz="4" w:space="0" w:color="EBF1DE"/>
              <w:right w:val="single" w:sz="4" w:space="0" w:color="EBF1DE"/>
            </w:tcBorders>
            <w:shd w:val="clear" w:color="auto" w:fill="auto"/>
            <w:noWrap/>
            <w:vAlign w:val="bottom"/>
            <w:hideMark/>
          </w:tcPr>
          <w:p w14:paraId="0C0486DF"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157</w:t>
            </w:r>
          </w:p>
        </w:tc>
        <w:tc>
          <w:tcPr>
            <w:tcW w:w="1180" w:type="dxa"/>
            <w:tcBorders>
              <w:top w:val="nil"/>
              <w:left w:val="nil"/>
              <w:bottom w:val="single" w:sz="4" w:space="0" w:color="EBF1DE"/>
              <w:right w:val="single" w:sz="4" w:space="0" w:color="EBF1DE"/>
            </w:tcBorders>
            <w:shd w:val="clear" w:color="auto" w:fill="auto"/>
            <w:noWrap/>
            <w:vAlign w:val="bottom"/>
            <w:hideMark/>
          </w:tcPr>
          <w:p w14:paraId="24B6DC86"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412</w:t>
            </w:r>
          </w:p>
        </w:tc>
        <w:tc>
          <w:tcPr>
            <w:tcW w:w="1180" w:type="dxa"/>
            <w:tcBorders>
              <w:top w:val="nil"/>
              <w:left w:val="nil"/>
              <w:bottom w:val="single" w:sz="4" w:space="0" w:color="EBF1DE"/>
              <w:right w:val="single" w:sz="4" w:space="0" w:color="auto"/>
            </w:tcBorders>
            <w:shd w:val="clear" w:color="auto" w:fill="auto"/>
            <w:noWrap/>
            <w:vAlign w:val="bottom"/>
            <w:hideMark/>
          </w:tcPr>
          <w:p w14:paraId="1636CD69"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38.1</w:t>
            </w:r>
          </w:p>
        </w:tc>
      </w:tr>
      <w:tr w:rsidR="00A238D3" w:rsidRPr="006121F6" w14:paraId="6C640F12" w14:textId="77777777" w:rsidTr="006B1CCB">
        <w:trPr>
          <w:trHeight w:val="300"/>
          <w:jc w:val="center"/>
        </w:trPr>
        <w:tc>
          <w:tcPr>
            <w:tcW w:w="3860" w:type="dxa"/>
            <w:tcBorders>
              <w:top w:val="nil"/>
              <w:left w:val="single" w:sz="4" w:space="0" w:color="auto"/>
              <w:bottom w:val="single" w:sz="4" w:space="0" w:color="EBF1DE"/>
              <w:right w:val="single" w:sz="4" w:space="0" w:color="auto"/>
            </w:tcBorders>
            <w:shd w:val="clear" w:color="auto" w:fill="auto"/>
            <w:noWrap/>
            <w:vAlign w:val="bottom"/>
            <w:hideMark/>
          </w:tcPr>
          <w:p w14:paraId="0652ED70" w14:textId="77777777" w:rsidR="00A238D3" w:rsidRPr="006121F6" w:rsidRDefault="00A238D3" w:rsidP="006B1CCB">
            <w:pPr>
              <w:spacing w:before="0" w:after="0" w:line="240" w:lineRule="auto"/>
              <w:ind w:left="0" w:right="0"/>
              <w:rPr>
                <w:rFonts w:ascii="Aptos Narrow" w:eastAsia="Times New Roman" w:hAnsi="Aptos Narrow" w:cs="Times New Roman"/>
                <w:color w:val="000000"/>
                <w:sz w:val="22"/>
                <w:szCs w:val="22"/>
              </w:rPr>
            </w:pPr>
            <w:r w:rsidRPr="006121F6">
              <w:rPr>
                <w:rFonts w:ascii="Aptos Narrow" w:eastAsia="Times New Roman" w:hAnsi="Aptos Narrow" w:cs="Times New Roman"/>
                <w:color w:val="000000"/>
                <w:sz w:val="22"/>
                <w:szCs w:val="22"/>
              </w:rPr>
              <w:t>Medical and Dental</w:t>
            </w:r>
          </w:p>
        </w:tc>
        <w:tc>
          <w:tcPr>
            <w:tcW w:w="1180" w:type="dxa"/>
            <w:tcBorders>
              <w:top w:val="nil"/>
              <w:left w:val="nil"/>
              <w:bottom w:val="single" w:sz="4" w:space="0" w:color="EBF1DE"/>
              <w:right w:val="single" w:sz="4" w:space="0" w:color="EBF1DE"/>
            </w:tcBorders>
            <w:shd w:val="clear" w:color="auto" w:fill="auto"/>
            <w:noWrap/>
            <w:vAlign w:val="bottom"/>
            <w:hideMark/>
          </w:tcPr>
          <w:p w14:paraId="366B94B7"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434</w:t>
            </w:r>
          </w:p>
        </w:tc>
        <w:tc>
          <w:tcPr>
            <w:tcW w:w="1180" w:type="dxa"/>
            <w:tcBorders>
              <w:top w:val="nil"/>
              <w:left w:val="nil"/>
              <w:bottom w:val="single" w:sz="4" w:space="0" w:color="EBF1DE"/>
              <w:right w:val="single" w:sz="4" w:space="0" w:color="EBF1DE"/>
            </w:tcBorders>
            <w:shd w:val="clear" w:color="auto" w:fill="auto"/>
            <w:noWrap/>
            <w:vAlign w:val="bottom"/>
            <w:hideMark/>
          </w:tcPr>
          <w:p w14:paraId="5834FEB4"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794</w:t>
            </w:r>
          </w:p>
        </w:tc>
        <w:tc>
          <w:tcPr>
            <w:tcW w:w="1180" w:type="dxa"/>
            <w:tcBorders>
              <w:top w:val="nil"/>
              <w:left w:val="nil"/>
              <w:bottom w:val="single" w:sz="4" w:space="0" w:color="EBF1DE"/>
              <w:right w:val="single" w:sz="4" w:space="0" w:color="auto"/>
            </w:tcBorders>
            <w:shd w:val="clear" w:color="auto" w:fill="auto"/>
            <w:noWrap/>
            <w:vAlign w:val="bottom"/>
            <w:hideMark/>
          </w:tcPr>
          <w:p w14:paraId="041C3183"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54.7</w:t>
            </w:r>
          </w:p>
        </w:tc>
        <w:tc>
          <w:tcPr>
            <w:tcW w:w="1180" w:type="dxa"/>
            <w:tcBorders>
              <w:top w:val="nil"/>
              <w:left w:val="nil"/>
              <w:bottom w:val="single" w:sz="4" w:space="0" w:color="EBF1DE"/>
              <w:right w:val="single" w:sz="4" w:space="0" w:color="EBF1DE"/>
            </w:tcBorders>
            <w:shd w:val="clear" w:color="auto" w:fill="auto"/>
            <w:noWrap/>
            <w:vAlign w:val="bottom"/>
            <w:hideMark/>
          </w:tcPr>
          <w:p w14:paraId="48A41434"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738</w:t>
            </w:r>
          </w:p>
        </w:tc>
        <w:tc>
          <w:tcPr>
            <w:tcW w:w="1180" w:type="dxa"/>
            <w:tcBorders>
              <w:top w:val="nil"/>
              <w:left w:val="nil"/>
              <w:bottom w:val="single" w:sz="4" w:space="0" w:color="EBF1DE"/>
              <w:right w:val="single" w:sz="4" w:space="0" w:color="EBF1DE"/>
            </w:tcBorders>
            <w:shd w:val="clear" w:color="auto" w:fill="auto"/>
            <w:noWrap/>
            <w:vAlign w:val="bottom"/>
            <w:hideMark/>
          </w:tcPr>
          <w:p w14:paraId="59A7EFC6"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850</w:t>
            </w:r>
          </w:p>
        </w:tc>
        <w:tc>
          <w:tcPr>
            <w:tcW w:w="1180" w:type="dxa"/>
            <w:tcBorders>
              <w:top w:val="nil"/>
              <w:left w:val="nil"/>
              <w:bottom w:val="single" w:sz="4" w:space="0" w:color="EBF1DE"/>
              <w:right w:val="single" w:sz="4" w:space="0" w:color="auto"/>
            </w:tcBorders>
            <w:shd w:val="clear" w:color="auto" w:fill="auto"/>
            <w:noWrap/>
            <w:vAlign w:val="bottom"/>
            <w:hideMark/>
          </w:tcPr>
          <w:p w14:paraId="1AA65374"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86.8</w:t>
            </w:r>
          </w:p>
        </w:tc>
        <w:tc>
          <w:tcPr>
            <w:tcW w:w="1180" w:type="dxa"/>
            <w:tcBorders>
              <w:top w:val="nil"/>
              <w:left w:val="nil"/>
              <w:bottom w:val="single" w:sz="4" w:space="0" w:color="EBF1DE"/>
              <w:right w:val="single" w:sz="4" w:space="0" w:color="EBF1DE"/>
            </w:tcBorders>
            <w:shd w:val="clear" w:color="auto" w:fill="auto"/>
            <w:noWrap/>
            <w:vAlign w:val="bottom"/>
            <w:hideMark/>
          </w:tcPr>
          <w:p w14:paraId="79DC386B"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647</w:t>
            </w:r>
          </w:p>
        </w:tc>
        <w:tc>
          <w:tcPr>
            <w:tcW w:w="1180" w:type="dxa"/>
            <w:tcBorders>
              <w:top w:val="nil"/>
              <w:left w:val="nil"/>
              <w:bottom w:val="single" w:sz="4" w:space="0" w:color="EBF1DE"/>
              <w:right w:val="single" w:sz="4" w:space="0" w:color="EBF1DE"/>
            </w:tcBorders>
            <w:shd w:val="clear" w:color="auto" w:fill="auto"/>
            <w:noWrap/>
            <w:vAlign w:val="bottom"/>
            <w:hideMark/>
          </w:tcPr>
          <w:p w14:paraId="106D5251"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2038</w:t>
            </w:r>
          </w:p>
        </w:tc>
        <w:tc>
          <w:tcPr>
            <w:tcW w:w="1180" w:type="dxa"/>
            <w:tcBorders>
              <w:top w:val="nil"/>
              <w:left w:val="nil"/>
              <w:bottom w:val="single" w:sz="4" w:space="0" w:color="EBF1DE"/>
              <w:right w:val="single" w:sz="4" w:space="0" w:color="auto"/>
            </w:tcBorders>
            <w:shd w:val="clear" w:color="auto" w:fill="auto"/>
            <w:noWrap/>
            <w:vAlign w:val="bottom"/>
            <w:hideMark/>
          </w:tcPr>
          <w:p w14:paraId="4CFBA133"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31.7</w:t>
            </w:r>
          </w:p>
        </w:tc>
      </w:tr>
      <w:tr w:rsidR="00A238D3" w:rsidRPr="006121F6" w14:paraId="1559DFB4" w14:textId="77777777" w:rsidTr="006B1CCB">
        <w:trPr>
          <w:trHeight w:val="300"/>
          <w:jc w:val="center"/>
        </w:trPr>
        <w:tc>
          <w:tcPr>
            <w:tcW w:w="3860" w:type="dxa"/>
            <w:tcBorders>
              <w:top w:val="nil"/>
              <w:left w:val="single" w:sz="4" w:space="0" w:color="auto"/>
              <w:bottom w:val="single" w:sz="4" w:space="0" w:color="auto"/>
              <w:right w:val="single" w:sz="4" w:space="0" w:color="auto"/>
            </w:tcBorders>
            <w:shd w:val="clear" w:color="auto" w:fill="auto"/>
            <w:noWrap/>
            <w:vAlign w:val="bottom"/>
            <w:hideMark/>
          </w:tcPr>
          <w:p w14:paraId="55A314CE" w14:textId="77777777" w:rsidR="00A238D3" w:rsidRPr="006121F6" w:rsidRDefault="00A238D3" w:rsidP="006B1CCB">
            <w:pPr>
              <w:spacing w:before="0" w:after="0" w:line="240" w:lineRule="auto"/>
              <w:ind w:left="0" w:right="0"/>
              <w:rPr>
                <w:rFonts w:ascii="Aptos Narrow" w:eastAsia="Times New Roman" w:hAnsi="Aptos Narrow" w:cs="Times New Roman"/>
                <w:color w:val="000000"/>
                <w:sz w:val="22"/>
                <w:szCs w:val="22"/>
              </w:rPr>
            </w:pPr>
            <w:r w:rsidRPr="006121F6">
              <w:rPr>
                <w:rFonts w:ascii="Aptos Narrow" w:eastAsia="Times New Roman" w:hAnsi="Aptos Narrow" w:cs="Times New Roman"/>
                <w:color w:val="000000"/>
                <w:sz w:val="22"/>
                <w:szCs w:val="22"/>
              </w:rPr>
              <w:lastRenderedPageBreak/>
              <w:t>Nursing &amp; Midwifery Registered</w:t>
            </w:r>
          </w:p>
        </w:tc>
        <w:tc>
          <w:tcPr>
            <w:tcW w:w="1180" w:type="dxa"/>
            <w:tcBorders>
              <w:top w:val="nil"/>
              <w:left w:val="nil"/>
              <w:bottom w:val="single" w:sz="4" w:space="0" w:color="auto"/>
              <w:right w:val="single" w:sz="4" w:space="0" w:color="EBF1DE"/>
            </w:tcBorders>
            <w:shd w:val="clear" w:color="auto" w:fill="auto"/>
            <w:noWrap/>
            <w:vAlign w:val="bottom"/>
            <w:hideMark/>
          </w:tcPr>
          <w:p w14:paraId="6C6218FF"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1620</w:t>
            </w:r>
          </w:p>
        </w:tc>
        <w:tc>
          <w:tcPr>
            <w:tcW w:w="1180" w:type="dxa"/>
            <w:tcBorders>
              <w:top w:val="nil"/>
              <w:left w:val="nil"/>
              <w:bottom w:val="single" w:sz="4" w:space="0" w:color="auto"/>
              <w:right w:val="single" w:sz="4" w:space="0" w:color="EBF1DE"/>
            </w:tcBorders>
            <w:shd w:val="clear" w:color="auto" w:fill="auto"/>
            <w:noWrap/>
            <w:vAlign w:val="bottom"/>
            <w:hideMark/>
          </w:tcPr>
          <w:p w14:paraId="0A65D9A3"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3780</w:t>
            </w:r>
          </w:p>
        </w:tc>
        <w:tc>
          <w:tcPr>
            <w:tcW w:w="1180" w:type="dxa"/>
            <w:tcBorders>
              <w:top w:val="nil"/>
              <w:left w:val="nil"/>
              <w:bottom w:val="single" w:sz="4" w:space="0" w:color="auto"/>
              <w:right w:val="single" w:sz="4" w:space="0" w:color="auto"/>
            </w:tcBorders>
            <w:shd w:val="clear" w:color="auto" w:fill="auto"/>
            <w:noWrap/>
            <w:vAlign w:val="bottom"/>
            <w:hideMark/>
          </w:tcPr>
          <w:p w14:paraId="005B0461"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42.9</w:t>
            </w:r>
          </w:p>
        </w:tc>
        <w:tc>
          <w:tcPr>
            <w:tcW w:w="1180" w:type="dxa"/>
            <w:tcBorders>
              <w:top w:val="nil"/>
              <w:left w:val="nil"/>
              <w:bottom w:val="single" w:sz="4" w:space="0" w:color="auto"/>
              <w:right w:val="single" w:sz="4" w:space="0" w:color="EBF1DE"/>
            </w:tcBorders>
            <w:shd w:val="clear" w:color="auto" w:fill="auto"/>
            <w:noWrap/>
            <w:vAlign w:val="bottom"/>
            <w:hideMark/>
          </w:tcPr>
          <w:p w14:paraId="3EC3BFA0"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2443</w:t>
            </w:r>
          </w:p>
        </w:tc>
        <w:tc>
          <w:tcPr>
            <w:tcW w:w="1180" w:type="dxa"/>
            <w:tcBorders>
              <w:top w:val="nil"/>
              <w:left w:val="nil"/>
              <w:bottom w:val="single" w:sz="4" w:space="0" w:color="auto"/>
              <w:right w:val="single" w:sz="4" w:space="0" w:color="EBF1DE"/>
            </w:tcBorders>
            <w:shd w:val="clear" w:color="auto" w:fill="auto"/>
            <w:noWrap/>
            <w:vAlign w:val="bottom"/>
            <w:hideMark/>
          </w:tcPr>
          <w:p w14:paraId="769B346A"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4772</w:t>
            </w:r>
          </w:p>
        </w:tc>
        <w:tc>
          <w:tcPr>
            <w:tcW w:w="1180" w:type="dxa"/>
            <w:tcBorders>
              <w:top w:val="nil"/>
              <w:left w:val="nil"/>
              <w:bottom w:val="single" w:sz="4" w:space="0" w:color="auto"/>
              <w:right w:val="single" w:sz="4" w:space="0" w:color="auto"/>
            </w:tcBorders>
            <w:shd w:val="clear" w:color="auto" w:fill="auto"/>
            <w:noWrap/>
            <w:vAlign w:val="bottom"/>
            <w:hideMark/>
          </w:tcPr>
          <w:p w14:paraId="3B36C630"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51.2</w:t>
            </w:r>
          </w:p>
        </w:tc>
        <w:tc>
          <w:tcPr>
            <w:tcW w:w="1180" w:type="dxa"/>
            <w:tcBorders>
              <w:top w:val="nil"/>
              <w:left w:val="nil"/>
              <w:bottom w:val="single" w:sz="4" w:space="0" w:color="auto"/>
              <w:right w:val="single" w:sz="4" w:space="0" w:color="EBF1DE"/>
            </w:tcBorders>
            <w:shd w:val="clear" w:color="auto" w:fill="auto"/>
            <w:noWrap/>
            <w:vAlign w:val="bottom"/>
            <w:hideMark/>
          </w:tcPr>
          <w:p w14:paraId="3F5DE6B2"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1329</w:t>
            </w:r>
          </w:p>
        </w:tc>
        <w:tc>
          <w:tcPr>
            <w:tcW w:w="1180" w:type="dxa"/>
            <w:tcBorders>
              <w:top w:val="nil"/>
              <w:left w:val="nil"/>
              <w:bottom w:val="single" w:sz="4" w:space="0" w:color="auto"/>
              <w:right w:val="single" w:sz="4" w:space="0" w:color="EBF1DE"/>
            </w:tcBorders>
            <w:shd w:val="clear" w:color="auto" w:fill="auto"/>
            <w:noWrap/>
            <w:vAlign w:val="bottom"/>
            <w:hideMark/>
          </w:tcPr>
          <w:p w14:paraId="10680A8A"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3823</w:t>
            </w:r>
          </w:p>
        </w:tc>
        <w:tc>
          <w:tcPr>
            <w:tcW w:w="1180" w:type="dxa"/>
            <w:tcBorders>
              <w:top w:val="nil"/>
              <w:left w:val="nil"/>
              <w:bottom w:val="single" w:sz="4" w:space="0" w:color="auto"/>
              <w:right w:val="single" w:sz="4" w:space="0" w:color="auto"/>
            </w:tcBorders>
            <w:shd w:val="clear" w:color="auto" w:fill="auto"/>
            <w:noWrap/>
            <w:vAlign w:val="bottom"/>
            <w:hideMark/>
          </w:tcPr>
          <w:p w14:paraId="02691BBD" w14:textId="77777777" w:rsidR="00A238D3" w:rsidRPr="006121F6" w:rsidRDefault="00A238D3" w:rsidP="006B1CCB">
            <w:pPr>
              <w:spacing w:before="0" w:after="0" w:line="240" w:lineRule="auto"/>
              <w:ind w:left="0" w:right="0"/>
              <w:jc w:val="center"/>
              <w:rPr>
                <w:rFonts w:ascii="Aptos Narrow" w:eastAsia="Times New Roman" w:hAnsi="Aptos Narrow" w:cs="Times New Roman"/>
              </w:rPr>
            </w:pPr>
            <w:r w:rsidRPr="006121F6">
              <w:rPr>
                <w:rFonts w:ascii="Aptos Narrow" w:eastAsia="Times New Roman" w:hAnsi="Aptos Narrow" w:cs="Times New Roman"/>
              </w:rPr>
              <w:t>34.8</w:t>
            </w:r>
          </w:p>
        </w:tc>
      </w:tr>
    </w:tbl>
    <w:p w14:paraId="3C53756D" w14:textId="4DD2E9E5" w:rsidR="00B03BB9" w:rsidRPr="009A266E" w:rsidRDefault="009A266E" w:rsidP="00B03BB9">
      <w:pPr>
        <w:spacing w:before="280"/>
        <w:rPr>
          <w:rFonts w:ascii="Verdana" w:hAnsi="Verdana"/>
          <w:bCs/>
          <w:sz w:val="22"/>
        </w:rPr>
      </w:pPr>
      <w:r w:rsidRPr="00096E1D">
        <w:rPr>
          <w:rFonts w:ascii="Verdana" w:hAnsi="Verdana"/>
          <w:b/>
          <w:sz w:val="22"/>
        </w:rPr>
        <w:t>*</w:t>
      </w:r>
      <w:r w:rsidRPr="00096E1D">
        <w:rPr>
          <w:rFonts w:ascii="Verdana" w:hAnsi="Verdana"/>
          <w:bCs/>
          <w:sz w:val="22"/>
        </w:rPr>
        <w:t>Please note that due to delayed data capture, statistics for 2024/2025 may update and increase in time.</w:t>
      </w:r>
      <w:r>
        <w:rPr>
          <w:rFonts w:ascii="Verdana" w:hAnsi="Verdana"/>
          <w:bCs/>
          <w:sz w:val="22"/>
        </w:rPr>
        <w:t xml:space="preserve"> </w:t>
      </w:r>
    </w:p>
    <w:p w14:paraId="1E0FDEE6" w14:textId="22ACA07D" w:rsidR="00A238D3" w:rsidRPr="00F06761" w:rsidRDefault="00B03BB9" w:rsidP="00F06761">
      <w:pPr>
        <w:pStyle w:val="ListParagraph"/>
        <w:numPr>
          <w:ilvl w:val="0"/>
          <w:numId w:val="20"/>
        </w:numPr>
        <w:spacing w:before="280"/>
        <w:rPr>
          <w:rFonts w:ascii="Verdana" w:hAnsi="Verdana"/>
          <w:bCs/>
          <w:sz w:val="22"/>
        </w:rPr>
      </w:pPr>
      <w:r w:rsidRPr="00B03BB9">
        <w:rPr>
          <w:rFonts w:ascii="Verdana" w:hAnsi="Verdana"/>
          <w:b/>
          <w:sz w:val="22"/>
        </w:rPr>
        <w:t xml:space="preserve">Can you provide a breakdown of the uptake in the 3 years referred to above by category/role of staff - </w:t>
      </w:r>
      <w:proofErr w:type="spellStart"/>
      <w:r w:rsidRPr="00B03BB9">
        <w:rPr>
          <w:rFonts w:ascii="Verdana" w:hAnsi="Verdana"/>
          <w:b/>
          <w:sz w:val="22"/>
        </w:rPr>
        <w:t>i.e</w:t>
      </w:r>
      <w:proofErr w:type="spellEnd"/>
      <w:r w:rsidRPr="00B03BB9">
        <w:rPr>
          <w:rFonts w:ascii="Verdana" w:hAnsi="Verdana"/>
          <w:b/>
          <w:sz w:val="22"/>
        </w:rPr>
        <w:t xml:space="preserve"> nursing, medical and dental, administrative, allied healthcare professional? (The answer I'm hoping to get would be, for example, uptake among nursing staff 60% in 2024-25, 65% in 2023-24 etc, uptake among admin staff 65% in 2024-25, 62% in 2023-24 etc..)</w:t>
      </w:r>
      <w:r w:rsidR="00A238D3">
        <w:rPr>
          <w:rFonts w:ascii="Verdana" w:hAnsi="Verdana"/>
          <w:b/>
          <w:sz w:val="22"/>
        </w:rPr>
        <w:br/>
      </w:r>
      <w:r w:rsidR="00A238D3" w:rsidRPr="00A238D3">
        <w:rPr>
          <w:rFonts w:ascii="Verdana" w:hAnsi="Verdana"/>
          <w:bCs/>
          <w:sz w:val="22"/>
        </w:rPr>
        <w:t>Please see question 2</w:t>
      </w:r>
      <w:r w:rsidR="00A238D3" w:rsidRPr="00F06761">
        <w:rPr>
          <w:rFonts w:ascii="Verdana" w:hAnsi="Verdana"/>
          <w:b/>
          <w:sz w:val="22"/>
        </w:rPr>
        <w:br/>
      </w:r>
    </w:p>
    <w:p w14:paraId="2232288A" w14:textId="7095C252" w:rsidR="00B03BB9" w:rsidRPr="00B03BB9" w:rsidRDefault="00B03BB9" w:rsidP="00B03BB9">
      <w:pPr>
        <w:pStyle w:val="ListParagraph"/>
        <w:numPr>
          <w:ilvl w:val="0"/>
          <w:numId w:val="20"/>
        </w:numPr>
        <w:spacing w:before="280"/>
        <w:rPr>
          <w:rFonts w:ascii="Verdana" w:hAnsi="Verdana"/>
          <w:bCs/>
          <w:sz w:val="22"/>
        </w:rPr>
      </w:pPr>
      <w:r w:rsidRPr="00B03BB9">
        <w:rPr>
          <w:rFonts w:ascii="Verdana" w:hAnsi="Verdana"/>
          <w:b/>
          <w:sz w:val="22"/>
        </w:rPr>
        <w:t>What does the health board do to encourage uptake of 'flu vaccine, and does a lower uptake lead to an increased sickness absence?</w:t>
      </w:r>
      <w:r>
        <w:rPr>
          <w:rFonts w:ascii="Verdana" w:hAnsi="Verdana"/>
          <w:b/>
          <w:sz w:val="22"/>
        </w:rPr>
        <w:br/>
      </w:r>
      <w:r w:rsidRPr="00B02A68">
        <w:rPr>
          <w:rFonts w:ascii="Verdana" w:hAnsi="Verdana"/>
          <w:bCs/>
          <w:sz w:val="22"/>
        </w:rPr>
        <w:t>To encourage uptake of the flu vaccine among all staff groups, the health board implements a comprehensive range of measures as part of its annual flu campaign. These measures include the consideration and promotion of the campaign’s profile, and the promotion of uptake begins during the initial planning phase.</w:t>
      </w:r>
      <w:r>
        <w:rPr>
          <w:rFonts w:ascii="Verdana" w:hAnsi="Verdana"/>
          <w:b/>
          <w:sz w:val="22"/>
        </w:rPr>
        <w:br/>
      </w:r>
      <w:r w:rsidRPr="00B03BB9">
        <w:rPr>
          <w:rFonts w:ascii="Verdana" w:hAnsi="Verdana"/>
          <w:bCs/>
          <w:sz w:val="22"/>
        </w:rPr>
        <w:t>Engagement takes place at service level to secure leadership buy-in and support a top-down approach with the aim of fostering organisational commitment. In addition, bespoke internal communications are developed and disseminated via the staff intranet to raise awareness and inform staff about the campaign.</w:t>
      </w:r>
    </w:p>
    <w:p w14:paraId="7949EACE" w14:textId="77777777" w:rsidR="00B03BB9" w:rsidRPr="00B03BB9" w:rsidRDefault="00B03BB9" w:rsidP="00B03BB9">
      <w:pPr>
        <w:pStyle w:val="ListParagraph"/>
        <w:spacing w:before="280"/>
        <w:ind w:left="865"/>
        <w:rPr>
          <w:rFonts w:ascii="Verdana" w:hAnsi="Verdana"/>
          <w:bCs/>
          <w:sz w:val="22"/>
        </w:rPr>
      </w:pPr>
      <w:r w:rsidRPr="00B03BB9">
        <w:rPr>
          <w:rFonts w:ascii="Verdana" w:hAnsi="Verdana"/>
          <w:bCs/>
          <w:sz w:val="22"/>
        </w:rPr>
        <w:t>To ensure ease of access, staff are offered multiple options for receiving the vaccine, including self-booked appointments, drop-in clinics, and opportunistic vaccination sessions across the Health Board from both Occupation Health and the Immunisation Service.</w:t>
      </w:r>
    </w:p>
    <w:p w14:paraId="3003F92F" w14:textId="3521E8BC" w:rsidR="00F06761" w:rsidRDefault="00B03BB9" w:rsidP="00B03BB9">
      <w:pPr>
        <w:pStyle w:val="ListParagraph"/>
        <w:spacing w:before="280"/>
        <w:ind w:left="865"/>
        <w:rPr>
          <w:rFonts w:ascii="Verdana" w:hAnsi="Verdana"/>
          <w:bCs/>
          <w:sz w:val="22"/>
        </w:rPr>
      </w:pPr>
      <w:r w:rsidRPr="00B03BB9">
        <w:rPr>
          <w:rFonts w:ascii="Verdana" w:hAnsi="Verdana"/>
          <w:bCs/>
          <w:sz w:val="22"/>
        </w:rPr>
        <w:t>Out-of-hours clinics are also offered to capture members of the workforce who work unsociable hours, ensuring that all staff can be vaccinated regardless of their shift pattern. For staff unable to leave their clinical areas, the Immunisation Team undertakes ward walks to deliver the vaccine directly. The campaign is further supported by trained peer vaccinators who are available within departments to offer convenient, local delivery. To enhance visibility and engagement, communication assets such as pens, and other promotional materials are also used throughout the campaign.</w:t>
      </w:r>
      <w:r w:rsidRPr="00B03BB9">
        <w:rPr>
          <w:rFonts w:ascii="Verdana" w:hAnsi="Verdana"/>
          <w:bCs/>
          <w:sz w:val="22"/>
        </w:rPr>
        <w:br/>
      </w:r>
      <w:r w:rsidRPr="00B03BB9">
        <w:rPr>
          <w:rFonts w:ascii="Verdana" w:hAnsi="Verdana"/>
          <w:bCs/>
          <w:sz w:val="22"/>
        </w:rPr>
        <w:br/>
        <w:t xml:space="preserve">There is insufficient data and testing regimes in place currently, to accurately correlate the lower uptake rate for flu vaccinations will lead to an increased sickness absence. However, it is noted that lower uptake of Flu Vaccinations, could see an increased risk of flu transmission and impact on staffing levels across the health board. </w:t>
      </w:r>
    </w:p>
    <w:p w14:paraId="6644CEA6" w14:textId="60814BE3" w:rsidR="004F001A" w:rsidRPr="00A10460" w:rsidRDefault="00421E7F" w:rsidP="00F06761">
      <w:pPr>
        <w:rPr>
          <w:rFonts w:ascii="Verdana" w:hAnsi="Verdana"/>
          <w:b/>
          <w:bCs/>
          <w:noProof/>
          <w:sz w:val="22"/>
          <w:szCs w:val="22"/>
        </w:rPr>
      </w:pPr>
      <w:r>
        <w:rPr>
          <w:rFonts w:ascii="Verdana" w:hAnsi="Verdana"/>
          <w:b/>
          <w:bCs/>
          <w:noProof/>
          <w:sz w:val="22"/>
          <w:szCs w:val="22"/>
        </w:rPr>
        <w:t>____________________________________________________________</w:t>
      </w:r>
      <w:r w:rsidR="00F06761">
        <w:rPr>
          <w:rFonts w:ascii="Verdana" w:hAnsi="Verdana"/>
          <w:b/>
          <w:bCs/>
          <w:noProof/>
          <w:sz w:val="22"/>
          <w:szCs w:val="22"/>
        </w:rPr>
        <w:t xml:space="preserve">_______________________________ </w:t>
      </w:r>
    </w:p>
    <w:sectPr w:rsidR="004F001A" w:rsidRPr="00A10460" w:rsidSect="00B02A68">
      <w:footerReference w:type="default" r:id="rId8"/>
      <w:headerReference w:type="first" r:id="rId9"/>
      <w:footerReference w:type="first" r:id="rId10"/>
      <w:pgSz w:w="16838" w:h="11906" w:orient="landscape"/>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Narrow">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69646389"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87513978" o:spid="_x0000_i1025" type="#_x0000_t75" style="width:20.5pt;height:20.5pt;visibility:visible;mso-wrap-style:square">
            <v:imagedata r:id="rId1" o:title=""/>
          </v:shape>
        </w:pict>
      </mc:Choice>
      <mc:Fallback>
        <w:drawing>
          <wp:inline distT="0" distB="0" distL="0" distR="0" wp14:anchorId="0CC8EA22">
            <wp:extent cx="260350" cy="260350"/>
            <wp:effectExtent l="0" t="0" r="0" b="0"/>
            <wp:docPr id="1787513978" name="Picture 1787513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567642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0350" cy="260350"/>
                    </a:xfrm>
                    <a:prstGeom prst="rect">
                      <a:avLst/>
                    </a:prstGeom>
                    <a:noFill/>
                    <a:ln>
                      <a:noFill/>
                    </a:ln>
                  </pic:spPr>
                </pic:pic>
              </a:graphicData>
            </a:graphic>
          </wp:inline>
        </w:drawing>
      </mc:Fallback>
    </mc:AlternateContent>
  </w:numPicBullet>
  <w:numPicBullet w:numPicBulletId="1">
    <mc:AlternateContent>
      <mc:Choice Requires="v">
        <w:pict>
          <v:shape w14:anchorId="4F46F26A" id="Picture 1250513081" o:spid="_x0000_i1025" type="#_x0000_t75" style="width:382.5pt;height:382.5pt;visibility:visible;mso-wrap-style:square">
            <v:imagedata r:id="rId3" o:title=""/>
          </v:shape>
        </w:pict>
      </mc:Choice>
      <mc:Fallback>
        <w:drawing>
          <wp:inline distT="0" distB="0" distL="0" distR="0" wp14:anchorId="773EF38E">
            <wp:extent cx="4857750" cy="4857750"/>
            <wp:effectExtent l="0" t="0" r="0" b="0"/>
            <wp:docPr id="1250513081" name="Picture 1250513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170917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857750" cy="4857750"/>
                    </a:xfrm>
                    <a:prstGeom prst="rect">
                      <a:avLst/>
                    </a:prstGeom>
                    <a:noFill/>
                    <a:ln>
                      <a:noFill/>
                    </a:ln>
                  </pic:spPr>
                </pic:pic>
              </a:graphicData>
            </a:graphic>
          </wp:inline>
        </w:drawing>
      </mc:Fallback>
    </mc:AlternateContent>
  </w:numPicBullet>
  <w:numPicBullet w:numPicBulletId="2">
    <mc:AlternateContent>
      <mc:Choice Requires="v">
        <w:pict>
          <v:shape w14:anchorId="6BCE85F1" id="Picture 188634079" o:spid="_x0000_i1025" type="#_x0000_t75" style="width:225.5pt;height:225.5pt;visibility:visible;mso-wrap-style:square">
            <v:imagedata r:id="rId5" o:title=""/>
          </v:shape>
        </w:pict>
      </mc:Choice>
      <mc:Fallback>
        <w:drawing>
          <wp:inline distT="0" distB="0" distL="0" distR="0" wp14:anchorId="4AC85B95">
            <wp:extent cx="2863850" cy="2863850"/>
            <wp:effectExtent l="0" t="0" r="0" b="0"/>
            <wp:docPr id="188634079" name="Picture 188634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19000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63850" cy="2863850"/>
                    </a:xfrm>
                    <a:prstGeom prst="rect">
                      <a:avLst/>
                    </a:prstGeom>
                    <a:noFill/>
                    <a:ln>
                      <a:noFill/>
                    </a:ln>
                  </pic:spPr>
                </pic:pic>
              </a:graphicData>
            </a:graphic>
          </wp:inline>
        </w:drawing>
      </mc:Fallback>
    </mc:AlternateContent>
  </w:numPicBullet>
  <w:numPicBullet w:numPicBulletId="3">
    <mc:AlternateContent>
      <mc:Choice Requires="v">
        <w:pict>
          <v:shape w14:anchorId="10622708" id="Picture 1161680247" o:spid="_x0000_i1025" type="#_x0000_t75" style="width:15.5pt;height:15.5pt;visibility:visible;mso-wrap-style:square">
            <v:imagedata r:id="rId7" o:title=""/>
          </v:shape>
        </w:pict>
      </mc:Choice>
      <mc:Fallback>
        <w:drawing>
          <wp:inline distT="0" distB="0" distL="0" distR="0" wp14:anchorId="6AFDA87A">
            <wp:extent cx="196850" cy="196850"/>
            <wp:effectExtent l="0" t="0" r="0" b="0"/>
            <wp:docPr id="1161680247" name="Picture 1161680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700717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6850" cy="196850"/>
                    </a:xfrm>
                    <a:prstGeom prst="rect">
                      <a:avLst/>
                    </a:prstGeom>
                    <a:noFill/>
                    <a:ln>
                      <a:noFill/>
                    </a:ln>
                  </pic:spPr>
                </pic:pic>
              </a:graphicData>
            </a:graphic>
          </wp:inline>
        </w:drawing>
      </mc:Fallback>
    </mc:AlternateConten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A877BFD"/>
    <w:multiLevelType w:val="hybridMultilevel"/>
    <w:tmpl w:val="B114BEFE"/>
    <w:lvl w:ilvl="0" w:tplc="C7500450">
      <w:start w:val="1"/>
      <w:numFmt w:val="decimal"/>
      <w:lvlText w:val="%1)"/>
      <w:lvlJc w:val="left"/>
      <w:pPr>
        <w:ind w:left="865" w:hanging="360"/>
      </w:pPr>
      <w:rPr>
        <w:rFonts w:hint="default"/>
        <w:b/>
        <w:bCs w:val="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CCB794E"/>
    <w:multiLevelType w:val="hybridMultilevel"/>
    <w:tmpl w:val="D638DB26"/>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60879109">
    <w:abstractNumId w:val="15"/>
  </w:num>
  <w:num w:numId="2" w16cid:durableId="1776897941">
    <w:abstractNumId w:val="0"/>
  </w:num>
  <w:num w:numId="3" w16cid:durableId="1901092651">
    <w:abstractNumId w:val="9"/>
  </w:num>
  <w:num w:numId="4" w16cid:durableId="533346807">
    <w:abstractNumId w:val="17"/>
  </w:num>
  <w:num w:numId="5" w16cid:durableId="42215012">
    <w:abstractNumId w:val="4"/>
  </w:num>
  <w:num w:numId="6" w16cid:durableId="664823355">
    <w:abstractNumId w:val="3"/>
  </w:num>
  <w:num w:numId="7" w16cid:durableId="144274313">
    <w:abstractNumId w:val="12"/>
  </w:num>
  <w:num w:numId="8" w16cid:durableId="1392971124">
    <w:abstractNumId w:val="16"/>
  </w:num>
  <w:num w:numId="9" w16cid:durableId="1744251912">
    <w:abstractNumId w:val="19"/>
  </w:num>
  <w:num w:numId="10" w16cid:durableId="225259211">
    <w:abstractNumId w:val="1"/>
  </w:num>
  <w:num w:numId="11" w16cid:durableId="229923368">
    <w:abstractNumId w:val="11"/>
  </w:num>
  <w:num w:numId="12" w16cid:durableId="1558277856">
    <w:abstractNumId w:val="14"/>
  </w:num>
  <w:num w:numId="13" w16cid:durableId="1144739484">
    <w:abstractNumId w:val="18"/>
  </w:num>
  <w:num w:numId="14" w16cid:durableId="520975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410410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434248646">
    <w:abstractNumId w:val="13"/>
  </w:num>
  <w:num w:numId="17" w16cid:durableId="2019194697">
    <w:abstractNumId w:val="5"/>
  </w:num>
  <w:num w:numId="18" w16cid:durableId="1269311076">
    <w:abstractNumId w:val="2"/>
  </w:num>
  <w:num w:numId="19" w16cid:durableId="1284463148">
    <w:abstractNumId w:val="10"/>
  </w:num>
  <w:num w:numId="20" w16cid:durableId="56094400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96E1D"/>
    <w:rsid w:val="000C00ED"/>
    <w:rsid w:val="000F6539"/>
    <w:rsid w:val="00106BC0"/>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B3D21"/>
    <w:rsid w:val="005F0E79"/>
    <w:rsid w:val="00602EE5"/>
    <w:rsid w:val="006121F6"/>
    <w:rsid w:val="006137E4"/>
    <w:rsid w:val="00635BDA"/>
    <w:rsid w:val="006564DF"/>
    <w:rsid w:val="00684641"/>
    <w:rsid w:val="006C4048"/>
    <w:rsid w:val="006D5578"/>
    <w:rsid w:val="006D5C12"/>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A266E"/>
    <w:rsid w:val="009B087A"/>
    <w:rsid w:val="009B21AD"/>
    <w:rsid w:val="009B7CC6"/>
    <w:rsid w:val="009C5169"/>
    <w:rsid w:val="009D50E8"/>
    <w:rsid w:val="009F7815"/>
    <w:rsid w:val="00A10460"/>
    <w:rsid w:val="00A17614"/>
    <w:rsid w:val="00A238D3"/>
    <w:rsid w:val="00A56076"/>
    <w:rsid w:val="00A84640"/>
    <w:rsid w:val="00AB4D54"/>
    <w:rsid w:val="00AF0E8B"/>
    <w:rsid w:val="00AF691A"/>
    <w:rsid w:val="00B02A68"/>
    <w:rsid w:val="00B031C2"/>
    <w:rsid w:val="00B03BB9"/>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660A8"/>
    <w:rsid w:val="00DC0D5A"/>
    <w:rsid w:val="00DC47F3"/>
    <w:rsid w:val="00DC7FA9"/>
    <w:rsid w:val="00DD5E37"/>
    <w:rsid w:val="00DF2EA1"/>
    <w:rsid w:val="00E11F2D"/>
    <w:rsid w:val="00E1310B"/>
    <w:rsid w:val="00E26720"/>
    <w:rsid w:val="00E545D8"/>
    <w:rsid w:val="00E817B3"/>
    <w:rsid w:val="00E90BC7"/>
    <w:rsid w:val="00EE0615"/>
    <w:rsid w:val="00F06761"/>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88569305">
      <w:bodyDiv w:val="1"/>
      <w:marLeft w:val="0"/>
      <w:marRight w:val="0"/>
      <w:marTop w:val="0"/>
      <w:marBottom w:val="0"/>
      <w:divBdr>
        <w:top w:val="none" w:sz="0" w:space="0" w:color="auto"/>
        <w:left w:val="none" w:sz="0" w:space="0" w:color="auto"/>
        <w:bottom w:val="none" w:sz="0" w:space="0" w:color="auto"/>
        <w:right w:val="none" w:sz="0" w:space="0" w:color="auto"/>
      </w:divBdr>
    </w:div>
    <w:div w:id="204106221">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57297995">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37917150">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9.jpeg"/></Relationships>
</file>

<file path=word/_rels/footer2.xml.rels><?xml version="1.0" encoding="UTF-8" standalone="yes"?>
<Relationships xmlns="http://schemas.openxmlformats.org/package/2006/relationships"><Relationship Id="rId1" Type="http://schemas.openxmlformats.org/officeDocument/2006/relationships/image" Target="media/image9.jpeg"/></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_rels/numbering.xml.rels><?xml version="1.0" encoding="UTF-8" standalone="yes"?>
<Relationships xmlns="http://schemas.openxmlformats.org/package/2006/relationships"><Relationship Id="rId8" Type="http://schemas.openxmlformats.org/officeDocument/2006/relationships/image" Target="media/image8.png"/><Relationship Id="rId3" Type="http://schemas.openxmlformats.org/officeDocument/2006/relationships/image" Target="media/image3.png"/><Relationship Id="rId7" Type="http://schemas.openxmlformats.org/officeDocument/2006/relationships/image" Target="media/image7.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88</TotalTime>
  <Pages>2</Pages>
  <Words>569</Words>
  <Characters>3249</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31</cp:revision>
  <cp:lastPrinted>2019-03-26T11:11:00Z</cp:lastPrinted>
  <dcterms:created xsi:type="dcterms:W3CDTF">2021-09-13T07:38:00Z</dcterms:created>
  <dcterms:modified xsi:type="dcterms:W3CDTF">2025-06-02T13:48:00Z</dcterms:modified>
</cp:coreProperties>
</file>