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55099" w14:textId="77777777" w:rsidR="00B73D24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</w:t>
      </w:r>
    </w:p>
    <w:p w14:paraId="2FD8DA67" w14:textId="074E1E9D" w:rsidR="005925B8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 </w:t>
      </w:r>
      <w:r w:rsidRPr="007A5616">
        <w:rPr>
          <w:sz w:val="16"/>
          <w:szCs w:val="20"/>
        </w:rPr>
        <w:t xml:space="preserve">Rydym yn croesawu gohebiaeth yn y Gymraeg neu'r Saesneg. Atebir gohebiaeth Gymraeg yn y Gymraeg, ac ni fydd hyn yn arwain at oedi. </w:t>
      </w:r>
      <w:r>
        <w:rPr>
          <w:sz w:val="16"/>
          <w:szCs w:val="20"/>
        </w:rPr>
        <w:t xml:space="preserve"> </w:t>
      </w:r>
      <w:r w:rsidRPr="007A5616">
        <w:rPr>
          <w:sz w:val="16"/>
          <w:szCs w:val="20"/>
        </w:rPr>
        <w:t>We welcome correspondence in Welsh or English. Welsh language correspondence will be replied to in Welsh, and this will not lead to a delay</w:t>
      </w:r>
      <w:r w:rsidR="005925B8" w:rsidRPr="007A5616">
        <w:rPr>
          <w:sz w:val="16"/>
          <w:szCs w:val="20"/>
        </w:rPr>
        <w:t>.</w:t>
      </w:r>
    </w:p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45898535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F1D05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24-I-025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45898535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0F1D05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24-I-025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1CF101E7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b/>
          <w:sz w:val="22"/>
        </w:rPr>
        <w:t>You asked:</w:t>
      </w:r>
    </w:p>
    <w:p w14:paraId="1F0CF051" w14:textId="101733B2" w:rsidR="000F1D05" w:rsidRPr="000F1D05" w:rsidRDefault="000F1D05" w:rsidP="000F1D05">
      <w:pPr>
        <w:pStyle w:val="NoSpacing"/>
        <w:rPr>
          <w:rFonts w:ascii="Verdana" w:hAnsi="Verdana"/>
          <w:b/>
          <w:bCs/>
          <w:sz w:val="22"/>
          <w:szCs w:val="22"/>
          <w:lang w:val="en-IN"/>
        </w:rPr>
      </w:pPr>
      <w:r w:rsidRPr="000F1D05">
        <w:rPr>
          <w:rFonts w:ascii="Verdana" w:hAnsi="Verdana"/>
          <w:b/>
          <w:bCs/>
          <w:sz w:val="22"/>
          <w:szCs w:val="22"/>
        </w:rPr>
        <w:t>How many patients were treated in the last 3 months</w:t>
      </w:r>
      <w:r>
        <w:rPr>
          <w:rFonts w:ascii="Verdana" w:hAnsi="Verdana"/>
          <w:b/>
          <w:bCs/>
          <w:sz w:val="22"/>
          <w:szCs w:val="22"/>
        </w:rPr>
        <w:t xml:space="preserve"> (June to August)</w:t>
      </w:r>
      <w:r w:rsidRPr="000F1D05">
        <w:rPr>
          <w:rFonts w:ascii="Verdana" w:hAnsi="Verdana"/>
          <w:b/>
          <w:bCs/>
          <w:sz w:val="22"/>
          <w:szCs w:val="22"/>
        </w:rPr>
        <w:t xml:space="preserve"> by the Dermatology department (for any medical condition) with the following biologic drugs:</w:t>
      </w:r>
    </w:p>
    <w:p w14:paraId="4E6C288B" w14:textId="77777777" w:rsidR="000F1D05" w:rsidRPr="000F1D05" w:rsidRDefault="000F1D05" w:rsidP="000F1D05">
      <w:pPr>
        <w:pStyle w:val="NoSpacing"/>
        <w:rPr>
          <w:rFonts w:ascii="Verdana" w:hAnsi="Verdana"/>
          <w:b/>
          <w:bCs/>
          <w:sz w:val="22"/>
          <w:szCs w:val="22"/>
        </w:rPr>
      </w:pPr>
    </w:p>
    <w:p w14:paraId="265C4386" w14:textId="74E02118" w:rsidR="000F1D05" w:rsidRPr="000F1D05" w:rsidRDefault="000F1D05" w:rsidP="000F1D05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r w:rsidRPr="000F1D05">
        <w:rPr>
          <w:rFonts w:ascii="Verdana" w:hAnsi="Verdana"/>
          <w:b/>
          <w:bCs/>
          <w:sz w:val="22"/>
          <w:szCs w:val="22"/>
        </w:rPr>
        <w:t xml:space="preserve">Adalimumab </w:t>
      </w:r>
      <w:r>
        <w:rPr>
          <w:rFonts w:ascii="Verdana" w:hAnsi="Verdana"/>
          <w:b/>
          <w:bCs/>
          <w:sz w:val="22"/>
          <w:szCs w:val="22"/>
        </w:rPr>
        <w:t>–</w:t>
      </w:r>
      <w:r w:rsidRPr="000F1D05">
        <w:rPr>
          <w:rFonts w:ascii="Verdana" w:hAnsi="Verdana"/>
          <w:b/>
          <w:bCs/>
          <w:sz w:val="22"/>
          <w:szCs w:val="22"/>
        </w:rPr>
        <w:t xml:space="preserve"> Humira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&lt;5*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</w:p>
    <w:p w14:paraId="3C973C27" w14:textId="55629865" w:rsidR="000F1D05" w:rsidRPr="000F1D05" w:rsidRDefault="000F1D05" w:rsidP="000F1D05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r w:rsidRPr="000F1D05">
        <w:rPr>
          <w:rFonts w:ascii="Verdana" w:hAnsi="Verdana"/>
          <w:b/>
          <w:bCs/>
          <w:sz w:val="22"/>
          <w:szCs w:val="22"/>
        </w:rPr>
        <w:t>Adalimumab Biosimilar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74</w:t>
      </w:r>
    </w:p>
    <w:p w14:paraId="10EB8128" w14:textId="427D2C23" w:rsidR="000F1D05" w:rsidRPr="000F1D05" w:rsidRDefault="000F1D05" w:rsidP="000F1D05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0F1D05">
        <w:rPr>
          <w:rFonts w:ascii="Verdana" w:hAnsi="Verdana"/>
          <w:b/>
          <w:bCs/>
          <w:sz w:val="22"/>
          <w:szCs w:val="22"/>
        </w:rPr>
        <w:t>Apremilast</w:t>
      </w:r>
      <w:proofErr w:type="spellEnd"/>
      <w:r w:rsidRPr="000F1D05">
        <w:rPr>
          <w:rFonts w:ascii="Verdana" w:hAnsi="Verdana"/>
          <w:b/>
          <w:bCs/>
          <w:sz w:val="22"/>
          <w:szCs w:val="22"/>
        </w:rPr>
        <w:t xml:space="preserve"> 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39</w:t>
      </w:r>
    </w:p>
    <w:p w14:paraId="5B70C01C" w14:textId="57132590" w:rsidR="000F1D05" w:rsidRPr="000F1D05" w:rsidRDefault="000F1D05" w:rsidP="000F1D05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0F1D05">
        <w:rPr>
          <w:rFonts w:ascii="Verdana" w:hAnsi="Verdana"/>
          <w:b/>
          <w:bCs/>
          <w:sz w:val="22"/>
          <w:szCs w:val="22"/>
        </w:rPr>
        <w:t>Bimekizumab</w:t>
      </w:r>
      <w:proofErr w:type="spellEnd"/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8</w:t>
      </w:r>
      <w:r>
        <w:rPr>
          <w:rFonts w:ascii="Verdana" w:hAnsi="Verdana"/>
          <w:sz w:val="22"/>
          <w:szCs w:val="22"/>
        </w:rPr>
        <w:tab/>
      </w:r>
    </w:p>
    <w:p w14:paraId="1FCD55DB" w14:textId="1494DFE7" w:rsidR="000F1D05" w:rsidRPr="000F1D05" w:rsidRDefault="000F1D05" w:rsidP="000F1D05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0F1D05">
        <w:rPr>
          <w:rFonts w:ascii="Verdana" w:hAnsi="Verdana"/>
          <w:b/>
          <w:bCs/>
          <w:sz w:val="22"/>
          <w:szCs w:val="22"/>
        </w:rPr>
        <w:t>Brodalumab</w:t>
      </w:r>
      <w:proofErr w:type="spellEnd"/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7</w:t>
      </w:r>
    </w:p>
    <w:p w14:paraId="23636A28" w14:textId="2E5E6B8C" w:rsidR="000F1D05" w:rsidRPr="000F1D05" w:rsidRDefault="000F1D05" w:rsidP="000F1D05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r w:rsidRPr="000F1D05">
        <w:rPr>
          <w:rFonts w:ascii="Verdana" w:hAnsi="Verdana"/>
          <w:b/>
          <w:bCs/>
          <w:sz w:val="22"/>
          <w:szCs w:val="22"/>
        </w:rPr>
        <w:t xml:space="preserve">Certolizumab 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&lt;5*</w:t>
      </w:r>
    </w:p>
    <w:p w14:paraId="37EC51D4" w14:textId="7750B066" w:rsidR="000F1D05" w:rsidRPr="000F1D05" w:rsidRDefault="000F1D05" w:rsidP="000F1D05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0F1D05">
        <w:rPr>
          <w:rFonts w:ascii="Verdana" w:hAnsi="Verdana"/>
          <w:b/>
          <w:bCs/>
          <w:sz w:val="22"/>
          <w:szCs w:val="22"/>
        </w:rPr>
        <w:t>Deucravacitinib</w:t>
      </w:r>
      <w:proofErr w:type="spellEnd"/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11</w:t>
      </w:r>
    </w:p>
    <w:p w14:paraId="000C0EEE" w14:textId="6D8C3163" w:rsidR="000F1D05" w:rsidRPr="000F1D05" w:rsidRDefault="000F1D05" w:rsidP="000F1D05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r w:rsidRPr="000F1D05">
        <w:rPr>
          <w:rFonts w:ascii="Verdana" w:hAnsi="Verdana"/>
          <w:b/>
          <w:bCs/>
          <w:sz w:val="22"/>
          <w:szCs w:val="22"/>
        </w:rPr>
        <w:t xml:space="preserve">Dimethyl fumarate 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0</w:t>
      </w:r>
    </w:p>
    <w:p w14:paraId="69A57CED" w14:textId="524EB840" w:rsidR="000F1D05" w:rsidRPr="000F1D05" w:rsidRDefault="000F1D05" w:rsidP="000F1D05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r w:rsidRPr="000F1D05">
        <w:rPr>
          <w:rFonts w:ascii="Verdana" w:hAnsi="Verdana"/>
          <w:b/>
          <w:bCs/>
          <w:sz w:val="22"/>
          <w:szCs w:val="22"/>
        </w:rPr>
        <w:t xml:space="preserve">Etanercept </w:t>
      </w:r>
      <w:r>
        <w:rPr>
          <w:rFonts w:ascii="Verdana" w:hAnsi="Verdana"/>
          <w:b/>
          <w:bCs/>
          <w:sz w:val="22"/>
          <w:szCs w:val="22"/>
        </w:rPr>
        <w:t>–</w:t>
      </w:r>
      <w:r w:rsidRPr="000F1D05">
        <w:rPr>
          <w:rFonts w:ascii="Verdana" w:hAnsi="Verdana"/>
          <w:b/>
          <w:bCs/>
          <w:sz w:val="22"/>
          <w:szCs w:val="22"/>
        </w:rPr>
        <w:t xml:space="preserve"> Enbrel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0</w:t>
      </w:r>
    </w:p>
    <w:p w14:paraId="0CB68058" w14:textId="30FF5022" w:rsidR="000F1D05" w:rsidRPr="000F1D05" w:rsidRDefault="000F1D05" w:rsidP="000F1D05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r w:rsidRPr="000F1D05">
        <w:rPr>
          <w:rFonts w:ascii="Verdana" w:hAnsi="Verdana"/>
          <w:b/>
          <w:bCs/>
          <w:sz w:val="22"/>
          <w:szCs w:val="22"/>
        </w:rPr>
        <w:t>Etanercept Biosimilar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5</w:t>
      </w:r>
    </w:p>
    <w:p w14:paraId="506674D4" w14:textId="4DB1FCDF" w:rsidR="000F1D05" w:rsidRPr="000F1D05" w:rsidRDefault="000F1D05" w:rsidP="000F1D05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0F1D05">
        <w:rPr>
          <w:rFonts w:ascii="Verdana" w:hAnsi="Verdana"/>
          <w:b/>
          <w:bCs/>
          <w:sz w:val="22"/>
          <w:szCs w:val="22"/>
        </w:rPr>
        <w:t>Guselkumab</w:t>
      </w:r>
      <w:proofErr w:type="spellEnd"/>
      <w:r w:rsidRPr="000F1D05">
        <w:rPr>
          <w:rFonts w:ascii="Verdana" w:hAnsi="Verdana"/>
          <w:b/>
          <w:bCs/>
          <w:sz w:val="22"/>
          <w:szCs w:val="22"/>
        </w:rPr>
        <w:t xml:space="preserve"> 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8</w:t>
      </w:r>
    </w:p>
    <w:p w14:paraId="059CC016" w14:textId="403ECCA8" w:rsidR="000F1D05" w:rsidRPr="000F1D05" w:rsidRDefault="000F1D05" w:rsidP="000F1D05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r w:rsidRPr="000F1D05">
        <w:rPr>
          <w:rFonts w:ascii="Verdana" w:hAnsi="Verdana"/>
          <w:b/>
          <w:bCs/>
          <w:sz w:val="22"/>
          <w:szCs w:val="22"/>
        </w:rPr>
        <w:t xml:space="preserve">Infliximab </w:t>
      </w:r>
      <w:r>
        <w:rPr>
          <w:rFonts w:ascii="Verdana" w:hAnsi="Verdana"/>
          <w:b/>
          <w:bCs/>
          <w:sz w:val="22"/>
          <w:szCs w:val="22"/>
        </w:rPr>
        <w:t>–</w:t>
      </w:r>
      <w:r w:rsidRPr="000F1D05">
        <w:rPr>
          <w:rFonts w:ascii="Verdana" w:hAnsi="Verdana"/>
          <w:b/>
          <w:bCs/>
          <w:sz w:val="22"/>
          <w:szCs w:val="22"/>
        </w:rPr>
        <w:t xml:space="preserve"> Remicade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0</w:t>
      </w:r>
    </w:p>
    <w:p w14:paraId="6981C203" w14:textId="443E141C" w:rsidR="000F1D05" w:rsidRPr="000F1D05" w:rsidRDefault="000F1D05" w:rsidP="000F1D05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r w:rsidRPr="000F1D05">
        <w:rPr>
          <w:rFonts w:ascii="Verdana" w:hAnsi="Verdana"/>
          <w:b/>
          <w:bCs/>
          <w:sz w:val="22"/>
          <w:szCs w:val="22"/>
        </w:rPr>
        <w:t>Infliximab Biosimilar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&lt;5*</w:t>
      </w:r>
    </w:p>
    <w:p w14:paraId="31FCEBDF" w14:textId="1C96502A" w:rsidR="000F1D05" w:rsidRPr="000F1D05" w:rsidRDefault="000F1D05" w:rsidP="000F1D05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0F1D05">
        <w:rPr>
          <w:rFonts w:ascii="Verdana" w:hAnsi="Verdana"/>
          <w:b/>
          <w:bCs/>
          <w:sz w:val="22"/>
          <w:szCs w:val="22"/>
        </w:rPr>
        <w:t>Ixekizumab</w:t>
      </w:r>
      <w:proofErr w:type="spellEnd"/>
      <w:r w:rsidRPr="000F1D05">
        <w:rPr>
          <w:rFonts w:ascii="Verdana" w:hAnsi="Verdana"/>
          <w:b/>
          <w:bCs/>
          <w:sz w:val="22"/>
          <w:szCs w:val="22"/>
        </w:rPr>
        <w:t xml:space="preserve"> 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22</w:t>
      </w:r>
    </w:p>
    <w:p w14:paraId="4EF18A60" w14:textId="4D8E1481" w:rsidR="000F1D05" w:rsidRPr="000F1D05" w:rsidRDefault="000F1D05" w:rsidP="000F1D05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r w:rsidRPr="000F1D05">
        <w:rPr>
          <w:rFonts w:ascii="Verdana" w:hAnsi="Verdana"/>
          <w:b/>
          <w:bCs/>
          <w:sz w:val="22"/>
          <w:szCs w:val="22"/>
        </w:rPr>
        <w:t>Risankizumab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25</w:t>
      </w:r>
    </w:p>
    <w:p w14:paraId="23565FD7" w14:textId="5EB56A02" w:rsidR="000F1D05" w:rsidRPr="000F1D05" w:rsidRDefault="000F1D05" w:rsidP="000F1D05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proofErr w:type="spellStart"/>
      <w:r w:rsidRPr="000F1D05">
        <w:rPr>
          <w:rFonts w:ascii="Verdana" w:hAnsi="Verdana"/>
          <w:b/>
          <w:bCs/>
          <w:sz w:val="22"/>
          <w:szCs w:val="22"/>
        </w:rPr>
        <w:t>Secukinumab</w:t>
      </w:r>
      <w:proofErr w:type="spellEnd"/>
      <w:r w:rsidRPr="000F1D05">
        <w:rPr>
          <w:rFonts w:ascii="Verdana" w:hAnsi="Verdana"/>
          <w:b/>
          <w:bCs/>
          <w:sz w:val="22"/>
          <w:szCs w:val="22"/>
        </w:rPr>
        <w:t xml:space="preserve"> 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34</w:t>
      </w:r>
    </w:p>
    <w:p w14:paraId="43A78236" w14:textId="70B0C410" w:rsidR="000F1D05" w:rsidRPr="000F1D05" w:rsidRDefault="000F1D05" w:rsidP="000F1D05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r w:rsidRPr="000F1D05">
        <w:rPr>
          <w:rFonts w:ascii="Verdana" w:hAnsi="Verdana"/>
          <w:b/>
          <w:bCs/>
          <w:sz w:val="22"/>
          <w:szCs w:val="22"/>
        </w:rPr>
        <w:t xml:space="preserve">Tildrakizumab 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23</w:t>
      </w:r>
    </w:p>
    <w:p w14:paraId="0C3B39EC" w14:textId="485E84E3" w:rsidR="000F1D05" w:rsidRPr="000F1D05" w:rsidRDefault="000F1D05" w:rsidP="000F1D05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r w:rsidRPr="000F1D05">
        <w:rPr>
          <w:rFonts w:ascii="Verdana" w:hAnsi="Verdana"/>
          <w:b/>
          <w:bCs/>
          <w:sz w:val="22"/>
          <w:szCs w:val="22"/>
        </w:rPr>
        <w:t>Ustekinumab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49</w:t>
      </w:r>
    </w:p>
    <w:p w14:paraId="5729C037" w14:textId="6D1CC1AB" w:rsidR="000F1D05" w:rsidRPr="000F1D05" w:rsidRDefault="000F1D05" w:rsidP="000F1D05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r w:rsidRPr="000F1D05">
        <w:rPr>
          <w:rFonts w:ascii="Verdana" w:hAnsi="Verdana"/>
          <w:b/>
          <w:bCs/>
          <w:sz w:val="22"/>
          <w:szCs w:val="22"/>
        </w:rPr>
        <w:t xml:space="preserve">Ustekinumab Biosimilar 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0</w:t>
      </w:r>
    </w:p>
    <w:p w14:paraId="77BFE1A2" w14:textId="033EA8B9" w:rsidR="000F1D05" w:rsidRPr="000F1D05" w:rsidRDefault="000F1D05" w:rsidP="000F1D05">
      <w:pPr>
        <w:pStyle w:val="NoSpacing"/>
        <w:numPr>
          <w:ilvl w:val="0"/>
          <w:numId w:val="19"/>
        </w:numPr>
        <w:ind w:right="0"/>
        <w:rPr>
          <w:rFonts w:ascii="Verdana" w:hAnsi="Verdana"/>
          <w:b/>
          <w:bCs/>
          <w:sz w:val="22"/>
          <w:szCs w:val="22"/>
          <w:lang w:val="en-IN"/>
        </w:rPr>
      </w:pPr>
      <w:r w:rsidRPr="000F1D05">
        <w:rPr>
          <w:rFonts w:ascii="Verdana" w:hAnsi="Verdana"/>
          <w:b/>
          <w:bCs/>
          <w:sz w:val="22"/>
          <w:szCs w:val="22"/>
        </w:rPr>
        <w:t>Omalizumab</w:t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b/>
          <w:bCs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>15</w:t>
      </w:r>
    </w:p>
    <w:p w14:paraId="68368BB3" w14:textId="0F9A2EF1" w:rsidR="000F1D05" w:rsidRDefault="000F1D05" w:rsidP="000F1D05">
      <w:pPr>
        <w:pStyle w:val="NoSpacing"/>
        <w:ind w:right="0"/>
        <w:rPr>
          <w:rFonts w:ascii="Verdana" w:hAnsi="Verdana"/>
          <w:b/>
          <w:bCs/>
          <w:sz w:val="22"/>
          <w:szCs w:val="22"/>
          <w:lang w:val="en-IN"/>
        </w:rPr>
      </w:pPr>
    </w:p>
    <w:p w14:paraId="2DA85F40" w14:textId="2F5AEF12" w:rsidR="000F1D05" w:rsidRDefault="000F1D05" w:rsidP="000F1D05">
      <w:pPr>
        <w:pStyle w:val="NoSpacing"/>
        <w:ind w:right="0"/>
        <w:rPr>
          <w:rFonts w:ascii="Verdana" w:hAnsi="Verdana"/>
          <w:b/>
          <w:bCs/>
          <w:sz w:val="22"/>
          <w:szCs w:val="22"/>
          <w:lang w:val="en-IN"/>
        </w:rPr>
      </w:pPr>
    </w:p>
    <w:p w14:paraId="3E9F07F4" w14:textId="63FCD0B8" w:rsidR="00421E7F" w:rsidRPr="00A10460" w:rsidRDefault="000F1D05" w:rsidP="000F1D05">
      <w:pPr>
        <w:pStyle w:val="NoSpacing"/>
        <w:ind w:right="0"/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  <w:lang w:val="en-IN"/>
        </w:rPr>
        <w:t>*</w:t>
      </w:r>
      <w:r w:rsidRPr="000F1D05">
        <w:rPr>
          <w:rFonts w:ascii="Verdana" w:hAnsi="Verdana"/>
          <w:sz w:val="22"/>
          <w:szCs w:val="22"/>
        </w:rPr>
        <w:t xml:space="preserve"> </w:t>
      </w:r>
      <w:r w:rsidRPr="00FC3B42">
        <w:rPr>
          <w:rFonts w:ascii="Verdana" w:hAnsi="Verdana"/>
          <w:sz w:val="22"/>
          <w:szCs w:val="22"/>
        </w:rPr>
        <w:t xml:space="preserve">Where fewer than 5 has been indicated we are unable to provide you with the exact number of patients as due to the low numbers, there is a potential risk of identifying individuals if this was disclosed.  We are therefore withholding this detail under Section 40(2) of the </w:t>
      </w:r>
      <w:smartTag w:uri="urn:schemas-microsoft-com:office:smarttags" w:element="address">
        <w:r w:rsidRPr="00FC3B42">
          <w:rPr>
            <w:rFonts w:ascii="Verdana" w:hAnsi="Verdana"/>
            <w:sz w:val="22"/>
            <w:szCs w:val="22"/>
          </w:rPr>
          <w:t>Freedom of Information</w:t>
        </w:r>
      </w:smartTag>
      <w:r w:rsidRPr="00FC3B42">
        <w:rPr>
          <w:rFonts w:ascii="Verdana" w:hAnsi="Verdana"/>
          <w:sz w:val="22"/>
          <w:szCs w:val="22"/>
        </w:rPr>
        <w:t xml:space="preserve"> Act 2000.  This information is protected by the </w:t>
      </w:r>
      <w:r w:rsidRPr="00FC3B42">
        <w:rPr>
          <w:rFonts w:ascii="Verdana" w:hAnsi="Verdana"/>
          <w:iCs/>
          <w:sz w:val="22"/>
          <w:szCs w:val="22"/>
        </w:rPr>
        <w:t xml:space="preserve">General Data Protection Regulation (GDPR) and Data Protection Act 2018 and its disclosure would be contrary to the data protection principles and constitute as unfair and unlawful processing </w:t>
      </w:r>
      <w:r w:rsidRPr="00FC3B42">
        <w:rPr>
          <w:rFonts w:ascii="Verdana" w:hAnsi="Verdana"/>
          <w:bCs/>
          <w:iCs/>
          <w:sz w:val="22"/>
          <w:szCs w:val="22"/>
        </w:rPr>
        <w:t>in regard to</w:t>
      </w:r>
      <w:r w:rsidRPr="00FC3B42">
        <w:rPr>
          <w:rFonts w:ascii="Verdana" w:hAnsi="Verdana"/>
          <w:iCs/>
          <w:sz w:val="22"/>
          <w:szCs w:val="22"/>
        </w:rPr>
        <w:t xml:space="preserve"> Articles 5, 6, and 9 of GDPR.  </w:t>
      </w:r>
      <w:r w:rsidRPr="00FC3B42">
        <w:rPr>
          <w:rFonts w:ascii="Verdana" w:hAnsi="Verdana"/>
          <w:sz w:val="22"/>
          <w:szCs w:val="22"/>
        </w:rPr>
        <w:t>This exemption is absolute and therefore there is no requirement to apply the public interest test.</w:t>
      </w:r>
    </w:p>
    <w:sectPr w:rsidR="00421E7F" w:rsidRPr="00A10460" w:rsidSect="00D62A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38800" w14:textId="77777777" w:rsidR="00B73D24" w:rsidRDefault="00B73D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7C887" w14:textId="77777777" w:rsidR="002D32B6" w:rsidRDefault="00CB2BBE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b/>
        <w:color w:val="008A8C"/>
        <w:sz w:val="20"/>
        <w:szCs w:val="20"/>
      </w:rPr>
    </w:pPr>
    <w:r>
      <w:rPr>
        <w:b/>
        <w:noProof/>
        <w:color w:val="008A8C"/>
        <w:sz w:val="20"/>
        <w:szCs w:val="20"/>
      </w:rPr>
      <w:drawing>
        <wp:inline distT="0" distB="0" distL="0" distR="0" wp14:anchorId="0F03FD30" wp14:editId="2714D46F">
          <wp:extent cx="1120519" cy="322580"/>
          <wp:effectExtent l="0" t="0" r="3810" b="127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B_skyline_colour@2x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8092" cy="324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C00ED" w:rsidRPr="002D32B6">
      <w:rPr>
        <w:b/>
        <w:color w:val="008A8C"/>
        <w:sz w:val="20"/>
        <w:szCs w:val="20"/>
      </w:rPr>
      <w:t>gofalu am ein gilydd, cydweithio</w:t>
    </w:r>
    <w:r w:rsidR="002D32B6" w:rsidRPr="002D32B6">
      <w:rPr>
        <w:b/>
        <w:color w:val="008A8C"/>
        <w:sz w:val="20"/>
        <w:szCs w:val="20"/>
      </w:rPr>
      <w:t>,</w:t>
    </w:r>
    <w:r w:rsidR="000C00ED" w:rsidRPr="002D32B6">
      <w:rPr>
        <w:b/>
        <w:color w:val="008A8C"/>
        <w:sz w:val="20"/>
        <w:szCs w:val="20"/>
      </w:rPr>
      <w:t xml:space="preserve"> gwella bob amser</w:t>
    </w:r>
  </w:p>
  <w:p w14:paraId="15A49180" w14:textId="77777777" w:rsidR="00795AD1" w:rsidRPr="00111757" w:rsidRDefault="000C00ED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rFonts w:ascii="Calibri Light" w:hAnsi="Calibri Light"/>
      </w:rPr>
    </w:pPr>
    <w:r w:rsidRPr="002D32B6">
      <w:rPr>
        <w:b/>
        <w:color w:val="008A8C"/>
        <w:sz w:val="20"/>
        <w:szCs w:val="20"/>
      </w:rPr>
      <w:t xml:space="preserve"> </w:t>
    </w:r>
    <w:r w:rsidRPr="002D32B6">
      <w:rPr>
        <w:b/>
        <w:color w:val="6E609E"/>
        <w:sz w:val="20"/>
        <w:szCs w:val="20"/>
      </w:rPr>
      <w:t>caring for each other, working together, always improving</w:t>
    </w:r>
    <w:r w:rsidR="00111757" w:rsidRPr="00795AD1">
      <w:tab/>
    </w:r>
    <w:r w:rsidR="00795AD1" w:rsidRPr="00795AD1">
      <w:t xml:space="preserve">Page </w:t>
    </w:r>
    <w:r w:rsidR="00795AD1" w:rsidRPr="00795AD1">
      <w:fldChar w:fldCharType="begin"/>
    </w:r>
    <w:r w:rsidR="00795AD1" w:rsidRPr="00795AD1">
      <w:instrText xml:space="preserve"> PAGE   \* MERGEFORMAT </w:instrText>
    </w:r>
    <w:r w:rsidR="00795AD1" w:rsidRPr="00795AD1">
      <w:fldChar w:fldCharType="separate"/>
    </w:r>
    <w:r w:rsidR="00A10460">
      <w:rPr>
        <w:noProof/>
      </w:rPr>
      <w:t>2</w:t>
    </w:r>
    <w:r w:rsidR="00795AD1" w:rsidRPr="00795AD1">
      <w:rPr>
        <w:noProof/>
      </w:rPr>
      <w:fldChar w:fldCharType="end"/>
    </w:r>
  </w:p>
  <w:p w14:paraId="656EA6A7" w14:textId="77777777" w:rsidR="007D6A3E" w:rsidRDefault="007D6A3E" w:rsidP="007D6A3E">
    <w:pPr>
      <w:pStyle w:val="Footer"/>
      <w:tabs>
        <w:tab w:val="clear" w:pos="4513"/>
        <w:tab w:val="clear" w:pos="9026"/>
        <w:tab w:val="center" w:pos="5233"/>
        <w:tab w:val="right" w:pos="1046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16B84" w14:textId="600A45DF" w:rsidR="007D6A3E" w:rsidRDefault="007D6A3E" w:rsidP="00B73D24">
    <w:pPr>
      <w:pStyle w:val="Footer"/>
    </w:pPr>
  </w:p>
  <w:p w14:paraId="0527764C" w14:textId="77777777" w:rsidR="00B73D24" w:rsidRDefault="00B73D24" w:rsidP="00B73D24">
    <w:pPr>
      <w:pStyle w:val="Footer"/>
    </w:pPr>
  </w:p>
  <w:p w14:paraId="40D801B2" w14:textId="77777777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color w:val="1F355E"/>
        <w:sz w:val="14"/>
        <w:szCs w:val="14"/>
      </w:rPr>
    </w:pPr>
    <w:bookmarkStart w:id="0" w:name="_Hlk168407067"/>
    <w:bookmarkStart w:id="1" w:name="_Hlk168407068"/>
  </w:p>
  <w:p w14:paraId="54F35898" w14:textId="55F205DE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b/>
        <w:color w:val="1F355E"/>
        <w:sz w:val="14"/>
        <w:szCs w:val="14"/>
      </w:rPr>
    </w:pPr>
    <w:r w:rsidRPr="000B6AF2">
      <w:rPr>
        <w:b/>
        <w:noProof/>
        <w:color w:val="1F355E"/>
        <w:sz w:val="14"/>
        <w:szCs w:val="14"/>
      </w:rPr>
      <w:drawing>
        <wp:anchor distT="0" distB="0" distL="114300" distR="114300" simplePos="0" relativeHeight="251662336" behindDoc="1" locked="0" layoutInCell="1" allowOverlap="1" wp14:anchorId="44C63C6C" wp14:editId="0408D274">
          <wp:simplePos x="0" y="0"/>
          <wp:positionH relativeFrom="column">
            <wp:posOffset>5469890</wp:posOffset>
          </wp:positionH>
          <wp:positionV relativeFrom="paragraph">
            <wp:posOffset>-330200</wp:posOffset>
          </wp:positionV>
          <wp:extent cx="2216110" cy="1270886"/>
          <wp:effectExtent l="0" t="0" r="0" b="0"/>
          <wp:wrapNone/>
          <wp:docPr id="1243636704" name="Picture 2" descr="A rainbow colored lin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36704" name="Picture 2" descr="A rainbow colored lin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10" cy="127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6AF2">
      <w:rPr>
        <w:color w:val="1F355E"/>
        <w:sz w:val="14"/>
        <w:szCs w:val="14"/>
      </w:rPr>
      <w:t>Bwrdd Iechyd Prifysgol Bae Abertawe yw enw gweithredu Bwrdd Iechyd Lleol Prifysgol Bae Abertawe</w:t>
    </w:r>
  </w:p>
  <w:p w14:paraId="169A9EAE" w14:textId="77777777" w:rsidR="00B73D24" w:rsidRPr="002B2CF6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  <w:r w:rsidRPr="000B6AF2">
      <w:rPr>
        <w:color w:val="1F355E"/>
        <w:sz w:val="14"/>
        <w:szCs w:val="14"/>
      </w:rPr>
      <w:t>Swansea Bay University Health Board is the operational name of Swansea Bay University Local Health Board</w:t>
    </w:r>
    <w:bookmarkEnd w:id="0"/>
    <w:bookmarkEnd w:id="1"/>
  </w:p>
  <w:p w14:paraId="73827B55" w14:textId="4A9F659E" w:rsidR="00B73D24" w:rsidRDefault="00B73D24" w:rsidP="00B73D24">
    <w:pPr>
      <w:pStyle w:val="Footer"/>
    </w:pP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7074A" w14:textId="77777777" w:rsidR="00B73D24" w:rsidRDefault="00B73D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E6546" w14:textId="77777777" w:rsidR="00B73D24" w:rsidRDefault="00B73D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5F1CA3C3" w:rsidR="0097092D" w:rsidRDefault="00B73D24" w:rsidP="0097092D">
    <w:pPr>
      <w:pStyle w:val="Header"/>
      <w:tabs>
        <w:tab w:val="right" w:pos="104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47CB3A5F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01F340B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Cadeirydd/Chair: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Jan Williams</w:t>
                          </w:r>
                        </w:p>
                        <w:p w14:paraId="081C5215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Prif Weithredwr dros dro/Interim Chief Executive: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Dr Richard Evans</w:t>
                          </w:r>
                        </w:p>
                        <w:p w14:paraId="41859911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Pencadlys Bwrdd Iechyd Prifysgol Bae Abertawe </w:t>
                          </w:r>
                        </w:p>
                        <w:p w14:paraId="3D4DE5D0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Un Porthfa Talbot, Parc Ynni, Baglan, Port Talbot, SA12 7BR</w:t>
                          </w:r>
                        </w:p>
                        <w:p w14:paraId="70761EB9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</w:p>
                        <w:p w14:paraId="7E8587F4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Swansea Bay University Health Board Headquarters</w:t>
                          </w:r>
                        </w:p>
                        <w:p w14:paraId="63BD9972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One Talbot Gateway, Baglan Energy Park, Port Talbot, SA12 7BR</w:t>
                          </w:r>
                        </w:p>
                        <w:p w14:paraId="7BB4835A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|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Phone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: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01639 683</w:t>
                          </w:r>
                          <w:r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334</w:t>
                          </w:r>
                        </w:p>
                        <w:p w14:paraId="7632E72D" w14:textId="299D6AFA" w:rsidR="000C00ED" w:rsidRPr="002D32B6" w:rsidRDefault="000C00ED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01F340B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Cadeirydd/Chair: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Jan Williams</w:t>
                    </w:r>
                  </w:p>
                  <w:p w14:paraId="081C5215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Prif Weithredwr dros dro/Interim Chief Executive: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Dr Richard Evans</w:t>
                    </w:r>
                  </w:p>
                  <w:p w14:paraId="41859911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Pencadlys Bwrdd Iechyd Prifysgol Bae Abertawe </w:t>
                    </w:r>
                  </w:p>
                  <w:p w14:paraId="3D4DE5D0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>Un Porthfa Talbot, Parc Ynni, Baglan, Port Talbot, SA12 7BR</w:t>
                    </w:r>
                  </w:p>
                  <w:p w14:paraId="70761EB9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</w:p>
                  <w:p w14:paraId="7E8587F4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Swansea Bay University Health Board Headquarters</w:t>
                    </w:r>
                  </w:p>
                  <w:p w14:paraId="63BD9972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>One Talbot Gateway, Baglan Energy Park, Port Talbot, SA12 7BR</w:t>
                    </w:r>
                  </w:p>
                  <w:p w14:paraId="7BB4835A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| </w:t>
                    </w: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Phone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>: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 01639 683</w:t>
                    </w:r>
                    <w:r>
                      <w:rPr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>334</w:t>
                    </w:r>
                  </w:p>
                  <w:p w14:paraId="7632E72D" w14:textId="299D6AFA" w:rsidR="000C00ED" w:rsidRPr="002D32B6" w:rsidRDefault="000C00ED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5925B8">
      <w:rPr>
        <w:noProof/>
      </w:rPr>
      <w:drawing>
        <wp:anchor distT="0" distB="0" distL="114300" distR="114300" simplePos="0" relativeHeight="251659264" behindDoc="1" locked="0" layoutInCell="1" allowOverlap="1" wp14:anchorId="6526706D" wp14:editId="4ECD7732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971800" cy="751840"/>
          <wp:effectExtent l="0" t="0" r="0" b="0"/>
          <wp:wrapTight wrapText="bothSides">
            <wp:wrapPolygon edited="0">
              <wp:start x="0" y="0"/>
              <wp:lineTo x="0" y="20797"/>
              <wp:lineTo x="21462" y="20797"/>
              <wp:lineTo x="2146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6810" type="#_x0000_t75" style="width:20.5pt;height:20.5pt;visibility:visible;mso-wrap-style:square" o:bullet="t">
        <v:imagedata r:id="rId1" o:title=""/>
      </v:shape>
    </w:pict>
  </w:numPicBullet>
  <w:numPicBullet w:numPicBulletId="1">
    <w:pict>
      <v:shape id="_x0000_i6811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6812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6813" type="#_x0000_t75" style="width:15.5pt;height:15.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6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7" w15:restartNumberingAfterBreak="0">
    <w:nsid w:val="35D73C96"/>
    <w:multiLevelType w:val="hybridMultilevel"/>
    <w:tmpl w:val="23E46E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1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6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9"/>
  </w:num>
  <w:num w:numId="4">
    <w:abstractNumId w:val="16"/>
  </w:num>
  <w:num w:numId="5">
    <w:abstractNumId w:val="4"/>
  </w:num>
  <w:num w:numId="6">
    <w:abstractNumId w:val="3"/>
  </w:num>
  <w:num w:numId="7">
    <w:abstractNumId w:val="11"/>
  </w:num>
  <w:num w:numId="8">
    <w:abstractNumId w:val="15"/>
  </w:num>
  <w:num w:numId="9">
    <w:abstractNumId w:val="18"/>
  </w:num>
  <w:num w:numId="10">
    <w:abstractNumId w:val="1"/>
  </w:num>
  <w:num w:numId="11">
    <w:abstractNumId w:val="10"/>
  </w:num>
  <w:num w:numId="12">
    <w:abstractNumId w:val="13"/>
  </w:num>
  <w:num w:numId="13">
    <w:abstractNumId w:val="17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5"/>
  </w:num>
  <w:num w:numId="18">
    <w:abstractNumId w:val="2"/>
  </w:num>
  <w:num w:numId="19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1D05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1E5A"/>
    <w:rsid w:val="004F4D3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7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73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1608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Carly Mari Jones (Swansea Bay UHB - Corporate Services )</cp:lastModifiedBy>
  <cp:revision>21</cp:revision>
  <cp:lastPrinted>2019-03-26T11:11:00Z</cp:lastPrinted>
  <dcterms:created xsi:type="dcterms:W3CDTF">2021-09-13T07:38:00Z</dcterms:created>
  <dcterms:modified xsi:type="dcterms:W3CDTF">2024-09-25T12:22:00Z</dcterms:modified>
</cp:coreProperties>
</file>