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AC1A9A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32D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AC1A9A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E32D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6295E7E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E4B89E8" w14:textId="2C88EA5C" w:rsidR="00286642" w:rsidRPr="003E32D9" w:rsidRDefault="003E32D9" w:rsidP="00DC0D5A">
      <w:pPr>
        <w:spacing w:before="280"/>
        <w:rPr>
          <w:rFonts w:ascii="Verdana" w:hAnsi="Verdana"/>
          <w:b/>
          <w:bCs/>
          <w:sz w:val="22"/>
          <w:szCs w:val="22"/>
        </w:rPr>
      </w:pPr>
      <w:r w:rsidRPr="003E32D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</w:t>
      </w:r>
      <w:proofErr w:type="spellStart"/>
      <w:r w:rsidR="00B6206D">
        <w:rPr>
          <w:rFonts w:ascii="Verdana" w:eastAsia="Times New Roman" w:hAnsi="Verdana"/>
          <w:b/>
          <w:bCs/>
          <w:color w:val="000000"/>
          <w:sz w:val="22"/>
          <w:szCs w:val="22"/>
        </w:rPr>
        <w:t>Hepatopancreaticobiliary</w:t>
      </w:r>
      <w:proofErr w:type="spellEnd"/>
      <w:r w:rsidR="00B6206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3E32D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or Upper GI nurses (including CNS/ANP/ACP/Nurse consultants) are currently employed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by Swansea University Health Board</w:t>
      </w:r>
      <w:r w:rsidRPr="003E32D9">
        <w:rPr>
          <w:rFonts w:ascii="Verdana" w:eastAsia="Times New Roman" w:hAnsi="Verdana"/>
          <w:b/>
          <w:bCs/>
          <w:color w:val="000000"/>
          <w:sz w:val="22"/>
          <w:szCs w:val="22"/>
        </w:rPr>
        <w:t>?</w:t>
      </w:r>
    </w:p>
    <w:p w14:paraId="58B2F4E3" w14:textId="2359F0FF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2A4DBB91" w14:textId="66BAA2BF" w:rsidR="003E32D9" w:rsidRPr="00C31BBF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>3 Pancreatic Clinical Nurse Specialists – 2.77wte</w:t>
      </w:r>
    </w:p>
    <w:p w14:paraId="032168B2" w14:textId="50854E4A" w:rsidR="003E32D9" w:rsidRPr="00B6206D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 xml:space="preserve">1 </w:t>
      </w:r>
      <w:proofErr w:type="spellStart"/>
      <w:r w:rsidRPr="00B6206D">
        <w:rPr>
          <w:rFonts w:ascii="Verdana" w:hAnsi="Verdana"/>
          <w:sz w:val="22"/>
          <w:szCs w:val="22"/>
          <w:lang w:eastAsia="en-US"/>
        </w:rPr>
        <w:t>Oesophago</w:t>
      </w:r>
      <w:proofErr w:type="spellEnd"/>
      <w:r w:rsidRPr="00B6206D">
        <w:rPr>
          <w:rFonts w:ascii="Verdana" w:hAnsi="Verdana"/>
          <w:sz w:val="22"/>
          <w:szCs w:val="22"/>
          <w:lang w:eastAsia="en-US"/>
        </w:rPr>
        <w:t>-Gastric Clinical Nurse Specialist – 1.0wte</w:t>
      </w:r>
    </w:p>
    <w:p w14:paraId="33BA1EED" w14:textId="27B9F046" w:rsidR="003E32D9" w:rsidRPr="00B6206D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>1 Endocrine Clinical Nurse Specialist – 1.0wte</w:t>
      </w:r>
    </w:p>
    <w:p w14:paraId="06412EAA" w14:textId="375DE228" w:rsidR="003E32D9" w:rsidRPr="00B6206D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>2 Bariatric Clinical Nurse Specialists – 1.0wte</w:t>
      </w:r>
    </w:p>
    <w:p w14:paraId="0DA7DB98" w14:textId="12D7ACAE" w:rsidR="003E32D9" w:rsidRPr="00B6206D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>1 Upper GI Clinical Endoscopist – 1.0wte</w:t>
      </w:r>
    </w:p>
    <w:p w14:paraId="7BA013A8" w14:textId="1A299C44" w:rsidR="003E32D9" w:rsidRPr="00B6206D" w:rsidRDefault="003E32D9" w:rsidP="003E32D9">
      <w:pPr>
        <w:rPr>
          <w:rFonts w:ascii="Verdana" w:hAnsi="Verdana"/>
          <w:sz w:val="22"/>
          <w:szCs w:val="22"/>
          <w:lang w:eastAsia="en-US"/>
        </w:rPr>
      </w:pPr>
      <w:r w:rsidRPr="00B6206D">
        <w:rPr>
          <w:rFonts w:ascii="Verdana" w:hAnsi="Verdana"/>
          <w:sz w:val="22"/>
          <w:szCs w:val="22"/>
          <w:lang w:eastAsia="en-US"/>
        </w:rPr>
        <w:t>1 Upper GI Clinical Nurse Specialist – 1.0wte</w:t>
      </w:r>
    </w:p>
    <w:p w14:paraId="75970B72" w14:textId="4C69F4E3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5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2C2B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158AD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32D9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206D"/>
    <w:rsid w:val="00B73D24"/>
    <w:rsid w:val="00B82C9E"/>
    <w:rsid w:val="00B8458F"/>
    <w:rsid w:val="00BB4931"/>
    <w:rsid w:val="00BC67E1"/>
    <w:rsid w:val="00C021A4"/>
    <w:rsid w:val="00C050BE"/>
    <w:rsid w:val="00C31BBF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C31BB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31B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31B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31B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1B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1B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1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76</TotalTime>
  <Pages>2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2024-11-19T15:19:00Z</dcterms:modified>
</cp:coreProperties>
</file>