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25058F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E0D7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24-K-003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25058F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E0D7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24-K-003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AC2EC23" w14:textId="289BAA8D" w:rsidR="004E0D74" w:rsidRPr="004E0D74" w:rsidRDefault="004E0D74" w:rsidP="004E0D74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4E0D74">
        <w:rPr>
          <w:rFonts w:ascii="Verdana" w:hAnsi="Verdana"/>
          <w:b/>
          <w:sz w:val="22"/>
        </w:rPr>
        <w:t>Please could you give us current information in relation to how prostate cancer patients are managed when they are eligible for active surveillance/monitoring. Including:</w:t>
      </w:r>
    </w:p>
    <w:p w14:paraId="1A95966C" w14:textId="3D0CA17A" w:rsidR="004E0D74" w:rsidRPr="004E0D74" w:rsidRDefault="004E0D74" w:rsidP="004E0D7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4E0D74">
        <w:rPr>
          <w:rFonts w:ascii="Verdana" w:hAnsi="Verdana"/>
          <w:b/>
          <w:sz w:val="22"/>
        </w:rPr>
        <w:t>Inclusion criteria</w:t>
      </w:r>
    </w:p>
    <w:p w14:paraId="7A14D8BF" w14:textId="022769A5" w:rsidR="004E0D74" w:rsidRPr="004E0D74" w:rsidRDefault="004E0D74" w:rsidP="004E0D7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4E0D74">
        <w:rPr>
          <w:rFonts w:ascii="Verdana" w:hAnsi="Verdana"/>
          <w:b/>
          <w:sz w:val="22"/>
        </w:rPr>
        <w:t>Diagnosis and treatment decision support</w:t>
      </w:r>
    </w:p>
    <w:p w14:paraId="0DE83FA3" w14:textId="09865995" w:rsidR="004E0D74" w:rsidRPr="004E0D74" w:rsidRDefault="004E0D74" w:rsidP="004E0D7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4E0D74">
        <w:rPr>
          <w:rFonts w:ascii="Verdana" w:hAnsi="Verdana"/>
          <w:b/>
          <w:sz w:val="22"/>
        </w:rPr>
        <w:t>Follow-up pathways and protocols</w:t>
      </w:r>
    </w:p>
    <w:p w14:paraId="6084E956" w14:textId="0907C111" w:rsidR="004E0D74" w:rsidRPr="004E0D74" w:rsidRDefault="004E0D74" w:rsidP="004E0D7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4E0D74">
        <w:rPr>
          <w:rFonts w:ascii="Verdana" w:hAnsi="Verdana"/>
          <w:b/>
          <w:sz w:val="22"/>
        </w:rPr>
        <w:t>Follow-up testing frequencies</w:t>
      </w:r>
    </w:p>
    <w:p w14:paraId="65F87E07" w14:textId="77777777" w:rsidR="004E0D74" w:rsidRPr="004E0D74" w:rsidRDefault="004E0D74" w:rsidP="004E0D74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4E0D74">
        <w:rPr>
          <w:rFonts w:ascii="Verdana" w:hAnsi="Verdana"/>
          <w:b/>
          <w:sz w:val="22"/>
        </w:rPr>
        <w:t>Triggers for stopping active surveillance</w:t>
      </w:r>
    </w:p>
    <w:p w14:paraId="3E4B89E8" w14:textId="77777777" w:rsidR="00286642" w:rsidRPr="00F4247E" w:rsidRDefault="00286642" w:rsidP="00EC5D42">
      <w:pPr>
        <w:spacing w:before="280"/>
        <w:ind w:left="1080"/>
        <w:rPr>
          <w:rFonts w:ascii="Verdana" w:hAnsi="Verdana"/>
          <w:bCs/>
          <w:sz w:val="22"/>
        </w:rPr>
      </w:pPr>
    </w:p>
    <w:p w14:paraId="394A6A83" w14:textId="2A9EDD0C" w:rsidR="00F4247E" w:rsidRPr="00F4247E" w:rsidRDefault="00F4247E" w:rsidP="00EC5D42">
      <w:pPr>
        <w:pStyle w:val="ListParagraph"/>
        <w:numPr>
          <w:ilvl w:val="0"/>
          <w:numId w:val="21"/>
        </w:numPr>
        <w:ind w:left="1440"/>
        <w:rPr>
          <w:rFonts w:ascii="Verdana" w:hAnsi="Verdana"/>
          <w:bCs/>
          <w:sz w:val="20"/>
          <w:szCs w:val="20"/>
        </w:rPr>
      </w:pPr>
      <w:r w:rsidRPr="00F4247E">
        <w:rPr>
          <w:rFonts w:ascii="Verdana" w:hAnsi="Verdana"/>
          <w:bCs/>
          <w:sz w:val="22"/>
          <w:szCs w:val="22"/>
          <w:u w:val="single"/>
        </w:rPr>
        <w:t>Inclusion criteria</w:t>
      </w:r>
      <w:r>
        <w:rPr>
          <w:rFonts w:ascii="Verdana" w:hAnsi="Verdana"/>
          <w:bCs/>
          <w:sz w:val="22"/>
          <w:szCs w:val="22"/>
        </w:rPr>
        <w:br/>
        <w:t>P</w:t>
      </w:r>
      <w:r w:rsidRPr="00F4247E">
        <w:rPr>
          <w:rFonts w:ascii="Verdana" w:hAnsi="Verdana"/>
          <w:bCs/>
          <w:sz w:val="22"/>
          <w:szCs w:val="22"/>
        </w:rPr>
        <w:t xml:space="preserve">atients who fall into </w:t>
      </w:r>
      <w:r w:rsidR="00586EB3" w:rsidRPr="00586EB3">
        <w:rPr>
          <w:rFonts w:ascii="Verdana" w:hAnsi="Verdana"/>
          <w:bCs/>
          <w:sz w:val="22"/>
          <w:szCs w:val="22"/>
        </w:rPr>
        <w:t xml:space="preserve">Cambridge </w:t>
      </w:r>
      <w:r w:rsidR="00586EB3">
        <w:rPr>
          <w:rFonts w:ascii="Verdana" w:hAnsi="Verdana"/>
          <w:bCs/>
          <w:sz w:val="22"/>
          <w:szCs w:val="22"/>
        </w:rPr>
        <w:t>P</w:t>
      </w:r>
      <w:r w:rsidR="00586EB3" w:rsidRPr="00586EB3">
        <w:rPr>
          <w:rFonts w:ascii="Verdana" w:hAnsi="Verdana"/>
          <w:bCs/>
          <w:sz w:val="22"/>
          <w:szCs w:val="22"/>
        </w:rPr>
        <w:t xml:space="preserve">rognostic </w:t>
      </w:r>
      <w:r w:rsidR="00586EB3">
        <w:rPr>
          <w:rFonts w:ascii="Verdana" w:hAnsi="Verdana"/>
          <w:bCs/>
          <w:sz w:val="22"/>
          <w:szCs w:val="22"/>
        </w:rPr>
        <w:t>G</w:t>
      </w:r>
      <w:r w:rsidR="00586EB3" w:rsidRPr="00586EB3">
        <w:rPr>
          <w:rFonts w:ascii="Verdana" w:hAnsi="Verdana"/>
          <w:bCs/>
          <w:sz w:val="22"/>
          <w:szCs w:val="22"/>
        </w:rPr>
        <w:t>roup (</w:t>
      </w:r>
      <w:r w:rsidR="00586EB3">
        <w:rPr>
          <w:rFonts w:ascii="Verdana" w:hAnsi="Verdana"/>
          <w:bCs/>
          <w:sz w:val="22"/>
          <w:szCs w:val="22"/>
        </w:rPr>
        <w:t xml:space="preserve">CPG - </w:t>
      </w:r>
      <w:r w:rsidR="00586EB3" w:rsidRPr="00586EB3">
        <w:rPr>
          <w:rFonts w:ascii="Verdana" w:hAnsi="Verdana"/>
          <w:bCs/>
          <w:sz w:val="22"/>
          <w:szCs w:val="22"/>
        </w:rPr>
        <w:t>risk stratification group)</w:t>
      </w:r>
      <w:r w:rsidRPr="00F4247E">
        <w:rPr>
          <w:rFonts w:ascii="Verdana" w:hAnsi="Verdana"/>
          <w:bCs/>
          <w:sz w:val="22"/>
          <w:szCs w:val="22"/>
        </w:rPr>
        <w:t xml:space="preserve"> 1 or 2</w:t>
      </w:r>
      <w:r>
        <w:rPr>
          <w:rFonts w:ascii="Verdana" w:hAnsi="Verdana"/>
          <w:bCs/>
          <w:sz w:val="22"/>
          <w:szCs w:val="22"/>
        </w:rPr>
        <w:br/>
      </w:r>
    </w:p>
    <w:p w14:paraId="4A4871B8" w14:textId="1F8C292C" w:rsidR="00F4247E" w:rsidRPr="00F4247E" w:rsidRDefault="00F4247E" w:rsidP="00EC5D42">
      <w:pPr>
        <w:pStyle w:val="ListParagraph"/>
        <w:numPr>
          <w:ilvl w:val="0"/>
          <w:numId w:val="21"/>
        </w:numPr>
        <w:ind w:left="1440"/>
        <w:rPr>
          <w:rFonts w:ascii="Verdana" w:hAnsi="Verdana"/>
          <w:bCs/>
          <w:sz w:val="22"/>
          <w:szCs w:val="22"/>
        </w:rPr>
      </w:pPr>
      <w:r w:rsidRPr="00F4247E">
        <w:rPr>
          <w:rFonts w:ascii="Verdana" w:hAnsi="Verdana"/>
          <w:bCs/>
          <w:sz w:val="22"/>
          <w:szCs w:val="22"/>
          <w:u w:val="single"/>
        </w:rPr>
        <w:t xml:space="preserve">Diagnosis and treatment support </w:t>
      </w:r>
      <w:r>
        <w:rPr>
          <w:rFonts w:ascii="Verdana" w:hAnsi="Verdana"/>
          <w:bCs/>
          <w:sz w:val="22"/>
          <w:szCs w:val="22"/>
        </w:rPr>
        <w:br/>
        <w:t>P</w:t>
      </w:r>
      <w:r w:rsidRPr="00F4247E">
        <w:rPr>
          <w:rFonts w:ascii="Verdana" w:hAnsi="Verdana"/>
          <w:bCs/>
          <w:sz w:val="22"/>
          <w:szCs w:val="22"/>
        </w:rPr>
        <w:t xml:space="preserve">atients are provided with CNS key worker details at the point of </w:t>
      </w:r>
      <w:proofErr w:type="gramStart"/>
      <w:r w:rsidRPr="00F4247E">
        <w:rPr>
          <w:rFonts w:ascii="Verdana" w:hAnsi="Verdana"/>
          <w:bCs/>
          <w:sz w:val="22"/>
          <w:szCs w:val="22"/>
        </w:rPr>
        <w:t>diagnosis</w:t>
      </w:r>
      <w:proofErr w:type="gramEnd"/>
      <w:r w:rsidRPr="00F4247E">
        <w:rPr>
          <w:rFonts w:ascii="Verdana" w:hAnsi="Verdana"/>
          <w:bCs/>
          <w:sz w:val="22"/>
          <w:szCs w:val="22"/>
        </w:rPr>
        <w:t xml:space="preserve"> but most patients have already met/spoken with the CNS’s prior to diagnosis. They are provided with prostate cancer UK leaflets on each of the recommended treatment options and we also provide a local robotic surgery leaflet if this is offered as a treatment option. We have a </w:t>
      </w:r>
      <w:proofErr w:type="spellStart"/>
      <w:r w:rsidRPr="00F4247E">
        <w:rPr>
          <w:rFonts w:ascii="Verdana" w:hAnsi="Verdana"/>
          <w:bCs/>
          <w:sz w:val="22"/>
          <w:szCs w:val="22"/>
        </w:rPr>
        <w:t>Maggies</w:t>
      </w:r>
      <w:proofErr w:type="spellEnd"/>
      <w:r w:rsidR="00CB5BA8">
        <w:rPr>
          <w:rFonts w:ascii="Verdana" w:hAnsi="Verdana"/>
          <w:bCs/>
          <w:sz w:val="22"/>
          <w:szCs w:val="22"/>
        </w:rPr>
        <w:t xml:space="preserve"> cancer care</w:t>
      </w:r>
      <w:r w:rsidRPr="00F4247E">
        <w:rPr>
          <w:rFonts w:ascii="Verdana" w:hAnsi="Verdana"/>
          <w:bCs/>
          <w:sz w:val="22"/>
          <w:szCs w:val="22"/>
        </w:rPr>
        <w:t xml:space="preserve"> centre locally that patients are made aware of, they can access this for psychological/benefit support as well as their key workers. </w:t>
      </w:r>
      <w:r>
        <w:rPr>
          <w:rFonts w:ascii="Verdana" w:hAnsi="Verdana"/>
          <w:bCs/>
          <w:sz w:val="22"/>
          <w:szCs w:val="22"/>
        </w:rPr>
        <w:br/>
      </w:r>
    </w:p>
    <w:p w14:paraId="47273809" w14:textId="3B78FB90" w:rsidR="00F4247E" w:rsidRPr="00F4247E" w:rsidRDefault="00F4247E" w:rsidP="00EC5D42">
      <w:pPr>
        <w:pStyle w:val="ListParagraph"/>
        <w:numPr>
          <w:ilvl w:val="0"/>
          <w:numId w:val="21"/>
        </w:numPr>
        <w:ind w:left="1440"/>
        <w:rPr>
          <w:rFonts w:ascii="Verdana" w:hAnsi="Verdana"/>
          <w:bCs/>
          <w:sz w:val="22"/>
          <w:szCs w:val="22"/>
        </w:rPr>
      </w:pPr>
      <w:r w:rsidRPr="00F4247E">
        <w:rPr>
          <w:rFonts w:ascii="Verdana" w:hAnsi="Verdana"/>
          <w:bCs/>
          <w:sz w:val="22"/>
          <w:szCs w:val="22"/>
          <w:u w:val="single"/>
        </w:rPr>
        <w:t>Follow up pathways and protocols</w:t>
      </w:r>
      <w:r>
        <w:rPr>
          <w:rFonts w:ascii="Verdana" w:hAnsi="Verdana"/>
          <w:bCs/>
          <w:sz w:val="22"/>
          <w:szCs w:val="22"/>
        </w:rPr>
        <w:br/>
        <w:t>W</w:t>
      </w:r>
      <w:r w:rsidRPr="00F4247E">
        <w:rPr>
          <w:rFonts w:ascii="Verdana" w:hAnsi="Verdana"/>
          <w:bCs/>
          <w:sz w:val="22"/>
          <w:szCs w:val="22"/>
        </w:rPr>
        <w:t xml:space="preserve">e follow up patients as per the NICE guidance as </w:t>
      </w:r>
      <w:proofErr w:type="gramStart"/>
      <w:r w:rsidRPr="00F4247E">
        <w:rPr>
          <w:rFonts w:ascii="Verdana" w:hAnsi="Verdana"/>
          <w:bCs/>
          <w:sz w:val="22"/>
          <w:szCs w:val="22"/>
        </w:rPr>
        <w:t>follows:-</w:t>
      </w:r>
      <w:proofErr w:type="gramEnd"/>
      <w:r>
        <w:rPr>
          <w:rFonts w:ascii="Verdana" w:hAnsi="Verdana"/>
          <w:bCs/>
          <w:sz w:val="22"/>
          <w:szCs w:val="22"/>
        </w:rPr>
        <w:br/>
      </w:r>
      <w:r>
        <w:rPr>
          <w:rFonts w:ascii="Verdana" w:hAnsi="Verdana"/>
          <w:bCs/>
          <w:sz w:val="22"/>
          <w:szCs w:val="22"/>
        </w:rPr>
        <w:br/>
      </w:r>
      <w:r w:rsidRPr="00F4247E">
        <w:rPr>
          <w:rFonts w:ascii="Verdana" w:hAnsi="Verdana"/>
          <w:bCs/>
          <w:sz w:val="22"/>
          <w:szCs w:val="22"/>
        </w:rPr>
        <w:t>Year 1</w:t>
      </w:r>
      <w:r>
        <w:rPr>
          <w:rFonts w:ascii="Verdana" w:hAnsi="Verdana"/>
          <w:bCs/>
          <w:sz w:val="22"/>
          <w:szCs w:val="22"/>
        </w:rPr>
        <w:t xml:space="preserve"> - </w:t>
      </w:r>
      <w:r w:rsidR="00586EB3">
        <w:rPr>
          <w:rFonts w:ascii="Verdana" w:hAnsi="Verdana"/>
          <w:bCs/>
          <w:sz w:val="22"/>
          <w:szCs w:val="22"/>
        </w:rPr>
        <w:t>P</w:t>
      </w:r>
      <w:r w:rsidR="00586EB3" w:rsidRPr="00586EB3">
        <w:rPr>
          <w:rFonts w:ascii="Verdana" w:hAnsi="Verdana"/>
          <w:bCs/>
          <w:sz w:val="22"/>
          <w:szCs w:val="22"/>
        </w:rPr>
        <w:t xml:space="preserve">rostate </w:t>
      </w:r>
      <w:r w:rsidR="00586EB3">
        <w:rPr>
          <w:rFonts w:ascii="Verdana" w:hAnsi="Verdana"/>
          <w:bCs/>
          <w:sz w:val="22"/>
          <w:szCs w:val="22"/>
        </w:rPr>
        <w:t>S</w:t>
      </w:r>
      <w:r w:rsidR="00586EB3" w:rsidRPr="00586EB3">
        <w:rPr>
          <w:rFonts w:ascii="Verdana" w:hAnsi="Verdana"/>
          <w:bCs/>
          <w:sz w:val="22"/>
          <w:szCs w:val="22"/>
        </w:rPr>
        <w:t xml:space="preserve">pecific </w:t>
      </w:r>
      <w:r w:rsidR="00586EB3">
        <w:rPr>
          <w:rFonts w:ascii="Verdana" w:hAnsi="Verdana"/>
          <w:bCs/>
          <w:sz w:val="22"/>
          <w:szCs w:val="22"/>
        </w:rPr>
        <w:t>A</w:t>
      </w:r>
      <w:r w:rsidR="00586EB3" w:rsidRPr="00586EB3">
        <w:rPr>
          <w:rFonts w:ascii="Verdana" w:hAnsi="Verdana"/>
          <w:bCs/>
          <w:sz w:val="22"/>
          <w:szCs w:val="22"/>
        </w:rPr>
        <w:t>ntigen blood test</w:t>
      </w:r>
      <w:r w:rsidR="00586EB3">
        <w:rPr>
          <w:rFonts w:ascii="Verdana" w:hAnsi="Verdana"/>
          <w:bCs/>
          <w:sz w:val="22"/>
          <w:szCs w:val="22"/>
        </w:rPr>
        <w:t xml:space="preserve"> (</w:t>
      </w:r>
      <w:r w:rsidRPr="00F4247E">
        <w:rPr>
          <w:rFonts w:ascii="Verdana" w:hAnsi="Verdana"/>
          <w:bCs/>
          <w:sz w:val="22"/>
          <w:szCs w:val="22"/>
        </w:rPr>
        <w:t>PSA</w:t>
      </w:r>
      <w:r w:rsidR="00586EB3">
        <w:rPr>
          <w:rFonts w:ascii="Verdana" w:hAnsi="Verdana"/>
          <w:bCs/>
          <w:sz w:val="22"/>
          <w:szCs w:val="22"/>
        </w:rPr>
        <w:t>)</w:t>
      </w:r>
      <w:r w:rsidRPr="00F4247E">
        <w:rPr>
          <w:rFonts w:ascii="Verdana" w:hAnsi="Verdana"/>
          <w:bCs/>
          <w:sz w:val="22"/>
          <w:szCs w:val="22"/>
        </w:rPr>
        <w:t xml:space="preserve"> every 3-4 months</w:t>
      </w:r>
      <w:r>
        <w:rPr>
          <w:rFonts w:ascii="Verdana" w:hAnsi="Verdana"/>
          <w:bCs/>
          <w:sz w:val="22"/>
          <w:szCs w:val="22"/>
        </w:rPr>
        <w:t xml:space="preserve">, </w:t>
      </w:r>
      <w:r w:rsidR="00586EB3">
        <w:rPr>
          <w:rFonts w:ascii="Verdana" w:hAnsi="Verdana"/>
          <w:bCs/>
          <w:sz w:val="22"/>
          <w:szCs w:val="22"/>
        </w:rPr>
        <w:t>Digital Rectal Examination (</w:t>
      </w:r>
      <w:r w:rsidRPr="00F4247E">
        <w:rPr>
          <w:rFonts w:ascii="Verdana" w:hAnsi="Verdana"/>
          <w:bCs/>
          <w:sz w:val="22"/>
          <w:szCs w:val="22"/>
        </w:rPr>
        <w:t>DRE</w:t>
      </w:r>
      <w:r w:rsidR="00586EB3">
        <w:rPr>
          <w:rFonts w:ascii="Verdana" w:hAnsi="Verdana"/>
          <w:bCs/>
          <w:sz w:val="22"/>
          <w:szCs w:val="22"/>
        </w:rPr>
        <w:t>)</w:t>
      </w:r>
      <w:r w:rsidRPr="00F4247E">
        <w:rPr>
          <w:rFonts w:ascii="Verdana" w:hAnsi="Verdana"/>
          <w:bCs/>
          <w:sz w:val="22"/>
          <w:szCs w:val="22"/>
        </w:rPr>
        <w:t xml:space="preserve"> at 12 months</w:t>
      </w:r>
      <w:r>
        <w:rPr>
          <w:rFonts w:ascii="Verdana" w:hAnsi="Verdana"/>
          <w:bCs/>
          <w:sz w:val="22"/>
          <w:szCs w:val="22"/>
        </w:rPr>
        <w:t xml:space="preserve">, </w:t>
      </w:r>
      <w:r w:rsidR="00586EB3" w:rsidRPr="00586EB3">
        <w:rPr>
          <w:rFonts w:ascii="Verdana" w:hAnsi="Verdana"/>
          <w:bCs/>
          <w:sz w:val="22"/>
          <w:szCs w:val="22"/>
        </w:rPr>
        <w:t xml:space="preserve">Multiparametric </w:t>
      </w:r>
      <w:r w:rsidR="00586EB3">
        <w:rPr>
          <w:rFonts w:ascii="Verdana" w:hAnsi="Verdana"/>
          <w:bCs/>
          <w:sz w:val="22"/>
          <w:szCs w:val="22"/>
        </w:rPr>
        <w:t>M</w:t>
      </w:r>
      <w:r w:rsidR="00586EB3" w:rsidRPr="00586EB3">
        <w:rPr>
          <w:rFonts w:ascii="Verdana" w:hAnsi="Verdana"/>
          <w:bCs/>
          <w:sz w:val="22"/>
          <w:szCs w:val="22"/>
        </w:rPr>
        <w:t xml:space="preserve">agnetic </w:t>
      </w:r>
      <w:r w:rsidR="00586EB3">
        <w:rPr>
          <w:rFonts w:ascii="Verdana" w:hAnsi="Verdana"/>
          <w:bCs/>
          <w:sz w:val="22"/>
          <w:szCs w:val="22"/>
        </w:rPr>
        <w:t>R</w:t>
      </w:r>
      <w:r w:rsidR="00586EB3" w:rsidRPr="00586EB3">
        <w:rPr>
          <w:rFonts w:ascii="Verdana" w:hAnsi="Verdana"/>
          <w:bCs/>
          <w:sz w:val="22"/>
          <w:szCs w:val="22"/>
        </w:rPr>
        <w:t xml:space="preserve">esonance </w:t>
      </w:r>
      <w:r w:rsidR="00586EB3">
        <w:rPr>
          <w:rFonts w:ascii="Verdana" w:hAnsi="Verdana"/>
          <w:bCs/>
          <w:sz w:val="22"/>
          <w:szCs w:val="22"/>
        </w:rPr>
        <w:t>I</w:t>
      </w:r>
      <w:r w:rsidR="00586EB3" w:rsidRPr="00586EB3">
        <w:rPr>
          <w:rFonts w:ascii="Verdana" w:hAnsi="Verdana"/>
          <w:bCs/>
          <w:sz w:val="22"/>
          <w:szCs w:val="22"/>
        </w:rPr>
        <w:t xml:space="preserve">maging </w:t>
      </w:r>
      <w:r w:rsidR="00586EB3">
        <w:rPr>
          <w:rFonts w:ascii="Verdana" w:hAnsi="Verdana"/>
          <w:bCs/>
          <w:sz w:val="22"/>
          <w:szCs w:val="22"/>
        </w:rPr>
        <w:t>S</w:t>
      </w:r>
      <w:r w:rsidR="00586EB3" w:rsidRPr="00586EB3">
        <w:rPr>
          <w:rFonts w:ascii="Verdana" w:hAnsi="Verdana"/>
          <w:bCs/>
          <w:sz w:val="22"/>
          <w:szCs w:val="22"/>
        </w:rPr>
        <w:t>can</w:t>
      </w:r>
      <w:r w:rsidR="00586EB3">
        <w:rPr>
          <w:rFonts w:ascii="Verdana" w:hAnsi="Verdana"/>
          <w:bCs/>
          <w:sz w:val="22"/>
          <w:szCs w:val="22"/>
        </w:rPr>
        <w:t xml:space="preserve"> (</w:t>
      </w:r>
      <w:r w:rsidRPr="00F4247E">
        <w:rPr>
          <w:rFonts w:ascii="Verdana" w:hAnsi="Verdana"/>
          <w:bCs/>
          <w:sz w:val="22"/>
          <w:szCs w:val="22"/>
        </w:rPr>
        <w:t>MP</w:t>
      </w:r>
      <w:r w:rsidR="00586EB3">
        <w:rPr>
          <w:rFonts w:ascii="Verdana" w:hAnsi="Verdana"/>
          <w:bCs/>
          <w:sz w:val="22"/>
          <w:szCs w:val="22"/>
        </w:rPr>
        <w:t>M</w:t>
      </w:r>
      <w:r w:rsidRPr="00F4247E">
        <w:rPr>
          <w:rFonts w:ascii="Verdana" w:hAnsi="Verdana"/>
          <w:bCs/>
          <w:sz w:val="22"/>
          <w:szCs w:val="22"/>
        </w:rPr>
        <w:t>RI</w:t>
      </w:r>
      <w:r w:rsidR="00586EB3">
        <w:rPr>
          <w:rFonts w:ascii="Verdana" w:hAnsi="Verdana"/>
          <w:bCs/>
          <w:sz w:val="22"/>
          <w:szCs w:val="22"/>
        </w:rPr>
        <w:t>)</w:t>
      </w:r>
      <w:r w:rsidRPr="00F4247E">
        <w:rPr>
          <w:rFonts w:ascii="Verdana" w:hAnsi="Verdana"/>
          <w:bCs/>
          <w:sz w:val="22"/>
          <w:szCs w:val="22"/>
        </w:rPr>
        <w:t xml:space="preserve"> at 12 months</w:t>
      </w:r>
    </w:p>
    <w:p w14:paraId="3789B087" w14:textId="7D0C7D06" w:rsidR="00F4247E" w:rsidRPr="00F4247E" w:rsidRDefault="00F4247E" w:rsidP="00EC5D42">
      <w:pPr>
        <w:ind w:left="1440"/>
        <w:rPr>
          <w:rFonts w:ascii="Verdana" w:hAnsi="Verdana"/>
          <w:bCs/>
          <w:sz w:val="22"/>
          <w:szCs w:val="22"/>
        </w:rPr>
      </w:pPr>
      <w:r w:rsidRPr="00F4247E">
        <w:rPr>
          <w:rFonts w:ascii="Verdana" w:hAnsi="Verdana"/>
          <w:bCs/>
          <w:sz w:val="22"/>
          <w:szCs w:val="22"/>
        </w:rPr>
        <w:t>Year 2 onwards</w:t>
      </w:r>
      <w:r>
        <w:rPr>
          <w:rFonts w:ascii="Verdana" w:hAnsi="Verdana"/>
          <w:bCs/>
          <w:sz w:val="22"/>
          <w:szCs w:val="22"/>
        </w:rPr>
        <w:t xml:space="preserve"> -</w:t>
      </w:r>
      <w:r w:rsidRPr="00F4247E">
        <w:rPr>
          <w:rFonts w:ascii="Verdana" w:hAnsi="Verdana"/>
          <w:bCs/>
          <w:sz w:val="22"/>
          <w:szCs w:val="22"/>
        </w:rPr>
        <w:t xml:space="preserve"> PSA every 6 months</w:t>
      </w:r>
      <w:r>
        <w:rPr>
          <w:rFonts w:ascii="Verdana" w:hAnsi="Verdana"/>
          <w:bCs/>
          <w:sz w:val="22"/>
          <w:szCs w:val="22"/>
        </w:rPr>
        <w:t xml:space="preserve">, </w:t>
      </w:r>
      <w:r w:rsidRPr="00F4247E">
        <w:rPr>
          <w:rFonts w:ascii="Verdana" w:hAnsi="Verdana"/>
          <w:bCs/>
          <w:sz w:val="22"/>
          <w:szCs w:val="22"/>
        </w:rPr>
        <w:t>DRE every 12 months</w:t>
      </w:r>
      <w:r>
        <w:rPr>
          <w:rFonts w:ascii="Verdana" w:hAnsi="Verdana"/>
          <w:bCs/>
          <w:sz w:val="22"/>
          <w:szCs w:val="22"/>
        </w:rPr>
        <w:t xml:space="preserve">, </w:t>
      </w:r>
      <w:r w:rsidRPr="00F4247E">
        <w:rPr>
          <w:rFonts w:ascii="Verdana" w:hAnsi="Verdana"/>
          <w:bCs/>
          <w:sz w:val="22"/>
          <w:szCs w:val="22"/>
        </w:rPr>
        <w:t xml:space="preserve">MPMRI every 3 years or if the PSA is on an upward trend or there is a change upon DRE (this is not NICE </w:t>
      </w:r>
      <w:proofErr w:type="gramStart"/>
      <w:r w:rsidRPr="00F4247E">
        <w:rPr>
          <w:rFonts w:ascii="Verdana" w:hAnsi="Verdana"/>
          <w:bCs/>
          <w:sz w:val="22"/>
          <w:szCs w:val="22"/>
        </w:rPr>
        <w:t>recommendation</w:t>
      </w:r>
      <w:proofErr w:type="gramEnd"/>
      <w:r w:rsidRPr="00F4247E">
        <w:rPr>
          <w:rFonts w:ascii="Verdana" w:hAnsi="Verdana"/>
          <w:bCs/>
          <w:sz w:val="22"/>
          <w:szCs w:val="22"/>
        </w:rPr>
        <w:t xml:space="preserve"> but we have adopted this locally, however we are about to review this as part of our protocol update)</w:t>
      </w:r>
      <w:r>
        <w:rPr>
          <w:rFonts w:ascii="Verdana" w:hAnsi="Verdana"/>
          <w:bCs/>
          <w:sz w:val="22"/>
          <w:szCs w:val="22"/>
        </w:rPr>
        <w:br/>
      </w:r>
    </w:p>
    <w:p w14:paraId="225E5F0A" w14:textId="77777777" w:rsidR="00F4247E" w:rsidRPr="00F4247E" w:rsidRDefault="00F4247E" w:rsidP="00EC5D42">
      <w:pPr>
        <w:pStyle w:val="ListParagraph"/>
        <w:numPr>
          <w:ilvl w:val="0"/>
          <w:numId w:val="21"/>
        </w:numPr>
        <w:ind w:left="1440"/>
        <w:rPr>
          <w:rFonts w:ascii="Verdana" w:hAnsi="Verdana"/>
          <w:bCs/>
          <w:sz w:val="22"/>
          <w:szCs w:val="22"/>
          <w:u w:val="single"/>
        </w:rPr>
      </w:pPr>
      <w:r w:rsidRPr="00F4247E">
        <w:rPr>
          <w:rFonts w:ascii="Verdana" w:hAnsi="Verdana"/>
          <w:bCs/>
          <w:sz w:val="22"/>
          <w:szCs w:val="22"/>
          <w:u w:val="single"/>
        </w:rPr>
        <w:t>Follow up testing frequencies</w:t>
      </w:r>
    </w:p>
    <w:p w14:paraId="70E2C785" w14:textId="07114D94" w:rsidR="00F4247E" w:rsidRPr="00F4247E" w:rsidRDefault="00F4247E" w:rsidP="00EC5D42">
      <w:pPr>
        <w:pStyle w:val="ListParagraph"/>
        <w:ind w:left="1440"/>
        <w:rPr>
          <w:rFonts w:ascii="Verdana" w:hAnsi="Verdana"/>
          <w:bCs/>
          <w:sz w:val="22"/>
          <w:szCs w:val="22"/>
        </w:rPr>
      </w:pPr>
      <w:r w:rsidRPr="00F4247E">
        <w:rPr>
          <w:rFonts w:ascii="Verdana" w:hAnsi="Verdana"/>
          <w:bCs/>
          <w:sz w:val="22"/>
          <w:szCs w:val="22"/>
        </w:rPr>
        <w:lastRenderedPageBreak/>
        <w:t xml:space="preserve">MPMRI as above </w:t>
      </w:r>
      <w:r>
        <w:rPr>
          <w:rFonts w:ascii="Verdana" w:hAnsi="Verdana"/>
          <w:bCs/>
          <w:sz w:val="22"/>
          <w:szCs w:val="22"/>
        </w:rPr>
        <w:br/>
      </w:r>
      <w:r>
        <w:rPr>
          <w:rFonts w:ascii="Verdana" w:hAnsi="Verdana"/>
          <w:bCs/>
          <w:sz w:val="22"/>
          <w:szCs w:val="22"/>
        </w:rPr>
        <w:br/>
      </w:r>
      <w:r w:rsidRPr="00F4247E">
        <w:rPr>
          <w:rFonts w:ascii="Verdana" w:hAnsi="Verdana"/>
          <w:bCs/>
          <w:sz w:val="22"/>
          <w:szCs w:val="22"/>
        </w:rPr>
        <w:t xml:space="preserve">If there is evidence of progression upon MPMRI, the patient may be offered a repeat prostate biopsy or treatment. An MDT discussion will also take place. </w:t>
      </w:r>
    </w:p>
    <w:p w14:paraId="470D3D7D" w14:textId="77777777" w:rsidR="00F4247E" w:rsidRPr="00F4247E" w:rsidRDefault="00F4247E" w:rsidP="00EC5D42">
      <w:pPr>
        <w:ind w:left="1080"/>
        <w:rPr>
          <w:rFonts w:ascii="Verdana" w:hAnsi="Verdana"/>
          <w:bCs/>
          <w:sz w:val="22"/>
          <w:szCs w:val="22"/>
        </w:rPr>
      </w:pPr>
    </w:p>
    <w:p w14:paraId="2DD7F5DB" w14:textId="77777777" w:rsidR="00F4247E" w:rsidRPr="00F4247E" w:rsidRDefault="00F4247E" w:rsidP="00EC5D42">
      <w:pPr>
        <w:pStyle w:val="ListParagraph"/>
        <w:numPr>
          <w:ilvl w:val="0"/>
          <w:numId w:val="21"/>
        </w:numPr>
        <w:ind w:left="1440"/>
        <w:rPr>
          <w:rFonts w:ascii="Verdana" w:hAnsi="Verdana"/>
          <w:bCs/>
          <w:sz w:val="22"/>
          <w:szCs w:val="22"/>
          <w:u w:val="single"/>
        </w:rPr>
      </w:pPr>
      <w:r w:rsidRPr="00F4247E">
        <w:rPr>
          <w:rFonts w:ascii="Verdana" w:hAnsi="Verdana"/>
          <w:bCs/>
          <w:sz w:val="22"/>
          <w:szCs w:val="22"/>
          <w:u w:val="single"/>
        </w:rPr>
        <w:t>Triggers for stopping active surveillance</w:t>
      </w:r>
    </w:p>
    <w:p w14:paraId="61912AB1" w14:textId="77777777" w:rsidR="00F4247E" w:rsidRDefault="00F4247E" w:rsidP="00EC5D42">
      <w:pPr>
        <w:pStyle w:val="ListParagraph"/>
        <w:ind w:left="1440"/>
        <w:rPr>
          <w:rFonts w:ascii="Verdana" w:hAnsi="Verdana"/>
          <w:bCs/>
          <w:sz w:val="22"/>
          <w:szCs w:val="22"/>
        </w:rPr>
      </w:pPr>
      <w:r w:rsidRPr="00F4247E">
        <w:rPr>
          <w:rFonts w:ascii="Verdana" w:hAnsi="Verdana"/>
          <w:bCs/>
          <w:sz w:val="22"/>
          <w:szCs w:val="22"/>
        </w:rPr>
        <w:t>Patient choice</w:t>
      </w:r>
      <w:r>
        <w:rPr>
          <w:rFonts w:ascii="Verdana" w:hAnsi="Verdana"/>
          <w:bCs/>
          <w:sz w:val="22"/>
          <w:szCs w:val="22"/>
        </w:rPr>
        <w:br/>
      </w:r>
      <w:r w:rsidRPr="00F4247E">
        <w:rPr>
          <w:rFonts w:ascii="Verdana" w:hAnsi="Verdana"/>
          <w:bCs/>
          <w:sz w:val="22"/>
          <w:szCs w:val="22"/>
        </w:rPr>
        <w:t>Evidence of disease progression upon imaging/biopsy/PSA following discussion at MDT</w:t>
      </w:r>
    </w:p>
    <w:p w14:paraId="61CADDF1" w14:textId="191FB985" w:rsidR="00F4247E" w:rsidRPr="00F4247E" w:rsidRDefault="00F4247E" w:rsidP="00EC5D42">
      <w:pPr>
        <w:pStyle w:val="ListParagraph"/>
        <w:ind w:left="1440"/>
        <w:rPr>
          <w:rFonts w:ascii="Verdana" w:hAnsi="Verdana"/>
          <w:bCs/>
          <w:sz w:val="22"/>
          <w:szCs w:val="22"/>
        </w:rPr>
      </w:pPr>
      <w:r w:rsidRPr="00F4247E">
        <w:rPr>
          <w:rFonts w:ascii="Verdana" w:hAnsi="Verdana"/>
          <w:bCs/>
          <w:sz w:val="22"/>
          <w:szCs w:val="22"/>
        </w:rPr>
        <w:t xml:space="preserve">If life expectancy or performance status should change, a conversion to watchful waiting may be recommended.         </w:t>
      </w:r>
    </w:p>
    <w:p w14:paraId="75970B72" w14:textId="13DCE1A2" w:rsidR="00A10460" w:rsidRDefault="00421E7F" w:rsidP="00EC5D42">
      <w:pPr>
        <w:ind w:left="10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</w:t>
      </w:r>
    </w:p>
    <w:p w14:paraId="3E9F07F4" w14:textId="359BC3FA" w:rsidR="005029F2" w:rsidRDefault="005029F2" w:rsidP="00EC5D42">
      <w:pPr>
        <w:ind w:left="1080"/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EC5D42">
      <w:pPr>
        <w:spacing w:before="0" w:after="0" w:line="240" w:lineRule="auto"/>
        <w:ind w:left="575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EC5D42">
      <w:pPr>
        <w:spacing w:before="0" w:after="0" w:line="240" w:lineRule="auto"/>
        <w:ind w:left="575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E2B3372"/>
    <w:multiLevelType w:val="hybridMultilevel"/>
    <w:tmpl w:val="B8F40FA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88D6AA6"/>
    <w:multiLevelType w:val="hybridMultilevel"/>
    <w:tmpl w:val="97EA780A"/>
    <w:lvl w:ilvl="0" w:tplc="B19C56EA">
      <w:numFmt w:val="bullet"/>
      <w:lvlText w:val="-"/>
      <w:lvlJc w:val="left"/>
      <w:pPr>
        <w:ind w:left="865" w:hanging="360"/>
      </w:pPr>
      <w:rPr>
        <w:rFonts w:ascii="Verdana" w:eastAsia="Calibri" w:hAnsi="Verdana" w:cs="Arial" w:hint="default"/>
        <w:sz w:val="22"/>
      </w:rPr>
    </w:lvl>
    <w:lvl w:ilvl="1" w:tplc="08090003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6" w15:restartNumberingAfterBreak="0">
    <w:nsid w:val="5C575124"/>
    <w:multiLevelType w:val="hybridMultilevel"/>
    <w:tmpl w:val="2836240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5151997">
    <w:abstractNumId w:val="14"/>
  </w:num>
  <w:num w:numId="2" w16cid:durableId="582373911">
    <w:abstractNumId w:val="0"/>
  </w:num>
  <w:num w:numId="3" w16cid:durableId="851145045">
    <w:abstractNumId w:val="8"/>
  </w:num>
  <w:num w:numId="4" w16cid:durableId="1682778843">
    <w:abstractNumId w:val="18"/>
  </w:num>
  <w:num w:numId="5" w16cid:durableId="92287653">
    <w:abstractNumId w:val="4"/>
  </w:num>
  <w:num w:numId="6" w16cid:durableId="1559051620">
    <w:abstractNumId w:val="3"/>
  </w:num>
  <w:num w:numId="7" w16cid:durableId="790630054">
    <w:abstractNumId w:val="11"/>
  </w:num>
  <w:num w:numId="8" w16cid:durableId="788662859">
    <w:abstractNumId w:val="17"/>
  </w:num>
  <w:num w:numId="9" w16cid:durableId="2012026733">
    <w:abstractNumId w:val="20"/>
  </w:num>
  <w:num w:numId="10" w16cid:durableId="1814174633">
    <w:abstractNumId w:val="1"/>
  </w:num>
  <w:num w:numId="11" w16cid:durableId="2133597346">
    <w:abstractNumId w:val="9"/>
  </w:num>
  <w:num w:numId="12" w16cid:durableId="1469082158">
    <w:abstractNumId w:val="13"/>
  </w:num>
  <w:num w:numId="13" w16cid:durableId="1508321868">
    <w:abstractNumId w:val="19"/>
  </w:num>
  <w:num w:numId="14" w16cid:durableId="51990062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14890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95597998">
    <w:abstractNumId w:val="12"/>
  </w:num>
  <w:num w:numId="17" w16cid:durableId="1325353176">
    <w:abstractNumId w:val="5"/>
  </w:num>
  <w:num w:numId="18" w16cid:durableId="763460116">
    <w:abstractNumId w:val="2"/>
  </w:num>
  <w:num w:numId="19" w16cid:durableId="1091658024">
    <w:abstractNumId w:val="10"/>
  </w:num>
  <w:num w:numId="20" w16cid:durableId="1208446410">
    <w:abstractNumId w:val="16"/>
  </w:num>
  <w:num w:numId="21" w16cid:durableId="175971268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75D6C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80E60"/>
    <w:rsid w:val="003836FE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0D74"/>
    <w:rsid w:val="004E1954"/>
    <w:rsid w:val="004F001A"/>
    <w:rsid w:val="004F1E5A"/>
    <w:rsid w:val="004F4D32"/>
    <w:rsid w:val="005029F2"/>
    <w:rsid w:val="005317D4"/>
    <w:rsid w:val="00534D7A"/>
    <w:rsid w:val="00553E1D"/>
    <w:rsid w:val="00561003"/>
    <w:rsid w:val="00586EB3"/>
    <w:rsid w:val="005925B8"/>
    <w:rsid w:val="0059485C"/>
    <w:rsid w:val="005C7550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0718C"/>
    <w:rsid w:val="00730DD2"/>
    <w:rsid w:val="00731AC5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E022F"/>
    <w:rsid w:val="00C021A4"/>
    <w:rsid w:val="00C050BE"/>
    <w:rsid w:val="00C75A00"/>
    <w:rsid w:val="00CA07E3"/>
    <w:rsid w:val="00CB2BBE"/>
    <w:rsid w:val="00CB5BA8"/>
    <w:rsid w:val="00CC7DC8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C5D42"/>
    <w:rsid w:val="00EE0615"/>
    <w:rsid w:val="00F017E4"/>
    <w:rsid w:val="00F26B29"/>
    <w:rsid w:val="00F4247E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CB5BA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3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2</Pages>
  <Words>315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2024-11-19T15:34:00Z</dcterms:modified>
</cp:coreProperties>
</file>