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4E18B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117CC3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12A8F2" wp14:editId="3FE8081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DC36F2D" w14:textId="307D3D2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1EA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24-C-039</w:t>
                            </w:r>
                          </w:p>
                          <w:p w14:paraId="3D8CEB0A" w14:textId="77777777" w:rsidR="00DC7FA9" w:rsidRDefault="00DC7FA9" w:rsidP="00DC7FA9"/>
                          <w:p w14:paraId="6221A25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F5ED1C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2D12A8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DC36F2D" w14:textId="307D3D2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B1EA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24-C-039</w:t>
                      </w:r>
                    </w:p>
                    <w:p w14:paraId="3D8CEB0A" w14:textId="77777777" w:rsidR="00DC7FA9" w:rsidRDefault="00DC7FA9" w:rsidP="00DC7FA9"/>
                    <w:p w14:paraId="6221A25E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F5ED1C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9027E1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FAB70F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6105CB" w14:textId="77777777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</w:p>
    <w:p w14:paraId="3D2826C5" w14:textId="35E6F238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/>
          <w:noProof/>
          <w:sz w:val="22"/>
          <w:szCs w:val="22"/>
        </w:rPr>
        <w:t xml:space="preserve">A copy of any referral form used to refer patients to weight management programmes.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48642E4E" w14:textId="78EC5107" w:rsidR="00015D31" w:rsidRPr="00015D31" w:rsidRDefault="00015D31" w:rsidP="00015D31">
      <w:pPr>
        <w:rPr>
          <w:rFonts w:ascii="Verdana" w:hAnsi="Verdana"/>
          <w:b/>
          <w:noProof/>
          <w:sz w:val="22"/>
          <w:szCs w:val="22"/>
        </w:rPr>
      </w:pPr>
      <w:r w:rsidRPr="00015D31">
        <w:rPr>
          <w:rFonts w:ascii="Verdana" w:hAnsi="Verdana"/>
          <w:b/>
          <w:noProof/>
          <w:sz w:val="22"/>
          <w:szCs w:val="22"/>
        </w:rPr>
        <w:t>If it is not possible to provide the full form, please provide the exact wording of any exclusion criteria i.e. any criteria/questions that would exclude someone from being referred to the programme, such as BMI, age or eating disorders.</w:t>
      </w:r>
    </w:p>
    <w:p w14:paraId="5F18F025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5AC19B6C" w14:textId="0249FF49" w:rsidR="00A10460" w:rsidRDefault="00015D31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see Appendix 1 and 2.</w:t>
      </w:r>
      <w:r w:rsidR="00E0479F">
        <w:rPr>
          <w:rFonts w:ascii="Verdana" w:hAnsi="Verdana"/>
          <w:bCs/>
          <w:noProof/>
          <w:sz w:val="22"/>
          <w:szCs w:val="22"/>
        </w:rPr>
        <w:t xml:space="preserve"> Please note that a review of both referral form and guidance are due to be undertaken imminently. </w:t>
      </w:r>
      <w:bookmarkStart w:id="0" w:name="_GoBack"/>
      <w:bookmarkEnd w:id="0"/>
    </w:p>
    <w:p w14:paraId="50747239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B920CD6" w14:textId="6A7C11DC" w:rsidR="00015D31" w:rsidRPr="005F68C6" w:rsidRDefault="00015D31" w:rsidP="00015D31">
      <w:pPr>
        <w:rPr>
          <w:rFonts w:ascii="Verdana" w:hAnsi="Verdana"/>
          <w:b/>
          <w:noProof/>
          <w:sz w:val="22"/>
          <w:szCs w:val="22"/>
        </w:rPr>
      </w:pPr>
      <w:r w:rsidRPr="005F68C6">
        <w:rPr>
          <w:rFonts w:ascii="Verdana" w:hAnsi="Verdana"/>
          <w:b/>
          <w:noProof/>
          <w:sz w:val="22"/>
          <w:szCs w:val="22"/>
        </w:rPr>
        <w:t>Inclusion criteria</w:t>
      </w:r>
      <w:r w:rsidR="005F68C6" w:rsidRPr="005F68C6">
        <w:rPr>
          <w:rFonts w:ascii="Verdana" w:hAnsi="Verdana"/>
          <w:b/>
          <w:noProof/>
          <w:sz w:val="22"/>
          <w:szCs w:val="22"/>
        </w:rPr>
        <w:t>:</w:t>
      </w:r>
    </w:p>
    <w:p w14:paraId="6D033333" w14:textId="30D8AACE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1.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Age – 18 to 55.</w:t>
      </w:r>
    </w:p>
    <w:p w14:paraId="2ED013FB" w14:textId="55FF34C9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2.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BMI &gt;40 or 37.5kg/m2 for people from South Asian, Chinese, other Asian, Middle 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Eastern, Black African or African Caribbean family backgrounds.</w:t>
      </w:r>
    </w:p>
    <w:p w14:paraId="7F9B3FBF" w14:textId="77328467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3.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At least one weight related co-morbidity which includes hypertension/hypercholesterolaemia/obstructive sleep apnoea/severe arthritis. </w:t>
      </w:r>
    </w:p>
    <w:p w14:paraId="01E9921A" w14:textId="08B7D79E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4.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Completed level 2 weight management programme </w:t>
      </w:r>
    </w:p>
    <w:p w14:paraId="7896B1E7" w14:textId="77777777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</w:p>
    <w:p w14:paraId="4833EF8B" w14:textId="4AAE027F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5F68C6">
        <w:rPr>
          <w:rFonts w:ascii="Verdana" w:hAnsi="Verdana"/>
          <w:b/>
          <w:noProof/>
          <w:sz w:val="22"/>
          <w:szCs w:val="22"/>
        </w:rPr>
        <w:t>Exclusion criteria</w:t>
      </w:r>
      <w:r w:rsidR="005F68C6">
        <w:rPr>
          <w:rFonts w:ascii="Verdana" w:hAnsi="Verdana"/>
          <w:bCs/>
          <w:noProof/>
          <w:sz w:val="22"/>
          <w:szCs w:val="22"/>
        </w:rPr>
        <w:t>:</w:t>
      </w:r>
    </w:p>
    <w:p w14:paraId="0B798563" w14:textId="77777777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</w:p>
    <w:p w14:paraId="4FFECAEE" w14:textId="48B9BDD4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lastRenderedPageBreak/>
        <w:t>1.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Type 2 diabetes (these patients can be referred through established process to diabetes clinic to consider for GLP-1 RA for treatment of diabetes and additional benefit of weight loss). </w:t>
      </w:r>
    </w:p>
    <w:p w14:paraId="7CBBED7D" w14:textId="58A83D8C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2.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Type I diabetes. </w:t>
      </w:r>
    </w:p>
    <w:p w14:paraId="5092DD3B" w14:textId="50CB2509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3.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History of pancreatitis.</w:t>
      </w:r>
    </w:p>
    <w:p w14:paraId="2D3DEDFC" w14:textId="0E6905AF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4.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Previous intolerance/allergy to GLP-1 receptor analogues or contraindications.</w:t>
      </w:r>
    </w:p>
    <w:p w14:paraId="3BDFB650" w14:textId="564CCA73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5.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Bulimia/anorexia.</w:t>
      </w:r>
    </w:p>
    <w:p w14:paraId="1061E5C5" w14:textId="183D5BD0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6.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Severe mental health issues which require addressing prior to referral. </w:t>
      </w:r>
    </w:p>
    <w:p w14:paraId="16B86DB7" w14:textId="35995122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7.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Complex gastrointestinal (GI) conditions, gall stones with history of cholecystitis and previous upper GI surgery.</w:t>
      </w:r>
    </w:p>
    <w:p w14:paraId="15F8FEA0" w14:textId="77777777" w:rsidR="005F68C6" w:rsidRDefault="005F68C6" w:rsidP="00015D31">
      <w:pPr>
        <w:rPr>
          <w:rFonts w:ascii="Verdana" w:hAnsi="Verdana"/>
          <w:b/>
          <w:noProof/>
          <w:sz w:val="22"/>
          <w:szCs w:val="22"/>
        </w:rPr>
      </w:pPr>
    </w:p>
    <w:p w14:paraId="43993327" w14:textId="2730CB6E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5F68C6">
        <w:rPr>
          <w:rFonts w:ascii="Verdana" w:hAnsi="Verdana"/>
          <w:b/>
          <w:noProof/>
          <w:sz w:val="22"/>
          <w:szCs w:val="22"/>
        </w:rPr>
        <w:t>Besides the above criteria, contraindications for Semaglutide include</w:t>
      </w:r>
      <w:r w:rsidR="005F68C6">
        <w:rPr>
          <w:rFonts w:ascii="Verdana" w:hAnsi="Verdana"/>
          <w:b/>
          <w:noProof/>
          <w:sz w:val="22"/>
          <w:szCs w:val="22"/>
        </w:rPr>
        <w:t>: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674C3FC0" w14:textId="77777777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</w:p>
    <w:p w14:paraId="733687C2" w14:textId="7F49CB31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1.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Pregnancy and lactation.</w:t>
      </w:r>
    </w:p>
    <w:p w14:paraId="0E03039B" w14:textId="5633BFD6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2.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End stage renal disease.</w:t>
      </w:r>
    </w:p>
    <w:p w14:paraId="24AE1AF7" w14:textId="0C8F728D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3.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Severe hepatic disease.</w:t>
      </w:r>
    </w:p>
    <w:p w14:paraId="464D3E69" w14:textId="4C191D31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4.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 xml:space="preserve">Severe congestive heart failure </w:t>
      </w:r>
    </w:p>
    <w:p w14:paraId="1C602354" w14:textId="5FE75FF8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5.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Diabetic retinopathy.</w:t>
      </w:r>
    </w:p>
    <w:p w14:paraId="2F38178C" w14:textId="6B60250A" w:rsidR="00015D31" w:rsidRPr="00015D31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6.</w:t>
      </w:r>
      <w:r w:rsidR="005F68C6">
        <w:rPr>
          <w:rFonts w:ascii="Verdana" w:hAnsi="Verdana"/>
          <w:bCs/>
          <w:noProof/>
          <w:sz w:val="22"/>
          <w:szCs w:val="22"/>
        </w:rPr>
        <w:t xml:space="preserve"> </w:t>
      </w:r>
      <w:r w:rsidRPr="00015D31">
        <w:rPr>
          <w:rFonts w:ascii="Verdana" w:hAnsi="Verdana"/>
          <w:bCs/>
          <w:noProof/>
          <w:sz w:val="22"/>
          <w:szCs w:val="22"/>
        </w:rPr>
        <w:t>Personal or family history of medullary carcinoma of thyroid.</w:t>
      </w:r>
    </w:p>
    <w:p w14:paraId="1E4ED571" w14:textId="1D1FFD99" w:rsidR="00A10460" w:rsidRDefault="00015D31" w:rsidP="00015D31">
      <w:pPr>
        <w:rPr>
          <w:rFonts w:ascii="Verdana" w:hAnsi="Verdana"/>
          <w:bCs/>
          <w:noProof/>
          <w:sz w:val="22"/>
          <w:szCs w:val="22"/>
        </w:rPr>
      </w:pPr>
      <w:r w:rsidRPr="00015D31">
        <w:rPr>
          <w:rFonts w:ascii="Verdana" w:hAnsi="Verdana"/>
          <w:bCs/>
          <w:noProof/>
          <w:sz w:val="22"/>
          <w:szCs w:val="22"/>
        </w:rPr>
        <w:t>Women of childbearing potential should use effective contraception during and for at least two months after stopping treatment.</w:t>
      </w:r>
    </w:p>
    <w:p w14:paraId="515F16A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7F422BD" w14:textId="58593AC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7BE576F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5761E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CBBDF4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C3519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F09DDCF" wp14:editId="488F2DC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31DD1A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A014F5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A49B3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2D97E0F" wp14:editId="5CC5DD3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CE3859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89C2C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30352D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18D110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BD382C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0CE1B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3DEA22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7B67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7DD2F59" wp14:editId="3B6E384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E72F369" wp14:editId="6AF0CC4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F5C6AA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737FA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4F3EE8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D11620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EEA122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67FBE8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5D31"/>
    <w:rsid w:val="00040038"/>
    <w:rsid w:val="00095DF5"/>
    <w:rsid w:val="000C00ED"/>
    <w:rsid w:val="00111757"/>
    <w:rsid w:val="001276F0"/>
    <w:rsid w:val="00185784"/>
    <w:rsid w:val="001B1339"/>
    <w:rsid w:val="001B1EAA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5F68C6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0479F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7904F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E4C0E-F09E-4B93-9CAD-7AAD369BF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2024-04-16T18:46:00Z</dcterms:created>
  <dcterms:modified xsi:type="dcterms:W3CDTF">2024-04-24T11:40:00Z</dcterms:modified>
</cp:coreProperties>
</file>