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73937C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4EDF835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E4BDF51" wp14:editId="1FC300DE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FA16BD0" w14:textId="2B4380DA" w:rsidR="00DC7FA9" w:rsidRDefault="00A10460" w:rsidP="00A90211">
                            <w:pPr>
                              <w:pStyle w:val="NoSpacing"/>
                              <w:ind w:left="0"/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90211" w:rsidRPr="00A9021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24-C-026 </w:t>
                            </w:r>
                          </w:p>
                          <w:p w14:paraId="1EB1F99C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CC190A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E4BDF5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FA16BD0" w14:textId="2B4380DA" w:rsidR="00DC7FA9" w:rsidRDefault="00A10460" w:rsidP="00A90211">
                      <w:pPr>
                        <w:pStyle w:val="NoSpacing"/>
                        <w:ind w:left="0"/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90211" w:rsidRPr="00A9021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24-C-026 </w:t>
                      </w:r>
                    </w:p>
                    <w:p w14:paraId="1EB1F99C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CC190A4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857BBFB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8D364E7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08FF56B" w14:textId="77777777" w:rsidR="006F4327" w:rsidRPr="006F4327" w:rsidRDefault="006F4327" w:rsidP="006F4327">
      <w:pPr>
        <w:pStyle w:val="NormalWeb"/>
        <w:spacing w:line="276" w:lineRule="auto"/>
        <w:ind w:left="505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Q1. How many Non-small cell lung cancer (NSCLC) patients were treated in the past 3 months with:</w:t>
      </w:r>
    </w:p>
    <w:p w14:paraId="6DC6E2E2" w14:textId="77777777" w:rsidR="006F4327" w:rsidRPr="006F4327" w:rsidRDefault="006F4327" w:rsidP="006F4327">
      <w:pPr>
        <w:pStyle w:val="NormalWeb"/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 </w:t>
      </w:r>
    </w:p>
    <w:p w14:paraId="022837B9" w14:textId="77777777" w:rsidR="00D4728F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ALK Inhibitors (Alectinib, Brigatinib, Ceritinib, Crizotinib, Lorlatinib)</w:t>
      </w:r>
      <w:r>
        <w:rPr>
          <w:rFonts w:ascii="Verdana" w:hAnsi="Verdana"/>
          <w:b/>
          <w:bCs/>
          <w:sz w:val="22"/>
          <w:szCs w:val="22"/>
        </w:rPr>
        <w:tab/>
      </w:r>
    </w:p>
    <w:p w14:paraId="15220AE9" w14:textId="474E483E" w:rsidR="00D4728F" w:rsidRPr="00D4728F" w:rsidRDefault="00D4728F" w:rsidP="00D4728F">
      <w:pPr>
        <w:pStyle w:val="NormalWeb"/>
        <w:spacing w:line="276" w:lineRule="auto"/>
        <w:ind w:left="720"/>
        <w:rPr>
          <w:rFonts w:ascii="Verdana" w:hAnsi="Verdana"/>
          <w:sz w:val="22"/>
          <w:szCs w:val="22"/>
        </w:rPr>
      </w:pPr>
      <w:r w:rsidRPr="00D4728F">
        <w:rPr>
          <w:rFonts w:ascii="Verdana" w:hAnsi="Verdana"/>
          <w:sz w:val="22"/>
          <w:szCs w:val="22"/>
        </w:rPr>
        <w:t>&lt;5*</w:t>
      </w:r>
    </w:p>
    <w:p w14:paraId="01FAF037" w14:textId="6B9304B3" w:rsidR="006F4327" w:rsidRPr="006F4327" w:rsidRDefault="006F4327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ab/>
      </w:r>
    </w:p>
    <w:p w14:paraId="12DE280E" w14:textId="1031E5BF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Amivantamab</w:t>
      </w:r>
    </w:p>
    <w:p w14:paraId="2788F4C9" w14:textId="21363DE7" w:rsidR="00D4728F" w:rsidRPr="00D4728F" w:rsidRDefault="00D4728F" w:rsidP="00D4728F">
      <w:pPr>
        <w:pStyle w:val="ListParagraph"/>
        <w:rPr>
          <w:rFonts w:ascii="Verdana" w:hAnsi="Verdana"/>
          <w:sz w:val="22"/>
          <w:szCs w:val="22"/>
        </w:rPr>
      </w:pPr>
      <w:r w:rsidRPr="00D4728F">
        <w:rPr>
          <w:rFonts w:ascii="Verdana" w:hAnsi="Verdana"/>
          <w:sz w:val="22"/>
          <w:szCs w:val="22"/>
        </w:rPr>
        <w:t>0</w:t>
      </w:r>
    </w:p>
    <w:p w14:paraId="6FB34BCB" w14:textId="65477DA4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Atezolizumab Monotherapy</w:t>
      </w:r>
    </w:p>
    <w:p w14:paraId="1005BB4A" w14:textId="3803EA49" w:rsidR="00D4728F" w:rsidRPr="00D4728F" w:rsidRDefault="00D4728F" w:rsidP="00D4728F">
      <w:pPr>
        <w:pStyle w:val="ListParagraph"/>
        <w:rPr>
          <w:rFonts w:ascii="Verdana" w:hAnsi="Verdana"/>
          <w:sz w:val="22"/>
          <w:szCs w:val="22"/>
        </w:rPr>
      </w:pPr>
      <w:r w:rsidRPr="00D4728F">
        <w:rPr>
          <w:rFonts w:ascii="Verdana" w:hAnsi="Verdana"/>
          <w:sz w:val="22"/>
          <w:szCs w:val="22"/>
        </w:rPr>
        <w:t>&lt;5*</w:t>
      </w:r>
    </w:p>
    <w:p w14:paraId="09D01D6E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4C6FB01E" w14:textId="02ABF1B2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Atezolizumab + Bevacizumab + Carboplatin + Paclitaxel</w:t>
      </w:r>
    </w:p>
    <w:p w14:paraId="6BD28228" w14:textId="05D82F85" w:rsidR="00D4728F" w:rsidRPr="00D4728F" w:rsidRDefault="00D4728F" w:rsidP="00D4728F">
      <w:pPr>
        <w:pStyle w:val="NormalWeb"/>
        <w:spacing w:line="276" w:lineRule="auto"/>
        <w:ind w:left="720"/>
        <w:rPr>
          <w:rFonts w:ascii="Verdana" w:hAnsi="Verdana"/>
          <w:sz w:val="22"/>
          <w:szCs w:val="22"/>
        </w:rPr>
      </w:pPr>
      <w:r w:rsidRPr="00D4728F">
        <w:rPr>
          <w:rFonts w:ascii="Verdana" w:hAnsi="Verdana"/>
          <w:sz w:val="22"/>
          <w:szCs w:val="22"/>
        </w:rPr>
        <w:t>0</w:t>
      </w:r>
    </w:p>
    <w:p w14:paraId="4D80C4A8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73C45506" w14:textId="1963E979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Dabrafenib + Trametinib</w:t>
      </w:r>
    </w:p>
    <w:p w14:paraId="12EB03EF" w14:textId="12D86590" w:rsidR="00D4728F" w:rsidRPr="00D4728F" w:rsidRDefault="00D4728F" w:rsidP="00D4728F">
      <w:pPr>
        <w:pStyle w:val="NormalWeb"/>
        <w:spacing w:line="276" w:lineRule="auto"/>
        <w:ind w:left="720"/>
        <w:rPr>
          <w:rFonts w:ascii="Verdana" w:hAnsi="Verdana"/>
          <w:sz w:val="22"/>
          <w:szCs w:val="22"/>
        </w:rPr>
      </w:pPr>
      <w:r w:rsidRPr="00D4728F">
        <w:rPr>
          <w:rFonts w:ascii="Verdana" w:hAnsi="Verdana"/>
          <w:sz w:val="22"/>
          <w:szCs w:val="22"/>
        </w:rPr>
        <w:t>0</w:t>
      </w:r>
    </w:p>
    <w:p w14:paraId="4414EA28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4DFEB71F" w14:textId="29007617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Docetaxel monotherapy or in combination with Carboplatin/Cisplatin</w:t>
      </w:r>
    </w:p>
    <w:p w14:paraId="77A6C348" w14:textId="3E214031" w:rsidR="00D4728F" w:rsidRPr="00D4728F" w:rsidRDefault="00D4728F" w:rsidP="00D4728F">
      <w:pPr>
        <w:pStyle w:val="NormalWeb"/>
        <w:spacing w:line="276" w:lineRule="auto"/>
        <w:ind w:left="720"/>
        <w:rPr>
          <w:rFonts w:ascii="Verdana" w:hAnsi="Verdana"/>
          <w:sz w:val="22"/>
          <w:szCs w:val="22"/>
        </w:rPr>
      </w:pPr>
      <w:r w:rsidRPr="00D4728F">
        <w:rPr>
          <w:rFonts w:ascii="Verdana" w:hAnsi="Verdana"/>
          <w:sz w:val="22"/>
          <w:szCs w:val="22"/>
        </w:rPr>
        <w:t>&lt;5*</w:t>
      </w:r>
    </w:p>
    <w:p w14:paraId="3AA689BF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3FC4087D" w14:textId="11BF2481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Durvalumab</w:t>
      </w:r>
    </w:p>
    <w:p w14:paraId="4479C736" w14:textId="797DB73E" w:rsidR="00D4728F" w:rsidRPr="00D4728F" w:rsidRDefault="00D4728F" w:rsidP="00D4728F">
      <w:pPr>
        <w:pStyle w:val="ListParagrap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7</w:t>
      </w:r>
    </w:p>
    <w:p w14:paraId="5822A752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5E867049" w14:textId="6CE81BAA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Gemcitabine</w:t>
      </w:r>
    </w:p>
    <w:p w14:paraId="30E8B31C" w14:textId="03BDC208" w:rsidR="00D4728F" w:rsidRDefault="00D4728F" w:rsidP="00D4728F">
      <w:pPr>
        <w:pStyle w:val="NormalWeb"/>
        <w:spacing w:line="276" w:lineRule="auto"/>
        <w:ind w:left="720"/>
        <w:rPr>
          <w:rFonts w:ascii="Verdana" w:hAnsi="Verdana"/>
          <w:sz w:val="22"/>
          <w:szCs w:val="22"/>
        </w:rPr>
      </w:pPr>
      <w:r w:rsidRPr="00D4728F">
        <w:rPr>
          <w:rFonts w:ascii="Verdana" w:hAnsi="Verdana"/>
          <w:sz w:val="22"/>
          <w:szCs w:val="22"/>
        </w:rPr>
        <w:t>0</w:t>
      </w:r>
    </w:p>
    <w:p w14:paraId="460D5B11" w14:textId="77777777" w:rsidR="00D4728F" w:rsidRPr="00D4728F" w:rsidRDefault="00D4728F" w:rsidP="00D4728F">
      <w:pPr>
        <w:pStyle w:val="NormalWeb"/>
        <w:spacing w:line="276" w:lineRule="auto"/>
        <w:ind w:left="720"/>
        <w:rPr>
          <w:rFonts w:ascii="Verdana" w:hAnsi="Verdana"/>
          <w:sz w:val="22"/>
          <w:szCs w:val="22"/>
        </w:rPr>
      </w:pPr>
    </w:p>
    <w:p w14:paraId="668E884B" w14:textId="1F7A2872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lastRenderedPageBreak/>
        <w:t>Nitedanib + Docetaxel</w:t>
      </w:r>
    </w:p>
    <w:p w14:paraId="08C09C52" w14:textId="66EBCE6A" w:rsidR="00D4728F" w:rsidRPr="00D4728F" w:rsidRDefault="00D4728F" w:rsidP="00D4728F">
      <w:pPr>
        <w:pStyle w:val="ListParagraph"/>
        <w:rPr>
          <w:rFonts w:ascii="Verdana" w:hAnsi="Verdana"/>
          <w:sz w:val="22"/>
          <w:szCs w:val="22"/>
        </w:rPr>
      </w:pPr>
      <w:r w:rsidRPr="00D4728F">
        <w:rPr>
          <w:rFonts w:ascii="Verdana" w:hAnsi="Verdana"/>
          <w:sz w:val="22"/>
          <w:szCs w:val="22"/>
        </w:rPr>
        <w:t>0</w:t>
      </w:r>
    </w:p>
    <w:p w14:paraId="36557D9C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050F950B" w14:textId="2C6E4F3E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Nivolumab</w:t>
      </w:r>
    </w:p>
    <w:p w14:paraId="559DF919" w14:textId="0BD2384D" w:rsidR="00D4728F" w:rsidRPr="00D4728F" w:rsidRDefault="00D4728F" w:rsidP="00D4728F">
      <w:pPr>
        <w:pStyle w:val="NormalWeb"/>
        <w:spacing w:line="276" w:lineRule="auto"/>
        <w:ind w:left="720"/>
        <w:rPr>
          <w:rFonts w:ascii="Verdana" w:hAnsi="Verdana"/>
          <w:sz w:val="22"/>
          <w:szCs w:val="22"/>
        </w:rPr>
      </w:pPr>
      <w:r w:rsidRPr="00D4728F">
        <w:rPr>
          <w:rFonts w:ascii="Verdana" w:hAnsi="Verdana"/>
          <w:sz w:val="22"/>
          <w:szCs w:val="22"/>
        </w:rPr>
        <w:t>&lt;5</w:t>
      </w:r>
    </w:p>
    <w:p w14:paraId="2121F03A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41D57AC6" w14:textId="1EE2CF59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Osimertinib</w:t>
      </w:r>
    </w:p>
    <w:p w14:paraId="2F787244" w14:textId="2EAC7A53" w:rsidR="00D4728F" w:rsidRPr="00CA4DED" w:rsidRDefault="00CA4DED" w:rsidP="00D4728F">
      <w:pPr>
        <w:pStyle w:val="ListParagraph"/>
        <w:rPr>
          <w:rFonts w:ascii="Verdana" w:hAnsi="Verdana"/>
          <w:sz w:val="22"/>
          <w:szCs w:val="22"/>
        </w:rPr>
      </w:pPr>
      <w:r w:rsidRPr="00CA4DED">
        <w:rPr>
          <w:rFonts w:ascii="Verdana" w:hAnsi="Verdana"/>
          <w:sz w:val="22"/>
          <w:szCs w:val="22"/>
        </w:rPr>
        <w:t>1</w:t>
      </w:r>
      <w:r>
        <w:rPr>
          <w:rFonts w:ascii="Verdana" w:hAnsi="Verdana"/>
          <w:sz w:val="22"/>
          <w:szCs w:val="22"/>
        </w:rPr>
        <w:t>4</w:t>
      </w:r>
    </w:p>
    <w:p w14:paraId="44F2BE39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35D3C51D" w14:textId="7E394A4B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Other EGFR Inhibitors (Afatinib, Erlotinib, Gefitinib, Dacomitinib, Mobocertinib)</w:t>
      </w:r>
    </w:p>
    <w:p w14:paraId="64B5DE14" w14:textId="3015A0AC" w:rsidR="00CA4DED" w:rsidRPr="00CA4DED" w:rsidRDefault="00CA4DED" w:rsidP="00CA4DED">
      <w:pPr>
        <w:pStyle w:val="NormalWeb"/>
        <w:spacing w:line="276" w:lineRule="auto"/>
        <w:ind w:left="720"/>
        <w:rPr>
          <w:rFonts w:ascii="Verdana" w:hAnsi="Verdana"/>
          <w:sz w:val="22"/>
          <w:szCs w:val="22"/>
        </w:rPr>
      </w:pPr>
      <w:r w:rsidRPr="00CA4DED">
        <w:rPr>
          <w:rFonts w:ascii="Verdana" w:hAnsi="Verdana"/>
          <w:sz w:val="22"/>
          <w:szCs w:val="22"/>
        </w:rPr>
        <w:t>5</w:t>
      </w:r>
    </w:p>
    <w:p w14:paraId="1AD22B89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183DB271" w14:textId="76E40B97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Paclitaxel</w:t>
      </w:r>
    </w:p>
    <w:p w14:paraId="566253FA" w14:textId="1CE98B17" w:rsidR="00D4728F" w:rsidRPr="00CA4DED" w:rsidRDefault="00CA4DED" w:rsidP="00D4728F">
      <w:pPr>
        <w:pStyle w:val="ListParagraph"/>
        <w:rPr>
          <w:rFonts w:ascii="Verdana" w:hAnsi="Verdana"/>
          <w:sz w:val="22"/>
          <w:szCs w:val="22"/>
        </w:rPr>
      </w:pPr>
      <w:r w:rsidRPr="00CA4DED">
        <w:rPr>
          <w:rFonts w:ascii="Verdana" w:hAnsi="Verdana"/>
          <w:sz w:val="22"/>
          <w:szCs w:val="22"/>
        </w:rPr>
        <w:t>0</w:t>
      </w:r>
    </w:p>
    <w:p w14:paraId="36B84601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11F368C7" w14:textId="259D92DF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Pembrolizumab Monotherapy</w:t>
      </w:r>
    </w:p>
    <w:p w14:paraId="29DB8D2C" w14:textId="7A2441D7" w:rsidR="00CA4DED" w:rsidRPr="00CA4DED" w:rsidRDefault="00CA4DED" w:rsidP="00CA4DED">
      <w:pPr>
        <w:pStyle w:val="NormalWeb"/>
        <w:spacing w:line="276" w:lineRule="auto"/>
        <w:ind w:left="720"/>
        <w:rPr>
          <w:rFonts w:ascii="Verdana" w:hAnsi="Verdana"/>
          <w:sz w:val="22"/>
          <w:szCs w:val="22"/>
        </w:rPr>
      </w:pPr>
      <w:r w:rsidRPr="00CA4DED">
        <w:rPr>
          <w:rFonts w:ascii="Verdana" w:hAnsi="Verdana"/>
          <w:sz w:val="22"/>
          <w:szCs w:val="22"/>
        </w:rPr>
        <w:t>31</w:t>
      </w:r>
    </w:p>
    <w:p w14:paraId="4D00B1F8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420757F6" w14:textId="291847F6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Pembrolizumab + Paclitaxel + Platinum (Carboplatin/Cisplatin)</w:t>
      </w:r>
    </w:p>
    <w:p w14:paraId="3EF2B1E4" w14:textId="304B958D" w:rsidR="00D4728F" w:rsidRPr="00CA4DED" w:rsidRDefault="00CA4DED" w:rsidP="00D4728F">
      <w:pPr>
        <w:pStyle w:val="ListParagraph"/>
        <w:rPr>
          <w:rFonts w:ascii="Verdana" w:hAnsi="Verdana"/>
          <w:sz w:val="22"/>
          <w:szCs w:val="22"/>
        </w:rPr>
      </w:pPr>
      <w:r w:rsidRPr="00CA4DED">
        <w:rPr>
          <w:rFonts w:ascii="Verdana" w:hAnsi="Verdana"/>
          <w:sz w:val="22"/>
          <w:szCs w:val="22"/>
        </w:rPr>
        <w:t>&lt;5*</w:t>
      </w:r>
    </w:p>
    <w:p w14:paraId="71A0C000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2EC63EA7" w14:textId="238D5EC4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Pembrolizumab + Pemetrexed + Platinum (Carboplatin/Cisplatin)</w:t>
      </w:r>
    </w:p>
    <w:p w14:paraId="64EB6484" w14:textId="357C1650" w:rsidR="00CA4DED" w:rsidRPr="00CA4DED" w:rsidRDefault="00CA4DED" w:rsidP="00CA4DED">
      <w:pPr>
        <w:pStyle w:val="NormalWeb"/>
        <w:spacing w:line="276" w:lineRule="auto"/>
        <w:ind w:left="720"/>
        <w:rPr>
          <w:rFonts w:ascii="Verdana" w:hAnsi="Verdana"/>
          <w:sz w:val="22"/>
          <w:szCs w:val="22"/>
        </w:rPr>
      </w:pPr>
      <w:r w:rsidRPr="00CA4DED">
        <w:rPr>
          <w:rFonts w:ascii="Verdana" w:hAnsi="Verdana"/>
          <w:sz w:val="22"/>
          <w:szCs w:val="22"/>
        </w:rPr>
        <w:t>9</w:t>
      </w:r>
    </w:p>
    <w:p w14:paraId="1E96D896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065E4EAF" w14:textId="01795A1A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Pemetrexed + Platinum (Carboplatin/Cisplatin)</w:t>
      </w:r>
    </w:p>
    <w:p w14:paraId="2573ECCF" w14:textId="0DFCA472" w:rsidR="00CA4DED" w:rsidRPr="00CA4DED" w:rsidRDefault="00CA4DED" w:rsidP="00CA4DED">
      <w:pPr>
        <w:pStyle w:val="NormalWeb"/>
        <w:spacing w:line="276" w:lineRule="auto"/>
        <w:ind w:left="720"/>
        <w:rPr>
          <w:rFonts w:ascii="Verdana" w:hAnsi="Verdana"/>
          <w:sz w:val="22"/>
          <w:szCs w:val="22"/>
        </w:rPr>
      </w:pPr>
      <w:r w:rsidRPr="00CA4DED">
        <w:rPr>
          <w:rFonts w:ascii="Verdana" w:hAnsi="Verdana"/>
          <w:sz w:val="22"/>
          <w:szCs w:val="22"/>
        </w:rPr>
        <w:t>12</w:t>
      </w:r>
    </w:p>
    <w:p w14:paraId="3E5D356A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6AFD4406" w14:textId="27824335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RET Inhibitors (Pralsetinib, Selpercatinib)</w:t>
      </w:r>
    </w:p>
    <w:p w14:paraId="3F99CC0C" w14:textId="0A35CFD7" w:rsidR="00CA4DED" w:rsidRPr="00CA4DED" w:rsidRDefault="00CA4DED" w:rsidP="00CA4DED">
      <w:pPr>
        <w:pStyle w:val="NormalWeb"/>
        <w:spacing w:line="276" w:lineRule="auto"/>
        <w:ind w:left="720"/>
        <w:rPr>
          <w:rFonts w:ascii="Verdana" w:hAnsi="Verdana"/>
          <w:sz w:val="22"/>
          <w:szCs w:val="22"/>
        </w:rPr>
      </w:pPr>
      <w:r w:rsidRPr="00CA4DED">
        <w:rPr>
          <w:rFonts w:ascii="Verdana" w:hAnsi="Verdana"/>
          <w:sz w:val="22"/>
          <w:szCs w:val="22"/>
        </w:rPr>
        <w:t>0</w:t>
      </w:r>
    </w:p>
    <w:p w14:paraId="67B9A818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112779B7" w14:textId="4B58FEBA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Sotorasib</w:t>
      </w:r>
    </w:p>
    <w:p w14:paraId="3C556DD7" w14:textId="553BE380" w:rsidR="00D4728F" w:rsidRPr="00CA4DED" w:rsidRDefault="00CA4DED" w:rsidP="00D4728F">
      <w:pPr>
        <w:pStyle w:val="ListParagraph"/>
        <w:rPr>
          <w:rFonts w:ascii="Verdana" w:hAnsi="Verdana"/>
          <w:sz w:val="22"/>
          <w:szCs w:val="22"/>
        </w:rPr>
      </w:pPr>
      <w:r w:rsidRPr="00CA4DED">
        <w:rPr>
          <w:rFonts w:ascii="Verdana" w:hAnsi="Verdana"/>
          <w:sz w:val="22"/>
          <w:szCs w:val="22"/>
        </w:rPr>
        <w:t>&lt;5*</w:t>
      </w:r>
    </w:p>
    <w:p w14:paraId="3F2CFF93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32752BBC" w14:textId="30310CEF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Tepotinib</w:t>
      </w:r>
    </w:p>
    <w:p w14:paraId="361BC331" w14:textId="621C0B56" w:rsidR="00CA4DED" w:rsidRPr="00CA4DED" w:rsidRDefault="00CA4DED" w:rsidP="00CA4DED">
      <w:pPr>
        <w:pStyle w:val="NormalWeb"/>
        <w:spacing w:line="276" w:lineRule="auto"/>
        <w:ind w:left="720"/>
        <w:rPr>
          <w:rFonts w:ascii="Verdana" w:hAnsi="Verdana"/>
          <w:sz w:val="22"/>
          <w:szCs w:val="22"/>
        </w:rPr>
      </w:pPr>
      <w:r w:rsidRPr="00CA4DED">
        <w:rPr>
          <w:rFonts w:ascii="Verdana" w:hAnsi="Verdana"/>
          <w:sz w:val="22"/>
          <w:szCs w:val="22"/>
        </w:rPr>
        <w:t>0</w:t>
      </w:r>
    </w:p>
    <w:p w14:paraId="6B9F7A3E" w14:textId="77777777" w:rsidR="00D4728F" w:rsidRPr="006F4327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541BA55C" w14:textId="64CA096F" w:rsidR="006F4327" w:rsidRDefault="006F4327" w:rsidP="006F4327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t>Vinorelbine monotherapy or in combination with Carboplatin/Cisplatin</w:t>
      </w:r>
    </w:p>
    <w:p w14:paraId="165BA540" w14:textId="387B4DB4" w:rsidR="00D4728F" w:rsidRPr="00CA4DED" w:rsidRDefault="00CA4DED" w:rsidP="00D4728F">
      <w:pPr>
        <w:pStyle w:val="ListParagraph"/>
        <w:rPr>
          <w:rFonts w:ascii="Verdana" w:hAnsi="Verdana"/>
          <w:sz w:val="22"/>
          <w:szCs w:val="22"/>
        </w:rPr>
      </w:pPr>
      <w:r w:rsidRPr="00CA4DED">
        <w:rPr>
          <w:rFonts w:ascii="Verdana" w:hAnsi="Verdana"/>
          <w:sz w:val="22"/>
          <w:szCs w:val="22"/>
        </w:rPr>
        <w:t>10</w:t>
      </w:r>
    </w:p>
    <w:p w14:paraId="033EAC10" w14:textId="77777777" w:rsidR="00D4728F" w:rsidRDefault="00D4728F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35CFA1E0" w14:textId="77777777" w:rsidR="00CA4DED" w:rsidRDefault="00CA4DED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03B705B2" w14:textId="77777777" w:rsidR="00CA4DED" w:rsidRPr="006F4327" w:rsidRDefault="00CA4DED" w:rsidP="00D4728F">
      <w:pPr>
        <w:pStyle w:val="NormalWeb"/>
        <w:spacing w:line="276" w:lineRule="auto"/>
        <w:ind w:left="720"/>
        <w:rPr>
          <w:rFonts w:ascii="Verdana" w:hAnsi="Verdana"/>
          <w:b/>
          <w:bCs/>
          <w:sz w:val="22"/>
          <w:szCs w:val="22"/>
        </w:rPr>
      </w:pPr>
    </w:p>
    <w:p w14:paraId="165CF43C" w14:textId="3DDEAEAA" w:rsidR="00CA4DED" w:rsidRDefault="006F4327" w:rsidP="00CA4DED">
      <w:pPr>
        <w:pStyle w:val="NormalWeb"/>
        <w:numPr>
          <w:ilvl w:val="0"/>
          <w:numId w:val="18"/>
        </w:numPr>
        <w:spacing w:line="276" w:lineRule="auto"/>
        <w:rPr>
          <w:rFonts w:ascii="Verdana" w:hAnsi="Verdana"/>
          <w:b/>
          <w:bCs/>
          <w:sz w:val="22"/>
          <w:szCs w:val="22"/>
        </w:rPr>
      </w:pPr>
      <w:r w:rsidRPr="006F4327">
        <w:rPr>
          <w:rFonts w:ascii="Verdana" w:hAnsi="Verdana"/>
          <w:b/>
          <w:bCs/>
          <w:sz w:val="22"/>
          <w:szCs w:val="22"/>
        </w:rPr>
        <w:lastRenderedPageBreak/>
        <w:t>Other active systemic anti-cancer therapy</w:t>
      </w:r>
    </w:p>
    <w:p w14:paraId="73F96C66" w14:textId="6D0FEDEF" w:rsidR="00CA4DED" w:rsidRPr="00CA4DED" w:rsidRDefault="00CA4DED" w:rsidP="00CA4DED">
      <w:pPr>
        <w:pStyle w:val="NormalWeb"/>
        <w:spacing w:line="276" w:lineRule="auto"/>
        <w:ind w:left="720"/>
        <w:rPr>
          <w:rFonts w:ascii="Verdana" w:hAnsi="Verdana"/>
          <w:sz w:val="22"/>
          <w:szCs w:val="22"/>
        </w:rPr>
      </w:pPr>
      <w:r w:rsidRPr="00CA4DED">
        <w:rPr>
          <w:rFonts w:ascii="Verdana" w:hAnsi="Verdana"/>
          <w:sz w:val="22"/>
          <w:szCs w:val="22"/>
        </w:rPr>
        <w:t>Carboplatin &amp; paclitaxel 8, gemcitabine &amp; cisplatin &lt;5*, pemetrexed single agent 5, pembrolizumab &amp; pemetrexed &lt;5*, Entrectinib &lt;5*</w:t>
      </w:r>
    </w:p>
    <w:p w14:paraId="15C097B1" w14:textId="77777777" w:rsidR="00D4728F" w:rsidRPr="00CA4DED" w:rsidRDefault="00D4728F" w:rsidP="00D4728F">
      <w:pPr>
        <w:pStyle w:val="NormalWeb"/>
        <w:spacing w:line="276" w:lineRule="auto"/>
        <w:ind w:left="720"/>
        <w:rPr>
          <w:rFonts w:ascii="Verdana" w:hAnsi="Verdana"/>
          <w:sz w:val="22"/>
          <w:szCs w:val="22"/>
        </w:rPr>
      </w:pPr>
    </w:p>
    <w:p w14:paraId="71527FF9" w14:textId="77777777" w:rsidR="00CA4DED" w:rsidRPr="00CA4DED" w:rsidRDefault="006F4327" w:rsidP="00D4728F">
      <w:pPr>
        <w:pStyle w:val="ListParagraph"/>
        <w:numPr>
          <w:ilvl w:val="0"/>
          <w:numId w:val="18"/>
        </w:numPr>
        <w:rPr>
          <w:color w:val="1F497D"/>
          <w:sz w:val="22"/>
          <w:szCs w:val="22"/>
        </w:rPr>
      </w:pPr>
      <w:r w:rsidRPr="00D4728F">
        <w:rPr>
          <w:rFonts w:ascii="Verdana" w:hAnsi="Verdana"/>
          <w:b/>
          <w:bCs/>
          <w:sz w:val="22"/>
          <w:szCs w:val="22"/>
        </w:rPr>
        <w:t>Palliative care only</w:t>
      </w:r>
      <w:r w:rsidR="00D4728F" w:rsidRPr="00D4728F">
        <w:rPr>
          <w:rFonts w:ascii="Verdana" w:hAnsi="Verdana"/>
          <w:b/>
          <w:bCs/>
          <w:sz w:val="22"/>
          <w:szCs w:val="22"/>
        </w:rPr>
        <w:t xml:space="preserve"> </w:t>
      </w:r>
    </w:p>
    <w:p w14:paraId="18D279DC" w14:textId="0032AFFF" w:rsidR="00B651FC" w:rsidRDefault="00CA4DED" w:rsidP="00CA4DED">
      <w:pPr>
        <w:pStyle w:val="ListParagraph"/>
        <w:rPr>
          <w:rFonts w:ascii="Verdana" w:hAnsi="Verdana"/>
          <w:noProof/>
          <w:sz w:val="22"/>
          <w:szCs w:val="22"/>
        </w:rPr>
      </w:pPr>
      <w:r w:rsidRPr="00CA4DED">
        <w:rPr>
          <w:rFonts w:ascii="Verdana" w:hAnsi="Verdana"/>
          <w:sz w:val="22"/>
          <w:szCs w:val="22"/>
        </w:rPr>
        <w:t>This information is not held centrally but would be held in patient notes</w:t>
      </w:r>
      <w:r>
        <w:rPr>
          <w:rFonts w:ascii="Verdana" w:hAnsi="Verdana"/>
          <w:sz w:val="22"/>
          <w:szCs w:val="22"/>
        </w:rPr>
        <w:t>. **</w:t>
      </w:r>
    </w:p>
    <w:p w14:paraId="6A23F54B" w14:textId="77777777" w:rsidR="00B651FC" w:rsidRDefault="00B651FC" w:rsidP="00421E7F">
      <w:pPr>
        <w:rPr>
          <w:rFonts w:ascii="Verdana" w:hAnsi="Verdana"/>
          <w:noProof/>
          <w:sz w:val="22"/>
          <w:szCs w:val="22"/>
        </w:rPr>
      </w:pPr>
    </w:p>
    <w:p w14:paraId="014FECC1" w14:textId="77777777" w:rsidR="00D4728F" w:rsidRPr="00FC3B42" w:rsidRDefault="00B651FC" w:rsidP="00D4728F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>*W</w:t>
      </w:r>
      <w:r w:rsidRPr="00B651FC">
        <w:rPr>
          <w:rFonts w:ascii="Verdana" w:hAnsi="Verdana"/>
          <w:sz w:val="22"/>
          <w:szCs w:val="22"/>
        </w:rPr>
        <w:t xml:space="preserve">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B651FC">
          <w:rPr>
            <w:rFonts w:ascii="Verdana" w:hAnsi="Verdana"/>
            <w:sz w:val="22"/>
            <w:szCs w:val="22"/>
          </w:rPr>
          <w:t>Freedom of Information</w:t>
        </w:r>
      </w:smartTag>
      <w:r w:rsidRPr="00B651FC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B651FC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B651FC">
        <w:rPr>
          <w:rFonts w:ascii="Verdana" w:hAnsi="Verdana"/>
          <w:bCs/>
          <w:iCs/>
          <w:sz w:val="22"/>
          <w:szCs w:val="22"/>
        </w:rPr>
        <w:t>in regard to</w:t>
      </w:r>
      <w:r w:rsidRPr="00B651FC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B651FC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B651FC">
        <w:rPr>
          <w:rFonts w:ascii="Verdana" w:hAnsi="Verdana"/>
          <w:sz w:val="22"/>
          <w:szCs w:val="22"/>
        </w:rPr>
        <w:br/>
      </w:r>
      <w:r w:rsidR="00421E7F" w:rsidRPr="00B651FC">
        <w:rPr>
          <w:rFonts w:ascii="Verdana" w:hAnsi="Verdana"/>
          <w:b/>
          <w:bCs/>
          <w:noProof/>
          <w:sz w:val="22"/>
          <w:szCs w:val="22"/>
        </w:rPr>
        <w:br/>
      </w:r>
      <w:r w:rsidR="00D4728F" w:rsidRPr="00D4728F">
        <w:rPr>
          <w:rFonts w:ascii="Verdana" w:hAnsi="Verdana"/>
          <w:noProof/>
          <w:sz w:val="22"/>
          <w:szCs w:val="22"/>
        </w:rPr>
        <w:t xml:space="preserve">** </w:t>
      </w:r>
      <w:r w:rsidR="00D4728F"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="00D4728F"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D4728F"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="00D4728F"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D4728F" w:rsidRPr="00FC3B42">
        <w:rPr>
          <w:rFonts w:ascii="Verdana" w:hAnsi="Verdana" w:cs="Tahoma"/>
          <w:sz w:val="22"/>
          <w:szCs w:val="22"/>
        </w:rPr>
        <w:t>Section 12 of the FOI Act and T</w:t>
      </w:r>
      <w:r w:rsidR="00D4728F"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D4728F"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4B6A5C6B" w14:textId="723A512C" w:rsidR="00D4728F" w:rsidRDefault="00421E7F" w:rsidP="00D4728F">
      <w:pPr>
        <w:rPr>
          <w:color w:val="1F497D"/>
          <w:sz w:val="22"/>
          <w:szCs w:val="22"/>
        </w:rPr>
      </w:pPr>
      <w:r w:rsidRPr="00B651FC">
        <w:rPr>
          <w:rFonts w:ascii="Verdana" w:hAnsi="Verdana"/>
          <w:b/>
          <w:bCs/>
          <w:noProof/>
          <w:sz w:val="22"/>
          <w:szCs w:val="22"/>
        </w:rPr>
        <w:br/>
      </w:r>
      <w:r w:rsidRPr="00B651FC">
        <w:rPr>
          <w:rFonts w:ascii="Verdana" w:hAnsi="Verdana"/>
          <w:b/>
          <w:bCs/>
          <w:noProof/>
          <w:sz w:val="22"/>
          <w:szCs w:val="22"/>
        </w:rPr>
        <w:br/>
      </w:r>
    </w:p>
    <w:p w14:paraId="0D7C1AC6" w14:textId="4A68432C" w:rsidR="00A10460" w:rsidRPr="00B651FC" w:rsidRDefault="00421E7F" w:rsidP="00A22D04">
      <w:pPr>
        <w:jc w:val="both"/>
        <w:rPr>
          <w:rFonts w:ascii="Verdana" w:hAnsi="Verdana"/>
          <w:b/>
          <w:bCs/>
          <w:noProof/>
          <w:sz w:val="22"/>
          <w:szCs w:val="22"/>
        </w:rPr>
      </w:pPr>
      <w:r w:rsidRPr="00B651FC">
        <w:rPr>
          <w:rFonts w:ascii="Verdana" w:hAnsi="Verdana"/>
          <w:b/>
          <w:bCs/>
          <w:noProof/>
          <w:sz w:val="22"/>
          <w:szCs w:val="22"/>
        </w:rPr>
        <w:br/>
      </w:r>
      <w:r w:rsidRPr="00B651FC">
        <w:rPr>
          <w:rFonts w:ascii="Verdana" w:hAnsi="Verdana"/>
          <w:b/>
          <w:bCs/>
          <w:noProof/>
          <w:sz w:val="22"/>
          <w:szCs w:val="22"/>
        </w:rPr>
        <w:br/>
      </w:r>
      <w:r w:rsidRPr="00B651FC">
        <w:rPr>
          <w:rFonts w:ascii="Verdana" w:hAnsi="Verdana"/>
          <w:b/>
          <w:bCs/>
          <w:noProof/>
          <w:sz w:val="22"/>
          <w:szCs w:val="22"/>
        </w:rPr>
        <w:br/>
      </w:r>
      <w:r w:rsidRPr="00B651FC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D1BCB1C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0F501F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6727D94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D9C645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901E664" wp14:editId="48F0582E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0F9841FA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F27BF8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81819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2DC873C9" wp14:editId="7E0EA7BA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2B12E9A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255BAA3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6DE5E03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6D8B35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2650485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114564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3299D2A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C1EEB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773ABFC" wp14:editId="3B99C32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4DFA800" wp14:editId="633CC7C3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53BED9F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717B19F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3060354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8BA6A94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5297B164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4DFA80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053BED9F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6717B19F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13060354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68BA6A94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5297B164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24AEAFF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292829"/>
    <w:multiLevelType w:val="hybridMultilevel"/>
    <w:tmpl w:val="504A7DA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AE6B67"/>
    <w:multiLevelType w:val="hybridMultilevel"/>
    <w:tmpl w:val="312E0A08"/>
    <w:lvl w:ilvl="0" w:tplc="DCBCA39C">
      <w:numFmt w:val="bullet"/>
      <w:lvlText w:val="·"/>
      <w:lvlJc w:val="left"/>
      <w:pPr>
        <w:ind w:left="1140" w:hanging="780"/>
      </w:pPr>
      <w:rPr>
        <w:rFonts w:ascii="Verdana" w:eastAsiaTheme="minorHAnsi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28D5123"/>
    <w:multiLevelType w:val="hybridMultilevel"/>
    <w:tmpl w:val="8230DE30"/>
    <w:lvl w:ilvl="0" w:tplc="787ED51E">
      <w:numFmt w:val="bullet"/>
      <w:lvlText w:val=""/>
      <w:lvlJc w:val="left"/>
      <w:pPr>
        <w:ind w:left="865" w:hanging="360"/>
      </w:pPr>
      <w:rPr>
        <w:rFonts w:ascii="Symbol" w:eastAsia="Calibri" w:hAnsi="Symbol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0707435">
    <w:abstractNumId w:val="14"/>
  </w:num>
  <w:num w:numId="2" w16cid:durableId="705255934">
    <w:abstractNumId w:val="0"/>
  </w:num>
  <w:num w:numId="3" w16cid:durableId="830677184">
    <w:abstractNumId w:val="9"/>
  </w:num>
  <w:num w:numId="4" w16cid:durableId="847014492">
    <w:abstractNumId w:val="16"/>
  </w:num>
  <w:num w:numId="5" w16cid:durableId="1748650657">
    <w:abstractNumId w:val="3"/>
  </w:num>
  <w:num w:numId="6" w16cid:durableId="928083435">
    <w:abstractNumId w:val="2"/>
  </w:num>
  <w:num w:numId="7" w16cid:durableId="94177035">
    <w:abstractNumId w:val="11"/>
  </w:num>
  <w:num w:numId="8" w16cid:durableId="196936381">
    <w:abstractNumId w:val="15"/>
  </w:num>
  <w:num w:numId="9" w16cid:durableId="1637560776">
    <w:abstractNumId w:val="19"/>
  </w:num>
  <w:num w:numId="10" w16cid:durableId="207378909">
    <w:abstractNumId w:val="1"/>
  </w:num>
  <w:num w:numId="11" w16cid:durableId="182980421">
    <w:abstractNumId w:val="10"/>
  </w:num>
  <w:num w:numId="12" w16cid:durableId="1761442090">
    <w:abstractNumId w:val="13"/>
  </w:num>
  <w:num w:numId="13" w16cid:durableId="578101247">
    <w:abstractNumId w:val="17"/>
  </w:num>
  <w:num w:numId="14" w16cid:durableId="185083094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1934655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84928944">
    <w:abstractNumId w:val="12"/>
  </w:num>
  <w:num w:numId="17" w16cid:durableId="1770468081">
    <w:abstractNumId w:val="4"/>
  </w:num>
  <w:num w:numId="18" w16cid:durableId="941962044">
    <w:abstractNumId w:val="6"/>
  </w:num>
  <w:num w:numId="19" w16cid:durableId="1170414646">
    <w:abstractNumId w:val="8"/>
  </w:num>
  <w:num w:numId="20" w16cid:durableId="57409545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327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2D04"/>
    <w:rsid w:val="00A56076"/>
    <w:rsid w:val="00A84640"/>
    <w:rsid w:val="00A90211"/>
    <w:rsid w:val="00AB4D54"/>
    <w:rsid w:val="00AF0E8B"/>
    <w:rsid w:val="00AF691A"/>
    <w:rsid w:val="00B34966"/>
    <w:rsid w:val="00B61DE2"/>
    <w:rsid w:val="00B651FC"/>
    <w:rsid w:val="00B82C9E"/>
    <w:rsid w:val="00B8458F"/>
    <w:rsid w:val="00BB4931"/>
    <w:rsid w:val="00BC67E1"/>
    <w:rsid w:val="00C021A4"/>
    <w:rsid w:val="00C050BE"/>
    <w:rsid w:val="00C75A00"/>
    <w:rsid w:val="00CA07E3"/>
    <w:rsid w:val="00CA4DED"/>
    <w:rsid w:val="00CB2BBE"/>
    <w:rsid w:val="00CE1516"/>
    <w:rsid w:val="00CE325E"/>
    <w:rsid w:val="00CE3DBC"/>
    <w:rsid w:val="00D15865"/>
    <w:rsid w:val="00D4728F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4EE7BC4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0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34</TotalTime>
  <Pages>3</Pages>
  <Words>420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5</cp:revision>
  <cp:lastPrinted>2019-03-26T11:11:00Z</cp:lastPrinted>
  <dcterms:created xsi:type="dcterms:W3CDTF">2024-04-01T13:37:00Z</dcterms:created>
  <dcterms:modified xsi:type="dcterms:W3CDTF">2024-04-03T13:22:00Z</dcterms:modified>
</cp:coreProperties>
</file>