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D8C8B3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75887">
                              <w:rPr>
                                <w:rFonts w:ascii="Verdana" w:hAnsi="Verdana"/>
                                <w:b/>
                                <w:sz w:val="22"/>
                                <w:szCs w:val="22"/>
                              </w:rPr>
                              <w:t>24-G-017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D8C8B3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75887">
                        <w:rPr>
                          <w:rFonts w:ascii="Verdana" w:hAnsi="Verdana"/>
                          <w:b/>
                          <w:sz w:val="22"/>
                          <w:szCs w:val="22"/>
                        </w:rPr>
                        <w:t>24-G-017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5BD613F5" w:rsidR="00DC0D5A" w:rsidRDefault="00A10460" w:rsidP="00DC0D5A">
      <w:pPr>
        <w:spacing w:before="280"/>
        <w:rPr>
          <w:rFonts w:ascii="Verdana" w:hAnsi="Verdana"/>
          <w:b/>
          <w:sz w:val="22"/>
        </w:rPr>
      </w:pPr>
      <w:r w:rsidRPr="00A10460">
        <w:rPr>
          <w:rFonts w:ascii="Verdana" w:hAnsi="Verdana"/>
          <w:b/>
          <w:sz w:val="22"/>
        </w:rPr>
        <w:t>You asked:</w:t>
      </w:r>
    </w:p>
    <w:p w14:paraId="7AABF181" w14:textId="7A8974A4" w:rsidR="00E75887" w:rsidRPr="00E75887" w:rsidRDefault="00E75887" w:rsidP="00E75887">
      <w:pPr>
        <w:rPr>
          <w:rFonts w:ascii="Verdana" w:hAnsi="Verdana"/>
          <w:b/>
          <w:bCs/>
          <w:sz w:val="22"/>
          <w:szCs w:val="22"/>
        </w:rPr>
      </w:pPr>
      <w:r w:rsidRPr="00E75887">
        <w:rPr>
          <w:rFonts w:ascii="Verdana" w:hAnsi="Verdana"/>
          <w:b/>
          <w:bCs/>
          <w:sz w:val="22"/>
          <w:szCs w:val="22"/>
        </w:rPr>
        <w:t>In the past 3 months</w:t>
      </w:r>
      <w:r>
        <w:rPr>
          <w:rFonts w:ascii="Verdana" w:hAnsi="Verdana"/>
          <w:b/>
          <w:bCs/>
          <w:sz w:val="22"/>
          <w:szCs w:val="22"/>
        </w:rPr>
        <w:t xml:space="preserve"> (April to June 2024)</w:t>
      </w:r>
      <w:r w:rsidRPr="00E75887">
        <w:rPr>
          <w:rFonts w:ascii="Verdana" w:hAnsi="Verdana"/>
          <w:b/>
          <w:bCs/>
          <w:sz w:val="22"/>
          <w:szCs w:val="22"/>
        </w:rPr>
        <w:t xml:space="preserve"> how many patients have been treated for Colorectal Cancer [CRC] with the following regimens?</w:t>
      </w:r>
    </w:p>
    <w:p w14:paraId="315CE42A" w14:textId="77777777" w:rsidR="00E75887" w:rsidRPr="00E75887" w:rsidRDefault="00E75887" w:rsidP="00E75887">
      <w:pPr>
        <w:rPr>
          <w:rFonts w:ascii="Verdana" w:hAnsi="Verdana"/>
          <w:b/>
          <w:bCs/>
          <w:sz w:val="22"/>
          <w:szCs w:val="22"/>
        </w:rPr>
      </w:pPr>
      <w:r w:rsidRPr="00E75887">
        <w:rPr>
          <w:rFonts w:ascii="Verdana" w:hAnsi="Verdana"/>
          <w:b/>
          <w:bCs/>
          <w:sz w:val="22"/>
          <w:szCs w:val="22"/>
        </w:rPr>
        <w:t>Can you please provide the total number of patients treated for CRC with each product and the total number of Metastatic patients treated with each product for CRC in the table below</w:t>
      </w:r>
    </w:p>
    <w:tbl>
      <w:tblPr>
        <w:tblW w:w="9474" w:type="dxa"/>
        <w:tblInd w:w="416" w:type="dxa"/>
        <w:tblCellMar>
          <w:left w:w="0" w:type="dxa"/>
          <w:right w:w="0" w:type="dxa"/>
        </w:tblCellMar>
        <w:tblLook w:val="04A0" w:firstRow="1" w:lastRow="0" w:firstColumn="1" w:lastColumn="0" w:noHBand="0" w:noVBand="1"/>
      </w:tblPr>
      <w:tblGrid>
        <w:gridCol w:w="5674"/>
        <w:gridCol w:w="1900"/>
        <w:gridCol w:w="1900"/>
      </w:tblGrid>
      <w:tr w:rsidR="00E75887" w:rsidRPr="00634823" w14:paraId="116A1858" w14:textId="77777777" w:rsidTr="00E75887">
        <w:trPr>
          <w:trHeight w:val="900"/>
        </w:trPr>
        <w:tc>
          <w:tcPr>
            <w:tcW w:w="56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A2E092" w14:textId="77777777" w:rsidR="00E75887" w:rsidRPr="00634823" w:rsidRDefault="00E75887" w:rsidP="00E75887">
            <w:pPr>
              <w:spacing w:before="0" w:after="0" w:line="240" w:lineRule="auto"/>
              <w:ind w:left="0" w:right="0"/>
              <w:jc w:val="center"/>
              <w:rPr>
                <w:rFonts w:ascii="Verdana" w:hAnsi="Verdana" w:cs="Calibri"/>
                <w:b/>
                <w:bCs/>
                <w:color w:val="000000"/>
                <w:sz w:val="22"/>
                <w:szCs w:val="22"/>
              </w:rPr>
            </w:pPr>
            <w:r w:rsidRPr="00634823">
              <w:rPr>
                <w:rFonts w:ascii="Verdana" w:hAnsi="Verdana" w:cs="Calibri"/>
                <w:b/>
                <w:bCs/>
                <w:color w:val="000000"/>
                <w:sz w:val="22"/>
                <w:szCs w:val="22"/>
              </w:rPr>
              <w:t>Regimens</w:t>
            </w:r>
          </w:p>
        </w:tc>
        <w:tc>
          <w:tcPr>
            <w:tcW w:w="1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8E12C9" w14:textId="77777777" w:rsidR="00E75887" w:rsidRPr="00634823" w:rsidRDefault="00E75887" w:rsidP="00E75887">
            <w:pPr>
              <w:spacing w:before="0" w:after="0" w:line="240" w:lineRule="auto"/>
              <w:ind w:left="0" w:right="0"/>
              <w:jc w:val="center"/>
              <w:rPr>
                <w:rFonts w:ascii="Verdana" w:hAnsi="Verdana" w:cs="Calibri"/>
                <w:b/>
                <w:bCs/>
                <w:color w:val="000000"/>
                <w:sz w:val="22"/>
                <w:szCs w:val="22"/>
              </w:rPr>
            </w:pPr>
            <w:r w:rsidRPr="00634823">
              <w:rPr>
                <w:rFonts w:ascii="Verdana" w:hAnsi="Verdana" w:cs="Calibri"/>
                <w:b/>
                <w:bCs/>
                <w:color w:val="000000"/>
                <w:sz w:val="22"/>
                <w:szCs w:val="22"/>
              </w:rPr>
              <w:t>Total CRC Patients</w:t>
            </w:r>
          </w:p>
        </w:tc>
        <w:tc>
          <w:tcPr>
            <w:tcW w:w="1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738960" w14:textId="77777777" w:rsidR="00E75887" w:rsidRPr="00634823" w:rsidRDefault="00E75887" w:rsidP="00E75887">
            <w:pPr>
              <w:spacing w:before="0" w:after="0" w:line="240" w:lineRule="auto"/>
              <w:ind w:left="0" w:right="0"/>
              <w:jc w:val="center"/>
              <w:rPr>
                <w:rFonts w:ascii="Verdana" w:hAnsi="Verdana" w:cs="Calibri"/>
                <w:b/>
                <w:bCs/>
                <w:color w:val="000000"/>
                <w:sz w:val="22"/>
                <w:szCs w:val="22"/>
              </w:rPr>
            </w:pPr>
            <w:r w:rsidRPr="00634823">
              <w:rPr>
                <w:rFonts w:ascii="Verdana" w:hAnsi="Verdana" w:cs="Calibri"/>
                <w:b/>
                <w:bCs/>
                <w:color w:val="000000"/>
                <w:sz w:val="22"/>
                <w:szCs w:val="22"/>
              </w:rPr>
              <w:t>Metastatic CRC Patients</w:t>
            </w:r>
          </w:p>
        </w:tc>
      </w:tr>
      <w:tr w:rsidR="00E75887" w:rsidRPr="00634823" w14:paraId="0AAE678A"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34B419"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Aflibercept plus chemotherapy</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EDEB8A" w14:textId="0F9079A8"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71D968" w14:textId="3497D31C"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r>
      <w:tr w:rsidR="00E75887" w:rsidRPr="00634823" w14:paraId="525E579C"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C6DD2B"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 xml:space="preserve">Bevacizumab plus fluoropyrimidine-based chemotherapy </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1F91C3" w14:textId="46DCED71"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27C932" w14:textId="248DF0A7"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r>
      <w:tr w:rsidR="00E75887" w:rsidRPr="00634823" w14:paraId="322D10F3"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53CA5A"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Capecitabine</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868789" w14:textId="74560005"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19</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0A4605" w14:textId="224BB95A"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&lt;5*</w:t>
            </w:r>
          </w:p>
        </w:tc>
      </w:tr>
      <w:tr w:rsidR="00E75887" w:rsidRPr="00634823" w14:paraId="7760C8CF"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EFF9BF"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CAPIRI</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4CC217" w14:textId="4E127D26"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BEE4EB" w14:textId="3657F146"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r>
      <w:tr w:rsidR="00E75887" w:rsidRPr="00634823" w14:paraId="028FBAD4"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04AB4D"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CAPOX</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2C9DC9" w14:textId="66CFD56E"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30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AE08AD" w14:textId="4E3BD658"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&lt;5*</w:t>
            </w:r>
          </w:p>
        </w:tc>
      </w:tr>
      <w:tr w:rsidR="00E75887" w:rsidRPr="00634823" w14:paraId="6D71CECF"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FF12BB"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Cetuximab with FOLFIRI</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7E8738" w14:textId="166B90CE"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7</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1666C7" w14:textId="379EDAF8"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7</w:t>
            </w:r>
          </w:p>
        </w:tc>
      </w:tr>
      <w:tr w:rsidR="00E75887" w:rsidRPr="00634823" w14:paraId="4345F814"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17D854"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Cetuximab with FOLFOX</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D2F58B" w14:textId="0164C468"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22A5F8" w14:textId="11CF734B"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r>
      <w:tr w:rsidR="00E75887" w:rsidRPr="00634823" w14:paraId="45C3A430"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4B0110"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Cetuximab as a single agent</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74AEEF" w14:textId="5E86CFD9"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67E4DB" w14:textId="74E0A7BC"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r>
      <w:tr w:rsidR="00E75887" w:rsidRPr="00634823" w14:paraId="2A0CCD5F"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7E9E60"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Cetuximab with Encorafenib</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8EBA03" w14:textId="698FCF08"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&lt;5*</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831014" w14:textId="4D0649EF"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&lt;5*</w:t>
            </w:r>
          </w:p>
        </w:tc>
      </w:tr>
      <w:tr w:rsidR="00E75887" w:rsidRPr="00634823" w14:paraId="4DAB6956"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2F83E3"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Irinotecan as a single agent</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E37527" w14:textId="054F4279"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9</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124344" w14:textId="4CB5DDF8"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9</w:t>
            </w:r>
          </w:p>
        </w:tc>
      </w:tr>
      <w:tr w:rsidR="00E75887" w:rsidRPr="00634823" w14:paraId="3101ACC2"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F4D5CB"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FOLFIRI</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BAA683" w14:textId="78114DE7"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12</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92BA4A" w14:textId="4AE69CD1"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10</w:t>
            </w:r>
          </w:p>
        </w:tc>
      </w:tr>
      <w:tr w:rsidR="00E75887" w:rsidRPr="00634823" w14:paraId="50406CBD"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4D5C54"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FOLFOX</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DBD1CA" w14:textId="0C1AC82F"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10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0C12F8" w14:textId="7A7E66C6"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8</w:t>
            </w:r>
          </w:p>
        </w:tc>
      </w:tr>
      <w:tr w:rsidR="00E75887" w:rsidRPr="00634823" w14:paraId="432EA75B"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9874C9"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Fluorouracil (5FU) as a single agent</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C532F6" w14:textId="5E39A081"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40EF71" w14:textId="63CF6853"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r>
      <w:tr w:rsidR="00E75887" w:rsidRPr="00634823" w14:paraId="7EC0C708"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D717B6"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Oxaliplatin as a single agent</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B5902A" w14:textId="26E234D6"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68563A" w14:textId="4F11B2CF"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r>
      <w:tr w:rsidR="00E75887" w:rsidRPr="00634823" w14:paraId="5EBF7596"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A0878D"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Nivolumab with Ipilimumab</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7CF99F" w14:textId="75058A75"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813AF4" w14:textId="709DB3D8"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Nil</w:t>
            </w:r>
          </w:p>
        </w:tc>
      </w:tr>
      <w:tr w:rsidR="00E75887" w:rsidRPr="00634823" w14:paraId="78D3E609"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0ED840"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Panitumumab with FOLFIRI</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8B0A82" w14:textId="6D0963B8"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6</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1EEF6B" w14:textId="1C438C99"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&lt;5*</w:t>
            </w:r>
          </w:p>
        </w:tc>
      </w:tr>
      <w:tr w:rsidR="00E75887" w:rsidRPr="00634823" w14:paraId="368FCD20"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2CE55F"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Panitumumab with FOLFOX</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686252" w14:textId="66757BB5"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6</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90EAE3" w14:textId="4417BC73"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6</w:t>
            </w:r>
          </w:p>
        </w:tc>
      </w:tr>
      <w:tr w:rsidR="00E75887" w:rsidRPr="00634823" w14:paraId="6EF271E9"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BD031D"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Panitumumab as a single agent</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2D5C1A" w14:textId="5DA55E9E"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&lt;5*</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335938" w14:textId="2C2BC13F"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&lt;5*</w:t>
            </w:r>
          </w:p>
        </w:tc>
      </w:tr>
      <w:tr w:rsidR="00E75887" w:rsidRPr="00634823" w14:paraId="108DAD06"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08FD2A"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Pembrolizumab</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E5287A" w14:textId="25A14C4E"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&lt;5*</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4E793B" w14:textId="37F90B94"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&lt;5*</w:t>
            </w:r>
          </w:p>
        </w:tc>
      </w:tr>
      <w:tr w:rsidR="00E75887" w:rsidRPr="00634823" w14:paraId="66AF1D4E" w14:textId="77777777" w:rsidTr="00E75887">
        <w:trPr>
          <w:trHeight w:val="285"/>
        </w:trPr>
        <w:tc>
          <w:tcPr>
            <w:tcW w:w="56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336878" w14:textId="77777777" w:rsidR="00E75887" w:rsidRPr="00634823" w:rsidRDefault="00E75887" w:rsidP="00E75887">
            <w:pPr>
              <w:spacing w:before="0" w:after="0" w:line="240" w:lineRule="auto"/>
              <w:ind w:left="0" w:right="0"/>
              <w:rPr>
                <w:rFonts w:ascii="Verdana" w:hAnsi="Verdana" w:cs="Calibri"/>
                <w:b/>
                <w:bCs/>
                <w:color w:val="000000"/>
                <w:sz w:val="22"/>
                <w:szCs w:val="22"/>
              </w:rPr>
            </w:pPr>
            <w:r w:rsidRPr="00634823">
              <w:rPr>
                <w:rFonts w:ascii="Verdana" w:hAnsi="Verdana" w:cs="Calibri"/>
                <w:b/>
                <w:bCs/>
                <w:color w:val="000000"/>
                <w:sz w:val="22"/>
                <w:szCs w:val="22"/>
              </w:rPr>
              <w:t>Any other systemic anti-cancer therapy</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3B7A4B" w14:textId="683DEBEE"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40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CF59A7" w14:textId="2A90E806" w:rsidR="00E75887" w:rsidRPr="00634823" w:rsidRDefault="00E75887" w:rsidP="00634823">
            <w:pPr>
              <w:spacing w:before="0" w:after="0" w:line="240" w:lineRule="auto"/>
              <w:ind w:left="0" w:right="0"/>
              <w:jc w:val="center"/>
              <w:rPr>
                <w:rFonts w:ascii="Verdana" w:hAnsi="Verdana" w:cs="Calibri"/>
                <w:color w:val="000000"/>
                <w:sz w:val="22"/>
                <w:szCs w:val="22"/>
              </w:rPr>
            </w:pPr>
            <w:r w:rsidRPr="00634823">
              <w:rPr>
                <w:rFonts w:ascii="Verdana" w:hAnsi="Verdana" w:cs="Calibri"/>
                <w:color w:val="000000"/>
                <w:sz w:val="22"/>
                <w:szCs w:val="22"/>
              </w:rPr>
              <w:t>17</w:t>
            </w:r>
          </w:p>
        </w:tc>
      </w:tr>
    </w:tbl>
    <w:p w14:paraId="75970B72" w14:textId="67703C0A" w:rsidR="00A10460" w:rsidRPr="00634823" w:rsidRDefault="00E75887" w:rsidP="00E75887">
      <w:pPr>
        <w:spacing w:before="280"/>
        <w:rPr>
          <w:rFonts w:ascii="Verdana" w:hAnsi="Verdana"/>
          <w:b/>
          <w:bCs/>
          <w:noProof/>
          <w:sz w:val="22"/>
          <w:szCs w:val="22"/>
        </w:rPr>
      </w:pPr>
      <w:r w:rsidRPr="00634823">
        <w:rPr>
          <w:rFonts w:ascii="Verdana" w:hAnsi="Verdana"/>
          <w:bCs/>
          <w:sz w:val="22"/>
          <w:szCs w:val="22"/>
        </w:rPr>
        <w:lastRenderedPageBreak/>
        <w:t>*</w:t>
      </w:r>
      <w:r w:rsidRPr="00634823">
        <w:rPr>
          <w:rFonts w:ascii="Verdana" w:hAnsi="Verdana"/>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634823">
        <w:rPr>
          <w:rFonts w:ascii="Verdana" w:hAnsi="Verdana"/>
          <w:iCs/>
          <w:sz w:val="22"/>
          <w:szCs w:val="22"/>
        </w:rPr>
        <w:t xml:space="preserve">General Data Protection Regulation (GDPR) and Data Protection Act </w:t>
      </w:r>
      <w:proofErr w:type="gramStart"/>
      <w:r w:rsidRPr="00634823">
        <w:rPr>
          <w:rFonts w:ascii="Verdana" w:hAnsi="Verdana"/>
          <w:iCs/>
          <w:sz w:val="22"/>
          <w:szCs w:val="22"/>
        </w:rPr>
        <w:t>2018</w:t>
      </w:r>
      <w:proofErr w:type="gramEnd"/>
      <w:r w:rsidRPr="00634823">
        <w:rPr>
          <w:rFonts w:ascii="Verdana" w:hAnsi="Verdana"/>
          <w:iCs/>
          <w:sz w:val="22"/>
          <w:szCs w:val="22"/>
        </w:rPr>
        <w:t xml:space="preserve"> and its disclosure would be contrary to the data protection principles and constitute as unfair and unlawful processing </w:t>
      </w:r>
      <w:r w:rsidRPr="00634823">
        <w:rPr>
          <w:rFonts w:ascii="Verdana" w:hAnsi="Verdana"/>
          <w:bCs/>
          <w:iCs/>
          <w:sz w:val="22"/>
          <w:szCs w:val="22"/>
        </w:rPr>
        <w:t>in regard to</w:t>
      </w:r>
      <w:r w:rsidRPr="00634823">
        <w:rPr>
          <w:rFonts w:ascii="Verdana" w:hAnsi="Verdana"/>
          <w:iCs/>
          <w:sz w:val="22"/>
          <w:szCs w:val="22"/>
        </w:rPr>
        <w:t xml:space="preserve"> Articles 5, 6, and 9 of GDPR.  </w:t>
      </w:r>
      <w:r w:rsidRPr="00634823">
        <w:rPr>
          <w:rFonts w:ascii="Verdana" w:hAnsi="Verdana"/>
          <w:sz w:val="22"/>
          <w:szCs w:val="22"/>
        </w:rPr>
        <w:t>This exemption is absolute and therefore there is no requirement to apply the public interest test.</w:t>
      </w:r>
      <w:r w:rsidRPr="00634823">
        <w:rPr>
          <w:rFonts w:ascii="Verdana" w:hAnsi="Verdana"/>
          <w:sz w:val="22"/>
          <w:szCs w:val="22"/>
        </w:rPr>
        <w:br/>
      </w:r>
      <w:r w:rsidR="00421E7F" w:rsidRPr="00634823">
        <w:rPr>
          <w:rFonts w:ascii="Verdana" w:hAnsi="Verdana"/>
          <w:b/>
          <w:bCs/>
          <w:noProof/>
          <w:sz w:val="22"/>
          <w:szCs w:val="22"/>
        </w:rPr>
        <w:t xml:space="preserve">____________________________________________________________ </w:t>
      </w:r>
    </w:p>
    <w:p w14:paraId="3E9F07F4" w14:textId="77777777" w:rsidR="00421E7F" w:rsidRPr="00634823" w:rsidRDefault="00421E7F" w:rsidP="002677FD">
      <w:pPr>
        <w:rPr>
          <w:rFonts w:ascii="Verdana" w:hAnsi="Verdana"/>
          <w:b/>
          <w:bCs/>
          <w:noProof/>
          <w:sz w:val="22"/>
          <w:szCs w:val="22"/>
        </w:rPr>
      </w:pPr>
    </w:p>
    <w:sectPr w:rsidR="00421E7F" w:rsidRPr="00634823"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5E61" w14:textId="77777777" w:rsidR="00E75887" w:rsidRDefault="00E75887" w:rsidP="00E75887">
    <w:pPr>
      <w:pStyle w:val="Footer"/>
    </w:pPr>
  </w:p>
  <w:p w14:paraId="48289CEF" w14:textId="77777777" w:rsidR="00E75887" w:rsidRDefault="00E75887" w:rsidP="00E75887">
    <w:pPr>
      <w:pStyle w:val="Footer"/>
    </w:pPr>
  </w:p>
  <w:p w14:paraId="591953AA" w14:textId="77777777" w:rsidR="00E75887" w:rsidRDefault="00E75887" w:rsidP="00E75887">
    <w:pPr>
      <w:pStyle w:val="Footer"/>
      <w:tabs>
        <w:tab w:val="clear" w:pos="4513"/>
        <w:tab w:val="clear" w:pos="9026"/>
        <w:tab w:val="center" w:pos="5233"/>
        <w:tab w:val="right" w:pos="10466"/>
      </w:tabs>
      <w:spacing w:before="0" w:after="40" w:line="240" w:lineRule="auto"/>
      <w:ind w:left="0" w:right="0"/>
      <w:rPr>
        <w:color w:val="1F355E"/>
        <w:sz w:val="14"/>
        <w:szCs w:val="14"/>
      </w:rPr>
    </w:pPr>
  </w:p>
  <w:p w14:paraId="3BAB8E9A" w14:textId="77777777" w:rsidR="00E75887" w:rsidRDefault="00E75887" w:rsidP="00E75887">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2100CEBB" wp14:editId="3707942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F8A8EB9" w14:textId="77777777" w:rsidR="00E75887" w:rsidRPr="002B2CF6" w:rsidRDefault="00E75887" w:rsidP="00E75887">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419234CF" w14:textId="77777777" w:rsidR="00E75887" w:rsidRDefault="00E75887" w:rsidP="00E75887">
    <w:pPr>
      <w:pStyle w:val="Footer"/>
    </w:pPr>
    <w:r>
      <w:tab/>
    </w:r>
    <w:r>
      <w:tab/>
    </w:r>
    <w:r>
      <w:tab/>
    </w:r>
    <w:r>
      <w:tab/>
    </w:r>
    <w:r>
      <w:tab/>
    </w:r>
  </w:p>
  <w:p w14:paraId="656EA6A7" w14:textId="77777777" w:rsidR="007D6A3E" w:rsidRPr="00E75887" w:rsidRDefault="007D6A3E" w:rsidP="00E758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5pt;height:20.5pt;visibility:visible;mso-wrap-style:square" o:bullet="t">
        <v:imagedata r:id="rId1" o:title=""/>
      </v:shape>
    </w:pict>
  </w:numPicBullet>
  <w:numPicBullet w:numPicBulletId="1">
    <w:pict>
      <v:shape id="_x0000_i1047" type="#_x0000_t75" style="width:382.5pt;height:382.5pt;visibility:visible;mso-wrap-style:square" o:bullet="t">
        <v:imagedata r:id="rId2" o:title=""/>
      </v:shape>
    </w:pict>
  </w:numPicBullet>
  <w:numPicBullet w:numPicBulletId="2">
    <w:pict>
      <v:shape id="_x0000_i1048" type="#_x0000_t75" style="width:225.5pt;height:225.5pt;visibility:visible;mso-wrap-style:square" o:bullet="t">
        <v:imagedata r:id="rId3" o:title=""/>
      </v:shape>
    </w:pict>
  </w:numPicBullet>
  <w:numPicBullet w:numPicBulletId="3">
    <w:pict>
      <v:shape id="_x0000_i104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6045052">
    <w:abstractNumId w:val="13"/>
  </w:num>
  <w:num w:numId="2" w16cid:durableId="1791969085">
    <w:abstractNumId w:val="0"/>
  </w:num>
  <w:num w:numId="3" w16cid:durableId="1574385800">
    <w:abstractNumId w:val="8"/>
  </w:num>
  <w:num w:numId="4" w16cid:durableId="1865170718">
    <w:abstractNumId w:val="15"/>
  </w:num>
  <w:num w:numId="5" w16cid:durableId="1339388258">
    <w:abstractNumId w:val="4"/>
  </w:num>
  <w:num w:numId="6" w16cid:durableId="770245468">
    <w:abstractNumId w:val="3"/>
  </w:num>
  <w:num w:numId="7" w16cid:durableId="140003306">
    <w:abstractNumId w:val="10"/>
  </w:num>
  <w:num w:numId="8" w16cid:durableId="1925144117">
    <w:abstractNumId w:val="14"/>
  </w:num>
  <w:num w:numId="9" w16cid:durableId="398407585">
    <w:abstractNumId w:val="17"/>
  </w:num>
  <w:num w:numId="10" w16cid:durableId="2121024433">
    <w:abstractNumId w:val="1"/>
  </w:num>
  <w:num w:numId="11" w16cid:durableId="1728802883">
    <w:abstractNumId w:val="9"/>
  </w:num>
  <w:num w:numId="12" w16cid:durableId="513616152">
    <w:abstractNumId w:val="12"/>
  </w:num>
  <w:num w:numId="13" w16cid:durableId="725646893">
    <w:abstractNumId w:val="16"/>
  </w:num>
  <w:num w:numId="14" w16cid:durableId="10445963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48027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2793969">
    <w:abstractNumId w:val="11"/>
  </w:num>
  <w:num w:numId="17" w16cid:durableId="1058941862">
    <w:abstractNumId w:val="5"/>
  </w:num>
  <w:num w:numId="18" w16cid:durableId="699819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4823"/>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75887"/>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51953">
      <w:bodyDiv w:val="1"/>
      <w:marLeft w:val="0"/>
      <w:marRight w:val="0"/>
      <w:marTop w:val="0"/>
      <w:marBottom w:val="0"/>
      <w:divBdr>
        <w:top w:val="none" w:sz="0" w:space="0" w:color="auto"/>
        <w:left w:val="none" w:sz="0" w:space="0" w:color="auto"/>
        <w:bottom w:val="none" w:sz="0" w:space="0" w:color="auto"/>
        <w:right w:val="none" w:sz="0" w:space="0" w:color="auto"/>
      </w:divBdr>
    </w:div>
    <w:div w:id="103156983">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0351006">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96276765">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67</TotalTime>
  <Pages>2</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22</cp:revision>
  <cp:lastPrinted>2019-03-26T11:11:00Z</cp:lastPrinted>
  <dcterms:created xsi:type="dcterms:W3CDTF">2021-09-13T07:38:00Z</dcterms:created>
  <dcterms:modified xsi:type="dcterms:W3CDTF">2024-08-01T06:23:00Z</dcterms:modified>
</cp:coreProperties>
</file>