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A2461" w:rsidRPr="00FA2461">
                              <w:rPr>
                                <w:rFonts w:ascii="Verdana" w:hAnsi="Verdana"/>
                                <w:b/>
                                <w:color w:val="000000" w:themeColor="text1"/>
                                <w:sz w:val="22"/>
                                <w:szCs w:val="22"/>
                              </w:rPr>
                              <w:t>23-I-018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A2461" w:rsidRPr="00FA2461">
                        <w:rPr>
                          <w:rFonts w:ascii="Verdana" w:hAnsi="Verdana"/>
                          <w:b/>
                          <w:color w:val="000000" w:themeColor="text1"/>
                          <w:sz w:val="22"/>
                          <w:szCs w:val="22"/>
                        </w:rPr>
                        <w:t>23-I-018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FA2461" w:rsidRDefault="00A10460" w:rsidP="00D62A67">
      <w:pPr>
        <w:spacing w:before="280"/>
        <w:rPr>
          <w:rFonts w:ascii="Verdana" w:hAnsi="Verdana"/>
          <w:b/>
          <w:sz w:val="22"/>
          <w:szCs w:val="22"/>
        </w:rPr>
      </w:pPr>
      <w:r w:rsidRPr="00A10460">
        <w:rPr>
          <w:rFonts w:ascii="Verdana" w:hAnsi="Verdana"/>
          <w:sz w:val="22"/>
        </w:rPr>
        <w:br/>
      </w:r>
      <w:r w:rsidRPr="00FA2461">
        <w:rPr>
          <w:rFonts w:ascii="Verdana" w:hAnsi="Verdana"/>
          <w:b/>
          <w:sz w:val="22"/>
          <w:szCs w:val="22"/>
        </w:rPr>
        <w:t>You asked:</w:t>
      </w:r>
    </w:p>
    <w:p w:rsidR="00FA2461" w:rsidRPr="00FA2461" w:rsidRDefault="00FA2461" w:rsidP="00FA2461">
      <w:pPr>
        <w:pStyle w:val="ListParagraph"/>
        <w:numPr>
          <w:ilvl w:val="0"/>
          <w:numId w:val="20"/>
        </w:numPr>
        <w:spacing w:before="0" w:line="252" w:lineRule="auto"/>
        <w:ind w:right="0"/>
        <w:rPr>
          <w:rFonts w:ascii="Verdana" w:eastAsia="Times New Roman" w:hAnsi="Verdana"/>
          <w:b/>
          <w:sz w:val="22"/>
          <w:szCs w:val="22"/>
        </w:rPr>
      </w:pPr>
      <w:r w:rsidRPr="00FA2461">
        <w:rPr>
          <w:rFonts w:ascii="Verdana" w:eastAsia="Times New Roman" w:hAnsi="Verdana"/>
          <w:b/>
          <w:sz w:val="22"/>
          <w:szCs w:val="22"/>
        </w:rPr>
        <w:t xml:space="preserve">Does the Health Board currently commission an ear wax removal service or services within primary care or community ear care services, available to </w:t>
      </w:r>
      <w:r w:rsidRPr="00FA2461">
        <w:rPr>
          <w:rFonts w:ascii="Verdana" w:eastAsia="Times New Roman" w:hAnsi="Verdana"/>
          <w:b/>
          <w:sz w:val="22"/>
          <w:szCs w:val="22"/>
          <w:u w:val="single"/>
        </w:rPr>
        <w:t>all</w:t>
      </w:r>
      <w:r w:rsidRPr="00FA2461">
        <w:rPr>
          <w:rFonts w:ascii="Verdana" w:eastAsia="Times New Roman" w:hAnsi="Verdana"/>
          <w:b/>
          <w:sz w:val="22"/>
          <w:szCs w:val="22"/>
        </w:rPr>
        <w:t xml:space="preserve"> patients registered with GP practices within the Health Board’s boundary, as per </w:t>
      </w:r>
      <w:hyperlink r:id="rId8" w:history="1">
        <w:r w:rsidRPr="00FA2461">
          <w:rPr>
            <w:rStyle w:val="Hyperlink"/>
            <w:rFonts w:ascii="Verdana" w:eastAsia="Times New Roman" w:hAnsi="Verdana"/>
            <w:b/>
            <w:color w:val="auto"/>
            <w:sz w:val="22"/>
            <w:szCs w:val="22"/>
          </w:rPr>
          <w:t>Welsh Government’s Ear Wax Management Primary and Community Care Pathway (WHC/2020/014)</w:t>
        </w:r>
      </w:hyperlink>
      <w:r w:rsidRPr="00FA2461">
        <w:rPr>
          <w:rFonts w:ascii="Verdana" w:eastAsia="Times New Roman" w:hAnsi="Verdana"/>
          <w:b/>
          <w:sz w:val="22"/>
          <w:szCs w:val="22"/>
        </w:rPr>
        <w:t>?</w:t>
      </w:r>
    </w:p>
    <w:p w:rsidR="00FA2461" w:rsidRPr="00FA2461" w:rsidRDefault="00FA2461" w:rsidP="00FA2461">
      <w:pPr>
        <w:spacing w:before="0" w:line="252" w:lineRule="auto"/>
        <w:ind w:left="644" w:right="0"/>
        <w:contextualSpacing/>
        <w:rPr>
          <w:rFonts w:ascii="Verdana" w:eastAsia="Times New Roman" w:hAnsi="Verdana"/>
          <w:b/>
          <w:sz w:val="22"/>
          <w:szCs w:val="22"/>
        </w:rPr>
      </w:pPr>
    </w:p>
    <w:p w:rsidR="00FA2461" w:rsidRPr="00FA2461" w:rsidRDefault="00FA2461" w:rsidP="00FA2461">
      <w:pPr>
        <w:spacing w:before="0" w:line="252" w:lineRule="auto"/>
        <w:ind w:left="580" w:right="0"/>
        <w:contextualSpacing/>
        <w:rPr>
          <w:rFonts w:ascii="Verdana" w:eastAsia="Times New Roman" w:hAnsi="Verdana"/>
          <w:sz w:val="22"/>
          <w:szCs w:val="22"/>
        </w:rPr>
      </w:pPr>
      <w:r w:rsidRPr="00FA2461">
        <w:rPr>
          <w:rFonts w:ascii="Verdana" w:eastAsia="Times New Roman" w:hAnsi="Verdana"/>
          <w:sz w:val="22"/>
          <w:szCs w:val="22"/>
        </w:rPr>
        <w:t xml:space="preserve">The Audiology service delivers an ear wax removal service to all patients </w:t>
      </w:r>
      <w:r w:rsidR="004B4EEC">
        <w:rPr>
          <w:rFonts w:ascii="Verdana" w:eastAsia="Times New Roman" w:hAnsi="Verdana"/>
          <w:sz w:val="22"/>
          <w:szCs w:val="22"/>
        </w:rPr>
        <w:t xml:space="preserve">who are </w:t>
      </w:r>
      <w:r w:rsidRPr="00FA2461">
        <w:rPr>
          <w:rFonts w:ascii="Verdana" w:eastAsia="Times New Roman" w:hAnsi="Verdana"/>
          <w:sz w:val="22"/>
          <w:szCs w:val="22"/>
        </w:rPr>
        <w:t>resident within the Health Board’s boundary</w:t>
      </w:r>
    </w:p>
    <w:p w:rsidR="00FA2461" w:rsidRPr="00FA2461" w:rsidRDefault="00FA2461" w:rsidP="00FA2461">
      <w:pPr>
        <w:spacing w:line="252" w:lineRule="auto"/>
        <w:contextualSpacing/>
        <w:rPr>
          <w:rFonts w:ascii="Verdana" w:eastAsiaTheme="minorHAnsi" w:hAnsi="Verdana"/>
          <w:sz w:val="22"/>
          <w:szCs w:val="22"/>
        </w:rPr>
      </w:pPr>
    </w:p>
    <w:p w:rsidR="00FA2461" w:rsidRPr="00FA2461" w:rsidRDefault="00FA2461" w:rsidP="00FA2461">
      <w:pPr>
        <w:pStyle w:val="ListParagraph"/>
        <w:numPr>
          <w:ilvl w:val="0"/>
          <w:numId w:val="20"/>
        </w:numPr>
        <w:spacing w:before="0" w:line="252" w:lineRule="auto"/>
        <w:ind w:right="0"/>
        <w:rPr>
          <w:rFonts w:ascii="Verdana" w:eastAsia="Times New Roman" w:hAnsi="Verdana"/>
          <w:b/>
          <w:sz w:val="22"/>
          <w:szCs w:val="22"/>
        </w:rPr>
      </w:pPr>
      <w:r w:rsidRPr="00FA2461">
        <w:rPr>
          <w:rFonts w:ascii="Verdana" w:eastAsia="Times New Roman" w:hAnsi="Verdana"/>
          <w:b/>
          <w:sz w:val="22"/>
          <w:szCs w:val="22"/>
        </w:rPr>
        <w:t xml:space="preserve">If it does, how can a patient access this service or services when it is considered clinically necessary and/or self-care advice, if appropriate, has been unsuccessful? </w:t>
      </w:r>
    </w:p>
    <w:p w:rsidR="00FA2461" w:rsidRPr="00FA2461" w:rsidRDefault="00FA2461" w:rsidP="00FA2461">
      <w:pPr>
        <w:spacing w:before="0" w:line="252" w:lineRule="auto"/>
        <w:ind w:left="284" w:right="0"/>
        <w:contextualSpacing/>
        <w:rPr>
          <w:rFonts w:ascii="Verdana" w:eastAsia="Times New Roman" w:hAnsi="Verdana"/>
          <w:b/>
          <w:sz w:val="22"/>
          <w:szCs w:val="22"/>
        </w:rPr>
      </w:pPr>
    </w:p>
    <w:p w:rsidR="00FA2461" w:rsidRPr="00FA2461" w:rsidRDefault="00FA2461" w:rsidP="00FA2461">
      <w:pPr>
        <w:spacing w:before="0" w:line="252" w:lineRule="auto"/>
        <w:ind w:left="284" w:right="0" w:firstLine="360"/>
        <w:contextualSpacing/>
        <w:rPr>
          <w:rFonts w:ascii="Verdana" w:eastAsia="Times New Roman" w:hAnsi="Verdana"/>
          <w:sz w:val="22"/>
          <w:szCs w:val="22"/>
        </w:rPr>
      </w:pPr>
      <w:r w:rsidRPr="00FA2461">
        <w:rPr>
          <w:rFonts w:ascii="Verdana" w:eastAsia="Times New Roman" w:hAnsi="Verdana"/>
          <w:sz w:val="22"/>
          <w:szCs w:val="22"/>
        </w:rPr>
        <w:t xml:space="preserve">Patients </w:t>
      </w:r>
      <w:r>
        <w:rPr>
          <w:rFonts w:ascii="Verdana" w:eastAsia="Times New Roman" w:hAnsi="Verdana"/>
          <w:sz w:val="22"/>
          <w:szCs w:val="22"/>
        </w:rPr>
        <w:t>can a</w:t>
      </w:r>
      <w:r w:rsidRPr="00FA2461">
        <w:rPr>
          <w:rFonts w:ascii="Verdana" w:eastAsia="Times New Roman" w:hAnsi="Verdana"/>
          <w:sz w:val="22"/>
          <w:szCs w:val="22"/>
        </w:rPr>
        <w:t>ccess the service via their GP practice booking staff</w:t>
      </w:r>
    </w:p>
    <w:p w:rsidR="00FA2461" w:rsidRPr="00FA2461" w:rsidRDefault="00FA2461" w:rsidP="00FA2461">
      <w:pPr>
        <w:spacing w:line="252" w:lineRule="auto"/>
        <w:contextualSpacing/>
        <w:rPr>
          <w:rFonts w:ascii="Verdana" w:eastAsiaTheme="minorHAnsi" w:hAnsi="Verdana"/>
          <w:sz w:val="22"/>
          <w:szCs w:val="22"/>
        </w:rPr>
      </w:pPr>
    </w:p>
    <w:p w:rsidR="00FA2461" w:rsidRPr="00FA2461" w:rsidRDefault="00FA2461" w:rsidP="00FA2461">
      <w:pPr>
        <w:numPr>
          <w:ilvl w:val="0"/>
          <w:numId w:val="20"/>
        </w:numPr>
        <w:spacing w:before="0" w:line="252" w:lineRule="auto"/>
        <w:ind w:right="0"/>
        <w:contextualSpacing/>
        <w:rPr>
          <w:rFonts w:ascii="Verdana" w:eastAsia="Times New Roman" w:hAnsi="Verdana"/>
          <w:b/>
          <w:sz w:val="22"/>
          <w:szCs w:val="22"/>
        </w:rPr>
      </w:pPr>
      <w:r w:rsidRPr="00FA2461">
        <w:rPr>
          <w:rFonts w:ascii="Verdana" w:eastAsia="Times New Roman" w:hAnsi="Verdana"/>
          <w:b/>
          <w:sz w:val="22"/>
          <w:szCs w:val="22"/>
        </w:rPr>
        <w:t xml:space="preserve">If the Health Board does commission this service or services within primary care or community ear care services, please provide the name or names of those commissioned providers. </w:t>
      </w:r>
    </w:p>
    <w:p w:rsidR="00FA2461" w:rsidRDefault="00FA2461" w:rsidP="00FA2461">
      <w:pPr>
        <w:spacing w:before="0" w:line="252" w:lineRule="auto"/>
        <w:ind w:left="644" w:right="0"/>
        <w:contextualSpacing/>
        <w:rPr>
          <w:rFonts w:ascii="Verdana" w:eastAsia="Times New Roman" w:hAnsi="Verdana"/>
          <w:sz w:val="22"/>
          <w:szCs w:val="22"/>
        </w:rPr>
      </w:pPr>
    </w:p>
    <w:p w:rsidR="00FA2461" w:rsidRPr="00FA2461" w:rsidRDefault="00FA2461" w:rsidP="00FA2461">
      <w:pPr>
        <w:spacing w:before="0" w:line="252" w:lineRule="auto"/>
        <w:ind w:left="644" w:right="0"/>
        <w:contextualSpacing/>
        <w:rPr>
          <w:rFonts w:ascii="Verdana" w:eastAsia="Times New Roman" w:hAnsi="Verdana"/>
          <w:sz w:val="22"/>
          <w:szCs w:val="22"/>
        </w:rPr>
      </w:pPr>
      <w:r w:rsidRPr="00FA2461">
        <w:rPr>
          <w:rFonts w:ascii="Verdana" w:eastAsia="Times New Roman" w:hAnsi="Verdana"/>
          <w:sz w:val="22"/>
          <w:szCs w:val="22"/>
        </w:rPr>
        <w:t xml:space="preserve">The Audiology </w:t>
      </w:r>
      <w:r>
        <w:rPr>
          <w:rFonts w:ascii="Verdana" w:eastAsia="Times New Roman" w:hAnsi="Verdana"/>
          <w:sz w:val="22"/>
          <w:szCs w:val="22"/>
        </w:rPr>
        <w:t>S</w:t>
      </w:r>
      <w:r w:rsidRPr="00FA2461">
        <w:rPr>
          <w:rFonts w:ascii="Verdana" w:eastAsia="Times New Roman" w:hAnsi="Verdana"/>
          <w:sz w:val="22"/>
          <w:szCs w:val="22"/>
        </w:rPr>
        <w:t>ervice</w:t>
      </w:r>
      <w:r>
        <w:rPr>
          <w:rFonts w:ascii="Verdana" w:eastAsia="Times New Roman" w:hAnsi="Verdana"/>
          <w:sz w:val="22"/>
          <w:szCs w:val="22"/>
        </w:rPr>
        <w:t>.</w:t>
      </w:r>
    </w:p>
    <w:p w:rsidR="00FA2461" w:rsidRPr="00FA2461" w:rsidRDefault="00FA2461" w:rsidP="00FA2461">
      <w:pPr>
        <w:spacing w:line="252" w:lineRule="auto"/>
        <w:contextualSpacing/>
        <w:rPr>
          <w:rFonts w:ascii="Verdana" w:eastAsiaTheme="minorHAnsi" w:hAnsi="Verdana"/>
          <w:sz w:val="22"/>
          <w:szCs w:val="22"/>
        </w:rPr>
      </w:pPr>
    </w:p>
    <w:p w:rsidR="00FA2461" w:rsidRPr="00FA2461" w:rsidRDefault="00FA2461" w:rsidP="00FA2461">
      <w:pPr>
        <w:numPr>
          <w:ilvl w:val="0"/>
          <w:numId w:val="20"/>
        </w:numPr>
        <w:spacing w:before="0" w:line="252" w:lineRule="auto"/>
        <w:ind w:right="0"/>
        <w:contextualSpacing/>
        <w:rPr>
          <w:rFonts w:ascii="Verdana" w:eastAsia="Times New Roman" w:hAnsi="Verdana"/>
          <w:b/>
          <w:sz w:val="22"/>
          <w:szCs w:val="22"/>
        </w:rPr>
      </w:pPr>
      <w:r w:rsidRPr="00FA2461">
        <w:rPr>
          <w:rFonts w:ascii="Verdana" w:eastAsia="Times New Roman" w:hAnsi="Verdana"/>
          <w:b/>
          <w:sz w:val="22"/>
          <w:szCs w:val="22"/>
        </w:rPr>
        <w:t xml:space="preserve">Does the Health Board have a policy or guidance on ear wax removal and/or referral pathways for its primary care providers for patients for whom the benefit of ear wax removal is clinically indicated? </w:t>
      </w:r>
    </w:p>
    <w:p w:rsidR="00FA2461" w:rsidRDefault="00FA2461" w:rsidP="00FA2461">
      <w:pPr>
        <w:spacing w:before="0" w:line="252" w:lineRule="auto"/>
        <w:ind w:left="644" w:right="0"/>
        <w:contextualSpacing/>
        <w:rPr>
          <w:rFonts w:ascii="Verdana" w:eastAsia="Times New Roman" w:hAnsi="Verdana"/>
          <w:sz w:val="22"/>
          <w:szCs w:val="22"/>
        </w:rPr>
      </w:pPr>
    </w:p>
    <w:p w:rsidR="00FA2461" w:rsidRPr="00FA2461" w:rsidRDefault="00FA2461" w:rsidP="00FA2461">
      <w:pPr>
        <w:spacing w:before="0" w:line="252" w:lineRule="auto"/>
        <w:ind w:left="644" w:right="0"/>
        <w:contextualSpacing/>
        <w:rPr>
          <w:rFonts w:ascii="Verdana" w:eastAsia="Times New Roman" w:hAnsi="Verdana"/>
          <w:sz w:val="22"/>
          <w:szCs w:val="22"/>
        </w:rPr>
      </w:pPr>
      <w:r w:rsidRPr="00FA2461">
        <w:rPr>
          <w:rFonts w:ascii="Verdana" w:eastAsia="Times New Roman" w:hAnsi="Verdana"/>
          <w:sz w:val="22"/>
          <w:szCs w:val="22"/>
        </w:rPr>
        <w:t xml:space="preserve">Yes, </w:t>
      </w:r>
      <w:r>
        <w:rPr>
          <w:rFonts w:ascii="Verdana" w:eastAsia="Times New Roman" w:hAnsi="Verdana"/>
          <w:sz w:val="22"/>
          <w:szCs w:val="22"/>
        </w:rPr>
        <w:t xml:space="preserve">this is </w:t>
      </w:r>
      <w:r w:rsidRPr="00FA2461">
        <w:rPr>
          <w:rFonts w:ascii="Verdana" w:eastAsia="Times New Roman" w:hAnsi="Verdana"/>
          <w:sz w:val="22"/>
          <w:szCs w:val="22"/>
        </w:rPr>
        <w:t>shared with all GP practices</w:t>
      </w:r>
    </w:p>
    <w:p w:rsidR="00FA2461" w:rsidRPr="00FA2461" w:rsidRDefault="00FA2461" w:rsidP="00FA2461">
      <w:pPr>
        <w:spacing w:line="252" w:lineRule="auto"/>
        <w:contextualSpacing/>
        <w:rPr>
          <w:rFonts w:ascii="Verdana" w:eastAsiaTheme="minorHAnsi" w:hAnsi="Verdana"/>
          <w:sz w:val="22"/>
          <w:szCs w:val="22"/>
        </w:rPr>
      </w:pPr>
    </w:p>
    <w:p w:rsidR="00FA2461" w:rsidRPr="00FA2461" w:rsidRDefault="00FA2461" w:rsidP="00FA2461">
      <w:pPr>
        <w:numPr>
          <w:ilvl w:val="0"/>
          <w:numId w:val="20"/>
        </w:numPr>
        <w:spacing w:before="0" w:line="252" w:lineRule="auto"/>
        <w:ind w:right="0"/>
        <w:contextualSpacing/>
        <w:rPr>
          <w:rFonts w:ascii="Verdana" w:eastAsia="Times New Roman" w:hAnsi="Verdana"/>
          <w:b/>
          <w:sz w:val="22"/>
          <w:szCs w:val="22"/>
        </w:rPr>
      </w:pPr>
      <w:r w:rsidRPr="00FA2461">
        <w:rPr>
          <w:rFonts w:ascii="Verdana" w:eastAsia="Times New Roman" w:hAnsi="Verdana"/>
          <w:b/>
          <w:sz w:val="22"/>
          <w:szCs w:val="22"/>
        </w:rPr>
        <w:t xml:space="preserve">If the Health Board has issued such guidance, please provide a copy. </w:t>
      </w:r>
    </w:p>
    <w:p w:rsidR="00FA2461" w:rsidRDefault="00FA2461" w:rsidP="00FA2461">
      <w:pPr>
        <w:spacing w:before="280"/>
        <w:ind w:left="644"/>
        <w:rPr>
          <w:rFonts w:ascii="Verdana" w:hAnsi="Verdana"/>
          <w:sz w:val="22"/>
          <w:szCs w:val="22"/>
        </w:rPr>
      </w:pPr>
      <w:r>
        <w:rPr>
          <w:rFonts w:ascii="Verdana" w:hAnsi="Verdana"/>
          <w:sz w:val="22"/>
          <w:szCs w:val="22"/>
        </w:rPr>
        <w:t xml:space="preserve">Please see attached guidance. </w:t>
      </w:r>
      <w:r w:rsidR="00B84FB6">
        <w:rPr>
          <w:rFonts w:ascii="Verdana" w:hAnsi="Verdana"/>
          <w:sz w:val="22"/>
          <w:szCs w:val="22"/>
        </w:rPr>
        <w:t>Staff mem</w:t>
      </w:r>
      <w:bookmarkStart w:id="0" w:name="_GoBack"/>
      <w:bookmarkEnd w:id="0"/>
      <w:r w:rsidR="00B84FB6">
        <w:rPr>
          <w:rFonts w:ascii="Verdana" w:hAnsi="Verdana"/>
          <w:sz w:val="22"/>
          <w:szCs w:val="22"/>
        </w:rPr>
        <w:t>bers names have been withheld.</w:t>
      </w:r>
    </w:p>
    <w:p w:rsidR="00B84FB6" w:rsidRDefault="00B84FB6" w:rsidP="00FA2461">
      <w:pPr>
        <w:spacing w:before="280"/>
        <w:ind w:left="644"/>
        <w:rPr>
          <w:rFonts w:ascii="Verdana" w:hAnsi="Verdana"/>
          <w:sz w:val="22"/>
          <w:szCs w:val="22"/>
        </w:rPr>
      </w:pPr>
    </w:p>
    <w:p w:rsidR="00B84FB6" w:rsidRPr="00FC3B42" w:rsidRDefault="00B84FB6" w:rsidP="00B84FB6">
      <w:pPr>
        <w:rPr>
          <w:rFonts w:ascii="Verdana" w:hAnsi="Verdana"/>
          <w:iCs/>
          <w:sz w:val="22"/>
          <w:szCs w:val="22"/>
        </w:rPr>
      </w:pPr>
      <w:r w:rsidRPr="00FC3B42">
        <w:rPr>
          <w:rFonts w:ascii="Verdana" w:hAnsi="Verdana" w:cs="Times New Roman"/>
          <w:sz w:val="22"/>
          <w:szCs w:val="22"/>
        </w:rPr>
        <w:t xml:space="preserve">It is not our usual practice to disclose the names of staff other than those at Executive/Consultant level.  </w:t>
      </w:r>
      <w:r w:rsidR="0026293F" w:rsidRPr="00FC3B42">
        <w:rPr>
          <w:rFonts w:ascii="Verdana" w:hAnsi="Verdana" w:cs="Times New Roman"/>
          <w:sz w:val="22"/>
          <w:szCs w:val="22"/>
        </w:rPr>
        <w:t>Therefore,</w:t>
      </w:r>
      <w:r w:rsidRPr="00FC3B42">
        <w:rPr>
          <w:rFonts w:ascii="Verdana" w:hAnsi="Verdana" w:cs="Times New Roman"/>
          <w:sz w:val="22"/>
          <w:szCs w:val="22"/>
        </w:rPr>
        <w:t xml:space="preserve"> the members of staff who </w:t>
      </w:r>
      <w:r w:rsidR="00826CD2">
        <w:rPr>
          <w:rFonts w:ascii="Verdana" w:hAnsi="Verdana" w:cs="Times New Roman"/>
          <w:sz w:val="22"/>
          <w:szCs w:val="22"/>
        </w:rPr>
        <w:t xml:space="preserve">are </w:t>
      </w:r>
      <w:r>
        <w:rPr>
          <w:rFonts w:ascii="Verdana" w:hAnsi="Verdana" w:cs="Times New Roman"/>
          <w:sz w:val="22"/>
          <w:szCs w:val="22"/>
        </w:rPr>
        <w:t>author</w:t>
      </w:r>
      <w:r w:rsidR="00826CD2">
        <w:rPr>
          <w:rFonts w:ascii="Verdana" w:hAnsi="Verdana" w:cs="Times New Roman"/>
          <w:sz w:val="22"/>
          <w:szCs w:val="22"/>
        </w:rPr>
        <w:t>s of</w:t>
      </w:r>
      <w:r>
        <w:rPr>
          <w:rFonts w:ascii="Verdana" w:hAnsi="Verdana" w:cs="Times New Roman"/>
          <w:sz w:val="22"/>
          <w:szCs w:val="22"/>
        </w:rPr>
        <w:t xml:space="preserve"> the protocol </w:t>
      </w:r>
      <w:r w:rsidR="00826CD2">
        <w:rPr>
          <w:rFonts w:ascii="Verdana" w:hAnsi="Verdana" w:cs="Times New Roman"/>
          <w:sz w:val="22"/>
          <w:szCs w:val="22"/>
        </w:rPr>
        <w:t>have been</w:t>
      </w:r>
      <w:r w:rsidRPr="00FC3B42">
        <w:rPr>
          <w:rFonts w:ascii="Verdana" w:hAnsi="Verdana" w:cs="Times New Roman"/>
          <w:sz w:val="22"/>
          <w:szCs w:val="22"/>
        </w:rPr>
        <w:t xml:space="preserve"> withheld under section 40(2) of the Freedom of Information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B84FB6" w:rsidRPr="00FC3B42" w:rsidRDefault="00B84FB6" w:rsidP="00B84FB6">
      <w:pPr>
        <w:pBdr>
          <w:bottom w:val="single" w:sz="6" w:space="1" w:color="auto"/>
        </w:pBdr>
        <w:rPr>
          <w:rFonts w:ascii="Verdana" w:hAnsi="Verdana"/>
          <w:b/>
          <w:sz w:val="22"/>
          <w:szCs w:val="22"/>
        </w:rPr>
      </w:pPr>
    </w:p>
    <w:p w:rsidR="00B84FB6" w:rsidRPr="00FA2461" w:rsidRDefault="00B84FB6" w:rsidP="00FA2461">
      <w:pPr>
        <w:spacing w:before="280"/>
        <w:ind w:left="644"/>
        <w:rPr>
          <w:rFonts w:ascii="Verdana" w:hAnsi="Verdana"/>
          <w:sz w:val="22"/>
          <w:szCs w:val="22"/>
        </w:rPr>
      </w:pPr>
    </w:p>
    <w:sectPr w:rsidR="00B84FB6" w:rsidRPr="00FA2461"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26CD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8F108B9"/>
    <w:multiLevelType w:val="hybridMultilevel"/>
    <w:tmpl w:val="C4DA5862"/>
    <w:lvl w:ilvl="0" w:tplc="0809000F">
      <w:start w:val="1"/>
      <w:numFmt w:val="decimal"/>
      <w:lvlText w:val="%1."/>
      <w:lvlJc w:val="left"/>
      <w:pPr>
        <w:ind w:left="644"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97C6643"/>
    <w:multiLevelType w:val="hybridMultilevel"/>
    <w:tmpl w:val="CC64CC08"/>
    <w:lvl w:ilvl="0" w:tplc="08090001">
      <w:start w:val="1"/>
      <w:numFmt w:val="bullet"/>
      <w:lvlText w:val=""/>
      <w:lvlJc w:val="left"/>
      <w:pPr>
        <w:ind w:left="644"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5B413CD"/>
    <w:multiLevelType w:val="hybridMultilevel"/>
    <w:tmpl w:val="D94A8532"/>
    <w:lvl w:ilvl="0" w:tplc="E3B654B4">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4"/>
  </w:num>
  <w:num w:numId="6">
    <w:abstractNumId w:val="2"/>
  </w:num>
  <w:num w:numId="7">
    <w:abstractNumId w:val="11"/>
  </w:num>
  <w:num w:numId="8">
    <w:abstractNumId w:val="16"/>
  </w:num>
  <w:num w:numId="9">
    <w:abstractNumId w:val="19"/>
  </w:num>
  <w:num w:numId="10">
    <w:abstractNumId w:val="1"/>
  </w:num>
  <w:num w:numId="11">
    <w:abstractNumId w:val="9"/>
  </w:num>
  <w:num w:numId="12">
    <w:abstractNumId w:val="13"/>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293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4EEC"/>
    <w:rsid w:val="004C59CA"/>
    <w:rsid w:val="004C7B47"/>
    <w:rsid w:val="004E1954"/>
    <w:rsid w:val="004F1E5A"/>
    <w:rsid w:val="005317D4"/>
    <w:rsid w:val="00534D7A"/>
    <w:rsid w:val="00553E1D"/>
    <w:rsid w:val="005925B8"/>
    <w:rsid w:val="005F0E79"/>
    <w:rsid w:val="00602EE5"/>
    <w:rsid w:val="00606104"/>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26CD2"/>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84FB6"/>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A2461"/>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0CF7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14536236">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42284798">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4111952">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zryA5WBRvK9Uryg7xL_AK9p9N2rIXWpR56F7v5D4_g&amp;u=https%3a%2f%2fwww%2egov%2ewales%2fsites%2fdefault%2ffiles%2fpublications%2f2020-10%2fear-wax-management-primary-and-community-care-pathway-whc2020014%2e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2D0B9-6018-4ADD-BAB2-38A72ADDC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62</TotalTime>
  <Pages>2</Pages>
  <Words>385</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Carly-Mari Jones (Swansea Bay UHB - Gastroenterology )</cp:lastModifiedBy>
  <cp:revision>17</cp:revision>
  <cp:lastPrinted>2019-03-26T11:11:00Z</cp:lastPrinted>
  <dcterms:created xsi:type="dcterms:W3CDTF">2021-09-13T07:38:00Z</dcterms:created>
  <dcterms:modified xsi:type="dcterms:W3CDTF">2023-10-03T13:48:00Z</dcterms:modified>
</cp:coreProperties>
</file>