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840A6A" w:rsidRDefault="00A10460" w:rsidP="00840A6A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840A6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23-G-025</w:t>
                            </w:r>
                          </w:p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840A6A" w:rsidRDefault="00A10460" w:rsidP="00840A6A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840A6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23-G-025</w:t>
                      </w:r>
                    </w:p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40A6A" w:rsidRPr="00840A6A" w:rsidRDefault="00840A6A" w:rsidP="00840A6A">
      <w:p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>In the past 3 months, how many early-stage (non-metastatic or Stages 1-3) Non-small cell lung cancer patients received the following treatments:</w:t>
      </w:r>
    </w:p>
    <w:p w:rsidR="00840A6A" w:rsidRPr="00840A6A" w:rsidRDefault="00840A6A" w:rsidP="00840A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>Atezolizumab</w:t>
      </w:r>
    </w:p>
    <w:p w:rsidR="00840A6A" w:rsidRPr="00840A6A" w:rsidRDefault="00840A6A" w:rsidP="00840A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 xml:space="preserve">Durvalumab </w:t>
      </w:r>
    </w:p>
    <w:p w:rsidR="00840A6A" w:rsidRPr="00840A6A" w:rsidRDefault="00840A6A" w:rsidP="00840A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>Nivolumab</w:t>
      </w:r>
    </w:p>
    <w:p w:rsidR="00840A6A" w:rsidRPr="00840A6A" w:rsidRDefault="00840A6A" w:rsidP="00840A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>Pembrolizumab</w:t>
      </w:r>
    </w:p>
    <w:p w:rsidR="00840A6A" w:rsidRPr="00840A6A" w:rsidRDefault="00840A6A" w:rsidP="00840A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>Chemotherapy (Platinum, Taxane, Vinorelbine, Gemcitabine, Pemetrexed) only</w:t>
      </w:r>
    </w:p>
    <w:p w:rsidR="00840A6A" w:rsidRPr="00840A6A" w:rsidRDefault="00840A6A" w:rsidP="00840A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>Radiotherapy only</w:t>
      </w:r>
    </w:p>
    <w:p w:rsidR="002677FD" w:rsidRPr="00840A6A" w:rsidRDefault="00840A6A" w:rsidP="00840A6A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>Chemotherapy + radiotherapy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840A6A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840A6A" w:rsidRPr="00840A6A" w:rsidRDefault="00840A6A" w:rsidP="00421E7F">
      <w:pPr>
        <w:rPr>
          <w:rFonts w:ascii="Verdana" w:hAnsi="Verdana"/>
          <w:bCs/>
          <w:noProof/>
          <w:sz w:val="22"/>
          <w:szCs w:val="22"/>
        </w:rPr>
      </w:pPr>
      <w:r w:rsidRPr="00840A6A">
        <w:rPr>
          <w:rFonts w:ascii="Verdana" w:hAnsi="Verdana"/>
          <w:bCs/>
          <w:noProof/>
          <w:sz w:val="22"/>
          <w:szCs w:val="22"/>
        </w:rPr>
        <w:t xml:space="preserve">I can confirm that this information is not held centrally. Our information systems do not record treatment by the “staging” of the cancer by treatment type.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40A6A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63" type="#_x0000_t75" style="width:383.65pt;height:383.65pt;visibility:visible;mso-wrap-style:square" o:bullet="t">
        <v:imagedata r:id="rId2" o:title=""/>
      </v:shape>
    </w:pict>
  </w:numPicBullet>
  <w:numPicBullet w:numPicBulletId="2">
    <w:pict>
      <v:shape id="_x0000_i1064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65" type="#_x0000_t75" style="width:16.1pt;height:16.1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3C25C35"/>
    <w:multiLevelType w:val="hybridMultilevel"/>
    <w:tmpl w:val="6FE62DD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0A6A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3A31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30F6-5D3C-4BAF-BFF9-144AB3FB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2023-07-31T13:59:00Z</dcterms:modified>
</cp:coreProperties>
</file>