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ac </w:t>
      </w:r>
      <w:proofErr w:type="spellStart"/>
      <w:proofErr w:type="gramStart"/>
      <w:r w:rsidRPr="007A5616">
        <w:rPr>
          <w:sz w:val="16"/>
          <w:szCs w:val="20"/>
        </w:rPr>
        <w:t>ni</w:t>
      </w:r>
      <w:proofErr w:type="spellEnd"/>
      <w:proofErr w:type="gram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977D68">
                              <w:rPr>
                                <w:rFonts w:ascii="Verdana" w:hAnsi="Verdana"/>
                                <w:b/>
                                <w:sz w:val="22"/>
                                <w:szCs w:val="22"/>
                              </w:rPr>
                              <w:t xml:space="preserve"> 23-H-053</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977D68">
                        <w:rPr>
                          <w:rFonts w:ascii="Verdana" w:hAnsi="Verdana"/>
                          <w:b/>
                          <w:sz w:val="22"/>
                          <w:szCs w:val="22"/>
                        </w:rPr>
                        <w:t xml:space="preserve"> 23-H-053</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rsidR="00DC7FA9" w:rsidRPr="00A10460" w:rsidRDefault="00DC7FA9" w:rsidP="00D62A67">
      <w:pPr>
        <w:spacing w:before="280"/>
        <w:rPr>
          <w:rFonts w:ascii="Verdana" w:hAnsi="Verdana"/>
          <w:sz w:val="22"/>
        </w:rPr>
      </w:pPr>
    </w:p>
    <w:p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rsidR="00977D68" w:rsidRPr="00977D68" w:rsidRDefault="00977D68" w:rsidP="00977D68">
      <w:pPr>
        <w:pStyle w:val="NormalWeb"/>
        <w:ind w:left="505"/>
        <w:rPr>
          <w:rFonts w:ascii="Verdana" w:hAnsi="Verdana" w:cs="Tahoma"/>
          <w:b/>
          <w:sz w:val="22"/>
          <w:szCs w:val="22"/>
        </w:rPr>
      </w:pPr>
      <w:r w:rsidRPr="00977D68">
        <w:rPr>
          <w:rFonts w:ascii="Verdana" w:hAnsi="Verdana" w:cs="Arial"/>
          <w:b/>
          <w:sz w:val="22"/>
          <w:szCs w:val="22"/>
        </w:rPr>
        <w:t>I would like to make an application under the Freedom of Information Act 2000 for the following information regarding the misuse of the drug Ketamine which is used medically for induction and maintenance of anaesthesia. </w:t>
      </w:r>
      <w:r w:rsidRPr="00977D68">
        <w:rPr>
          <w:rFonts w:ascii="Verdana" w:hAnsi="Verdana" w:cs="Arial"/>
          <w:b/>
          <w:sz w:val="22"/>
          <w:szCs w:val="22"/>
        </w:rPr>
        <w:br/>
      </w:r>
    </w:p>
    <w:p w:rsidR="00977D68" w:rsidRPr="00977D68" w:rsidRDefault="00977D68" w:rsidP="00977D68">
      <w:pPr>
        <w:pStyle w:val="NormalWeb"/>
        <w:numPr>
          <w:ilvl w:val="0"/>
          <w:numId w:val="20"/>
        </w:numPr>
        <w:rPr>
          <w:rFonts w:ascii="Verdana" w:hAnsi="Verdana" w:cs="Tahoma"/>
          <w:sz w:val="22"/>
          <w:szCs w:val="22"/>
        </w:rPr>
      </w:pPr>
      <w:r w:rsidRPr="00977D68">
        <w:rPr>
          <w:rFonts w:ascii="Verdana" w:hAnsi="Verdana" w:cs="Arial"/>
          <w:b/>
          <w:bCs/>
          <w:sz w:val="22"/>
          <w:szCs w:val="22"/>
        </w:rPr>
        <w:t>How many patients have you admitted in the past five years suffering from the effects of Ketamine misuse? (Please provide an annual breakdown)</w:t>
      </w:r>
      <w:r w:rsidRPr="00977D68">
        <w:rPr>
          <w:rFonts w:ascii="Verdana" w:hAnsi="Verdana" w:cs="Arial"/>
          <w:i/>
          <w:iCs/>
          <w:sz w:val="22"/>
          <w:szCs w:val="22"/>
        </w:rPr>
        <w:t> </w:t>
      </w:r>
    </w:p>
    <w:p w:rsidR="00977D68" w:rsidRPr="00977D68" w:rsidRDefault="00977D68" w:rsidP="00977D68">
      <w:pPr>
        <w:pStyle w:val="NormalWeb"/>
        <w:ind w:left="895"/>
        <w:rPr>
          <w:rFonts w:ascii="Verdana" w:hAnsi="Verdana" w:cs="Tahoma"/>
          <w:sz w:val="22"/>
          <w:szCs w:val="22"/>
        </w:rPr>
      </w:pPr>
      <w:r>
        <w:rPr>
          <w:rFonts w:ascii="Verdana" w:hAnsi="Verdana" w:cs="Arial"/>
          <w:iCs/>
          <w:sz w:val="22"/>
          <w:szCs w:val="22"/>
        </w:rPr>
        <w:t xml:space="preserve">I can confirm the SBUHB do not hold this information centrally. Admissions for drug misuse/overdose are categorised generally and not under “Ketamine” specifically. </w:t>
      </w:r>
      <w:r w:rsidRPr="00524A9A">
        <w:rPr>
          <w:rFonts w:ascii="Verdana" w:hAnsi="Verdana"/>
          <w:sz w:val="22"/>
          <w:szCs w:val="22"/>
        </w:rPr>
        <w:t xml:space="preserve">To obtain this information would involve a manual trawl and search of records which we have estimated would significantly exceed the 18 hours limit set down by the </w:t>
      </w:r>
      <w:smartTag w:uri="urn:schemas-microsoft-com:office:smarttags" w:element="address">
        <w:r w:rsidRPr="00524A9A">
          <w:rPr>
            <w:rFonts w:ascii="Verdana" w:hAnsi="Verdana"/>
            <w:sz w:val="22"/>
            <w:szCs w:val="22"/>
          </w:rPr>
          <w:t>FOI</w:t>
        </w:r>
      </w:smartTag>
      <w:r w:rsidRPr="00524A9A">
        <w:rPr>
          <w:rFonts w:ascii="Verdana" w:hAnsi="Verdana"/>
          <w:sz w:val="22"/>
          <w:szCs w:val="22"/>
        </w:rPr>
        <w:t xml:space="preserve"> Act as the reasonable limit. </w:t>
      </w:r>
      <w:r w:rsidRPr="00524A9A">
        <w:rPr>
          <w:rFonts w:ascii="Verdana" w:hAnsi="Verdana" w:cs="Tahoma"/>
          <w:sz w:val="22"/>
          <w:szCs w:val="22"/>
        </w:rPr>
        <w:t>Section 12 of the FOI Act and T</w:t>
      </w:r>
      <w:r w:rsidRPr="00524A9A">
        <w:rPr>
          <w:rFonts w:ascii="Verdana" w:hAnsi="Verdana"/>
          <w:sz w:val="22"/>
          <w:szCs w:val="22"/>
        </w:rPr>
        <w:t>he Freedom of Information and Data Protection (Appropriate Limit and Fees) Regulation 2004 provides that we are not obliged to spend in excess of 18 hours in any sixty day period locating, retrieving and identifying information in order to deal with a request for information and therefore we are withholding this information at this time.</w:t>
      </w:r>
    </w:p>
    <w:p w:rsidR="00977D68" w:rsidRPr="00977D68" w:rsidRDefault="00977D68" w:rsidP="00977D68">
      <w:pPr>
        <w:ind w:left="1010"/>
        <w:rPr>
          <w:rFonts w:ascii="Verdana" w:hAnsi="Verdana" w:cs="Tahoma"/>
          <w:sz w:val="22"/>
          <w:szCs w:val="22"/>
        </w:rPr>
      </w:pPr>
    </w:p>
    <w:p w:rsidR="00977D68" w:rsidRPr="00977D68" w:rsidRDefault="00977D68" w:rsidP="00977D68">
      <w:pPr>
        <w:pStyle w:val="NormalWeb"/>
        <w:numPr>
          <w:ilvl w:val="0"/>
          <w:numId w:val="20"/>
        </w:numPr>
        <w:rPr>
          <w:rFonts w:ascii="Verdana" w:hAnsi="Verdana" w:cs="Tahoma"/>
          <w:color w:val="1F497D"/>
          <w:sz w:val="22"/>
          <w:szCs w:val="22"/>
        </w:rPr>
      </w:pPr>
      <w:r w:rsidRPr="00977D68">
        <w:rPr>
          <w:rFonts w:ascii="Verdana" w:hAnsi="Verdana" w:cs="Arial"/>
          <w:b/>
          <w:bCs/>
          <w:sz w:val="22"/>
          <w:szCs w:val="22"/>
        </w:rPr>
        <w:t>Of these patients, how many were under:</w:t>
      </w:r>
    </w:p>
    <w:p w:rsidR="00977D68" w:rsidRPr="00977D68" w:rsidRDefault="00977D68" w:rsidP="00977D68">
      <w:pPr>
        <w:pStyle w:val="NormalWeb"/>
        <w:numPr>
          <w:ilvl w:val="0"/>
          <w:numId w:val="18"/>
        </w:numPr>
        <w:ind w:left="2665" w:hanging="360"/>
        <w:textAlignment w:val="baseline"/>
        <w:rPr>
          <w:rFonts w:ascii="Verdana" w:hAnsi="Verdana" w:cs="Arial"/>
          <w:b/>
          <w:bCs/>
          <w:color w:val="1F497D"/>
          <w:sz w:val="22"/>
          <w:szCs w:val="22"/>
        </w:rPr>
      </w:pPr>
      <w:r w:rsidRPr="00977D68">
        <w:rPr>
          <w:rFonts w:ascii="Verdana" w:hAnsi="Verdana" w:cs="Arial"/>
          <w:b/>
          <w:bCs/>
          <w:sz w:val="22"/>
          <w:szCs w:val="22"/>
        </w:rPr>
        <w:t>25 years old?</w:t>
      </w:r>
    </w:p>
    <w:p w:rsidR="00977D68" w:rsidRPr="00977D68" w:rsidRDefault="00977D68" w:rsidP="00977D68">
      <w:pPr>
        <w:pStyle w:val="NormalWeb"/>
        <w:numPr>
          <w:ilvl w:val="0"/>
          <w:numId w:val="18"/>
        </w:numPr>
        <w:ind w:left="2665" w:hanging="360"/>
        <w:textAlignment w:val="baseline"/>
        <w:rPr>
          <w:rFonts w:ascii="Verdana" w:hAnsi="Verdana" w:cs="Arial"/>
          <w:b/>
          <w:bCs/>
          <w:sz w:val="22"/>
          <w:szCs w:val="22"/>
        </w:rPr>
      </w:pPr>
      <w:r w:rsidRPr="00977D68">
        <w:rPr>
          <w:rFonts w:ascii="Verdana" w:hAnsi="Verdana" w:cs="Arial"/>
          <w:b/>
          <w:bCs/>
          <w:sz w:val="22"/>
          <w:szCs w:val="22"/>
        </w:rPr>
        <w:t>50 years old?</w:t>
      </w:r>
    </w:p>
    <w:p w:rsidR="00977D68" w:rsidRPr="00977D68" w:rsidRDefault="00977D68" w:rsidP="00977D68">
      <w:pPr>
        <w:ind w:left="1010"/>
        <w:rPr>
          <w:rFonts w:ascii="Verdana" w:hAnsi="Verdana" w:cs="Tahoma"/>
          <w:sz w:val="22"/>
          <w:szCs w:val="22"/>
        </w:rPr>
      </w:pPr>
      <w:r w:rsidRPr="00977D68">
        <w:rPr>
          <w:rFonts w:ascii="Verdana" w:eastAsiaTheme="minorHAnsi" w:hAnsi="Verdana"/>
          <w:bCs/>
          <w:sz w:val="22"/>
          <w:szCs w:val="22"/>
        </w:rPr>
        <w:t>Please see question 1.</w:t>
      </w:r>
      <w:r>
        <w:rPr>
          <w:rFonts w:ascii="Verdana" w:eastAsiaTheme="minorHAnsi" w:hAnsi="Verdana"/>
          <w:bCs/>
          <w:sz w:val="22"/>
          <w:szCs w:val="22"/>
        </w:rPr>
        <w:br/>
      </w:r>
    </w:p>
    <w:p w:rsidR="00977D68" w:rsidRPr="00977D68" w:rsidRDefault="00977D68" w:rsidP="00977D68">
      <w:pPr>
        <w:pStyle w:val="NormalWeb"/>
        <w:numPr>
          <w:ilvl w:val="0"/>
          <w:numId w:val="20"/>
        </w:numPr>
        <w:rPr>
          <w:rFonts w:ascii="Verdana" w:hAnsi="Verdana" w:cs="Tahoma"/>
          <w:sz w:val="22"/>
          <w:szCs w:val="22"/>
        </w:rPr>
      </w:pPr>
      <w:r w:rsidRPr="00977D68">
        <w:rPr>
          <w:rFonts w:ascii="Verdana" w:hAnsi="Verdana" w:cs="Arial"/>
          <w:b/>
          <w:bCs/>
          <w:sz w:val="22"/>
          <w:szCs w:val="22"/>
        </w:rPr>
        <w:t>Over the past five years, how many patients have been found suffering from ‘Ketamine bladder syndrome’? </w:t>
      </w:r>
      <w:r>
        <w:rPr>
          <w:rFonts w:ascii="Verdana" w:hAnsi="Verdana" w:cs="Arial"/>
          <w:i/>
          <w:iCs/>
          <w:color w:val="1F497D"/>
          <w:sz w:val="22"/>
          <w:szCs w:val="22"/>
        </w:rPr>
        <w:br/>
      </w:r>
      <w:r>
        <w:rPr>
          <w:rFonts w:ascii="Verdana" w:hAnsi="Verdana" w:cs="Arial"/>
          <w:iCs/>
          <w:sz w:val="22"/>
          <w:szCs w:val="22"/>
        </w:rPr>
        <w:t>I can confirm the SBUHB do not hold this information centrally</w:t>
      </w:r>
      <w:r>
        <w:rPr>
          <w:rFonts w:ascii="Verdana" w:hAnsi="Verdana" w:cs="Arial"/>
          <w:iCs/>
          <w:sz w:val="22"/>
          <w:szCs w:val="22"/>
        </w:rPr>
        <w:t>. Treatment of bladder syndromes linked to Ketamine specifically are not categorised in this manner.</w:t>
      </w:r>
      <w:r>
        <w:rPr>
          <w:rFonts w:ascii="Verdana" w:hAnsi="Verdana" w:cs="Arial"/>
          <w:iCs/>
          <w:sz w:val="22"/>
          <w:szCs w:val="22"/>
        </w:rPr>
        <w:t xml:space="preserve"> </w:t>
      </w:r>
      <w:r>
        <w:rPr>
          <w:rFonts w:ascii="Verdana" w:hAnsi="Verdana" w:cs="Arial"/>
          <w:iCs/>
          <w:sz w:val="22"/>
          <w:szCs w:val="22"/>
        </w:rPr>
        <w:br/>
      </w:r>
      <w:r w:rsidRPr="00524A9A">
        <w:rPr>
          <w:rFonts w:ascii="Verdana" w:hAnsi="Verdana"/>
          <w:sz w:val="22"/>
          <w:szCs w:val="22"/>
        </w:rPr>
        <w:t xml:space="preserve">To obtain this information would involve a manual trawl and search of records which we have estimated would significantly exceed the 18 hours limit set down by the </w:t>
      </w:r>
      <w:smartTag w:uri="urn:schemas-microsoft-com:office:smarttags" w:element="address">
        <w:r w:rsidRPr="00524A9A">
          <w:rPr>
            <w:rFonts w:ascii="Verdana" w:hAnsi="Verdana"/>
            <w:sz w:val="22"/>
            <w:szCs w:val="22"/>
          </w:rPr>
          <w:t>FOI</w:t>
        </w:r>
      </w:smartTag>
      <w:r w:rsidRPr="00524A9A">
        <w:rPr>
          <w:rFonts w:ascii="Verdana" w:hAnsi="Verdana"/>
          <w:sz w:val="22"/>
          <w:szCs w:val="22"/>
        </w:rPr>
        <w:t xml:space="preserve"> Act as the reasonable limit. </w:t>
      </w:r>
      <w:r w:rsidRPr="00524A9A">
        <w:rPr>
          <w:rFonts w:ascii="Verdana" w:hAnsi="Verdana" w:cs="Tahoma"/>
          <w:sz w:val="22"/>
          <w:szCs w:val="22"/>
        </w:rPr>
        <w:t>Section 12 of the FOI Act and T</w:t>
      </w:r>
      <w:r w:rsidRPr="00524A9A">
        <w:rPr>
          <w:rFonts w:ascii="Verdana" w:hAnsi="Verdana"/>
          <w:sz w:val="22"/>
          <w:szCs w:val="22"/>
        </w:rPr>
        <w:t xml:space="preserve">he Freedom of Information and Data Protection (Appropriate Limit and Fees) Regulation 2004 provides that we are not obliged to spend in excess of 18 hours in any sixty day </w:t>
      </w:r>
      <w:r w:rsidRPr="00524A9A">
        <w:rPr>
          <w:rFonts w:ascii="Verdana" w:hAnsi="Verdana"/>
          <w:sz w:val="22"/>
          <w:szCs w:val="22"/>
        </w:rPr>
        <w:lastRenderedPageBreak/>
        <w:t>period locating, retrieving and identifying information in order to deal with a request for information and therefore we are withholding this information at this time.</w:t>
      </w:r>
    </w:p>
    <w:p w:rsidR="00977D68" w:rsidRPr="00977D68" w:rsidRDefault="00977D68" w:rsidP="00977D68">
      <w:pPr>
        <w:pStyle w:val="NormalWeb"/>
        <w:ind w:left="895"/>
        <w:rPr>
          <w:rFonts w:ascii="Verdana" w:hAnsi="Verdana" w:cs="Tahoma"/>
          <w:sz w:val="22"/>
          <w:szCs w:val="22"/>
        </w:rPr>
      </w:pPr>
      <w:r>
        <w:rPr>
          <w:rFonts w:ascii="Verdana" w:hAnsi="Verdana" w:cs="Arial"/>
          <w:i/>
          <w:iCs/>
          <w:color w:val="1F497D"/>
          <w:sz w:val="22"/>
          <w:szCs w:val="22"/>
        </w:rPr>
        <w:br/>
      </w:r>
      <w:r w:rsidRPr="00977D68">
        <w:rPr>
          <w:rFonts w:ascii="Verdana" w:hAnsi="Verdana" w:cs="Tahoma"/>
          <w:sz w:val="22"/>
          <w:szCs w:val="22"/>
        </w:rPr>
        <w:t xml:space="preserve"> </w:t>
      </w:r>
    </w:p>
    <w:p w:rsidR="00977D68" w:rsidRPr="00977D68" w:rsidRDefault="00977D68" w:rsidP="00977D68">
      <w:pPr>
        <w:pStyle w:val="NormalWeb"/>
        <w:numPr>
          <w:ilvl w:val="0"/>
          <w:numId w:val="20"/>
        </w:numPr>
        <w:rPr>
          <w:rFonts w:ascii="Verdana" w:hAnsi="Verdana" w:cs="Tahoma"/>
          <w:i/>
          <w:iCs/>
          <w:sz w:val="22"/>
          <w:szCs w:val="22"/>
        </w:rPr>
      </w:pPr>
      <w:r w:rsidRPr="00977D68">
        <w:rPr>
          <w:rFonts w:ascii="Verdana" w:hAnsi="Verdana" w:cs="Arial"/>
          <w:b/>
          <w:bCs/>
          <w:sz w:val="22"/>
          <w:szCs w:val="22"/>
        </w:rPr>
        <w:t>How many patients using Ketamine have been referred to your Substance Misuse Services in the past five years? (Please provide an annual breakdown)</w:t>
      </w:r>
    </w:p>
    <w:p w:rsidR="001E1610" w:rsidRPr="00977D68" w:rsidRDefault="001E1610" w:rsidP="001E1610">
      <w:pPr>
        <w:pStyle w:val="NormalWeb"/>
        <w:ind w:left="895"/>
        <w:rPr>
          <w:rFonts w:ascii="Verdana" w:hAnsi="Verdana" w:cs="Tahoma"/>
          <w:sz w:val="22"/>
          <w:szCs w:val="22"/>
        </w:rPr>
      </w:pPr>
      <w:r>
        <w:rPr>
          <w:rFonts w:ascii="Verdana" w:hAnsi="Verdana" w:cs="Arial"/>
          <w:iCs/>
          <w:sz w:val="22"/>
          <w:szCs w:val="22"/>
        </w:rPr>
        <w:t xml:space="preserve">I can confirm the SBUHB do not hold this information centrally. </w:t>
      </w:r>
      <w:r>
        <w:rPr>
          <w:rFonts w:ascii="Verdana" w:hAnsi="Verdana" w:cs="Arial"/>
          <w:iCs/>
          <w:sz w:val="22"/>
          <w:szCs w:val="22"/>
        </w:rPr>
        <w:t>Referrals to substance misuse services</w:t>
      </w:r>
      <w:r>
        <w:rPr>
          <w:rFonts w:ascii="Verdana" w:hAnsi="Verdana" w:cs="Arial"/>
          <w:iCs/>
          <w:sz w:val="22"/>
          <w:szCs w:val="22"/>
        </w:rPr>
        <w:t xml:space="preserve"> are categorised generally</w:t>
      </w:r>
      <w:r>
        <w:rPr>
          <w:rFonts w:ascii="Verdana" w:hAnsi="Verdana" w:cs="Arial"/>
          <w:iCs/>
          <w:sz w:val="22"/>
          <w:szCs w:val="22"/>
        </w:rPr>
        <w:t xml:space="preserve"> in our digital systems</w:t>
      </w:r>
      <w:r>
        <w:rPr>
          <w:rFonts w:ascii="Verdana" w:hAnsi="Verdana" w:cs="Arial"/>
          <w:iCs/>
          <w:sz w:val="22"/>
          <w:szCs w:val="22"/>
        </w:rPr>
        <w:t xml:space="preserve"> and not under “Ketamine” specifically. </w:t>
      </w:r>
      <w:r w:rsidRPr="00524A9A">
        <w:rPr>
          <w:rFonts w:ascii="Verdana" w:hAnsi="Verdana"/>
          <w:sz w:val="22"/>
          <w:szCs w:val="22"/>
        </w:rPr>
        <w:t xml:space="preserve">To obtain this information would involve a manual trawl and search of records which we have estimated would significantly exceed the 18 hours limit set down by the </w:t>
      </w:r>
      <w:smartTag w:uri="urn:schemas-microsoft-com:office:smarttags" w:element="address">
        <w:r w:rsidRPr="00524A9A">
          <w:rPr>
            <w:rFonts w:ascii="Verdana" w:hAnsi="Verdana"/>
            <w:sz w:val="22"/>
            <w:szCs w:val="22"/>
          </w:rPr>
          <w:t>FOI</w:t>
        </w:r>
      </w:smartTag>
      <w:r w:rsidRPr="00524A9A">
        <w:rPr>
          <w:rFonts w:ascii="Verdana" w:hAnsi="Verdana"/>
          <w:sz w:val="22"/>
          <w:szCs w:val="22"/>
        </w:rPr>
        <w:t xml:space="preserve"> Act as the reasonable limit. </w:t>
      </w:r>
      <w:r w:rsidRPr="00524A9A">
        <w:rPr>
          <w:rFonts w:ascii="Verdana" w:hAnsi="Verdana" w:cs="Tahoma"/>
          <w:sz w:val="22"/>
          <w:szCs w:val="22"/>
        </w:rPr>
        <w:t>Section 12 of the FOI Act and T</w:t>
      </w:r>
      <w:r w:rsidRPr="00524A9A">
        <w:rPr>
          <w:rFonts w:ascii="Verdana" w:hAnsi="Verdana"/>
          <w:sz w:val="22"/>
          <w:szCs w:val="22"/>
        </w:rPr>
        <w:t>he Freedom of Information and Data Protection (Appropriate Limit and Fees) Regulation 2004 provides that we are not obliged to spend in excess of 18 hours in any sixty day period locating, retrieving and identifying information in order to deal with a request for information and therefore we are withholding this information at this time.</w:t>
      </w:r>
    </w:p>
    <w:p w:rsidR="00977D68" w:rsidRPr="00977D68" w:rsidRDefault="00977D68" w:rsidP="00977D68">
      <w:pPr>
        <w:ind w:left="1010"/>
        <w:rPr>
          <w:rFonts w:ascii="Verdana" w:hAnsi="Verdana" w:cs="Tahoma"/>
          <w:sz w:val="22"/>
          <w:szCs w:val="22"/>
        </w:rPr>
      </w:pPr>
    </w:p>
    <w:p w:rsidR="00977D68" w:rsidRPr="00977D68" w:rsidRDefault="00977D68" w:rsidP="00977D68">
      <w:pPr>
        <w:pStyle w:val="NormalWeb"/>
        <w:numPr>
          <w:ilvl w:val="0"/>
          <w:numId w:val="20"/>
        </w:numPr>
        <w:rPr>
          <w:rFonts w:ascii="Verdana" w:hAnsi="Verdana" w:cs="Tahoma"/>
          <w:sz w:val="22"/>
          <w:szCs w:val="22"/>
        </w:rPr>
      </w:pPr>
      <w:r w:rsidRPr="00977D68">
        <w:rPr>
          <w:rFonts w:ascii="Verdana" w:hAnsi="Verdana" w:cs="Arial"/>
          <w:b/>
          <w:bCs/>
          <w:sz w:val="22"/>
          <w:szCs w:val="22"/>
        </w:rPr>
        <w:t>What is the current waiting time for inpatient treatment at a Detoxification and Rehabilitation facility for drug and alcohol abuse in your Health Board Area, funded by the NHS?</w:t>
      </w:r>
      <w:r w:rsidRPr="00977D68">
        <w:rPr>
          <w:rFonts w:ascii="Verdana" w:hAnsi="Verdana" w:cs="Arial"/>
          <w:b/>
          <w:bCs/>
          <w:color w:val="1F497D"/>
          <w:sz w:val="22"/>
          <w:szCs w:val="22"/>
        </w:rPr>
        <w:t xml:space="preserve"> </w:t>
      </w:r>
      <w:r>
        <w:rPr>
          <w:rFonts w:ascii="Verdana" w:hAnsi="Verdana" w:cs="Arial"/>
          <w:i/>
          <w:iCs/>
          <w:color w:val="1F497D"/>
          <w:sz w:val="22"/>
          <w:szCs w:val="22"/>
        </w:rPr>
        <w:br/>
      </w:r>
      <w:r w:rsidRPr="00977D68">
        <w:rPr>
          <w:rFonts w:ascii="Verdana" w:hAnsi="Verdana" w:cs="Tahoma"/>
          <w:sz w:val="22"/>
          <w:szCs w:val="22"/>
        </w:rPr>
        <w:t>The current average wait for admission to the inpatient detox ward (whether it is for drug or alcohol detox) is 6 weeks.</w:t>
      </w:r>
      <w:r w:rsidR="001E1610">
        <w:rPr>
          <w:rFonts w:ascii="Verdana" w:hAnsi="Verdana" w:cs="Tahoma"/>
          <w:sz w:val="22"/>
          <w:szCs w:val="22"/>
        </w:rPr>
        <w:br/>
      </w:r>
      <w:bookmarkStart w:id="0" w:name="_GoBack"/>
      <w:bookmarkEnd w:id="0"/>
      <w:r>
        <w:rPr>
          <w:rFonts w:ascii="Verdana" w:hAnsi="Verdana" w:cs="Tahoma"/>
          <w:sz w:val="22"/>
          <w:szCs w:val="22"/>
        </w:rPr>
        <w:br/>
      </w:r>
    </w:p>
    <w:p w:rsidR="00977D68" w:rsidRPr="00977D68" w:rsidRDefault="00977D68" w:rsidP="00977D68">
      <w:pPr>
        <w:pStyle w:val="NormalWeb"/>
        <w:numPr>
          <w:ilvl w:val="0"/>
          <w:numId w:val="20"/>
        </w:numPr>
        <w:rPr>
          <w:rFonts w:ascii="Verdana" w:hAnsi="Verdana" w:cs="Tahoma"/>
          <w:sz w:val="22"/>
          <w:szCs w:val="22"/>
        </w:rPr>
      </w:pPr>
      <w:r w:rsidRPr="00977D68">
        <w:rPr>
          <w:rFonts w:ascii="Verdana" w:hAnsi="Verdana" w:cs="Arial"/>
          <w:b/>
          <w:bCs/>
          <w:sz w:val="22"/>
          <w:szCs w:val="22"/>
        </w:rPr>
        <w:t>Does your Health Board have a specialist urology clinic? If so, where?</w:t>
      </w:r>
      <w:r>
        <w:rPr>
          <w:rFonts w:ascii="Verdana" w:hAnsi="Verdana" w:cs="Arial"/>
          <w:i/>
          <w:iCs/>
          <w:color w:val="1F497D"/>
          <w:sz w:val="22"/>
          <w:szCs w:val="22"/>
        </w:rPr>
        <w:br/>
      </w:r>
      <w:r w:rsidRPr="00977D68">
        <w:rPr>
          <w:rFonts w:ascii="Verdana" w:hAnsi="Verdana" w:cs="Arial"/>
          <w:iCs/>
          <w:sz w:val="22"/>
          <w:szCs w:val="22"/>
        </w:rPr>
        <w:t>Yes, daily at Neath Port Talbot hospital. (Please note these are general and subspecialty specific clinics – not specifically for Ketamine use).</w:t>
      </w:r>
    </w:p>
    <w:p w:rsidR="00977D68" w:rsidRDefault="00977D68" w:rsidP="00977D68">
      <w:pPr>
        <w:rPr>
          <w:rFonts w:ascii="Tahoma" w:hAnsi="Tahoma" w:cs="Tahoma"/>
        </w:rPr>
      </w:pPr>
    </w:p>
    <w:p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proofErr w:type="gramStart"/>
    <w:r w:rsidR="000C00ED" w:rsidRPr="002D32B6">
      <w:rPr>
        <w:b/>
        <w:color w:val="008A8C"/>
        <w:sz w:val="20"/>
        <w:szCs w:val="20"/>
      </w:rPr>
      <w:t>gofalu</w:t>
    </w:r>
    <w:proofErr w:type="spellEnd"/>
    <w:proofErr w:type="gram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r w:rsidR="000C00ED" w:rsidRPr="002D32B6">
      <w:rPr>
        <w:b/>
        <w:color w:val="008A8C"/>
        <w:sz w:val="20"/>
        <w:szCs w:val="20"/>
      </w:rPr>
      <w:t>amser</w:t>
    </w:r>
    <w:proofErr w:type="spellEnd"/>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proofErr w:type="gramStart"/>
    <w:r w:rsidRPr="002D32B6">
      <w:rPr>
        <w:b/>
        <w:color w:val="6E609E"/>
        <w:sz w:val="20"/>
        <w:szCs w:val="20"/>
      </w:rPr>
      <w:t>caring</w:t>
    </w:r>
    <w:proofErr w:type="gramEnd"/>
    <w:r w:rsidRPr="002D32B6">
      <w:rPr>
        <w:b/>
        <w:color w:val="6E609E"/>
        <w:sz w:val="20"/>
        <w:szCs w:val="20"/>
      </w:rPr>
      <w:t xml:space="preserve">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1E1610">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proofErr w:type="spellStart"/>
    <w:r w:rsidRPr="005317D4">
      <w:rPr>
        <w:b/>
        <w:sz w:val="16"/>
        <w:szCs w:val="18"/>
      </w:rPr>
      <w:t>Pencadlys</w:t>
    </w:r>
    <w:proofErr w:type="spellEnd"/>
    <w:r w:rsidRPr="005317D4">
      <w:rPr>
        <w:b/>
        <w:sz w:val="16"/>
        <w:szCs w:val="18"/>
      </w:rPr>
      <w:t xml:space="preserve"> BIP Bae Abertawe, Un </w:t>
    </w:r>
    <w:proofErr w:type="spellStart"/>
    <w:r w:rsidRPr="005317D4">
      <w:rPr>
        <w:b/>
        <w:sz w:val="16"/>
        <w:szCs w:val="18"/>
      </w:rPr>
      <w:t>Porthfa</w:t>
    </w:r>
    <w:proofErr w:type="spellEnd"/>
    <w:r w:rsidRPr="005317D4">
      <w:rPr>
        <w:b/>
        <w:sz w:val="16"/>
        <w:szCs w:val="18"/>
      </w:rPr>
      <w:t xml:space="preserve">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 </w:t>
    </w:r>
    <w:proofErr w:type="spellStart"/>
    <w:r w:rsidRPr="005317D4">
      <w:rPr>
        <w:sz w:val="16"/>
        <w:szCs w:val="18"/>
      </w:rPr>
      <w:t>yw</w:t>
    </w:r>
    <w:proofErr w:type="spellEnd"/>
    <w:r w:rsidRPr="005317D4">
      <w:rPr>
        <w:sz w:val="16"/>
        <w:szCs w:val="18"/>
      </w:rPr>
      <w:t xml:space="preserve"> </w:t>
    </w:r>
    <w:proofErr w:type="spellStart"/>
    <w:r w:rsidRPr="005317D4">
      <w:rPr>
        <w:sz w:val="16"/>
        <w:szCs w:val="18"/>
      </w:rPr>
      <w:t>enw</w:t>
    </w:r>
    <w:proofErr w:type="spellEnd"/>
    <w:r w:rsidRPr="005317D4">
      <w:rPr>
        <w:sz w:val="16"/>
        <w:szCs w:val="18"/>
      </w:rPr>
      <w:t xml:space="preserve"> </w:t>
    </w:r>
    <w:proofErr w:type="spellStart"/>
    <w:r w:rsidRPr="005317D4">
      <w:rPr>
        <w:sz w:val="16"/>
        <w:szCs w:val="18"/>
      </w:rPr>
      <w:t>gweithredu</w:t>
    </w:r>
    <w:proofErr w:type="spellEnd"/>
    <w:r w:rsidRPr="005317D4">
      <w:rPr>
        <w:sz w:val="16"/>
        <w:szCs w:val="18"/>
      </w:rPr>
      <w:t xml:space="preserve"> </w:t>
    </w: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Lleol</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14" type="#_x0000_t75" style="width:20.25pt;height:20.25pt;visibility:visible;mso-wrap-style:square" o:bullet="t">
        <v:imagedata r:id="rId1" o:title=""/>
      </v:shape>
    </w:pict>
  </w:numPicBullet>
  <w:numPicBullet w:numPicBulletId="1">
    <w:pict>
      <v:shape id="_x0000_i1215" type="#_x0000_t75" style="width:383.25pt;height:383.25pt;visibility:visible;mso-wrap-style:square" o:bullet="t">
        <v:imagedata r:id="rId2" o:title=""/>
      </v:shape>
    </w:pict>
  </w:numPicBullet>
  <w:numPicBullet w:numPicBulletId="2">
    <w:pict>
      <v:shape id="_x0000_i1216" type="#_x0000_t75" style="width:225.75pt;height:225.75pt;visibility:visible;mso-wrap-style:square" o:bullet="t">
        <v:imagedata r:id="rId3" o:title=""/>
      </v:shape>
    </w:pict>
  </w:numPicBullet>
  <w:numPicBullet w:numPicBulletId="3">
    <w:pict>
      <v:shape id="_x0000_i1217"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69F0ECE"/>
    <w:multiLevelType w:val="multilevel"/>
    <w:tmpl w:val="3664130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975433E"/>
    <w:multiLevelType w:val="hybridMultilevel"/>
    <w:tmpl w:val="D4F8B882"/>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4D55D75"/>
    <w:multiLevelType w:val="hybridMultilevel"/>
    <w:tmpl w:val="130867C6"/>
    <w:lvl w:ilvl="0" w:tplc="0F7C4CA2">
      <w:start w:val="1"/>
      <w:numFmt w:val="decimal"/>
      <w:lvlText w:val="%1."/>
      <w:lvlJc w:val="left"/>
      <w:pPr>
        <w:ind w:left="1400" w:hanging="390"/>
      </w:pPr>
      <w:rPr>
        <w:rFonts w:cs="Arial" w:hint="default"/>
        <w:b/>
      </w:r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12"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6E980E59"/>
    <w:multiLevelType w:val="hybridMultilevel"/>
    <w:tmpl w:val="2A3A47FC"/>
    <w:lvl w:ilvl="0" w:tplc="0F7C4CA2">
      <w:start w:val="1"/>
      <w:numFmt w:val="decimal"/>
      <w:lvlText w:val="%1."/>
      <w:lvlJc w:val="left"/>
      <w:pPr>
        <w:ind w:left="895" w:hanging="390"/>
      </w:pPr>
      <w:rPr>
        <w:rFonts w:cs="Arial" w:hint="default"/>
        <w:b/>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5"/>
  </w:num>
  <w:num w:numId="2">
    <w:abstractNumId w:val="0"/>
  </w:num>
  <w:num w:numId="3">
    <w:abstractNumId w:val="9"/>
  </w:num>
  <w:num w:numId="4">
    <w:abstractNumId w:val="17"/>
  </w:num>
  <w:num w:numId="5">
    <w:abstractNumId w:val="5"/>
  </w:num>
  <w:num w:numId="6">
    <w:abstractNumId w:val="3"/>
  </w:num>
  <w:num w:numId="7">
    <w:abstractNumId w:val="12"/>
  </w:num>
  <w:num w:numId="8">
    <w:abstractNumId w:val="16"/>
  </w:num>
  <w:num w:numId="9">
    <w:abstractNumId w:val="20"/>
  </w:num>
  <w:num w:numId="10">
    <w:abstractNumId w:val="1"/>
  </w:num>
  <w:num w:numId="11">
    <w:abstractNumId w:val="10"/>
  </w:num>
  <w:num w:numId="12">
    <w:abstractNumId w:val="14"/>
  </w:num>
  <w:num w:numId="13">
    <w:abstractNumId w:val="18"/>
  </w:num>
  <w:num w:numId="1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num>
  <w:num w:numId="17">
    <w:abstractNumId w:val="6"/>
  </w:num>
  <w:num w:numId="18">
    <w:abstractNumId w:val="2"/>
    <w:lvlOverride w:ilvl="0">
      <w:lvl w:ilvl="0">
        <w:start w:val="1"/>
        <w:numFmt w:val="lowerLetter"/>
        <w:lvlText w:val="%1."/>
        <w:lvlJc w:val="left"/>
        <w:pPr>
          <w:ind w:left="0" w:firstLine="0"/>
        </w:pPr>
      </w:lvl>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4"/>
  </w:num>
  <w:num w:numId="20">
    <w:abstractNumId w:val="19"/>
  </w:num>
  <w:num w:numId="21">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67E1"/>
    <w:rsid w:val="00040038"/>
    <w:rsid w:val="00095DF5"/>
    <w:rsid w:val="000C00ED"/>
    <w:rsid w:val="00111757"/>
    <w:rsid w:val="001276F0"/>
    <w:rsid w:val="00185784"/>
    <w:rsid w:val="001B1339"/>
    <w:rsid w:val="001E1610"/>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77D68"/>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55E7C63A"/>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Calibri" w:hAnsi="Arial" w:cs="Arial"/>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757289250">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CBF204B-6913-4895-A5DB-E756D517AF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letterhead.dotx</Template>
  <TotalTime>16</TotalTime>
  <Pages>2</Pages>
  <Words>569</Words>
  <Characters>3246</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3808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12</cp:revision>
  <cp:lastPrinted>2019-03-26T11:11:00Z</cp:lastPrinted>
  <dcterms:created xsi:type="dcterms:W3CDTF">2021-09-13T07:38:00Z</dcterms:created>
  <dcterms:modified xsi:type="dcterms:W3CDTF">2023-09-11T14:25:00Z</dcterms:modified>
</cp:coreProperties>
</file>