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proofErr w:type="gramStart"/>
      <w:r w:rsidRPr="007A5616">
        <w:rPr>
          <w:sz w:val="16"/>
          <w:szCs w:val="20"/>
        </w:rPr>
        <w:t>ni</w:t>
      </w:r>
      <w:proofErr w:type="spellEnd"/>
      <w:proofErr w:type="gram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4C5557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23-H-042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4C5557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23-H-042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4C5557" w:rsidRPr="004C5557" w:rsidRDefault="004C5557" w:rsidP="004C5557">
      <w:pPr>
        <w:pStyle w:val="contentpasted0"/>
        <w:ind w:left="505"/>
        <w:rPr>
          <w:rFonts w:ascii="Verdana" w:hAnsi="Verdana" w:cs="Times"/>
          <w:color w:val="000000"/>
          <w:sz w:val="22"/>
          <w:szCs w:val="22"/>
        </w:rPr>
      </w:pPr>
      <w:r w:rsidRPr="004C5557">
        <w:rPr>
          <w:rFonts w:ascii="Verdana" w:hAnsi="Verdana" w:cs="Times"/>
          <w:color w:val="000000"/>
          <w:sz w:val="22"/>
          <w:szCs w:val="22"/>
        </w:rPr>
        <w:t xml:space="preserve">Please could you share any local guidance currently in place, which specifically considers, in an acute </w:t>
      </w:r>
      <w:proofErr w:type="gramStart"/>
      <w:r w:rsidRPr="004C5557">
        <w:rPr>
          <w:rFonts w:ascii="Verdana" w:hAnsi="Verdana" w:cs="Times"/>
          <w:color w:val="000000"/>
          <w:sz w:val="22"/>
          <w:szCs w:val="22"/>
        </w:rPr>
        <w:t>setting:</w:t>
      </w:r>
      <w:proofErr w:type="gramEnd"/>
    </w:p>
    <w:p w:rsidR="004C5557" w:rsidRPr="004C5557" w:rsidRDefault="004C5557" w:rsidP="004C5557">
      <w:pPr>
        <w:pStyle w:val="contentpasted0"/>
        <w:ind w:left="505"/>
        <w:rPr>
          <w:rFonts w:ascii="Verdana" w:hAnsi="Verdana" w:cs="Times"/>
          <w:color w:val="000000"/>
          <w:sz w:val="22"/>
          <w:szCs w:val="22"/>
        </w:rPr>
      </w:pPr>
    </w:p>
    <w:p w:rsidR="004C5557" w:rsidRPr="004C5557" w:rsidRDefault="004C5557" w:rsidP="004C5557">
      <w:pPr>
        <w:pStyle w:val="contentpasted0"/>
        <w:numPr>
          <w:ilvl w:val="0"/>
          <w:numId w:val="19"/>
        </w:numPr>
        <w:rPr>
          <w:rFonts w:ascii="Verdana" w:hAnsi="Verdana" w:cs="Times"/>
          <w:color w:val="000000"/>
          <w:sz w:val="22"/>
          <w:szCs w:val="22"/>
        </w:rPr>
      </w:pPr>
      <w:r w:rsidRPr="004C5557">
        <w:rPr>
          <w:rFonts w:ascii="Verdana" w:hAnsi="Verdana" w:cs="Times"/>
          <w:color w:val="000000"/>
          <w:sz w:val="22"/>
          <w:szCs w:val="22"/>
        </w:rPr>
        <w:t>the management of withdrawal from illicit drugs</w:t>
      </w:r>
    </w:p>
    <w:p w:rsidR="004C5557" w:rsidRPr="004C5557" w:rsidRDefault="004C5557" w:rsidP="004C5557">
      <w:pPr>
        <w:pStyle w:val="contentpasted0"/>
        <w:ind w:left="505"/>
        <w:rPr>
          <w:rFonts w:ascii="Verdana" w:hAnsi="Verdana" w:cs="Times"/>
          <w:color w:val="000000"/>
          <w:sz w:val="22"/>
          <w:szCs w:val="22"/>
        </w:rPr>
      </w:pPr>
    </w:p>
    <w:p w:rsidR="004C5557" w:rsidRPr="004C5557" w:rsidRDefault="004C5557" w:rsidP="004C5557">
      <w:pPr>
        <w:pStyle w:val="contentpasted0"/>
        <w:ind w:left="505"/>
        <w:rPr>
          <w:rFonts w:ascii="Verdana" w:hAnsi="Verdana" w:cs="Times"/>
          <w:color w:val="000000"/>
          <w:sz w:val="22"/>
          <w:szCs w:val="22"/>
        </w:rPr>
      </w:pPr>
      <w:r w:rsidRPr="004C5557">
        <w:rPr>
          <w:rFonts w:ascii="Verdana" w:hAnsi="Verdana" w:cs="Times"/>
          <w:color w:val="000000"/>
          <w:sz w:val="22"/>
          <w:szCs w:val="22"/>
        </w:rPr>
        <w:t>and/or</w:t>
      </w:r>
    </w:p>
    <w:p w:rsidR="004C5557" w:rsidRPr="004C5557" w:rsidRDefault="004C5557" w:rsidP="004C5557">
      <w:pPr>
        <w:pStyle w:val="contentpasted0"/>
        <w:ind w:left="505"/>
        <w:rPr>
          <w:rFonts w:ascii="Verdana" w:hAnsi="Verdana" w:cs="Times"/>
          <w:color w:val="000000"/>
          <w:sz w:val="22"/>
          <w:szCs w:val="22"/>
        </w:rPr>
      </w:pPr>
    </w:p>
    <w:p w:rsidR="004C5557" w:rsidRPr="004C5557" w:rsidRDefault="004C5557" w:rsidP="004C5557">
      <w:pPr>
        <w:pStyle w:val="contentpasted0"/>
        <w:numPr>
          <w:ilvl w:val="0"/>
          <w:numId w:val="19"/>
        </w:numPr>
        <w:rPr>
          <w:rFonts w:ascii="Verdana" w:hAnsi="Verdana" w:cs="Times"/>
          <w:color w:val="000000"/>
          <w:sz w:val="22"/>
          <w:szCs w:val="22"/>
        </w:rPr>
      </w:pPr>
      <w:r w:rsidRPr="004C5557">
        <w:rPr>
          <w:rFonts w:ascii="Verdana" w:hAnsi="Verdana" w:cs="Times"/>
          <w:color w:val="000000"/>
          <w:sz w:val="22"/>
          <w:szCs w:val="22"/>
        </w:rPr>
        <w:t>the continuation of community substitution prescriptions for drug dependence (such as opioid substitution therapy)</w:t>
      </w:r>
    </w:p>
    <w:p w:rsidR="004C5557" w:rsidRPr="004C5557" w:rsidRDefault="004C5557" w:rsidP="004C5557">
      <w:pPr>
        <w:pStyle w:val="contentpasted0"/>
        <w:ind w:left="505"/>
        <w:rPr>
          <w:rFonts w:ascii="Verdana" w:hAnsi="Verdana" w:cs="Times"/>
          <w:color w:val="000000"/>
          <w:sz w:val="22"/>
          <w:szCs w:val="22"/>
        </w:rPr>
      </w:pPr>
    </w:p>
    <w:p w:rsidR="004C5557" w:rsidRPr="004C5557" w:rsidRDefault="004C5557" w:rsidP="004C5557">
      <w:pPr>
        <w:pStyle w:val="contentpasted0"/>
        <w:ind w:left="505"/>
        <w:rPr>
          <w:rFonts w:ascii="Verdana" w:hAnsi="Verdana" w:cs="Times"/>
          <w:color w:val="000000"/>
          <w:sz w:val="22"/>
          <w:szCs w:val="22"/>
        </w:rPr>
      </w:pPr>
      <w:r w:rsidRPr="004C5557">
        <w:rPr>
          <w:rFonts w:ascii="Verdana" w:hAnsi="Verdana" w:cs="Times"/>
          <w:color w:val="000000"/>
          <w:sz w:val="22"/>
          <w:szCs w:val="22"/>
        </w:rPr>
        <w:t>and/or</w:t>
      </w:r>
    </w:p>
    <w:p w:rsidR="004C5557" w:rsidRPr="004C5557" w:rsidRDefault="004C5557" w:rsidP="004C5557">
      <w:pPr>
        <w:pStyle w:val="contentpasted0"/>
        <w:ind w:left="505"/>
        <w:rPr>
          <w:rFonts w:ascii="Verdana" w:hAnsi="Verdana" w:cs="Times"/>
          <w:color w:val="000000"/>
          <w:sz w:val="22"/>
          <w:szCs w:val="22"/>
        </w:rPr>
      </w:pPr>
    </w:p>
    <w:p w:rsidR="004C5557" w:rsidRPr="004C5557" w:rsidRDefault="004C5557" w:rsidP="004C5557">
      <w:pPr>
        <w:pStyle w:val="contentpasted0"/>
        <w:numPr>
          <w:ilvl w:val="0"/>
          <w:numId w:val="19"/>
        </w:numPr>
        <w:rPr>
          <w:rFonts w:ascii="Verdana" w:hAnsi="Verdana" w:cs="Times"/>
          <w:color w:val="000000"/>
          <w:sz w:val="22"/>
          <w:szCs w:val="22"/>
        </w:rPr>
      </w:pPr>
      <w:r w:rsidRPr="004C5557">
        <w:rPr>
          <w:rFonts w:ascii="Verdana" w:hAnsi="Verdana" w:cs="Times"/>
          <w:color w:val="000000"/>
          <w:sz w:val="22"/>
          <w:szCs w:val="22"/>
        </w:rPr>
        <w:t>the initiation of such a prescription</w:t>
      </w:r>
    </w:p>
    <w:p w:rsidR="004C5557" w:rsidRPr="004C5557" w:rsidRDefault="004C5557" w:rsidP="004C5557">
      <w:pPr>
        <w:pStyle w:val="contentpasted0"/>
        <w:ind w:left="505"/>
        <w:rPr>
          <w:rFonts w:ascii="Verdana" w:hAnsi="Verdana" w:cs="Times"/>
          <w:color w:val="000000"/>
          <w:sz w:val="22"/>
          <w:szCs w:val="22"/>
        </w:rPr>
      </w:pPr>
    </w:p>
    <w:p w:rsidR="004C5557" w:rsidRPr="004C5557" w:rsidRDefault="004C5557" w:rsidP="004C5557">
      <w:pPr>
        <w:pStyle w:val="contentpasted0"/>
        <w:ind w:left="505"/>
        <w:rPr>
          <w:rFonts w:ascii="Verdana" w:hAnsi="Verdana" w:cs="Times"/>
          <w:color w:val="000000"/>
          <w:sz w:val="22"/>
          <w:szCs w:val="22"/>
        </w:rPr>
      </w:pPr>
      <w:r w:rsidRPr="004C5557">
        <w:rPr>
          <w:rFonts w:ascii="Verdana" w:hAnsi="Verdana" w:cs="Times"/>
          <w:color w:val="000000"/>
          <w:sz w:val="22"/>
          <w:szCs w:val="22"/>
        </w:rPr>
        <w:t>Please could you share this guidance with me under the terms of the FOI Act, or otherwise point me to where it could be found in the public domain.</w:t>
      </w:r>
    </w:p>
    <w:p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:rsidR="00A10460" w:rsidRDefault="00A10460" w:rsidP="00421E7F">
      <w:pPr>
        <w:rPr>
          <w:rFonts w:ascii="Verdana" w:hAnsi="Verdana"/>
          <w:b/>
          <w:bCs/>
          <w:noProof/>
          <w:sz w:val="22"/>
          <w:szCs w:val="22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C5557" w:rsidRPr="004C5557">
        <w:rPr>
          <w:rFonts w:ascii="Verdana" w:hAnsi="Verdana"/>
          <w:bCs/>
          <w:noProof/>
          <w:sz w:val="22"/>
          <w:szCs w:val="22"/>
        </w:rPr>
        <w:t>Plea</w:t>
      </w:r>
      <w:r w:rsidR="004C5557">
        <w:rPr>
          <w:rFonts w:ascii="Verdana" w:hAnsi="Verdana"/>
          <w:bCs/>
          <w:noProof/>
          <w:sz w:val="22"/>
          <w:szCs w:val="22"/>
        </w:rPr>
        <w:t>s</w:t>
      </w:r>
      <w:r w:rsidR="004C5557" w:rsidRPr="004C5557">
        <w:rPr>
          <w:rFonts w:ascii="Verdana" w:hAnsi="Verdana"/>
          <w:bCs/>
          <w:noProof/>
          <w:sz w:val="22"/>
          <w:szCs w:val="22"/>
        </w:rPr>
        <w:t>e find attached the guidelines/policies currently in use by SBUHB relating to the above.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bookmarkStart w:id="0" w:name="_GoBack"/>
      <w:bookmarkEnd w:id="0"/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spellEnd"/>
    <w:proofErr w:type="gram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proofErr w:type="gramStart"/>
    <w:r w:rsidRPr="002D32B6">
      <w:rPr>
        <w:b/>
        <w:color w:val="6E609E"/>
        <w:sz w:val="20"/>
        <w:szCs w:val="20"/>
      </w:rPr>
      <w:t>caring</w:t>
    </w:r>
    <w:proofErr w:type="gramEnd"/>
    <w:r w:rsidRPr="002D32B6">
      <w:rPr>
        <w:b/>
        <w:color w:val="6E609E"/>
        <w:sz w:val="20"/>
        <w:szCs w:val="20"/>
      </w:rPr>
      <w:t xml:space="preserve">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4C5557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</w:t>
                          </w:r>
                          <w:proofErr w:type="gramEnd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 xml:space="preserve">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43" type="#_x0000_t75" style="width:383.25pt;height:383.25pt;visibility:visible;mso-wrap-style:square" o:bullet="t">
        <v:imagedata r:id="rId2" o:title=""/>
      </v:shape>
    </w:pict>
  </w:numPicBullet>
  <w:numPicBullet w:numPicBulletId="2">
    <w:pict>
      <v:shape id="_x0000_i1044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45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B9B58EE"/>
    <w:multiLevelType w:val="hybridMultilevel"/>
    <w:tmpl w:val="11EABFCC"/>
    <w:lvl w:ilvl="0" w:tplc="0BF04674">
      <w:start w:val="7"/>
      <w:numFmt w:val="bullet"/>
      <w:lvlText w:val="·"/>
      <w:lvlJc w:val="left"/>
      <w:pPr>
        <w:ind w:left="865" w:hanging="360"/>
      </w:pPr>
      <w:rPr>
        <w:rFonts w:ascii="Verdana" w:eastAsiaTheme="minorHAnsi" w:hAnsi="Verdana" w:cs="Times" w:hint="default"/>
      </w:rPr>
    </w:lvl>
    <w:lvl w:ilvl="1" w:tplc="08090003" w:tentative="1">
      <w:start w:val="1"/>
      <w:numFmt w:val="bullet"/>
      <w:lvlText w:val="o"/>
      <w:lvlJc w:val="left"/>
      <w:pPr>
        <w:ind w:left="15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5" w:hanging="360"/>
      </w:pPr>
      <w:rPr>
        <w:rFonts w:ascii="Wingdings" w:hAnsi="Wingdings" w:hint="default"/>
      </w:rPr>
    </w:lvl>
  </w:abstractNum>
  <w:abstractNum w:abstractNumId="3" w15:restartNumberingAfterBreak="0">
    <w:nsid w:val="0F3E70BF"/>
    <w:multiLevelType w:val="hybridMultilevel"/>
    <w:tmpl w:val="6046E19E"/>
    <w:lvl w:ilvl="0" w:tplc="08090001">
      <w:start w:val="1"/>
      <w:numFmt w:val="bullet"/>
      <w:lvlText w:val=""/>
      <w:lvlJc w:val="left"/>
      <w:pPr>
        <w:ind w:left="12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4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7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8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8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</w:num>
  <w:num w:numId="3">
    <w:abstractNumId w:val="9"/>
  </w:num>
  <w:num w:numId="4">
    <w:abstractNumId w:val="16"/>
  </w:num>
  <w:num w:numId="5">
    <w:abstractNumId w:val="5"/>
  </w:num>
  <w:num w:numId="6">
    <w:abstractNumId w:val="4"/>
  </w:num>
  <w:num w:numId="7">
    <w:abstractNumId w:val="11"/>
  </w:num>
  <w:num w:numId="8">
    <w:abstractNumId w:val="15"/>
  </w:num>
  <w:num w:numId="9">
    <w:abstractNumId w:val="18"/>
  </w:num>
  <w:num w:numId="10">
    <w:abstractNumId w:val="1"/>
  </w:num>
  <w:num w:numId="11">
    <w:abstractNumId w:val="10"/>
  </w:num>
  <w:num w:numId="12">
    <w:abstractNumId w:val="13"/>
  </w:num>
  <w:num w:numId="13">
    <w:abstractNumId w:val="17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6"/>
  </w:num>
  <w:num w:numId="18">
    <w:abstractNumId w:val="3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557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50040C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customStyle="1" w:styleId="contentpasted0">
    <w:name w:val="contentpasted0"/>
    <w:basedOn w:val="Normal"/>
    <w:uiPriority w:val="99"/>
    <w:rsid w:val="004C5557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50A226-409A-4F9F-A7CE-2ABAAAC04E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letterhead.dotx</Template>
  <TotalTime>8</TotalTime>
  <Pages>1</Pages>
  <Words>141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Katharine Thau (Swansea Bay UHB - Corporate Services)</cp:lastModifiedBy>
  <cp:revision>11</cp:revision>
  <cp:lastPrinted>2019-03-26T11:11:00Z</cp:lastPrinted>
  <dcterms:created xsi:type="dcterms:W3CDTF">2021-09-13T07:38:00Z</dcterms:created>
  <dcterms:modified xsi:type="dcterms:W3CDTF">2023-09-11T12:01:00Z</dcterms:modified>
</cp:coreProperties>
</file>