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F029C8">
                              <w:rPr>
                                <w:rFonts w:ascii="Verdana" w:hAnsi="Verdana"/>
                                <w:sz w:val="22"/>
                                <w:szCs w:val="22"/>
                              </w:rPr>
                              <w:t xml:space="preserve"> 9</w:t>
                            </w:r>
                            <w:r w:rsidR="00F029C8" w:rsidRPr="00F029C8">
                              <w:rPr>
                                <w:rFonts w:ascii="Verdana" w:hAnsi="Verdana"/>
                                <w:sz w:val="22"/>
                                <w:szCs w:val="22"/>
                                <w:vertAlign w:val="superscript"/>
                              </w:rPr>
                              <w:t>th</w:t>
                            </w:r>
                            <w:r w:rsidR="00F029C8">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5D192B">
                              <w:rPr>
                                <w:rFonts w:ascii="Verdana" w:hAnsi="Verdana"/>
                                <w:sz w:val="22"/>
                                <w:szCs w:val="22"/>
                              </w:rPr>
                              <w:t>22-A-040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F029C8">
                        <w:rPr>
                          <w:rFonts w:ascii="Verdana" w:hAnsi="Verdana"/>
                          <w:sz w:val="22"/>
                          <w:szCs w:val="22"/>
                        </w:rPr>
                        <w:t xml:space="preserve"> 9</w:t>
                      </w:r>
                      <w:r w:rsidR="00F029C8" w:rsidRPr="00F029C8">
                        <w:rPr>
                          <w:rFonts w:ascii="Verdana" w:hAnsi="Verdana"/>
                          <w:sz w:val="22"/>
                          <w:szCs w:val="22"/>
                          <w:vertAlign w:val="superscript"/>
                        </w:rPr>
                        <w:t>th</w:t>
                      </w:r>
                      <w:r w:rsidR="00F029C8">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5D192B">
                        <w:rPr>
                          <w:rFonts w:ascii="Verdana" w:hAnsi="Verdana"/>
                          <w:sz w:val="22"/>
                          <w:szCs w:val="22"/>
                        </w:rPr>
                        <w:t>22-A-040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5D192B">
        <w:rPr>
          <w:rFonts w:ascii="Verdana" w:hAnsi="Verdana" w:cs="Tahoma"/>
          <w:sz w:val="22"/>
          <w:szCs w:val="22"/>
        </w:rPr>
        <w:t>21</w:t>
      </w:r>
      <w:r w:rsidR="005D192B" w:rsidRPr="005D192B">
        <w:rPr>
          <w:rFonts w:ascii="Verdana" w:hAnsi="Verdana" w:cs="Tahoma"/>
          <w:sz w:val="22"/>
          <w:szCs w:val="22"/>
          <w:vertAlign w:val="superscript"/>
        </w:rPr>
        <w:t>st</w:t>
      </w:r>
      <w:r w:rsidR="005D192B">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5D192B">
        <w:rPr>
          <w:rFonts w:ascii="Verdana" w:hAnsi="Verdana" w:cs="Tahoma"/>
          <w:sz w:val="22"/>
          <w:szCs w:val="22"/>
        </w:rPr>
        <w:t>medication numbers</w:t>
      </w:r>
      <w:r w:rsidRPr="00304A21">
        <w:rPr>
          <w:rFonts w:ascii="Verdana" w:hAnsi="Verdana" w:cs="Tahoma"/>
          <w:sz w:val="22"/>
          <w:szCs w:val="22"/>
        </w:rPr>
        <w:t>.</w:t>
      </w:r>
    </w:p>
    <w:p w:rsidR="005D192B" w:rsidRDefault="005D192B" w:rsidP="002677FD">
      <w:pPr>
        <w:rPr>
          <w:rFonts w:ascii="Verdana" w:hAnsi="Verdana" w:cs="Tahoma"/>
          <w:sz w:val="22"/>
          <w:szCs w:val="22"/>
        </w:rPr>
      </w:pPr>
      <w:r>
        <w:rPr>
          <w:rFonts w:ascii="Verdana" w:hAnsi="Verdana" w:cs="Tahoma"/>
          <w:sz w:val="22"/>
          <w:szCs w:val="22"/>
        </w:rPr>
        <w:t>Please note that we have provided this information for the period July to December 2021.</w:t>
      </w:r>
    </w:p>
    <w:p w:rsidR="005D192B" w:rsidRPr="005D192B" w:rsidRDefault="005D192B" w:rsidP="005D192B">
      <w:pPr>
        <w:rPr>
          <w:rFonts w:ascii="Verdana" w:hAnsi="Verdana" w:cs="Tahoma"/>
          <w:b/>
          <w:sz w:val="22"/>
          <w:szCs w:val="22"/>
        </w:rPr>
      </w:pPr>
      <w:r w:rsidRPr="005D192B">
        <w:rPr>
          <w:rFonts w:ascii="Verdana" w:hAnsi="Verdana" w:cs="Tahoma"/>
          <w:b/>
          <w:sz w:val="22"/>
          <w:szCs w:val="22"/>
        </w:rPr>
        <w:t>How many patients has your health board treated in the past 6 months (for any disease) with the following drugs:</w:t>
      </w:r>
    </w:p>
    <w:p w:rsidR="005D192B" w:rsidRPr="005D192B" w:rsidRDefault="005D192B" w:rsidP="005D192B">
      <w:pPr>
        <w:pStyle w:val="ListParagraph"/>
        <w:numPr>
          <w:ilvl w:val="0"/>
          <w:numId w:val="19"/>
        </w:numPr>
        <w:rPr>
          <w:rFonts w:ascii="Verdana" w:hAnsi="Verdana" w:cs="Tahoma"/>
          <w:sz w:val="22"/>
          <w:szCs w:val="22"/>
        </w:rPr>
      </w:pPr>
      <w:proofErr w:type="spellStart"/>
      <w:r>
        <w:rPr>
          <w:rFonts w:ascii="Verdana" w:hAnsi="Verdana" w:cs="Tahoma"/>
          <w:sz w:val="22"/>
          <w:szCs w:val="22"/>
        </w:rPr>
        <w:t>Aubagio</w:t>
      </w:r>
      <w:proofErr w:type="spellEnd"/>
      <w:r>
        <w:rPr>
          <w:rFonts w:ascii="Verdana" w:hAnsi="Verdana" w:cs="Tahoma"/>
          <w:sz w:val="22"/>
          <w:szCs w:val="22"/>
        </w:rPr>
        <w:t xml:space="preserve"> (teriflunomide) - &lt;5</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Avonex</w:t>
      </w:r>
      <w:proofErr w:type="spellEnd"/>
      <w:r w:rsidRPr="005D192B">
        <w:rPr>
          <w:rFonts w:ascii="Verdana" w:hAnsi="Verdana" w:cs="Tahoma"/>
          <w:sz w:val="22"/>
          <w:szCs w:val="22"/>
        </w:rPr>
        <w:t xml:space="preserve"> (interferon beta-1a) -  9 </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Be</w:t>
      </w:r>
      <w:r>
        <w:rPr>
          <w:rFonts w:ascii="Verdana" w:hAnsi="Verdana" w:cs="Tahoma"/>
          <w:sz w:val="22"/>
          <w:szCs w:val="22"/>
        </w:rPr>
        <w:t>taferon</w:t>
      </w:r>
      <w:proofErr w:type="spellEnd"/>
      <w:r>
        <w:rPr>
          <w:rFonts w:ascii="Verdana" w:hAnsi="Verdana" w:cs="Tahoma"/>
          <w:sz w:val="22"/>
          <w:szCs w:val="22"/>
        </w:rPr>
        <w:t xml:space="preserve"> (interferon beta-1b) - &lt;5</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Brabio</w:t>
      </w:r>
      <w:proofErr w:type="spellEnd"/>
      <w:r w:rsidRPr="005D192B">
        <w:rPr>
          <w:rFonts w:ascii="Verdana" w:hAnsi="Verdana" w:cs="Tahoma"/>
          <w:sz w:val="22"/>
          <w:szCs w:val="22"/>
        </w:rPr>
        <w:t xml:space="preserve"> (glatiramer acetate) - 0</w:t>
      </w:r>
    </w:p>
    <w:p w:rsidR="005D192B" w:rsidRPr="005D192B" w:rsidRDefault="005D192B" w:rsidP="005D192B">
      <w:pPr>
        <w:pStyle w:val="ListParagraph"/>
        <w:numPr>
          <w:ilvl w:val="0"/>
          <w:numId w:val="19"/>
        </w:numPr>
        <w:rPr>
          <w:rFonts w:ascii="Verdana" w:hAnsi="Verdana" w:cs="Tahoma"/>
          <w:sz w:val="22"/>
          <w:szCs w:val="22"/>
        </w:rPr>
      </w:pPr>
      <w:r w:rsidRPr="005D192B">
        <w:rPr>
          <w:rFonts w:ascii="Verdana" w:hAnsi="Verdana" w:cs="Tahoma"/>
          <w:sz w:val="22"/>
          <w:szCs w:val="22"/>
        </w:rPr>
        <w:t xml:space="preserve">Copaxone (glatiramer acetate) - 33   </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Extavia</w:t>
      </w:r>
      <w:proofErr w:type="spellEnd"/>
      <w:r w:rsidRPr="005D192B">
        <w:rPr>
          <w:rFonts w:ascii="Verdana" w:hAnsi="Verdana" w:cs="Tahoma"/>
          <w:sz w:val="22"/>
          <w:szCs w:val="22"/>
        </w:rPr>
        <w:t xml:space="preserve"> (beta interferon-1b)  - 0</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Fampyra</w:t>
      </w:r>
      <w:proofErr w:type="spellEnd"/>
      <w:r w:rsidRPr="005D192B">
        <w:rPr>
          <w:rFonts w:ascii="Verdana" w:hAnsi="Verdana" w:cs="Tahoma"/>
          <w:sz w:val="22"/>
          <w:szCs w:val="22"/>
        </w:rPr>
        <w:t xml:space="preserve"> (fampridine) - 64</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Gilenya</w:t>
      </w:r>
      <w:proofErr w:type="spellEnd"/>
      <w:r w:rsidRPr="005D192B">
        <w:rPr>
          <w:rFonts w:ascii="Verdana" w:hAnsi="Verdana" w:cs="Tahoma"/>
          <w:sz w:val="22"/>
          <w:szCs w:val="22"/>
        </w:rPr>
        <w:t xml:space="preserve"> (fingolimod) -  23 </w:t>
      </w:r>
    </w:p>
    <w:p w:rsidR="005D192B" w:rsidRPr="005D192B" w:rsidRDefault="005D192B" w:rsidP="005D192B">
      <w:pPr>
        <w:pStyle w:val="ListParagraph"/>
        <w:numPr>
          <w:ilvl w:val="0"/>
          <w:numId w:val="19"/>
        </w:numPr>
        <w:rPr>
          <w:rFonts w:ascii="Verdana" w:hAnsi="Verdana" w:cs="Tahoma"/>
          <w:sz w:val="22"/>
          <w:szCs w:val="22"/>
        </w:rPr>
      </w:pPr>
      <w:r w:rsidRPr="005D192B">
        <w:rPr>
          <w:rFonts w:ascii="Verdana" w:hAnsi="Verdana" w:cs="Tahoma"/>
          <w:sz w:val="22"/>
          <w:szCs w:val="22"/>
        </w:rPr>
        <w:t xml:space="preserve">Lemtrada (alemtuzumab) – 0   </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Kesimpta</w:t>
      </w:r>
      <w:proofErr w:type="spellEnd"/>
      <w:r w:rsidRPr="005D192B">
        <w:rPr>
          <w:rFonts w:ascii="Verdana" w:hAnsi="Verdana" w:cs="Tahoma"/>
          <w:sz w:val="22"/>
          <w:szCs w:val="22"/>
        </w:rPr>
        <w:t xml:space="preserve"> (ofatumumab) – 20   </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Mavenclad</w:t>
      </w:r>
      <w:proofErr w:type="spellEnd"/>
      <w:r w:rsidRPr="005D192B">
        <w:rPr>
          <w:rFonts w:ascii="Verdana" w:hAnsi="Verdana" w:cs="Tahoma"/>
          <w:sz w:val="22"/>
          <w:szCs w:val="22"/>
        </w:rPr>
        <w:t xml:space="preserve"> (cladribine) – 5 </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Mayzent</w:t>
      </w:r>
      <w:proofErr w:type="spellEnd"/>
      <w:r w:rsidRPr="005D192B">
        <w:rPr>
          <w:rFonts w:ascii="Verdana" w:hAnsi="Verdana" w:cs="Tahoma"/>
          <w:sz w:val="22"/>
          <w:szCs w:val="22"/>
        </w:rPr>
        <w:t xml:space="preserve"> (</w:t>
      </w:r>
      <w:proofErr w:type="spellStart"/>
      <w:r w:rsidRPr="005D192B">
        <w:rPr>
          <w:rFonts w:ascii="Verdana" w:hAnsi="Verdana" w:cs="Tahoma"/>
          <w:sz w:val="22"/>
          <w:szCs w:val="22"/>
        </w:rPr>
        <w:t>siponimod</w:t>
      </w:r>
      <w:proofErr w:type="spellEnd"/>
      <w:r w:rsidRPr="005D192B">
        <w:rPr>
          <w:rFonts w:ascii="Verdana" w:hAnsi="Verdana" w:cs="Tahoma"/>
          <w:sz w:val="22"/>
          <w:szCs w:val="22"/>
        </w:rPr>
        <w:t>) - 0</w:t>
      </w:r>
    </w:p>
    <w:p w:rsidR="005D192B" w:rsidRPr="005D192B" w:rsidRDefault="005D192B" w:rsidP="005D192B">
      <w:pPr>
        <w:pStyle w:val="ListParagraph"/>
        <w:numPr>
          <w:ilvl w:val="0"/>
          <w:numId w:val="19"/>
        </w:numPr>
        <w:rPr>
          <w:rFonts w:ascii="Verdana" w:hAnsi="Verdana" w:cs="Tahoma"/>
          <w:sz w:val="22"/>
          <w:szCs w:val="22"/>
        </w:rPr>
      </w:pPr>
      <w:r w:rsidRPr="005D192B">
        <w:rPr>
          <w:rFonts w:ascii="Verdana" w:hAnsi="Verdana" w:cs="Tahoma"/>
          <w:sz w:val="22"/>
          <w:szCs w:val="22"/>
        </w:rPr>
        <w:t>Ocrevus (ocrelizumab) - 95</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Plegridy</w:t>
      </w:r>
      <w:proofErr w:type="spellEnd"/>
      <w:r w:rsidRPr="005D192B">
        <w:rPr>
          <w:rFonts w:ascii="Verdana" w:hAnsi="Verdana" w:cs="Tahoma"/>
          <w:sz w:val="22"/>
          <w:szCs w:val="22"/>
        </w:rPr>
        <w:t xml:space="preserve"> (peginterferon beta-1a) - 28</w:t>
      </w:r>
    </w:p>
    <w:p w:rsidR="005D192B"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Rebif</w:t>
      </w:r>
      <w:proofErr w:type="spellEnd"/>
      <w:r w:rsidRPr="005D192B">
        <w:rPr>
          <w:rFonts w:ascii="Verdana" w:hAnsi="Verdana" w:cs="Tahoma"/>
          <w:sz w:val="22"/>
          <w:szCs w:val="22"/>
        </w:rPr>
        <w:t xml:space="preserve"> (beta interferon-1a) – 6 </w:t>
      </w:r>
    </w:p>
    <w:p w:rsidR="005D192B" w:rsidRPr="005D192B" w:rsidRDefault="005D192B" w:rsidP="005D192B">
      <w:pPr>
        <w:pStyle w:val="ListParagraph"/>
        <w:numPr>
          <w:ilvl w:val="0"/>
          <w:numId w:val="19"/>
        </w:numPr>
        <w:rPr>
          <w:rFonts w:ascii="Verdana" w:hAnsi="Verdana" w:cs="Tahoma"/>
          <w:sz w:val="22"/>
          <w:szCs w:val="22"/>
        </w:rPr>
      </w:pPr>
      <w:r w:rsidRPr="005D192B">
        <w:rPr>
          <w:rFonts w:ascii="Verdana" w:hAnsi="Verdana" w:cs="Tahoma"/>
          <w:sz w:val="22"/>
          <w:szCs w:val="22"/>
        </w:rPr>
        <w:t>Tecfidera (dimethyl fumarate) - 47</w:t>
      </w:r>
    </w:p>
    <w:p w:rsidR="005D192B" w:rsidRPr="005D192B" w:rsidRDefault="005D192B" w:rsidP="005D192B">
      <w:pPr>
        <w:pStyle w:val="ListParagraph"/>
        <w:numPr>
          <w:ilvl w:val="0"/>
          <w:numId w:val="19"/>
        </w:numPr>
        <w:rPr>
          <w:rFonts w:ascii="Verdana" w:hAnsi="Verdana" w:cs="Tahoma"/>
          <w:sz w:val="22"/>
          <w:szCs w:val="22"/>
        </w:rPr>
      </w:pPr>
      <w:r w:rsidRPr="005D192B">
        <w:rPr>
          <w:rFonts w:ascii="Verdana" w:hAnsi="Verdana" w:cs="Tahoma"/>
          <w:sz w:val="22"/>
          <w:szCs w:val="22"/>
        </w:rPr>
        <w:t>Tysabri - any formulation (natalizumab) - 72</w:t>
      </w:r>
    </w:p>
    <w:p w:rsidR="005D192B" w:rsidRPr="005D192B" w:rsidRDefault="005D192B" w:rsidP="005D192B">
      <w:pPr>
        <w:pStyle w:val="ListParagraph"/>
        <w:numPr>
          <w:ilvl w:val="0"/>
          <w:numId w:val="19"/>
        </w:numPr>
        <w:rPr>
          <w:rFonts w:ascii="Verdana" w:hAnsi="Verdana" w:cs="Tahoma"/>
          <w:sz w:val="22"/>
          <w:szCs w:val="22"/>
        </w:rPr>
      </w:pPr>
      <w:r w:rsidRPr="005D192B">
        <w:rPr>
          <w:rFonts w:ascii="Verdana" w:hAnsi="Verdana" w:cs="Tahoma"/>
          <w:sz w:val="22"/>
          <w:szCs w:val="22"/>
        </w:rPr>
        <w:lastRenderedPageBreak/>
        <w:t>Tysabri - pre-filled syringe ONLY (natalizumab) -  61</w:t>
      </w:r>
    </w:p>
    <w:p w:rsidR="00CE325E" w:rsidRPr="005D192B" w:rsidRDefault="005D192B" w:rsidP="005D192B">
      <w:pPr>
        <w:pStyle w:val="ListParagraph"/>
        <w:numPr>
          <w:ilvl w:val="0"/>
          <w:numId w:val="19"/>
        </w:numPr>
        <w:rPr>
          <w:rFonts w:ascii="Verdana" w:hAnsi="Verdana" w:cs="Tahoma"/>
          <w:sz w:val="22"/>
          <w:szCs w:val="22"/>
        </w:rPr>
      </w:pPr>
      <w:proofErr w:type="spellStart"/>
      <w:r w:rsidRPr="005D192B">
        <w:rPr>
          <w:rFonts w:ascii="Verdana" w:hAnsi="Verdana" w:cs="Tahoma"/>
          <w:sz w:val="22"/>
          <w:szCs w:val="22"/>
        </w:rPr>
        <w:t>Zeposia</w:t>
      </w:r>
      <w:proofErr w:type="spellEnd"/>
      <w:r w:rsidRPr="005D192B">
        <w:rPr>
          <w:rFonts w:ascii="Verdana" w:hAnsi="Verdana" w:cs="Tahoma"/>
          <w:sz w:val="22"/>
          <w:szCs w:val="22"/>
        </w:rPr>
        <w:t xml:space="preserve"> (ozanimod) - 0</w:t>
      </w:r>
    </w:p>
    <w:p w:rsidR="005D192B" w:rsidRPr="005D192B" w:rsidRDefault="005D192B" w:rsidP="005D192B">
      <w:pPr>
        <w:rPr>
          <w:rFonts w:ascii="Verdana" w:hAnsi="Verdana"/>
          <w:sz w:val="22"/>
          <w:szCs w:val="22"/>
        </w:rPr>
      </w:pPr>
      <w:r w:rsidRPr="005D192B">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5D192B">
          <w:rPr>
            <w:rFonts w:ascii="Verdana" w:hAnsi="Verdana"/>
            <w:sz w:val="22"/>
            <w:szCs w:val="22"/>
          </w:rPr>
          <w:t>Freedom of Information</w:t>
        </w:r>
      </w:smartTag>
      <w:r w:rsidRPr="005D192B">
        <w:rPr>
          <w:rFonts w:ascii="Verdana" w:hAnsi="Verdana"/>
          <w:sz w:val="22"/>
          <w:szCs w:val="22"/>
        </w:rPr>
        <w:t xml:space="preserve"> Act 2000.  This information is protected by the </w:t>
      </w:r>
      <w:r w:rsidRPr="005D192B">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D192B">
        <w:rPr>
          <w:rFonts w:ascii="Verdana" w:hAnsi="Verdana"/>
          <w:bCs/>
          <w:iCs/>
          <w:sz w:val="22"/>
          <w:szCs w:val="22"/>
        </w:rPr>
        <w:t>in regard to</w:t>
      </w:r>
      <w:r w:rsidRPr="005D192B">
        <w:rPr>
          <w:rFonts w:ascii="Verdana" w:hAnsi="Verdana"/>
          <w:iCs/>
          <w:sz w:val="22"/>
          <w:szCs w:val="22"/>
        </w:rPr>
        <w:t xml:space="preserve"> Articles 5, 6, and 9 of GDPR.  </w:t>
      </w:r>
      <w:r w:rsidRPr="005D192B">
        <w:rPr>
          <w:rFonts w:ascii="Verdana" w:hAnsi="Verdana"/>
          <w:sz w:val="22"/>
          <w:szCs w:val="22"/>
        </w:rPr>
        <w:t>This exemption is absolute and therefore there is no requirement to apply the public interest test.</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F029C8" w:rsidP="002677FD">
      <w:pPr>
        <w:jc w:val="both"/>
        <w:rPr>
          <w:rFonts w:ascii="Verdana" w:hAnsi="Verdana"/>
          <w:sz w:val="22"/>
          <w:szCs w:val="22"/>
        </w:rPr>
      </w:pPr>
      <w:r>
        <w:rPr>
          <w:rFonts w:ascii="Calibri" w:hAnsi="Calibri" w:cs="Calibri"/>
          <w:noProof/>
          <w:color w:val="1F497D"/>
        </w:rPr>
        <w:drawing>
          <wp:inline distT="0" distB="0" distL="0" distR="0" wp14:anchorId="00D6BB4B" wp14:editId="48DBD7C7">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029C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4" type="#_x0000_t75" style="width:21pt;height:21pt;visibility:visible;mso-wrap-style:square" o:bullet="t">
        <v:imagedata r:id="rId1" o:title=""/>
      </v:shape>
    </w:pict>
  </w:numPicBullet>
  <w:numPicBullet w:numPicBulletId="1">
    <w:pict>
      <v:shape id="_x0000_i1155" type="#_x0000_t75" style="width:383.25pt;height:383.25pt;visibility:visible;mso-wrap-style:square" o:bullet="t">
        <v:imagedata r:id="rId2" o:title=""/>
      </v:shape>
    </w:pict>
  </w:numPicBullet>
  <w:numPicBullet w:numPicBulletId="2">
    <w:pict>
      <v:shape id="_x0000_i1156" type="#_x0000_t75" style="width:225pt;height:225pt;visibility:visible;mso-wrap-style:square" o:bullet="t">
        <v:imagedata r:id="rId3" o:title=""/>
      </v:shape>
    </w:pict>
  </w:numPicBullet>
  <w:numPicBullet w:numPicBulletId="3">
    <w:pict>
      <v:shape id="_x0000_i115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C833409"/>
    <w:multiLevelType w:val="hybridMultilevel"/>
    <w:tmpl w:val="F8C2BC9C"/>
    <w:lvl w:ilvl="0" w:tplc="B64644E2">
      <w:numFmt w:val="bullet"/>
      <w:lvlText w:val="•"/>
      <w:lvlJc w:val="left"/>
      <w:pPr>
        <w:ind w:left="865" w:hanging="360"/>
      </w:pPr>
      <w:rPr>
        <w:rFonts w:ascii="Verdana" w:eastAsia="Calibri" w:hAnsi="Verdana" w:cs="Tahoma"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07B00AB"/>
    <w:multiLevelType w:val="hybridMultilevel"/>
    <w:tmpl w:val="7EE47D1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10"/>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D192B"/>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AF71A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029C8"/>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E10A18-DA6D-408C-A019-8CF63D17E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2</Pages>
  <Words>443</Words>
  <Characters>2527</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2022-02-09T14:47:00Z</cp:lastPrinted>
  <dcterms:created xsi:type="dcterms:W3CDTF">2021-09-13T07:38:00Z</dcterms:created>
  <dcterms:modified xsi:type="dcterms:W3CDTF">2024-03-13T13:16:00Z</dcterms:modified>
</cp:coreProperties>
</file>