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5258B6"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23</w:t>
                            </w:r>
                            <w:r w:rsidRPr="005258B6">
                              <w:rPr>
                                <w:rFonts w:ascii="Verdana" w:hAnsi="Verdana"/>
                                <w:sz w:val="22"/>
                                <w:szCs w:val="22"/>
                                <w:vertAlign w:val="superscript"/>
                              </w:rPr>
                              <w:t>rd</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6D074D">
                              <w:rPr>
                                <w:rFonts w:ascii="Verdana" w:hAnsi="Verdana"/>
                                <w:sz w:val="22"/>
                                <w:szCs w:val="22"/>
                              </w:rPr>
                              <w:t>22-A-039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5258B6"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23</w:t>
                      </w:r>
                      <w:r w:rsidRPr="005258B6">
                        <w:rPr>
                          <w:rFonts w:ascii="Verdana" w:hAnsi="Verdana"/>
                          <w:sz w:val="22"/>
                          <w:szCs w:val="22"/>
                          <w:vertAlign w:val="superscript"/>
                        </w:rPr>
                        <w:t>rd</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6D074D">
                        <w:rPr>
                          <w:rFonts w:ascii="Verdana" w:hAnsi="Verdana"/>
                          <w:sz w:val="22"/>
                          <w:szCs w:val="22"/>
                        </w:rPr>
                        <w:t>22-A-039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6D074D">
        <w:rPr>
          <w:rFonts w:ascii="Verdana" w:hAnsi="Verdana" w:cs="Tahoma"/>
          <w:sz w:val="22"/>
          <w:szCs w:val="22"/>
        </w:rPr>
        <w:t>21</w:t>
      </w:r>
      <w:r w:rsidR="006D074D" w:rsidRPr="006D074D">
        <w:rPr>
          <w:rFonts w:ascii="Verdana" w:hAnsi="Verdana" w:cs="Tahoma"/>
          <w:sz w:val="22"/>
          <w:szCs w:val="22"/>
          <w:vertAlign w:val="superscript"/>
        </w:rPr>
        <w:t>st</w:t>
      </w:r>
      <w:r w:rsidR="006D074D">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6D074D">
        <w:rPr>
          <w:rFonts w:ascii="Verdana" w:hAnsi="Verdana" w:cs="Tahoma"/>
          <w:sz w:val="22"/>
          <w:szCs w:val="22"/>
        </w:rPr>
        <w:t>knife crime admissions</w:t>
      </w:r>
      <w:r w:rsidRPr="00304A21">
        <w:rPr>
          <w:rFonts w:ascii="Verdana" w:hAnsi="Verdana" w:cs="Tahoma"/>
          <w:sz w:val="22"/>
          <w:szCs w:val="22"/>
        </w:rPr>
        <w:t>.</w:t>
      </w:r>
      <w:r w:rsidR="00C53C53">
        <w:rPr>
          <w:rFonts w:ascii="Verdana" w:hAnsi="Verdana" w:cs="Tahoma"/>
          <w:sz w:val="22"/>
          <w:szCs w:val="22"/>
        </w:rPr>
        <w:br/>
      </w:r>
      <w:r w:rsidR="00C53C53">
        <w:rPr>
          <w:rFonts w:ascii="Verdana" w:hAnsi="Verdana" w:cs="Tahoma"/>
          <w:sz w:val="22"/>
          <w:szCs w:val="22"/>
        </w:rPr>
        <w:br/>
        <w:t>Please note that we have provided this information for the period 1</w:t>
      </w:r>
      <w:r w:rsidR="00C53C53" w:rsidRPr="00016214">
        <w:rPr>
          <w:rFonts w:ascii="Verdana" w:hAnsi="Verdana" w:cs="Tahoma"/>
          <w:sz w:val="22"/>
          <w:szCs w:val="22"/>
          <w:vertAlign w:val="superscript"/>
        </w:rPr>
        <w:t>st</w:t>
      </w:r>
      <w:r w:rsidR="00C53C53">
        <w:rPr>
          <w:rFonts w:ascii="Verdana" w:hAnsi="Verdana" w:cs="Tahoma"/>
          <w:sz w:val="22"/>
          <w:szCs w:val="22"/>
        </w:rPr>
        <w:t xml:space="preserve"> January 2019 to 31</w:t>
      </w:r>
      <w:r w:rsidR="00C53C53" w:rsidRPr="00016214">
        <w:rPr>
          <w:rFonts w:ascii="Verdana" w:hAnsi="Verdana" w:cs="Tahoma"/>
          <w:sz w:val="22"/>
          <w:szCs w:val="22"/>
          <w:vertAlign w:val="superscript"/>
        </w:rPr>
        <w:t>st</w:t>
      </w:r>
      <w:r w:rsidR="00C53C53">
        <w:rPr>
          <w:rFonts w:ascii="Verdana" w:hAnsi="Verdana" w:cs="Tahoma"/>
          <w:sz w:val="22"/>
          <w:szCs w:val="22"/>
        </w:rPr>
        <w:t xml:space="preserve"> January 2022.</w:t>
      </w:r>
    </w:p>
    <w:p w:rsidR="00C32C23" w:rsidRPr="00C32C23" w:rsidRDefault="006D074D" w:rsidP="00C32C23">
      <w:pPr>
        <w:pStyle w:val="ListParagraph"/>
        <w:numPr>
          <w:ilvl w:val="0"/>
          <w:numId w:val="19"/>
        </w:numPr>
        <w:rPr>
          <w:rFonts w:ascii="Verdana" w:hAnsi="Verdana" w:cs="Tahoma"/>
          <w:sz w:val="22"/>
          <w:szCs w:val="22"/>
        </w:rPr>
      </w:pPr>
      <w:r w:rsidRPr="00C32C23">
        <w:rPr>
          <w:rFonts w:ascii="Verdana" w:hAnsi="Verdana" w:cs="Tahoma"/>
          <w:b/>
          <w:sz w:val="22"/>
          <w:szCs w:val="22"/>
        </w:rPr>
        <w:t>How many patients involved in knife crime incidents have been admitted to hospitals within your health-board?</w:t>
      </w:r>
      <w:r w:rsidR="00C32C23" w:rsidRPr="00C32C23">
        <w:rPr>
          <w:rFonts w:ascii="Verdana" w:hAnsi="Verdana" w:cs="Tahoma"/>
          <w:b/>
          <w:sz w:val="22"/>
          <w:szCs w:val="22"/>
        </w:rPr>
        <w:t xml:space="preserve"> Please provide a breakdown from 2019 - present, in calendar years not fiscal.</w:t>
      </w:r>
      <w:r w:rsidR="00C32C23" w:rsidRPr="00C32C23">
        <w:rPr>
          <w:rFonts w:ascii="Verdana" w:hAnsi="Verdana" w:cs="Tahoma"/>
          <w:b/>
          <w:sz w:val="22"/>
          <w:szCs w:val="22"/>
        </w:rPr>
        <w:br/>
      </w:r>
      <w:r w:rsidR="00C32C23" w:rsidRPr="00C32C23">
        <w:rPr>
          <w:rFonts w:ascii="Verdana" w:hAnsi="Verdana" w:cs="Tahoma"/>
          <w:sz w:val="22"/>
          <w:szCs w:val="22"/>
        </w:rPr>
        <w:t>You clarified on 27</w:t>
      </w:r>
      <w:r w:rsidR="00C32C23" w:rsidRPr="00C32C23">
        <w:rPr>
          <w:rFonts w:ascii="Verdana" w:hAnsi="Verdana" w:cs="Tahoma"/>
          <w:sz w:val="22"/>
          <w:szCs w:val="22"/>
          <w:vertAlign w:val="superscript"/>
        </w:rPr>
        <w:t>th</w:t>
      </w:r>
      <w:r w:rsidR="00C32C23" w:rsidRPr="00C32C23">
        <w:rPr>
          <w:rFonts w:ascii="Verdana" w:hAnsi="Verdana" w:cs="Tahoma"/>
          <w:sz w:val="22"/>
          <w:szCs w:val="22"/>
        </w:rPr>
        <w:t xml:space="preserve"> January 2022 that you would like the information</w:t>
      </w:r>
      <w:r w:rsidR="00C32C23" w:rsidRPr="00C32C23">
        <w:rPr>
          <w:rFonts w:ascii="Verdana" w:hAnsi="Verdana" w:cs="Tahoma"/>
          <w:b/>
          <w:sz w:val="22"/>
          <w:szCs w:val="22"/>
        </w:rPr>
        <w:t xml:space="preserve"> </w:t>
      </w:r>
      <w:r w:rsidR="00C32C23" w:rsidRPr="00C32C23">
        <w:rPr>
          <w:rFonts w:ascii="Verdana" w:hAnsi="Verdana" w:cs="Tahoma"/>
          <w:sz w:val="22"/>
          <w:szCs w:val="22"/>
        </w:rPr>
        <w:t>broken down by;</w:t>
      </w:r>
      <w:r w:rsidR="00C32C23" w:rsidRPr="00C32C23">
        <w:rPr>
          <w:rFonts w:ascii="Verdana" w:hAnsi="Verdana" w:cs="Tahoma"/>
          <w:sz w:val="22"/>
          <w:szCs w:val="22"/>
        </w:rPr>
        <w:br/>
      </w:r>
    </w:p>
    <w:p w:rsidR="00B5212C" w:rsidRPr="00CD23E7" w:rsidRDefault="002A1E5E" w:rsidP="00C32C23">
      <w:pPr>
        <w:pStyle w:val="ListParagraph"/>
        <w:numPr>
          <w:ilvl w:val="0"/>
          <w:numId w:val="20"/>
        </w:numPr>
        <w:rPr>
          <w:rFonts w:ascii="Verdana" w:hAnsi="Verdana" w:cs="Tahoma"/>
          <w:b/>
          <w:sz w:val="22"/>
          <w:szCs w:val="22"/>
        </w:rPr>
      </w:pPr>
      <w:r w:rsidRPr="00CD23E7">
        <w:rPr>
          <w:rFonts w:ascii="Verdana" w:hAnsi="Verdana" w:cs="Tahoma"/>
          <w:b/>
          <w:sz w:val="22"/>
          <w:szCs w:val="22"/>
        </w:rPr>
        <w:t>Number of patients p</w:t>
      </w:r>
      <w:r w:rsidR="00C32C23" w:rsidRPr="00CD23E7">
        <w:rPr>
          <w:rFonts w:ascii="Verdana" w:hAnsi="Verdana" w:cs="Tahoma"/>
          <w:b/>
          <w:sz w:val="22"/>
          <w:szCs w:val="22"/>
        </w:rPr>
        <w:t>resenting at the emergency department with an injury caused by a blade/knife/stab/sharp object</w:t>
      </w:r>
      <w:r w:rsidR="00B5212C">
        <w:rPr>
          <w:rFonts w:ascii="Verdana" w:hAnsi="Verdana" w:cs="Tahoma"/>
          <w:b/>
          <w:sz w:val="22"/>
          <w:szCs w:val="22"/>
        </w:rPr>
        <w:br/>
      </w:r>
      <w:r w:rsidR="00B5212C">
        <w:rPr>
          <w:rFonts w:ascii="Verdana" w:hAnsi="Verdana" w:cs="Tahoma"/>
          <w:sz w:val="22"/>
          <w:szCs w:val="22"/>
        </w:rPr>
        <w:t>Please note that the information we have provided relates to patients that presented at either Morriston Hospital Emergency Department (ED) or Neath Port Talbot Minor Injuries Unit (MIU) with a “</w:t>
      </w:r>
      <w:r w:rsidR="00B5212C" w:rsidRPr="00CD23E7">
        <w:rPr>
          <w:rFonts w:ascii="Verdana" w:hAnsi="Verdana" w:cs="Tahoma"/>
          <w:i/>
          <w:sz w:val="22"/>
          <w:szCs w:val="22"/>
        </w:rPr>
        <w:t>sharp object injury as a result of an assault</w:t>
      </w:r>
      <w:r w:rsidR="00B5212C">
        <w:rPr>
          <w:rFonts w:ascii="Verdana" w:hAnsi="Verdana" w:cs="Tahoma"/>
          <w:sz w:val="22"/>
          <w:szCs w:val="22"/>
        </w:rPr>
        <w:t xml:space="preserve">” </w:t>
      </w:r>
      <w:r w:rsidR="00B5212C" w:rsidRPr="00CD23E7">
        <w:rPr>
          <w:rFonts w:ascii="Verdana" w:hAnsi="Verdana" w:cs="Tahoma"/>
          <w:sz w:val="22"/>
          <w:szCs w:val="22"/>
          <w:u w:val="single"/>
        </w:rPr>
        <w:t>only</w:t>
      </w:r>
      <w:r w:rsidR="00B5212C">
        <w:rPr>
          <w:rFonts w:ascii="Verdana" w:hAnsi="Verdana" w:cs="Tahoma"/>
          <w:sz w:val="22"/>
          <w:szCs w:val="22"/>
        </w:rPr>
        <w:t xml:space="preserve">.  </w:t>
      </w:r>
      <w:r w:rsidR="00B5212C">
        <w:rPr>
          <w:rFonts w:ascii="Verdana" w:hAnsi="Verdana" w:cs="Tahoma"/>
          <w:b/>
          <w:sz w:val="22"/>
          <w:szCs w:val="22"/>
        </w:rPr>
        <w:br/>
      </w:r>
    </w:p>
    <w:tbl>
      <w:tblPr>
        <w:tblW w:w="2689" w:type="dxa"/>
        <w:jc w:val="center"/>
        <w:tblLook w:val="04A0" w:firstRow="1" w:lastRow="0" w:firstColumn="1" w:lastColumn="0" w:noHBand="0" w:noVBand="1"/>
      </w:tblPr>
      <w:tblGrid>
        <w:gridCol w:w="1300"/>
        <w:gridCol w:w="1389"/>
      </w:tblGrid>
      <w:tr w:rsidR="00B5212C" w:rsidRPr="00B5212C" w:rsidTr="00B5212C">
        <w:trPr>
          <w:trHeight w:val="300"/>
          <w:jc w:val="center"/>
        </w:trPr>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212C" w:rsidRPr="00B5212C" w:rsidRDefault="00B5212C" w:rsidP="00B5212C">
            <w:pPr>
              <w:spacing w:before="0" w:after="0" w:line="240" w:lineRule="auto"/>
              <w:ind w:left="0" w:right="0"/>
              <w:jc w:val="center"/>
              <w:rPr>
                <w:rFonts w:ascii="Calibri" w:eastAsia="Times New Roman" w:hAnsi="Calibri" w:cs="Calibri"/>
                <w:b/>
                <w:bCs/>
                <w:color w:val="000000"/>
                <w:sz w:val="22"/>
                <w:szCs w:val="22"/>
              </w:rPr>
            </w:pPr>
            <w:r w:rsidRPr="00B5212C">
              <w:rPr>
                <w:rFonts w:ascii="Calibri" w:eastAsia="Times New Roman" w:hAnsi="Calibri" w:cs="Calibri"/>
                <w:b/>
                <w:bCs/>
                <w:color w:val="000000"/>
                <w:sz w:val="22"/>
                <w:szCs w:val="22"/>
              </w:rPr>
              <w:t>Years</w:t>
            </w:r>
          </w:p>
        </w:tc>
        <w:tc>
          <w:tcPr>
            <w:tcW w:w="1389" w:type="dxa"/>
            <w:tcBorders>
              <w:top w:val="single" w:sz="4" w:space="0" w:color="auto"/>
              <w:left w:val="nil"/>
              <w:bottom w:val="single" w:sz="4" w:space="0" w:color="auto"/>
              <w:right w:val="single" w:sz="4" w:space="0" w:color="auto"/>
            </w:tcBorders>
            <w:shd w:val="clear" w:color="auto" w:fill="auto"/>
            <w:noWrap/>
            <w:vAlign w:val="center"/>
            <w:hideMark/>
          </w:tcPr>
          <w:p w:rsidR="00B5212C" w:rsidRPr="00B5212C" w:rsidRDefault="00B5212C" w:rsidP="00B5212C">
            <w:pPr>
              <w:spacing w:before="0" w:after="0" w:line="240" w:lineRule="auto"/>
              <w:ind w:left="0" w:right="0"/>
              <w:jc w:val="center"/>
              <w:rPr>
                <w:rFonts w:ascii="Calibri" w:eastAsia="Times New Roman" w:hAnsi="Calibri" w:cs="Calibri"/>
                <w:b/>
                <w:bCs/>
                <w:color w:val="000000"/>
                <w:sz w:val="22"/>
                <w:szCs w:val="22"/>
              </w:rPr>
            </w:pPr>
            <w:r w:rsidRPr="00B5212C">
              <w:rPr>
                <w:rFonts w:ascii="Calibri" w:eastAsia="Times New Roman" w:hAnsi="Calibri" w:cs="Calibri"/>
                <w:b/>
                <w:bCs/>
                <w:color w:val="000000"/>
                <w:sz w:val="22"/>
                <w:szCs w:val="22"/>
              </w:rPr>
              <w:t>Grand Total</w:t>
            </w:r>
          </w:p>
        </w:tc>
      </w:tr>
      <w:tr w:rsidR="00B5212C" w:rsidRPr="00B5212C" w:rsidTr="00B5212C">
        <w:trPr>
          <w:trHeight w:val="300"/>
          <w:jc w:val="center"/>
        </w:trPr>
        <w:tc>
          <w:tcPr>
            <w:tcW w:w="1300" w:type="dxa"/>
            <w:tcBorders>
              <w:top w:val="nil"/>
              <w:left w:val="single" w:sz="4" w:space="0" w:color="auto"/>
              <w:bottom w:val="single" w:sz="4" w:space="0" w:color="auto"/>
              <w:right w:val="single" w:sz="4" w:space="0" w:color="auto"/>
            </w:tcBorders>
            <w:shd w:val="clear" w:color="auto" w:fill="auto"/>
            <w:noWrap/>
            <w:vAlign w:val="center"/>
            <w:hideMark/>
          </w:tcPr>
          <w:p w:rsidR="00B5212C" w:rsidRPr="00B5212C" w:rsidRDefault="00B5212C" w:rsidP="00B5212C">
            <w:pPr>
              <w:spacing w:before="0" w:after="0" w:line="240" w:lineRule="auto"/>
              <w:ind w:left="0" w:right="0"/>
              <w:jc w:val="center"/>
              <w:rPr>
                <w:rFonts w:ascii="Calibri" w:eastAsia="Times New Roman" w:hAnsi="Calibri" w:cs="Calibri"/>
                <w:color w:val="000000"/>
                <w:sz w:val="22"/>
                <w:szCs w:val="22"/>
              </w:rPr>
            </w:pPr>
            <w:r w:rsidRPr="00B5212C">
              <w:rPr>
                <w:rFonts w:ascii="Calibri" w:eastAsia="Times New Roman" w:hAnsi="Calibri" w:cs="Calibri"/>
                <w:color w:val="000000"/>
                <w:sz w:val="22"/>
                <w:szCs w:val="22"/>
              </w:rPr>
              <w:t>2019</w:t>
            </w:r>
          </w:p>
        </w:tc>
        <w:tc>
          <w:tcPr>
            <w:tcW w:w="1389" w:type="dxa"/>
            <w:tcBorders>
              <w:top w:val="nil"/>
              <w:left w:val="nil"/>
              <w:bottom w:val="single" w:sz="4" w:space="0" w:color="auto"/>
              <w:right w:val="single" w:sz="4" w:space="0" w:color="auto"/>
            </w:tcBorders>
            <w:shd w:val="clear" w:color="auto" w:fill="auto"/>
            <w:noWrap/>
            <w:vAlign w:val="center"/>
            <w:hideMark/>
          </w:tcPr>
          <w:p w:rsidR="00B5212C" w:rsidRPr="00B5212C" w:rsidRDefault="00B5212C" w:rsidP="00B5212C">
            <w:pPr>
              <w:spacing w:before="0" w:after="0" w:line="240" w:lineRule="auto"/>
              <w:ind w:left="0" w:right="0"/>
              <w:jc w:val="center"/>
              <w:rPr>
                <w:rFonts w:ascii="Calibri" w:eastAsia="Times New Roman" w:hAnsi="Calibri" w:cs="Calibri"/>
                <w:color w:val="000000"/>
                <w:sz w:val="22"/>
                <w:szCs w:val="22"/>
              </w:rPr>
            </w:pPr>
            <w:r w:rsidRPr="00B5212C">
              <w:rPr>
                <w:rFonts w:ascii="Calibri" w:eastAsia="Times New Roman" w:hAnsi="Calibri" w:cs="Calibri"/>
                <w:color w:val="000000"/>
                <w:sz w:val="22"/>
                <w:szCs w:val="22"/>
              </w:rPr>
              <w:t>69</w:t>
            </w:r>
          </w:p>
        </w:tc>
      </w:tr>
      <w:tr w:rsidR="00B5212C" w:rsidRPr="00B5212C" w:rsidTr="00B5212C">
        <w:trPr>
          <w:trHeight w:val="300"/>
          <w:jc w:val="center"/>
        </w:trPr>
        <w:tc>
          <w:tcPr>
            <w:tcW w:w="1300" w:type="dxa"/>
            <w:tcBorders>
              <w:top w:val="nil"/>
              <w:left w:val="single" w:sz="4" w:space="0" w:color="auto"/>
              <w:bottom w:val="single" w:sz="4" w:space="0" w:color="auto"/>
              <w:right w:val="single" w:sz="4" w:space="0" w:color="auto"/>
            </w:tcBorders>
            <w:shd w:val="clear" w:color="auto" w:fill="auto"/>
            <w:noWrap/>
            <w:vAlign w:val="center"/>
            <w:hideMark/>
          </w:tcPr>
          <w:p w:rsidR="00B5212C" w:rsidRPr="00B5212C" w:rsidRDefault="00B5212C" w:rsidP="00B5212C">
            <w:pPr>
              <w:spacing w:before="0" w:after="0" w:line="240" w:lineRule="auto"/>
              <w:ind w:left="0" w:right="0"/>
              <w:jc w:val="center"/>
              <w:rPr>
                <w:rFonts w:ascii="Calibri" w:eastAsia="Times New Roman" w:hAnsi="Calibri" w:cs="Calibri"/>
                <w:color w:val="000000"/>
                <w:sz w:val="22"/>
                <w:szCs w:val="22"/>
              </w:rPr>
            </w:pPr>
            <w:r w:rsidRPr="00B5212C">
              <w:rPr>
                <w:rFonts w:ascii="Calibri" w:eastAsia="Times New Roman" w:hAnsi="Calibri" w:cs="Calibri"/>
                <w:color w:val="000000"/>
                <w:sz w:val="22"/>
                <w:szCs w:val="22"/>
              </w:rPr>
              <w:t>2020</w:t>
            </w:r>
          </w:p>
        </w:tc>
        <w:tc>
          <w:tcPr>
            <w:tcW w:w="1389" w:type="dxa"/>
            <w:tcBorders>
              <w:top w:val="nil"/>
              <w:left w:val="nil"/>
              <w:bottom w:val="single" w:sz="4" w:space="0" w:color="auto"/>
              <w:right w:val="single" w:sz="4" w:space="0" w:color="auto"/>
            </w:tcBorders>
            <w:shd w:val="clear" w:color="auto" w:fill="auto"/>
            <w:noWrap/>
            <w:vAlign w:val="center"/>
            <w:hideMark/>
          </w:tcPr>
          <w:p w:rsidR="00B5212C" w:rsidRPr="00B5212C" w:rsidRDefault="00B5212C" w:rsidP="00B5212C">
            <w:pPr>
              <w:spacing w:before="0" w:after="0" w:line="240" w:lineRule="auto"/>
              <w:ind w:left="0" w:right="0"/>
              <w:jc w:val="center"/>
              <w:rPr>
                <w:rFonts w:ascii="Calibri" w:eastAsia="Times New Roman" w:hAnsi="Calibri" w:cs="Calibri"/>
                <w:color w:val="000000"/>
                <w:sz w:val="22"/>
                <w:szCs w:val="22"/>
              </w:rPr>
            </w:pPr>
            <w:r w:rsidRPr="00B5212C">
              <w:rPr>
                <w:rFonts w:ascii="Calibri" w:eastAsia="Times New Roman" w:hAnsi="Calibri" w:cs="Calibri"/>
                <w:color w:val="000000"/>
                <w:sz w:val="22"/>
                <w:szCs w:val="22"/>
              </w:rPr>
              <w:t>49</w:t>
            </w:r>
          </w:p>
        </w:tc>
      </w:tr>
      <w:tr w:rsidR="00B5212C" w:rsidRPr="00B5212C" w:rsidTr="00B5212C">
        <w:trPr>
          <w:trHeight w:val="300"/>
          <w:jc w:val="center"/>
        </w:trPr>
        <w:tc>
          <w:tcPr>
            <w:tcW w:w="1300" w:type="dxa"/>
            <w:tcBorders>
              <w:top w:val="nil"/>
              <w:left w:val="single" w:sz="4" w:space="0" w:color="auto"/>
              <w:bottom w:val="single" w:sz="4" w:space="0" w:color="auto"/>
              <w:right w:val="single" w:sz="4" w:space="0" w:color="auto"/>
            </w:tcBorders>
            <w:shd w:val="clear" w:color="auto" w:fill="auto"/>
            <w:noWrap/>
            <w:vAlign w:val="center"/>
            <w:hideMark/>
          </w:tcPr>
          <w:p w:rsidR="00B5212C" w:rsidRPr="00B5212C" w:rsidRDefault="00B5212C" w:rsidP="00B5212C">
            <w:pPr>
              <w:spacing w:before="0" w:after="0" w:line="240" w:lineRule="auto"/>
              <w:ind w:left="0" w:right="0"/>
              <w:jc w:val="center"/>
              <w:rPr>
                <w:rFonts w:ascii="Calibri" w:eastAsia="Times New Roman" w:hAnsi="Calibri" w:cs="Calibri"/>
                <w:color w:val="000000"/>
                <w:sz w:val="22"/>
                <w:szCs w:val="22"/>
              </w:rPr>
            </w:pPr>
            <w:r w:rsidRPr="00B5212C">
              <w:rPr>
                <w:rFonts w:ascii="Calibri" w:eastAsia="Times New Roman" w:hAnsi="Calibri" w:cs="Calibri"/>
                <w:color w:val="000000"/>
                <w:sz w:val="22"/>
                <w:szCs w:val="22"/>
              </w:rPr>
              <w:t>2021</w:t>
            </w:r>
          </w:p>
        </w:tc>
        <w:tc>
          <w:tcPr>
            <w:tcW w:w="1389" w:type="dxa"/>
            <w:tcBorders>
              <w:top w:val="nil"/>
              <w:left w:val="nil"/>
              <w:bottom w:val="single" w:sz="4" w:space="0" w:color="auto"/>
              <w:right w:val="single" w:sz="4" w:space="0" w:color="auto"/>
            </w:tcBorders>
            <w:shd w:val="clear" w:color="auto" w:fill="auto"/>
            <w:noWrap/>
            <w:vAlign w:val="center"/>
            <w:hideMark/>
          </w:tcPr>
          <w:p w:rsidR="00B5212C" w:rsidRPr="00B5212C" w:rsidRDefault="00B5212C" w:rsidP="00B5212C">
            <w:pPr>
              <w:spacing w:before="0" w:after="0" w:line="240" w:lineRule="auto"/>
              <w:ind w:left="0" w:right="0"/>
              <w:jc w:val="center"/>
              <w:rPr>
                <w:rFonts w:ascii="Calibri" w:eastAsia="Times New Roman" w:hAnsi="Calibri" w:cs="Calibri"/>
                <w:color w:val="000000"/>
                <w:sz w:val="22"/>
                <w:szCs w:val="22"/>
              </w:rPr>
            </w:pPr>
            <w:r w:rsidRPr="00B5212C">
              <w:rPr>
                <w:rFonts w:ascii="Calibri" w:eastAsia="Times New Roman" w:hAnsi="Calibri" w:cs="Calibri"/>
                <w:color w:val="000000"/>
                <w:sz w:val="22"/>
                <w:szCs w:val="22"/>
              </w:rPr>
              <w:t>92</w:t>
            </w:r>
          </w:p>
        </w:tc>
      </w:tr>
      <w:tr w:rsidR="00B5212C" w:rsidRPr="00B5212C" w:rsidTr="00B5212C">
        <w:trPr>
          <w:trHeight w:val="300"/>
          <w:jc w:val="center"/>
        </w:trPr>
        <w:tc>
          <w:tcPr>
            <w:tcW w:w="1300" w:type="dxa"/>
            <w:tcBorders>
              <w:top w:val="nil"/>
              <w:left w:val="single" w:sz="4" w:space="0" w:color="auto"/>
              <w:bottom w:val="single" w:sz="4" w:space="0" w:color="auto"/>
              <w:right w:val="single" w:sz="4" w:space="0" w:color="auto"/>
            </w:tcBorders>
            <w:shd w:val="clear" w:color="auto" w:fill="auto"/>
            <w:noWrap/>
            <w:vAlign w:val="center"/>
            <w:hideMark/>
          </w:tcPr>
          <w:p w:rsidR="00B5212C" w:rsidRPr="00B5212C" w:rsidRDefault="00B5212C" w:rsidP="00B5212C">
            <w:pPr>
              <w:spacing w:before="0" w:after="0" w:line="240" w:lineRule="auto"/>
              <w:ind w:left="0" w:right="0"/>
              <w:jc w:val="center"/>
              <w:rPr>
                <w:rFonts w:ascii="Calibri" w:eastAsia="Times New Roman" w:hAnsi="Calibri" w:cs="Calibri"/>
                <w:color w:val="000000"/>
                <w:sz w:val="22"/>
                <w:szCs w:val="22"/>
              </w:rPr>
            </w:pPr>
            <w:r w:rsidRPr="00B5212C">
              <w:rPr>
                <w:rFonts w:ascii="Calibri" w:eastAsia="Times New Roman" w:hAnsi="Calibri" w:cs="Calibri"/>
                <w:color w:val="000000"/>
                <w:sz w:val="22"/>
                <w:szCs w:val="22"/>
              </w:rPr>
              <w:lastRenderedPageBreak/>
              <w:t>2022</w:t>
            </w:r>
          </w:p>
        </w:tc>
        <w:tc>
          <w:tcPr>
            <w:tcW w:w="1389" w:type="dxa"/>
            <w:tcBorders>
              <w:top w:val="nil"/>
              <w:left w:val="nil"/>
              <w:bottom w:val="single" w:sz="4" w:space="0" w:color="auto"/>
              <w:right w:val="single" w:sz="4" w:space="0" w:color="auto"/>
            </w:tcBorders>
            <w:shd w:val="clear" w:color="auto" w:fill="auto"/>
            <w:noWrap/>
            <w:vAlign w:val="center"/>
            <w:hideMark/>
          </w:tcPr>
          <w:p w:rsidR="00B5212C" w:rsidRPr="00B5212C" w:rsidRDefault="00B5212C" w:rsidP="00B5212C">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r>
    </w:tbl>
    <w:p w:rsidR="00C32C23" w:rsidRPr="00CD23E7" w:rsidRDefault="00C32C23" w:rsidP="00D84834">
      <w:pPr>
        <w:pStyle w:val="ListParagraph"/>
        <w:ind w:left="1225"/>
        <w:rPr>
          <w:rFonts w:ascii="Verdana" w:hAnsi="Verdana" w:cs="Tahoma"/>
          <w:b/>
          <w:sz w:val="22"/>
          <w:szCs w:val="22"/>
        </w:rPr>
      </w:pPr>
    </w:p>
    <w:p w:rsidR="00E73DC5" w:rsidRDefault="002A1E5E" w:rsidP="00C32C23">
      <w:pPr>
        <w:pStyle w:val="ListParagraph"/>
        <w:numPr>
          <w:ilvl w:val="0"/>
          <w:numId w:val="20"/>
        </w:numPr>
        <w:rPr>
          <w:rFonts w:ascii="Verdana" w:hAnsi="Verdana" w:cs="Tahoma"/>
          <w:b/>
          <w:sz w:val="22"/>
          <w:szCs w:val="22"/>
        </w:rPr>
      </w:pPr>
      <w:r w:rsidRPr="00CD23E7">
        <w:rPr>
          <w:rFonts w:ascii="Verdana" w:hAnsi="Verdana" w:cs="Tahoma"/>
          <w:b/>
          <w:sz w:val="22"/>
          <w:szCs w:val="22"/>
        </w:rPr>
        <w:t>Number of patients a</w:t>
      </w:r>
      <w:r w:rsidR="00C32C23" w:rsidRPr="00CD23E7">
        <w:rPr>
          <w:rFonts w:ascii="Verdana" w:hAnsi="Verdana" w:cs="Tahoma"/>
          <w:b/>
          <w:sz w:val="22"/>
          <w:szCs w:val="22"/>
        </w:rPr>
        <w:t>dmitted to hospital after presenting at the emergency department with an injury caused by a blade/knife/stab/sharp object</w:t>
      </w:r>
      <w:r w:rsidRPr="00CD23E7">
        <w:rPr>
          <w:rFonts w:ascii="Verdana" w:hAnsi="Verdana" w:cs="Tahoma"/>
          <w:b/>
          <w:sz w:val="22"/>
          <w:szCs w:val="22"/>
        </w:rPr>
        <w:br/>
      </w:r>
      <w:r w:rsidR="00195E68" w:rsidRPr="00195E68">
        <w:rPr>
          <w:rFonts w:ascii="Verdana" w:hAnsi="Verdana" w:cs="Tahoma"/>
          <w:sz w:val="22"/>
          <w:szCs w:val="22"/>
        </w:rPr>
        <w:t xml:space="preserve">Please note that due to the way our admissions data is recorded, it can take </w:t>
      </w:r>
      <w:r w:rsidR="00195E68">
        <w:rPr>
          <w:rFonts w:ascii="Verdana" w:hAnsi="Verdana" w:cs="Tahoma"/>
          <w:sz w:val="22"/>
          <w:szCs w:val="22"/>
        </w:rPr>
        <w:t xml:space="preserve">approximately </w:t>
      </w:r>
      <w:r w:rsidR="00C53C53">
        <w:rPr>
          <w:rFonts w:ascii="Verdana" w:hAnsi="Verdana" w:cs="Tahoma"/>
          <w:sz w:val="22"/>
          <w:szCs w:val="22"/>
        </w:rPr>
        <w:t>3 months</w:t>
      </w:r>
      <w:r w:rsidR="00195E68" w:rsidRPr="00195E68">
        <w:rPr>
          <w:rFonts w:ascii="Verdana" w:hAnsi="Verdana" w:cs="Tahoma"/>
          <w:sz w:val="22"/>
          <w:szCs w:val="22"/>
        </w:rPr>
        <w:t xml:space="preserve"> for the data to be “complete</w:t>
      </w:r>
      <w:r w:rsidR="00195E68">
        <w:rPr>
          <w:rFonts w:ascii="Verdana" w:hAnsi="Verdana" w:cs="Tahoma"/>
          <w:sz w:val="22"/>
          <w:szCs w:val="22"/>
        </w:rPr>
        <w:t>d</w:t>
      </w:r>
      <w:r w:rsidR="00195E68" w:rsidRPr="00195E68">
        <w:rPr>
          <w:rFonts w:ascii="Verdana" w:hAnsi="Verdana" w:cs="Tahoma"/>
          <w:sz w:val="22"/>
          <w:szCs w:val="22"/>
        </w:rPr>
        <w:t>” and therefore fully accurate on our systems.</w:t>
      </w:r>
      <w:r w:rsidR="00195E68">
        <w:rPr>
          <w:rFonts w:ascii="Verdana" w:hAnsi="Verdana" w:cs="Tahoma"/>
          <w:b/>
          <w:sz w:val="22"/>
          <w:szCs w:val="22"/>
        </w:rPr>
        <w:t xml:space="preserve"> </w:t>
      </w:r>
      <w:r w:rsidR="00195E68" w:rsidRPr="00195E68">
        <w:rPr>
          <w:rFonts w:ascii="Verdana" w:hAnsi="Verdana" w:cs="Tahoma"/>
          <w:sz w:val="22"/>
          <w:szCs w:val="22"/>
        </w:rPr>
        <w:t xml:space="preserve">Due to this, </w:t>
      </w:r>
      <w:r w:rsidR="00C53C53">
        <w:rPr>
          <w:rFonts w:ascii="Verdana" w:hAnsi="Verdana" w:cs="Tahoma"/>
          <w:sz w:val="22"/>
          <w:szCs w:val="22"/>
        </w:rPr>
        <w:t xml:space="preserve">whilst </w:t>
      </w:r>
      <w:r w:rsidR="00195E68" w:rsidRPr="00195E68">
        <w:rPr>
          <w:rFonts w:ascii="Verdana" w:hAnsi="Verdana" w:cs="Tahoma"/>
          <w:sz w:val="22"/>
          <w:szCs w:val="22"/>
        </w:rPr>
        <w:t xml:space="preserve">the information we have provided for questions 1b and 1c </w:t>
      </w:r>
      <w:r w:rsidR="00C53C53">
        <w:rPr>
          <w:rFonts w:ascii="Verdana" w:hAnsi="Verdana" w:cs="Tahoma"/>
          <w:sz w:val="22"/>
          <w:szCs w:val="22"/>
        </w:rPr>
        <w:t>covers</w:t>
      </w:r>
      <w:r w:rsidR="00F14A00">
        <w:rPr>
          <w:rFonts w:ascii="Verdana" w:hAnsi="Verdana" w:cs="Tahoma"/>
          <w:sz w:val="22"/>
          <w:szCs w:val="22"/>
        </w:rPr>
        <w:t xml:space="preserve"> “assault by a sharp object” for</w:t>
      </w:r>
      <w:r w:rsidR="00C53C53">
        <w:rPr>
          <w:rFonts w:ascii="Verdana" w:hAnsi="Verdana" w:cs="Tahoma"/>
          <w:sz w:val="22"/>
          <w:szCs w:val="22"/>
        </w:rPr>
        <w:t xml:space="preserve"> the period 1</w:t>
      </w:r>
      <w:r w:rsidR="00C53C53" w:rsidRPr="00016214">
        <w:rPr>
          <w:rFonts w:ascii="Verdana" w:hAnsi="Verdana" w:cs="Tahoma"/>
          <w:sz w:val="22"/>
          <w:szCs w:val="22"/>
          <w:vertAlign w:val="superscript"/>
        </w:rPr>
        <w:t>st</w:t>
      </w:r>
      <w:r w:rsidR="00C53C53">
        <w:rPr>
          <w:rFonts w:ascii="Verdana" w:hAnsi="Verdana" w:cs="Tahoma"/>
          <w:sz w:val="22"/>
          <w:szCs w:val="22"/>
        </w:rPr>
        <w:t xml:space="preserve"> January 2019 to 31</w:t>
      </w:r>
      <w:r w:rsidR="00C53C53" w:rsidRPr="00016214">
        <w:rPr>
          <w:rFonts w:ascii="Verdana" w:hAnsi="Verdana" w:cs="Tahoma"/>
          <w:sz w:val="22"/>
          <w:szCs w:val="22"/>
          <w:vertAlign w:val="superscript"/>
        </w:rPr>
        <w:t>st</w:t>
      </w:r>
      <w:r w:rsidR="00C53C53">
        <w:rPr>
          <w:rFonts w:ascii="Verdana" w:hAnsi="Verdana" w:cs="Tahoma"/>
          <w:sz w:val="22"/>
          <w:szCs w:val="22"/>
        </w:rPr>
        <w:t xml:space="preserve"> January 2022, the delay in coding means that these figures may change as the data is updated over the next few months.</w:t>
      </w:r>
      <w:r w:rsidR="00195E68" w:rsidRPr="00195E68">
        <w:rPr>
          <w:rFonts w:ascii="Verdana" w:hAnsi="Verdana" w:cs="Tahoma"/>
          <w:sz w:val="22"/>
          <w:szCs w:val="22"/>
        </w:rPr>
        <w:br/>
      </w:r>
    </w:p>
    <w:tbl>
      <w:tblPr>
        <w:tblW w:w="60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0"/>
        <w:gridCol w:w="1020"/>
        <w:gridCol w:w="1020"/>
        <w:gridCol w:w="1020"/>
      </w:tblGrid>
      <w:tr w:rsidR="00E73DC5" w:rsidRPr="00E73DC5" w:rsidTr="00C53C53">
        <w:trPr>
          <w:trHeight w:val="300"/>
          <w:jc w:val="center"/>
        </w:trPr>
        <w:tc>
          <w:tcPr>
            <w:tcW w:w="296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b/>
                <w:bCs/>
                <w:color w:val="000000"/>
                <w:sz w:val="22"/>
                <w:szCs w:val="22"/>
              </w:rPr>
            </w:pPr>
            <w:r w:rsidRPr="00E73DC5">
              <w:rPr>
                <w:rFonts w:ascii="Calibri" w:eastAsia="Times New Roman" w:hAnsi="Calibri" w:cs="Calibri"/>
                <w:b/>
                <w:bCs/>
                <w:color w:val="000000"/>
                <w:sz w:val="22"/>
                <w:szCs w:val="22"/>
              </w:rPr>
              <w:t>Admission Route</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b/>
                <w:bCs/>
                <w:color w:val="000000"/>
                <w:sz w:val="22"/>
                <w:szCs w:val="22"/>
              </w:rPr>
            </w:pPr>
            <w:r w:rsidRPr="00E73DC5">
              <w:rPr>
                <w:rFonts w:ascii="Calibri" w:eastAsia="Times New Roman" w:hAnsi="Calibri" w:cs="Calibri"/>
                <w:b/>
                <w:bCs/>
                <w:color w:val="000000"/>
                <w:sz w:val="22"/>
                <w:szCs w:val="22"/>
              </w:rPr>
              <w:t>2019</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b/>
                <w:bCs/>
                <w:color w:val="000000"/>
                <w:sz w:val="22"/>
                <w:szCs w:val="22"/>
              </w:rPr>
            </w:pPr>
            <w:r w:rsidRPr="00E73DC5">
              <w:rPr>
                <w:rFonts w:ascii="Calibri" w:eastAsia="Times New Roman" w:hAnsi="Calibri" w:cs="Calibri"/>
                <w:b/>
                <w:bCs/>
                <w:color w:val="000000"/>
                <w:sz w:val="22"/>
                <w:szCs w:val="22"/>
              </w:rPr>
              <w:t>2020</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b/>
                <w:bCs/>
                <w:color w:val="000000"/>
                <w:sz w:val="22"/>
                <w:szCs w:val="22"/>
              </w:rPr>
            </w:pPr>
            <w:r w:rsidRPr="00E73DC5">
              <w:rPr>
                <w:rFonts w:ascii="Calibri" w:eastAsia="Times New Roman" w:hAnsi="Calibri" w:cs="Calibri"/>
                <w:b/>
                <w:bCs/>
                <w:color w:val="000000"/>
                <w:sz w:val="22"/>
                <w:szCs w:val="22"/>
              </w:rPr>
              <w:t>2021</w:t>
            </w:r>
          </w:p>
        </w:tc>
      </w:tr>
      <w:tr w:rsidR="00E73DC5" w:rsidRPr="00E73DC5" w:rsidTr="00C53C53">
        <w:trPr>
          <w:trHeight w:val="300"/>
          <w:jc w:val="center"/>
        </w:trPr>
        <w:tc>
          <w:tcPr>
            <w:tcW w:w="296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sidRPr="00E73DC5">
              <w:rPr>
                <w:rFonts w:ascii="Calibri" w:eastAsia="Times New Roman" w:hAnsi="Calibri" w:cs="Calibri"/>
                <w:color w:val="000000"/>
                <w:sz w:val="22"/>
                <w:szCs w:val="22"/>
              </w:rPr>
              <w:t>A &amp; E</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sidRPr="00E73DC5">
              <w:rPr>
                <w:rFonts w:ascii="Calibri" w:eastAsia="Times New Roman" w:hAnsi="Calibri" w:cs="Calibri"/>
                <w:color w:val="000000"/>
                <w:sz w:val="22"/>
                <w:szCs w:val="22"/>
              </w:rPr>
              <w:t>26</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sidRPr="00E73DC5">
              <w:rPr>
                <w:rFonts w:ascii="Calibri" w:eastAsia="Times New Roman" w:hAnsi="Calibri" w:cs="Calibri"/>
                <w:color w:val="000000"/>
                <w:sz w:val="22"/>
                <w:szCs w:val="22"/>
              </w:rPr>
              <w:t>26</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sidRPr="00E73DC5">
              <w:rPr>
                <w:rFonts w:ascii="Calibri" w:eastAsia="Times New Roman" w:hAnsi="Calibri" w:cs="Calibri"/>
                <w:color w:val="000000"/>
                <w:sz w:val="22"/>
                <w:szCs w:val="22"/>
              </w:rPr>
              <w:t>19</w:t>
            </w:r>
          </w:p>
        </w:tc>
      </w:tr>
      <w:tr w:rsidR="00E73DC5" w:rsidRPr="00E73DC5" w:rsidTr="00C53C53">
        <w:trPr>
          <w:trHeight w:val="300"/>
          <w:jc w:val="center"/>
        </w:trPr>
        <w:tc>
          <w:tcPr>
            <w:tcW w:w="296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sidRPr="00E73DC5">
              <w:rPr>
                <w:rFonts w:ascii="Calibri" w:eastAsia="Times New Roman" w:hAnsi="Calibri" w:cs="Calibri"/>
                <w:color w:val="000000"/>
                <w:sz w:val="22"/>
                <w:szCs w:val="22"/>
              </w:rPr>
              <w:t>Other means</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sidRPr="00E73DC5">
              <w:rPr>
                <w:rFonts w:ascii="Calibri" w:eastAsia="Times New Roman" w:hAnsi="Calibri" w:cs="Calibri"/>
                <w:color w:val="000000"/>
                <w:sz w:val="22"/>
                <w:szCs w:val="22"/>
              </w:rPr>
              <w:t>10</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sidRPr="00E73DC5">
              <w:rPr>
                <w:rFonts w:ascii="Calibri" w:eastAsia="Times New Roman" w:hAnsi="Calibri" w:cs="Calibri"/>
                <w:color w:val="000000"/>
                <w:sz w:val="22"/>
                <w:szCs w:val="22"/>
              </w:rPr>
              <w:t>9</w:t>
            </w:r>
          </w:p>
        </w:tc>
      </w:tr>
      <w:tr w:rsidR="00E73DC5" w:rsidRPr="00E73DC5" w:rsidTr="00C53C53">
        <w:trPr>
          <w:trHeight w:val="300"/>
          <w:jc w:val="center"/>
        </w:trPr>
        <w:tc>
          <w:tcPr>
            <w:tcW w:w="296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sidRPr="00E73DC5">
              <w:rPr>
                <w:rFonts w:ascii="Calibri" w:eastAsia="Times New Roman" w:hAnsi="Calibri" w:cs="Calibri"/>
                <w:color w:val="000000"/>
                <w:sz w:val="22"/>
                <w:szCs w:val="22"/>
              </w:rPr>
              <w:t>Transfer From Other Hospital</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1020" w:type="dxa"/>
            <w:shd w:val="clear" w:color="auto" w:fill="auto"/>
            <w:noWrap/>
            <w:vAlign w:val="center"/>
            <w:hideMark/>
          </w:tcPr>
          <w:p w:rsidR="00E73DC5" w:rsidRPr="00E73DC5" w:rsidRDefault="00E73DC5" w:rsidP="00E73DC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0</w:t>
            </w:r>
            <w:r w:rsidRPr="00E73DC5">
              <w:rPr>
                <w:rFonts w:ascii="Calibri" w:eastAsia="Times New Roman" w:hAnsi="Calibri" w:cs="Calibri"/>
                <w:color w:val="000000"/>
                <w:sz w:val="22"/>
                <w:szCs w:val="22"/>
              </w:rPr>
              <w:t> </w:t>
            </w:r>
          </w:p>
        </w:tc>
      </w:tr>
    </w:tbl>
    <w:p w:rsidR="00C32C23" w:rsidRPr="00CD23E7" w:rsidRDefault="00195E68" w:rsidP="00E73DC5">
      <w:pPr>
        <w:pStyle w:val="ListParagraph"/>
        <w:ind w:left="1225"/>
        <w:rPr>
          <w:rFonts w:ascii="Verdana" w:hAnsi="Verdana" w:cs="Tahoma"/>
          <w:b/>
          <w:sz w:val="22"/>
          <w:szCs w:val="22"/>
        </w:rPr>
      </w:pPr>
      <w:r>
        <w:rPr>
          <w:rFonts w:ascii="Verdana" w:hAnsi="Verdana" w:cs="Tahoma"/>
          <w:b/>
          <w:sz w:val="22"/>
          <w:szCs w:val="22"/>
        </w:rPr>
        <w:br/>
      </w:r>
    </w:p>
    <w:p w:rsidR="00C32C23" w:rsidRPr="00CD23E7" w:rsidRDefault="002A1E5E" w:rsidP="00C32C23">
      <w:pPr>
        <w:pStyle w:val="ListParagraph"/>
        <w:numPr>
          <w:ilvl w:val="0"/>
          <w:numId w:val="20"/>
        </w:numPr>
        <w:rPr>
          <w:rFonts w:ascii="Verdana" w:hAnsi="Verdana" w:cs="Tahoma"/>
          <w:b/>
          <w:sz w:val="22"/>
          <w:szCs w:val="22"/>
        </w:rPr>
      </w:pPr>
      <w:r w:rsidRPr="00CD23E7">
        <w:rPr>
          <w:rFonts w:ascii="Verdana" w:hAnsi="Verdana" w:cs="Tahoma"/>
          <w:b/>
          <w:sz w:val="22"/>
          <w:szCs w:val="22"/>
        </w:rPr>
        <w:t>Number of patients a</w:t>
      </w:r>
      <w:r w:rsidR="00C32C23" w:rsidRPr="00CD23E7">
        <w:rPr>
          <w:rFonts w:ascii="Verdana" w:hAnsi="Verdana" w:cs="Tahoma"/>
          <w:b/>
          <w:sz w:val="22"/>
          <w:szCs w:val="22"/>
        </w:rPr>
        <w:t>dmitted to hospital via any source (including emergency department, but also via GP referral and other sources) with an injury caused by a blade/knife/stab/sharp object</w:t>
      </w:r>
      <w:r w:rsidR="00F14A00">
        <w:rPr>
          <w:rFonts w:ascii="Verdana" w:hAnsi="Verdana" w:cs="Tahoma"/>
          <w:b/>
          <w:sz w:val="22"/>
          <w:szCs w:val="22"/>
        </w:rPr>
        <w:br/>
      </w:r>
      <w:r w:rsidR="00F14A00" w:rsidRPr="00F14A00">
        <w:rPr>
          <w:rFonts w:ascii="Verdana" w:hAnsi="Verdana" w:cs="Tahoma"/>
          <w:sz w:val="22"/>
          <w:szCs w:val="22"/>
        </w:rPr>
        <w:t>Please see above</w:t>
      </w:r>
      <w:r w:rsidR="00E07084">
        <w:rPr>
          <w:rFonts w:ascii="Verdana" w:hAnsi="Verdana" w:cs="Tahoma"/>
          <w:sz w:val="22"/>
          <w:szCs w:val="22"/>
        </w:rPr>
        <w:t xml:space="preserve"> – please note that “other means” can also include admissions where the patients has presented at an Emergency Department in another Health Board area, and has been referred straight to the plastics team at Morriston hospital.</w:t>
      </w:r>
    </w:p>
    <w:p w:rsidR="006D074D" w:rsidRPr="00C32C23" w:rsidRDefault="006D074D" w:rsidP="00016214">
      <w:pPr>
        <w:rPr>
          <w:rFonts w:ascii="Verdana" w:hAnsi="Verdana" w:cs="Tahoma"/>
          <w:sz w:val="22"/>
          <w:szCs w:val="22"/>
        </w:rPr>
      </w:pPr>
    </w:p>
    <w:p w:rsidR="00CE325E" w:rsidRPr="00C32C23" w:rsidRDefault="006D074D" w:rsidP="00C32C23">
      <w:pPr>
        <w:pStyle w:val="ListParagraph"/>
        <w:numPr>
          <w:ilvl w:val="0"/>
          <w:numId w:val="19"/>
        </w:numPr>
        <w:rPr>
          <w:rFonts w:ascii="Verdana" w:hAnsi="Verdana" w:cs="Tahoma"/>
          <w:b/>
          <w:sz w:val="22"/>
          <w:szCs w:val="22"/>
        </w:rPr>
      </w:pPr>
      <w:r w:rsidRPr="00C32C23">
        <w:rPr>
          <w:rFonts w:ascii="Verdana" w:hAnsi="Verdana" w:cs="Tahoma"/>
          <w:b/>
          <w:sz w:val="22"/>
          <w:szCs w:val="22"/>
        </w:rPr>
        <w:t>Of those patients admitted, how many died?</w:t>
      </w:r>
      <w:r w:rsidR="00CF7E54">
        <w:rPr>
          <w:rFonts w:ascii="Verdana" w:hAnsi="Verdana" w:cs="Tahoma"/>
          <w:b/>
          <w:sz w:val="22"/>
          <w:szCs w:val="22"/>
        </w:rPr>
        <w:br/>
      </w:r>
      <w:r w:rsidR="00CF7E54" w:rsidRPr="00CF7E54">
        <w:rPr>
          <w:rFonts w:ascii="Verdana" w:hAnsi="Verdana" w:cs="Tahoma"/>
          <w:sz w:val="22"/>
          <w:szCs w:val="22"/>
        </w:rPr>
        <w:t>There are no deaths recorded for patients that fit this criteria.</w:t>
      </w:r>
      <w:r w:rsidR="00CF7E54">
        <w:rPr>
          <w:rFonts w:ascii="Verdana" w:hAnsi="Verdana" w:cs="Tahoma"/>
          <w:b/>
          <w:sz w:val="22"/>
          <w:szCs w:val="22"/>
        </w:rPr>
        <w:t xml:space="preserve"> </w:t>
      </w:r>
    </w:p>
    <w:p w:rsidR="00CE325E" w:rsidRDefault="00CE325E" w:rsidP="002677FD">
      <w:pPr>
        <w:rPr>
          <w:rFonts w:ascii="Verdana" w:hAnsi="Verdana" w:cs="Tahoma"/>
          <w:sz w:val="22"/>
          <w:szCs w:val="22"/>
        </w:rPr>
      </w:pPr>
    </w:p>
    <w:p w:rsidR="00D84834" w:rsidRPr="00524A9A" w:rsidRDefault="00D84834" w:rsidP="00D84834">
      <w:pPr>
        <w:rPr>
          <w:rFonts w:ascii="Verdana" w:hAnsi="Verdana"/>
          <w:sz w:val="22"/>
          <w:szCs w:val="22"/>
        </w:rPr>
      </w:pPr>
      <w:r>
        <w:rPr>
          <w:rFonts w:ascii="Verdana" w:hAnsi="Verdana" w:cs="Tahoma"/>
          <w:sz w:val="22"/>
          <w:szCs w:val="22"/>
        </w:rPr>
        <w:t>*</w:t>
      </w:r>
      <w:r w:rsidRPr="00D84834">
        <w:rPr>
          <w:rFonts w:ascii="Verdana" w:hAnsi="Verdana"/>
          <w:sz w:val="22"/>
          <w:szCs w:val="22"/>
        </w:rPr>
        <w:t xml:space="preserve"> </w:t>
      </w:r>
      <w:r w:rsidRPr="00524A9A">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524A9A">
          <w:rPr>
            <w:rFonts w:ascii="Verdana" w:hAnsi="Verdana"/>
            <w:sz w:val="22"/>
            <w:szCs w:val="22"/>
          </w:rPr>
          <w:t>Freedom of Information</w:t>
        </w:r>
      </w:smartTag>
      <w:r w:rsidRPr="00524A9A">
        <w:rPr>
          <w:rFonts w:ascii="Verdana" w:hAnsi="Verdana"/>
          <w:sz w:val="22"/>
          <w:szCs w:val="22"/>
        </w:rPr>
        <w:t xml:space="preserve"> Act 2000.  This information is protected by the </w:t>
      </w:r>
      <w:r w:rsidRPr="00524A9A">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524A9A">
        <w:rPr>
          <w:rFonts w:ascii="Verdana" w:hAnsi="Verdana"/>
          <w:bCs/>
          <w:iCs/>
          <w:sz w:val="22"/>
          <w:szCs w:val="22"/>
        </w:rPr>
        <w:t>in regard to</w:t>
      </w:r>
      <w:r w:rsidRPr="00524A9A">
        <w:rPr>
          <w:rFonts w:ascii="Verdana" w:hAnsi="Verdana"/>
          <w:iCs/>
          <w:sz w:val="22"/>
          <w:szCs w:val="22"/>
        </w:rPr>
        <w:t xml:space="preserve"> Articles 5, 6, and 9 of GDPR.  </w:t>
      </w:r>
      <w:r w:rsidRPr="00524A9A">
        <w:rPr>
          <w:rFonts w:ascii="Verdana" w:hAnsi="Verdana"/>
          <w:sz w:val="22"/>
          <w:szCs w:val="22"/>
        </w:rPr>
        <w:t>This exemption is absolute and therefore there is no requirement to apply the public interest test.</w:t>
      </w:r>
    </w:p>
    <w:p w:rsidR="00D84834" w:rsidRPr="00524A9A" w:rsidRDefault="00D84834" w:rsidP="00D84834">
      <w:pPr>
        <w:rPr>
          <w:rFonts w:ascii="Verdana" w:hAnsi="Verdana"/>
          <w:sz w:val="22"/>
          <w:szCs w:val="22"/>
        </w:rPr>
      </w:pP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w:t>
      </w:r>
      <w:r w:rsidRPr="00304A21">
        <w:rPr>
          <w:rFonts w:ascii="Verdana" w:hAnsi="Verdana"/>
          <w:sz w:val="22"/>
          <w:szCs w:val="22"/>
        </w:rPr>
        <w:lastRenderedPageBreak/>
        <w:t xml:space="preserve">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5258B6" w:rsidP="002677FD">
      <w:pPr>
        <w:jc w:val="both"/>
        <w:rPr>
          <w:rFonts w:ascii="Verdana" w:hAnsi="Verdana"/>
          <w:sz w:val="22"/>
          <w:szCs w:val="22"/>
        </w:rPr>
      </w:pPr>
      <w:r>
        <w:rPr>
          <w:rFonts w:ascii="Calibri" w:hAnsi="Calibri" w:cs="Calibri"/>
          <w:noProof/>
          <w:color w:val="1F497D"/>
        </w:rPr>
        <w:drawing>
          <wp:inline distT="0" distB="0" distL="0" distR="0" wp14:anchorId="60209C61" wp14:editId="5E1C1B37">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258B6">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0" type="#_x0000_t75" style="width:21pt;height:21pt;visibility:visible;mso-wrap-style:square" o:bullet="t">
        <v:imagedata r:id="rId1" o:title=""/>
      </v:shape>
    </w:pict>
  </w:numPicBullet>
  <w:numPicBullet w:numPicBulletId="1">
    <w:pict>
      <v:shape id="_x0000_i1151" type="#_x0000_t75" style="width:383.25pt;height:383.25pt;visibility:visible;mso-wrap-style:square" o:bullet="t">
        <v:imagedata r:id="rId2" o:title=""/>
      </v:shape>
    </w:pict>
  </w:numPicBullet>
  <w:numPicBullet w:numPicBulletId="2">
    <w:pict>
      <v:shape id="_x0000_i1152" type="#_x0000_t75" style="width:225pt;height:225pt;visibility:visible;mso-wrap-style:square" o:bullet="t">
        <v:imagedata r:id="rId3" o:title=""/>
      </v:shape>
    </w:pict>
  </w:numPicBullet>
  <w:numPicBullet w:numPicBulletId="3">
    <w:pict>
      <v:shape id="_x0000_i115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0E05834"/>
    <w:multiLevelType w:val="hybridMultilevel"/>
    <w:tmpl w:val="14D8076C"/>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54F7CF9"/>
    <w:multiLevelType w:val="hybridMultilevel"/>
    <w:tmpl w:val="C024BEAE"/>
    <w:lvl w:ilvl="0" w:tplc="C0FE7BAE">
      <w:start w:val="1"/>
      <w:numFmt w:val="decimal"/>
      <w:lvlText w:val="%1."/>
      <w:lvlJc w:val="left"/>
      <w:pPr>
        <w:ind w:left="865" w:hanging="360"/>
      </w:pPr>
      <w:rPr>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3FF5D39"/>
    <w:multiLevelType w:val="hybridMultilevel"/>
    <w:tmpl w:val="4F56F99C"/>
    <w:lvl w:ilvl="0" w:tplc="08090019">
      <w:start w:val="1"/>
      <w:numFmt w:val="lowerLetter"/>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3"/>
  </w:num>
  <w:num w:numId="6">
    <w:abstractNumId w:val="2"/>
  </w:num>
  <w:num w:numId="7">
    <w:abstractNumId w:val="10"/>
  </w:num>
  <w:num w:numId="8">
    <w:abstractNumId w:val="15"/>
  </w:num>
  <w:num w:numId="9">
    <w:abstractNumId w:val="19"/>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num>
  <w:num w:numId="19">
    <w:abstractNumId w:val="13"/>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6214"/>
    <w:rsid w:val="00040038"/>
    <w:rsid w:val="00095DF5"/>
    <w:rsid w:val="000C00ED"/>
    <w:rsid w:val="000F37CC"/>
    <w:rsid w:val="00111757"/>
    <w:rsid w:val="001276F0"/>
    <w:rsid w:val="00185784"/>
    <w:rsid w:val="00195E68"/>
    <w:rsid w:val="001B1339"/>
    <w:rsid w:val="001C5CD0"/>
    <w:rsid w:val="001E2D50"/>
    <w:rsid w:val="00213076"/>
    <w:rsid w:val="002156AF"/>
    <w:rsid w:val="002677FD"/>
    <w:rsid w:val="00296FDA"/>
    <w:rsid w:val="002A1E5E"/>
    <w:rsid w:val="002B74C8"/>
    <w:rsid w:val="002C252B"/>
    <w:rsid w:val="002D32B6"/>
    <w:rsid w:val="002E02A9"/>
    <w:rsid w:val="00304A21"/>
    <w:rsid w:val="0035435D"/>
    <w:rsid w:val="00355B9A"/>
    <w:rsid w:val="003648A8"/>
    <w:rsid w:val="0039422D"/>
    <w:rsid w:val="003B09B5"/>
    <w:rsid w:val="003F2312"/>
    <w:rsid w:val="004039EB"/>
    <w:rsid w:val="00442A3A"/>
    <w:rsid w:val="00445B08"/>
    <w:rsid w:val="00453C57"/>
    <w:rsid w:val="0048724F"/>
    <w:rsid w:val="004C59CA"/>
    <w:rsid w:val="004C7B47"/>
    <w:rsid w:val="004E1954"/>
    <w:rsid w:val="004F1E5A"/>
    <w:rsid w:val="005258B6"/>
    <w:rsid w:val="005317D4"/>
    <w:rsid w:val="00534D7A"/>
    <w:rsid w:val="00553E1D"/>
    <w:rsid w:val="005925B8"/>
    <w:rsid w:val="005F0E79"/>
    <w:rsid w:val="00602EE5"/>
    <w:rsid w:val="006137E4"/>
    <w:rsid w:val="00635BDA"/>
    <w:rsid w:val="006564DF"/>
    <w:rsid w:val="00684641"/>
    <w:rsid w:val="006C4048"/>
    <w:rsid w:val="006D074D"/>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5212C"/>
    <w:rsid w:val="00B61DE2"/>
    <w:rsid w:val="00B82C9E"/>
    <w:rsid w:val="00B8458F"/>
    <w:rsid w:val="00BB4931"/>
    <w:rsid w:val="00BC67E1"/>
    <w:rsid w:val="00C021A4"/>
    <w:rsid w:val="00C050BE"/>
    <w:rsid w:val="00C32C23"/>
    <w:rsid w:val="00C53C53"/>
    <w:rsid w:val="00C75A00"/>
    <w:rsid w:val="00CA07E3"/>
    <w:rsid w:val="00CB2BBE"/>
    <w:rsid w:val="00CD23E7"/>
    <w:rsid w:val="00CE1516"/>
    <w:rsid w:val="00CE325E"/>
    <w:rsid w:val="00CE3DBC"/>
    <w:rsid w:val="00CF7E54"/>
    <w:rsid w:val="00D62A67"/>
    <w:rsid w:val="00D84834"/>
    <w:rsid w:val="00DC47F3"/>
    <w:rsid w:val="00DC7FA9"/>
    <w:rsid w:val="00DD5E37"/>
    <w:rsid w:val="00DE2AD0"/>
    <w:rsid w:val="00DF2EA1"/>
    <w:rsid w:val="00E07084"/>
    <w:rsid w:val="00E26720"/>
    <w:rsid w:val="00E545D8"/>
    <w:rsid w:val="00E73DC5"/>
    <w:rsid w:val="00E817B3"/>
    <w:rsid w:val="00E90BC7"/>
    <w:rsid w:val="00EE0615"/>
    <w:rsid w:val="00F14A00"/>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79690583">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06883534">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48074059">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0DFDEE-2BB2-4B14-823B-548C89CA4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43</TotalTime>
  <Pages>3</Pages>
  <Words>627</Words>
  <Characters>3575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23</cp:revision>
  <cp:lastPrinted>2022-02-23T10:28:00Z</cp:lastPrinted>
  <dcterms:created xsi:type="dcterms:W3CDTF">2021-09-13T07:38:00Z</dcterms:created>
  <dcterms:modified xsi:type="dcterms:W3CDTF">2024-03-13T13:15:00Z</dcterms:modified>
</cp:coreProperties>
</file>