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331AC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331ACD">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89203E">
                              <w:rPr>
                                <w:rFonts w:ascii="Verdana" w:hAnsi="Verdana"/>
                                <w:sz w:val="22"/>
                                <w:szCs w:val="22"/>
                              </w:rPr>
                              <w:t>22-A-007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331ACD"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w:t>
                      </w:r>
                      <w:r w:rsidRPr="00331ACD">
                        <w:rPr>
                          <w:rFonts w:ascii="Verdana" w:hAnsi="Verdana"/>
                          <w:sz w:val="22"/>
                          <w:szCs w:val="22"/>
                          <w:vertAlign w:val="superscript"/>
                        </w:rPr>
                        <w:t>st</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89203E">
                        <w:rPr>
                          <w:rFonts w:ascii="Verdana" w:hAnsi="Verdana"/>
                          <w:sz w:val="22"/>
                          <w:szCs w:val="22"/>
                        </w:rPr>
                        <w:t>22-A-007</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bookmarkStart w:id="0" w:name="_GoBack"/>
      <w:bookmarkEnd w:id="0"/>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89203E">
        <w:rPr>
          <w:rFonts w:ascii="Verdana" w:hAnsi="Verdana" w:cs="Tahoma"/>
          <w:sz w:val="22"/>
          <w:szCs w:val="22"/>
        </w:rPr>
        <w:t>5</w:t>
      </w:r>
      <w:r w:rsidR="0089203E" w:rsidRPr="0089203E">
        <w:rPr>
          <w:rFonts w:ascii="Verdana" w:hAnsi="Verdana" w:cs="Tahoma"/>
          <w:sz w:val="22"/>
          <w:szCs w:val="22"/>
          <w:vertAlign w:val="superscript"/>
        </w:rPr>
        <w:t>th</w:t>
      </w:r>
      <w:r w:rsidR="0089203E">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89203E">
        <w:rPr>
          <w:rFonts w:ascii="Verdana" w:hAnsi="Verdana" w:cs="Tahoma"/>
          <w:sz w:val="22"/>
          <w:szCs w:val="22"/>
        </w:rPr>
        <w:t xml:space="preserve"> mental health treatment.</w:t>
      </w:r>
    </w:p>
    <w:p w:rsidR="003245D9" w:rsidRDefault="003245D9" w:rsidP="003245D9">
      <w:pPr>
        <w:rPr>
          <w:rFonts w:ascii="Verdana" w:hAnsi="Verdana"/>
          <w:sz w:val="22"/>
        </w:rPr>
      </w:pPr>
      <w:r>
        <w:rPr>
          <w:rFonts w:ascii="Verdana" w:hAnsi="Verdana"/>
          <w:sz w:val="22"/>
        </w:rPr>
        <w:t>The Covid-19 pandemic has caused huge disruption to NHS services, not just in Swansea Bay but across the UK.</w:t>
      </w:r>
    </w:p>
    <w:p w:rsidR="003245D9" w:rsidRDefault="003245D9" w:rsidP="003245D9">
      <w:pPr>
        <w:rPr>
          <w:rFonts w:ascii="Verdana" w:hAnsi="Verdana"/>
          <w:sz w:val="22"/>
        </w:rPr>
      </w:pPr>
      <w:r>
        <w:rPr>
          <w:rFonts w:ascii="Verdana" w:hAnsi="Verdana"/>
          <w:sz w:val="22"/>
        </w:rPr>
        <w:t>As with all health organisations, during the first wave we suspended non-emergency services and appointments so our hospitals did not become overwhelmed while we cared for those seriously ill with the virus. Inevitably this has affected waiting times as it has done with all other health boards.</w:t>
      </w:r>
    </w:p>
    <w:p w:rsidR="003245D9" w:rsidRDefault="003245D9" w:rsidP="003245D9">
      <w:pPr>
        <w:rPr>
          <w:rFonts w:ascii="Verdana" w:hAnsi="Verdana"/>
          <w:sz w:val="22"/>
        </w:rPr>
      </w:pPr>
      <w:r>
        <w:rPr>
          <w:rFonts w:ascii="Verdana" w:hAnsi="Verdana"/>
          <w:sz w:val="22"/>
        </w:rPr>
        <w:t>Clearly this was not something any of us would have wanted and we were extremely conscious of the potential consequences for patients.</w:t>
      </w:r>
    </w:p>
    <w:p w:rsidR="003245D9" w:rsidRDefault="003245D9" w:rsidP="003245D9">
      <w:pPr>
        <w:rPr>
          <w:rFonts w:ascii="Verdana" w:hAnsi="Verdana"/>
          <w:sz w:val="22"/>
        </w:rPr>
      </w:pPr>
      <w:r>
        <w:rPr>
          <w:rFonts w:ascii="Verdana" w:hAnsi="Verdana"/>
          <w:sz w:val="22"/>
        </w:rPr>
        <w:t>Since the start of the pandemic we have continued to care for those requiring urgent treatment, and following the first wave we reintroduced many of our services and have done our best to keep disruption to a minimum throughout the second wave, often with change in place to protect patients and staff, but continuing to provide as much planned care as possible.</w:t>
      </w:r>
    </w:p>
    <w:p w:rsidR="003245D9" w:rsidRDefault="003245D9" w:rsidP="003245D9">
      <w:pPr>
        <w:rPr>
          <w:rFonts w:ascii="Verdana" w:hAnsi="Verdana"/>
          <w:sz w:val="22"/>
          <w:lang w:val="en"/>
        </w:rPr>
      </w:pPr>
      <w:r>
        <w:rPr>
          <w:rFonts w:ascii="Verdana" w:hAnsi="Verdana"/>
          <w:sz w:val="22"/>
        </w:rPr>
        <w:t>Our hard-working staff have supported this by coming up with innovative solutions to protect services, adapt services to continue recognising the existence of the virus and introduce new ones specifically as a result of the virus – there are numerous examples on our website.</w:t>
      </w:r>
    </w:p>
    <w:p w:rsidR="003245D9" w:rsidRDefault="003245D9" w:rsidP="002677FD">
      <w:pPr>
        <w:rPr>
          <w:rFonts w:ascii="Verdana" w:hAnsi="Verdana" w:cs="Tahoma"/>
          <w:sz w:val="22"/>
          <w:szCs w:val="22"/>
        </w:rPr>
      </w:pPr>
    </w:p>
    <w:p w:rsidR="0089203E" w:rsidRDefault="0089203E" w:rsidP="0089203E">
      <w:pPr>
        <w:pStyle w:val="NormalWeb"/>
        <w:ind w:left="505"/>
        <w:rPr>
          <w:rFonts w:ascii="Verdana" w:hAnsi="Verdana" w:cs="Arial"/>
          <w:b/>
          <w:color w:val="222222"/>
          <w:sz w:val="22"/>
          <w:szCs w:val="22"/>
        </w:rPr>
      </w:pPr>
      <w:r>
        <w:rPr>
          <w:rFonts w:ascii="Verdana" w:hAnsi="Verdana" w:cs="Arial"/>
          <w:b/>
          <w:color w:val="222222"/>
          <w:sz w:val="22"/>
          <w:szCs w:val="22"/>
        </w:rPr>
        <w:lastRenderedPageBreak/>
        <w:t>Please provide the</w:t>
      </w:r>
      <w:r w:rsidRPr="0089203E">
        <w:rPr>
          <w:rFonts w:ascii="Verdana" w:hAnsi="Verdana" w:cs="Arial"/>
          <w:b/>
          <w:color w:val="222222"/>
          <w:sz w:val="22"/>
          <w:szCs w:val="22"/>
        </w:rPr>
        <w:t xml:space="preserve"> following information: (please provide a breakdown from the last 2019 - presen</w:t>
      </w:r>
      <w:r>
        <w:rPr>
          <w:rFonts w:ascii="Verdana" w:hAnsi="Verdana" w:cs="Arial"/>
          <w:b/>
          <w:color w:val="222222"/>
          <w:sz w:val="22"/>
          <w:szCs w:val="22"/>
        </w:rPr>
        <w:t>t, in calendar years not fiscal</w:t>
      </w:r>
      <w:r w:rsidRPr="0089203E">
        <w:rPr>
          <w:rFonts w:ascii="Verdana" w:hAnsi="Verdana" w:cs="Arial"/>
          <w:b/>
          <w:color w:val="222222"/>
          <w:sz w:val="22"/>
          <w:szCs w:val="22"/>
        </w:rPr>
        <w:t>)</w:t>
      </w:r>
    </w:p>
    <w:p w:rsidR="0089203E" w:rsidRDefault="0089203E" w:rsidP="0089203E">
      <w:pPr>
        <w:rPr>
          <w:rFonts w:ascii="Verdana" w:hAnsi="Verdana"/>
          <w:b/>
          <w:sz w:val="22"/>
          <w:szCs w:val="22"/>
        </w:rPr>
      </w:pPr>
      <w:r w:rsidRPr="0089203E">
        <w:rPr>
          <w:rFonts w:ascii="Verdana" w:hAnsi="Verdana"/>
          <w:b/>
          <w:sz w:val="22"/>
          <w:szCs w:val="22"/>
        </w:rPr>
        <w:t>You also clarified on the 5</w:t>
      </w:r>
      <w:r w:rsidRPr="0089203E">
        <w:rPr>
          <w:rFonts w:ascii="Verdana" w:hAnsi="Verdana"/>
          <w:b/>
          <w:sz w:val="22"/>
          <w:szCs w:val="22"/>
          <w:vertAlign w:val="superscript"/>
        </w:rPr>
        <w:t>th</w:t>
      </w:r>
      <w:r w:rsidRPr="0089203E">
        <w:rPr>
          <w:rFonts w:ascii="Verdana" w:hAnsi="Verdana"/>
          <w:b/>
          <w:sz w:val="22"/>
          <w:szCs w:val="22"/>
        </w:rPr>
        <w:t xml:space="preserve"> January 2022, ‘mental health treatment’ - meaning, all psychological and talking therapies (be that CBT, Behavioural, Psychoanalytical/ Psychodynamic, etc) offered by your Primary and Secondary Mental Health Services following the initial assessment.  Any treatment or intervention offered by your Primary and Secondary Mental Health Services which is provided to improve patients’ mental health and psychological functioning.</w:t>
      </w:r>
    </w:p>
    <w:p w:rsidR="0089203E" w:rsidRPr="0089203E" w:rsidRDefault="0089203E" w:rsidP="0089203E">
      <w:pPr>
        <w:pStyle w:val="NormalWeb"/>
        <w:ind w:left="505"/>
        <w:rPr>
          <w:rFonts w:ascii="Verdana" w:hAnsi="Verdana" w:cs="Arial"/>
          <w:b/>
          <w:color w:val="222222"/>
        </w:rPr>
      </w:pPr>
    </w:p>
    <w:p w:rsidR="0027064B" w:rsidRPr="0027064B" w:rsidRDefault="0089203E" w:rsidP="0027064B">
      <w:pPr>
        <w:pStyle w:val="NormalWeb"/>
        <w:numPr>
          <w:ilvl w:val="0"/>
          <w:numId w:val="18"/>
        </w:numPr>
        <w:textAlignment w:val="baseline"/>
        <w:rPr>
          <w:rFonts w:ascii="Verdana" w:hAnsi="Verdana" w:cs="Arial"/>
          <w:color w:val="000000"/>
          <w:sz w:val="22"/>
          <w:szCs w:val="22"/>
        </w:rPr>
      </w:pPr>
      <w:r w:rsidRPr="0089203E">
        <w:rPr>
          <w:rFonts w:ascii="Verdana" w:hAnsi="Verdana" w:cs="Arial"/>
          <w:b/>
          <w:color w:val="000000"/>
          <w:sz w:val="22"/>
          <w:szCs w:val="22"/>
        </w:rPr>
        <w:t>What is the current waiting list for Mental Health treatment for adults (from 18 upwards) at your University Health Board? (Should this be broken down into divisions / counties please provide the waiting list for each division / county). </w:t>
      </w:r>
      <w:r w:rsidR="0027064B">
        <w:rPr>
          <w:rFonts w:ascii="Verdana" w:hAnsi="Verdana" w:cs="Arial"/>
          <w:b/>
          <w:color w:val="000000"/>
          <w:sz w:val="22"/>
          <w:szCs w:val="22"/>
        </w:rPr>
        <w:br/>
      </w:r>
      <w:r w:rsidR="0027064B">
        <w:rPr>
          <w:rFonts w:ascii="Verdana" w:hAnsi="Verdana" w:cs="Arial"/>
          <w:b/>
          <w:color w:val="000000"/>
          <w:sz w:val="22"/>
          <w:szCs w:val="22"/>
        </w:rPr>
        <w:br/>
      </w:r>
      <w:r w:rsidR="0027064B" w:rsidRPr="0027064B">
        <w:rPr>
          <w:rFonts w:ascii="Verdana" w:hAnsi="Verdana" w:cs="Arial"/>
          <w:color w:val="000000"/>
          <w:sz w:val="22"/>
          <w:szCs w:val="22"/>
        </w:rPr>
        <w:t>As of the 31st of December 2021, there were 1,121 patients waiting to be seen for all psychological and talking therapies. There were no patients greater than the national target of 26 weeks.</w:t>
      </w:r>
      <w:r w:rsidR="0027064B" w:rsidRPr="0027064B">
        <w:rPr>
          <w:rFonts w:ascii="Verdana" w:hAnsi="Verdana" w:cs="Arial"/>
          <w:b/>
          <w:color w:val="000000"/>
          <w:sz w:val="22"/>
          <w:szCs w:val="22"/>
        </w:rPr>
        <w:br/>
      </w:r>
    </w:p>
    <w:tbl>
      <w:tblPr>
        <w:tblStyle w:val="TableGrid1"/>
        <w:tblW w:w="0" w:type="auto"/>
        <w:jc w:val="center"/>
        <w:tblLook w:val="04A0" w:firstRow="1" w:lastRow="0" w:firstColumn="1" w:lastColumn="0" w:noHBand="0" w:noVBand="1"/>
      </w:tblPr>
      <w:tblGrid>
        <w:gridCol w:w="2405"/>
        <w:gridCol w:w="4111"/>
        <w:gridCol w:w="1276"/>
        <w:gridCol w:w="1224"/>
      </w:tblGrid>
      <w:tr w:rsidR="0027064B" w:rsidRPr="0027064B" w:rsidTr="0027064B">
        <w:trPr>
          <w:trHeight w:val="259"/>
          <w:jc w:val="center"/>
        </w:trPr>
        <w:tc>
          <w:tcPr>
            <w:tcW w:w="2405" w:type="dxa"/>
            <w:tcBorders>
              <w:top w:val="single" w:sz="4" w:space="0" w:color="auto"/>
              <w:left w:val="single" w:sz="4" w:space="0" w:color="auto"/>
              <w:bottom w:val="single" w:sz="4" w:space="0" w:color="auto"/>
            </w:tcBorders>
          </w:tcPr>
          <w:p w:rsidR="0027064B" w:rsidRPr="0027064B" w:rsidRDefault="0027064B" w:rsidP="0027064B">
            <w:pPr>
              <w:tabs>
                <w:tab w:val="left" w:pos="666"/>
                <w:tab w:val="center" w:pos="2740"/>
              </w:tabs>
              <w:spacing w:before="0" w:after="0" w:line="240" w:lineRule="auto"/>
              <w:ind w:left="0" w:right="0"/>
              <w:jc w:val="center"/>
              <w:rPr>
                <w:rFonts w:cs="Calibri"/>
                <w:b/>
                <w:bCs/>
                <w:sz w:val="22"/>
                <w:szCs w:val="22"/>
                <w:lang w:val="en-US"/>
              </w:rPr>
            </w:pPr>
            <w:r w:rsidRPr="0027064B">
              <w:rPr>
                <w:rFonts w:cs="Calibri"/>
                <w:b/>
                <w:bCs/>
                <w:sz w:val="22"/>
                <w:szCs w:val="22"/>
                <w:lang w:val="en-US"/>
              </w:rPr>
              <w:t>Target (26wks)</w:t>
            </w:r>
          </w:p>
        </w:tc>
        <w:tc>
          <w:tcPr>
            <w:tcW w:w="4111" w:type="dxa"/>
            <w:tcBorders>
              <w:top w:val="single" w:sz="4" w:space="0" w:color="auto"/>
              <w:left w:val="single" w:sz="4" w:space="0" w:color="auto"/>
              <w:bottom w:val="single" w:sz="4" w:space="0" w:color="auto"/>
              <w:right w:val="single" w:sz="4" w:space="0" w:color="auto"/>
            </w:tcBorders>
          </w:tcPr>
          <w:p w:rsidR="0027064B" w:rsidRPr="0027064B" w:rsidRDefault="0027064B" w:rsidP="0027064B">
            <w:pPr>
              <w:tabs>
                <w:tab w:val="left" w:pos="666"/>
                <w:tab w:val="center" w:pos="2740"/>
              </w:tabs>
              <w:spacing w:before="0" w:after="0" w:line="240" w:lineRule="auto"/>
              <w:ind w:left="0" w:right="0"/>
              <w:jc w:val="center"/>
              <w:rPr>
                <w:rFonts w:cs="Calibri"/>
                <w:b/>
                <w:bCs/>
                <w:sz w:val="22"/>
                <w:szCs w:val="22"/>
                <w:lang w:val="en-US"/>
              </w:rPr>
            </w:pPr>
            <w:r w:rsidRPr="0027064B">
              <w:rPr>
                <w:rFonts w:cs="Calibri"/>
                <w:b/>
                <w:bCs/>
                <w:sz w:val="22"/>
                <w:szCs w:val="22"/>
                <w:lang w:val="en-US"/>
              </w:rPr>
              <w:t>Service</w:t>
            </w:r>
          </w:p>
        </w:tc>
        <w:tc>
          <w:tcPr>
            <w:tcW w:w="1276" w:type="dxa"/>
            <w:tcBorders>
              <w:top w:val="single" w:sz="4" w:space="0" w:color="auto"/>
              <w:left w:val="single" w:sz="4" w:space="0" w:color="auto"/>
              <w:bottom w:val="single" w:sz="4" w:space="0" w:color="auto"/>
            </w:tcBorders>
          </w:tcPr>
          <w:p w:rsidR="0027064B" w:rsidRPr="0027064B" w:rsidRDefault="0027064B" w:rsidP="0027064B">
            <w:pPr>
              <w:tabs>
                <w:tab w:val="left" w:pos="666"/>
                <w:tab w:val="center" w:pos="2740"/>
              </w:tabs>
              <w:spacing w:before="0" w:after="0" w:line="240" w:lineRule="auto"/>
              <w:ind w:left="0" w:right="0"/>
              <w:jc w:val="center"/>
              <w:rPr>
                <w:rFonts w:cs="Calibri"/>
                <w:b/>
                <w:bCs/>
                <w:sz w:val="22"/>
                <w:szCs w:val="22"/>
                <w:lang w:val="en-US"/>
              </w:rPr>
            </w:pPr>
            <w:r w:rsidRPr="0027064B">
              <w:rPr>
                <w:rFonts w:cs="Calibri"/>
                <w:b/>
                <w:bCs/>
                <w:sz w:val="22"/>
                <w:szCs w:val="22"/>
                <w:lang w:val="en-US"/>
              </w:rPr>
              <w:t>Neath Port Talbot</w:t>
            </w:r>
          </w:p>
        </w:tc>
        <w:tc>
          <w:tcPr>
            <w:tcW w:w="1224" w:type="dxa"/>
            <w:tcBorders>
              <w:top w:val="single" w:sz="4" w:space="0" w:color="auto"/>
              <w:left w:val="single" w:sz="4" w:space="0" w:color="auto"/>
              <w:bottom w:val="single" w:sz="4" w:space="0" w:color="auto"/>
            </w:tcBorders>
          </w:tcPr>
          <w:p w:rsidR="0027064B" w:rsidRPr="0027064B" w:rsidRDefault="0027064B" w:rsidP="0027064B">
            <w:pPr>
              <w:tabs>
                <w:tab w:val="left" w:pos="666"/>
                <w:tab w:val="center" w:pos="2740"/>
              </w:tabs>
              <w:spacing w:before="0" w:after="0" w:line="240" w:lineRule="auto"/>
              <w:ind w:left="0" w:right="0"/>
              <w:jc w:val="center"/>
              <w:rPr>
                <w:rFonts w:cs="Calibri"/>
                <w:b/>
                <w:bCs/>
                <w:sz w:val="22"/>
                <w:szCs w:val="22"/>
                <w:lang w:val="en-US"/>
              </w:rPr>
            </w:pPr>
            <w:r w:rsidRPr="0027064B">
              <w:rPr>
                <w:rFonts w:cs="Calibri"/>
                <w:b/>
                <w:bCs/>
                <w:sz w:val="22"/>
                <w:szCs w:val="22"/>
                <w:lang w:val="en-US"/>
              </w:rPr>
              <w:t>Swansea</w:t>
            </w:r>
          </w:p>
        </w:tc>
      </w:tr>
      <w:tr w:rsidR="0027064B" w:rsidRPr="0027064B" w:rsidTr="0027064B">
        <w:trPr>
          <w:trHeight w:val="126"/>
          <w:jc w:val="center"/>
        </w:trPr>
        <w:tc>
          <w:tcPr>
            <w:tcW w:w="2405" w:type="dxa"/>
            <w:vMerge w:val="restart"/>
            <w:tcBorders>
              <w:top w:val="single" w:sz="4" w:space="0" w:color="auto"/>
            </w:tcBorders>
            <w:vAlign w:val="center"/>
          </w:tcPr>
          <w:p w:rsidR="0027064B" w:rsidRPr="0027064B" w:rsidRDefault="0027064B" w:rsidP="0027064B">
            <w:pPr>
              <w:spacing w:before="0" w:after="0" w:line="240" w:lineRule="auto"/>
              <w:ind w:left="0" w:right="0"/>
              <w:jc w:val="center"/>
              <w:rPr>
                <w:rFonts w:cs="Calibri"/>
                <w:b/>
                <w:bCs/>
                <w:sz w:val="22"/>
                <w:szCs w:val="22"/>
                <w:lang w:val="en-US"/>
              </w:rPr>
            </w:pPr>
            <w:r w:rsidRPr="0027064B">
              <w:rPr>
                <w:rFonts w:cs="Calibri"/>
                <w:b/>
                <w:bCs/>
                <w:sz w:val="22"/>
                <w:szCs w:val="22"/>
                <w:lang w:val="en-US"/>
              </w:rPr>
              <w:t>Number of patients who are waiting to start psychological therapy</w:t>
            </w:r>
          </w:p>
        </w:tc>
        <w:tc>
          <w:tcPr>
            <w:tcW w:w="4111" w:type="dxa"/>
            <w:tcBorders>
              <w:top w:val="single" w:sz="4" w:space="0" w:color="auto"/>
            </w:tcBorders>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 xml:space="preserve">How many people waiting up to and including </w:t>
            </w:r>
            <w:r w:rsidRPr="0027064B">
              <w:rPr>
                <w:rFonts w:cs="Calibri"/>
                <w:b/>
                <w:bCs/>
                <w:sz w:val="22"/>
                <w:szCs w:val="22"/>
                <w:lang w:val="en-US"/>
              </w:rPr>
              <w:t>84 days</w:t>
            </w:r>
            <w:r w:rsidRPr="0027064B">
              <w:rPr>
                <w:rFonts w:cs="Calibri"/>
                <w:sz w:val="22"/>
                <w:szCs w:val="22"/>
                <w:lang w:val="en-US"/>
              </w:rPr>
              <w:t xml:space="preserve"> (&lt;=11 weeks)</w:t>
            </w:r>
          </w:p>
        </w:tc>
        <w:tc>
          <w:tcPr>
            <w:tcW w:w="1276" w:type="dxa"/>
            <w:tcBorders>
              <w:top w:val="single" w:sz="4" w:space="0" w:color="auto"/>
            </w:tcBorders>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223</w:t>
            </w:r>
          </w:p>
        </w:tc>
        <w:tc>
          <w:tcPr>
            <w:tcW w:w="1224"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463</w:t>
            </w:r>
          </w:p>
        </w:tc>
      </w:tr>
      <w:tr w:rsidR="0027064B" w:rsidRPr="0027064B" w:rsidTr="0027064B">
        <w:trPr>
          <w:trHeight w:val="126"/>
          <w:jc w:val="center"/>
        </w:trPr>
        <w:tc>
          <w:tcPr>
            <w:tcW w:w="2405" w:type="dxa"/>
            <w:vMerge/>
          </w:tcPr>
          <w:p w:rsidR="0027064B" w:rsidRPr="0027064B" w:rsidRDefault="0027064B" w:rsidP="0027064B">
            <w:pPr>
              <w:spacing w:before="0" w:after="0" w:line="240" w:lineRule="auto"/>
              <w:ind w:left="0" w:right="0"/>
              <w:jc w:val="center"/>
              <w:rPr>
                <w:rFonts w:cs="Calibri"/>
                <w:sz w:val="22"/>
                <w:szCs w:val="22"/>
                <w:lang w:val="en-US"/>
              </w:rPr>
            </w:pPr>
          </w:p>
        </w:tc>
        <w:tc>
          <w:tcPr>
            <w:tcW w:w="4111"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 xml:space="preserve">Patients waiting </w:t>
            </w:r>
            <w:r w:rsidRPr="0027064B">
              <w:rPr>
                <w:rFonts w:cs="Calibri"/>
                <w:b/>
                <w:bCs/>
                <w:sz w:val="22"/>
                <w:szCs w:val="22"/>
                <w:lang w:val="en-US"/>
              </w:rPr>
              <w:t>85 days</w:t>
            </w:r>
            <w:r w:rsidRPr="0027064B">
              <w:rPr>
                <w:rFonts w:cs="Calibri"/>
                <w:sz w:val="22"/>
                <w:szCs w:val="22"/>
                <w:lang w:val="en-US"/>
              </w:rPr>
              <w:t xml:space="preserve"> and over and up to and including </w:t>
            </w:r>
            <w:r w:rsidRPr="0027064B">
              <w:rPr>
                <w:rFonts w:cs="Calibri"/>
                <w:b/>
                <w:bCs/>
                <w:sz w:val="22"/>
                <w:szCs w:val="22"/>
                <w:lang w:val="en-US"/>
              </w:rPr>
              <w:t>126 days</w:t>
            </w:r>
            <w:r w:rsidRPr="0027064B">
              <w:rPr>
                <w:rFonts w:cs="Calibri"/>
                <w:sz w:val="22"/>
                <w:szCs w:val="22"/>
                <w:lang w:val="en-US"/>
              </w:rPr>
              <w:t xml:space="preserve"> (12-17 weeks)</w:t>
            </w:r>
          </w:p>
        </w:tc>
        <w:tc>
          <w:tcPr>
            <w:tcW w:w="1276"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78</w:t>
            </w:r>
          </w:p>
        </w:tc>
        <w:tc>
          <w:tcPr>
            <w:tcW w:w="1224"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161</w:t>
            </w:r>
          </w:p>
        </w:tc>
      </w:tr>
      <w:tr w:rsidR="0027064B" w:rsidRPr="0027064B" w:rsidTr="0027064B">
        <w:trPr>
          <w:trHeight w:val="126"/>
          <w:jc w:val="center"/>
        </w:trPr>
        <w:tc>
          <w:tcPr>
            <w:tcW w:w="2405" w:type="dxa"/>
            <w:vMerge/>
          </w:tcPr>
          <w:p w:rsidR="0027064B" w:rsidRPr="0027064B" w:rsidRDefault="0027064B" w:rsidP="0027064B">
            <w:pPr>
              <w:spacing w:before="0" w:after="0" w:line="240" w:lineRule="auto"/>
              <w:ind w:left="0" w:right="0"/>
              <w:jc w:val="center"/>
              <w:rPr>
                <w:rFonts w:cs="Calibri"/>
                <w:sz w:val="22"/>
                <w:szCs w:val="22"/>
                <w:lang w:val="en-US"/>
              </w:rPr>
            </w:pPr>
          </w:p>
        </w:tc>
        <w:tc>
          <w:tcPr>
            <w:tcW w:w="4111"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 xml:space="preserve">Patients waiting </w:t>
            </w:r>
            <w:r w:rsidRPr="0027064B">
              <w:rPr>
                <w:rFonts w:cs="Calibri"/>
                <w:b/>
                <w:bCs/>
                <w:sz w:val="22"/>
                <w:szCs w:val="22"/>
                <w:lang w:val="en-US"/>
              </w:rPr>
              <w:t>127 days</w:t>
            </w:r>
            <w:r w:rsidRPr="0027064B">
              <w:rPr>
                <w:rFonts w:cs="Calibri"/>
                <w:sz w:val="22"/>
                <w:szCs w:val="22"/>
                <w:lang w:val="en-US"/>
              </w:rPr>
              <w:t xml:space="preserve"> and over and up to and including </w:t>
            </w:r>
            <w:r w:rsidRPr="0027064B">
              <w:rPr>
                <w:rFonts w:cs="Calibri"/>
                <w:b/>
                <w:bCs/>
                <w:sz w:val="22"/>
                <w:szCs w:val="22"/>
                <w:lang w:val="en-US"/>
              </w:rPr>
              <w:t>182 days</w:t>
            </w:r>
            <w:r w:rsidRPr="0027064B">
              <w:rPr>
                <w:rFonts w:cs="Calibri"/>
                <w:sz w:val="22"/>
                <w:szCs w:val="22"/>
                <w:lang w:val="en-US"/>
              </w:rPr>
              <w:t xml:space="preserve"> (18-25 weeks)</w:t>
            </w:r>
          </w:p>
        </w:tc>
        <w:tc>
          <w:tcPr>
            <w:tcW w:w="1276"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62</w:t>
            </w:r>
          </w:p>
        </w:tc>
        <w:tc>
          <w:tcPr>
            <w:tcW w:w="1224"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134</w:t>
            </w:r>
          </w:p>
        </w:tc>
      </w:tr>
      <w:tr w:rsidR="0027064B" w:rsidRPr="0027064B" w:rsidTr="0027064B">
        <w:trPr>
          <w:trHeight w:val="126"/>
          <w:jc w:val="center"/>
        </w:trPr>
        <w:tc>
          <w:tcPr>
            <w:tcW w:w="2405" w:type="dxa"/>
            <w:vMerge/>
          </w:tcPr>
          <w:p w:rsidR="0027064B" w:rsidRPr="0027064B" w:rsidRDefault="0027064B" w:rsidP="0027064B">
            <w:pPr>
              <w:spacing w:before="0" w:after="0" w:line="240" w:lineRule="auto"/>
              <w:ind w:left="0" w:right="0"/>
              <w:jc w:val="center"/>
              <w:rPr>
                <w:rFonts w:cs="Calibri"/>
                <w:sz w:val="22"/>
                <w:szCs w:val="22"/>
                <w:lang w:val="en-US"/>
              </w:rPr>
            </w:pPr>
          </w:p>
        </w:tc>
        <w:tc>
          <w:tcPr>
            <w:tcW w:w="4111"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 xml:space="preserve">Patients waiting </w:t>
            </w:r>
            <w:r w:rsidRPr="0027064B">
              <w:rPr>
                <w:rFonts w:cs="Calibri"/>
                <w:b/>
                <w:bCs/>
                <w:sz w:val="22"/>
                <w:szCs w:val="22"/>
                <w:lang w:val="en-US"/>
              </w:rPr>
              <w:t>183 days</w:t>
            </w:r>
            <w:r w:rsidRPr="0027064B">
              <w:rPr>
                <w:rFonts w:cs="Calibri"/>
                <w:sz w:val="22"/>
                <w:szCs w:val="22"/>
                <w:lang w:val="en-US"/>
              </w:rPr>
              <w:t xml:space="preserve"> and over and up to and including </w:t>
            </w:r>
            <w:r w:rsidRPr="0027064B">
              <w:rPr>
                <w:rFonts w:cs="Calibri"/>
                <w:b/>
                <w:bCs/>
                <w:sz w:val="22"/>
                <w:szCs w:val="22"/>
                <w:lang w:val="en-US"/>
              </w:rPr>
              <w:t>252 days</w:t>
            </w:r>
            <w:r w:rsidRPr="0027064B">
              <w:rPr>
                <w:rFonts w:cs="Calibri"/>
                <w:sz w:val="22"/>
                <w:szCs w:val="22"/>
                <w:lang w:val="en-US"/>
              </w:rPr>
              <w:t xml:space="preserve"> (26-35 weeks)</w:t>
            </w:r>
          </w:p>
        </w:tc>
        <w:tc>
          <w:tcPr>
            <w:tcW w:w="1276"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0</w:t>
            </w:r>
          </w:p>
        </w:tc>
        <w:tc>
          <w:tcPr>
            <w:tcW w:w="1224"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0</w:t>
            </w:r>
          </w:p>
        </w:tc>
      </w:tr>
      <w:tr w:rsidR="0027064B" w:rsidRPr="0027064B" w:rsidTr="0027064B">
        <w:trPr>
          <w:trHeight w:val="126"/>
          <w:jc w:val="center"/>
        </w:trPr>
        <w:tc>
          <w:tcPr>
            <w:tcW w:w="2405" w:type="dxa"/>
            <w:vMerge/>
          </w:tcPr>
          <w:p w:rsidR="0027064B" w:rsidRPr="0027064B" w:rsidRDefault="0027064B" w:rsidP="0027064B">
            <w:pPr>
              <w:spacing w:before="0" w:after="0" w:line="240" w:lineRule="auto"/>
              <w:ind w:left="0" w:right="0"/>
              <w:jc w:val="center"/>
              <w:rPr>
                <w:rFonts w:cs="Calibri"/>
                <w:sz w:val="22"/>
                <w:szCs w:val="22"/>
                <w:lang w:val="en-US"/>
              </w:rPr>
            </w:pPr>
          </w:p>
        </w:tc>
        <w:tc>
          <w:tcPr>
            <w:tcW w:w="4111"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 xml:space="preserve">Patients waiting </w:t>
            </w:r>
            <w:r w:rsidRPr="0027064B">
              <w:rPr>
                <w:rFonts w:cs="Calibri"/>
                <w:b/>
                <w:bCs/>
                <w:sz w:val="22"/>
                <w:szCs w:val="22"/>
                <w:lang w:val="en-US"/>
              </w:rPr>
              <w:t>253 days</w:t>
            </w:r>
            <w:r w:rsidRPr="0027064B">
              <w:rPr>
                <w:rFonts w:cs="Calibri"/>
                <w:sz w:val="22"/>
                <w:szCs w:val="22"/>
                <w:lang w:val="en-US"/>
              </w:rPr>
              <w:t xml:space="preserve"> and over and up to and including </w:t>
            </w:r>
            <w:r w:rsidRPr="0027064B">
              <w:rPr>
                <w:rFonts w:cs="Calibri"/>
                <w:b/>
                <w:bCs/>
                <w:sz w:val="22"/>
                <w:szCs w:val="22"/>
                <w:lang w:val="en-US"/>
              </w:rPr>
              <w:t>364 days</w:t>
            </w:r>
            <w:r w:rsidRPr="0027064B">
              <w:rPr>
                <w:rFonts w:cs="Calibri"/>
                <w:sz w:val="22"/>
                <w:szCs w:val="22"/>
                <w:lang w:val="en-US"/>
              </w:rPr>
              <w:t xml:space="preserve"> (36-51 weeks)</w:t>
            </w:r>
          </w:p>
        </w:tc>
        <w:tc>
          <w:tcPr>
            <w:tcW w:w="1276"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0</w:t>
            </w:r>
          </w:p>
        </w:tc>
        <w:tc>
          <w:tcPr>
            <w:tcW w:w="1224"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0</w:t>
            </w:r>
          </w:p>
        </w:tc>
      </w:tr>
      <w:tr w:rsidR="0027064B" w:rsidRPr="0027064B" w:rsidTr="0027064B">
        <w:trPr>
          <w:trHeight w:val="126"/>
          <w:jc w:val="center"/>
        </w:trPr>
        <w:tc>
          <w:tcPr>
            <w:tcW w:w="2405" w:type="dxa"/>
            <w:vMerge/>
          </w:tcPr>
          <w:p w:rsidR="0027064B" w:rsidRPr="0027064B" w:rsidRDefault="0027064B" w:rsidP="0027064B">
            <w:pPr>
              <w:spacing w:before="0" w:after="0" w:line="240" w:lineRule="auto"/>
              <w:ind w:left="0" w:right="0"/>
              <w:jc w:val="center"/>
              <w:rPr>
                <w:rFonts w:cs="Calibri"/>
                <w:sz w:val="22"/>
                <w:szCs w:val="22"/>
                <w:lang w:val="en-US"/>
              </w:rPr>
            </w:pPr>
          </w:p>
        </w:tc>
        <w:tc>
          <w:tcPr>
            <w:tcW w:w="4111"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 xml:space="preserve">Patients waiting </w:t>
            </w:r>
            <w:r w:rsidRPr="0027064B">
              <w:rPr>
                <w:rFonts w:cs="Calibri"/>
                <w:b/>
                <w:bCs/>
                <w:sz w:val="22"/>
                <w:szCs w:val="22"/>
                <w:lang w:val="en-US"/>
              </w:rPr>
              <w:t>365 days</w:t>
            </w:r>
            <w:r w:rsidRPr="0027064B">
              <w:rPr>
                <w:rFonts w:cs="Calibri"/>
                <w:sz w:val="22"/>
                <w:szCs w:val="22"/>
                <w:lang w:val="en-US"/>
              </w:rPr>
              <w:t xml:space="preserve"> and over (&gt;=52 weeks)</w:t>
            </w:r>
          </w:p>
        </w:tc>
        <w:tc>
          <w:tcPr>
            <w:tcW w:w="1276"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0</w:t>
            </w:r>
          </w:p>
        </w:tc>
        <w:tc>
          <w:tcPr>
            <w:tcW w:w="1224" w:type="dxa"/>
          </w:tcPr>
          <w:p w:rsidR="0027064B" w:rsidRPr="0027064B" w:rsidRDefault="0027064B" w:rsidP="0027064B">
            <w:pPr>
              <w:spacing w:before="0" w:after="0" w:line="240" w:lineRule="auto"/>
              <w:ind w:left="0" w:right="0"/>
              <w:jc w:val="center"/>
              <w:rPr>
                <w:rFonts w:cs="Calibri"/>
                <w:sz w:val="22"/>
                <w:szCs w:val="22"/>
                <w:lang w:val="en-US"/>
              </w:rPr>
            </w:pPr>
            <w:r w:rsidRPr="0027064B">
              <w:rPr>
                <w:rFonts w:cs="Calibri"/>
                <w:sz w:val="22"/>
                <w:szCs w:val="22"/>
                <w:lang w:val="en-US"/>
              </w:rPr>
              <w:t>0</w:t>
            </w:r>
          </w:p>
        </w:tc>
      </w:tr>
      <w:tr w:rsidR="0027064B" w:rsidRPr="0027064B" w:rsidTr="0027064B">
        <w:trPr>
          <w:trHeight w:val="126"/>
          <w:jc w:val="center"/>
        </w:trPr>
        <w:tc>
          <w:tcPr>
            <w:tcW w:w="2405" w:type="dxa"/>
          </w:tcPr>
          <w:p w:rsidR="0027064B" w:rsidRPr="0027064B" w:rsidRDefault="0027064B" w:rsidP="0027064B">
            <w:pPr>
              <w:spacing w:before="0" w:after="0" w:line="240" w:lineRule="auto"/>
              <w:ind w:left="0" w:right="0"/>
              <w:jc w:val="center"/>
              <w:rPr>
                <w:rFonts w:cs="Calibri"/>
                <w:sz w:val="22"/>
                <w:szCs w:val="22"/>
                <w:lang w:val="en-US"/>
              </w:rPr>
            </w:pPr>
          </w:p>
        </w:tc>
        <w:tc>
          <w:tcPr>
            <w:tcW w:w="4111" w:type="dxa"/>
          </w:tcPr>
          <w:p w:rsidR="0027064B" w:rsidRPr="0027064B" w:rsidRDefault="0027064B" w:rsidP="0027064B">
            <w:pPr>
              <w:spacing w:before="0" w:after="0" w:line="240" w:lineRule="auto"/>
              <w:ind w:left="0" w:right="0"/>
              <w:jc w:val="center"/>
              <w:rPr>
                <w:rFonts w:cs="Calibri"/>
                <w:b/>
                <w:bCs/>
                <w:sz w:val="22"/>
                <w:szCs w:val="22"/>
                <w:lang w:val="en-US"/>
              </w:rPr>
            </w:pPr>
            <w:r w:rsidRPr="0027064B">
              <w:rPr>
                <w:rFonts w:cs="Calibri"/>
                <w:b/>
                <w:bCs/>
                <w:sz w:val="22"/>
                <w:szCs w:val="22"/>
                <w:lang w:val="en-US"/>
              </w:rPr>
              <w:t>Total</w:t>
            </w:r>
          </w:p>
        </w:tc>
        <w:tc>
          <w:tcPr>
            <w:tcW w:w="1276" w:type="dxa"/>
          </w:tcPr>
          <w:p w:rsidR="0027064B" w:rsidRPr="0027064B" w:rsidRDefault="0027064B" w:rsidP="0027064B">
            <w:pPr>
              <w:spacing w:before="0" w:after="0" w:line="240" w:lineRule="auto"/>
              <w:ind w:left="0" w:right="0"/>
              <w:jc w:val="center"/>
              <w:rPr>
                <w:rFonts w:cs="Calibri"/>
                <w:b/>
                <w:bCs/>
                <w:sz w:val="22"/>
                <w:szCs w:val="22"/>
                <w:lang w:val="en-US"/>
              </w:rPr>
            </w:pPr>
            <w:r w:rsidRPr="0027064B">
              <w:rPr>
                <w:rFonts w:cs="Calibri"/>
                <w:b/>
                <w:bCs/>
                <w:sz w:val="22"/>
                <w:szCs w:val="22"/>
                <w:lang w:val="en-US"/>
              </w:rPr>
              <w:t>363</w:t>
            </w:r>
          </w:p>
        </w:tc>
        <w:tc>
          <w:tcPr>
            <w:tcW w:w="1224" w:type="dxa"/>
          </w:tcPr>
          <w:p w:rsidR="0027064B" w:rsidRPr="0027064B" w:rsidRDefault="0027064B" w:rsidP="0027064B">
            <w:pPr>
              <w:spacing w:before="0" w:after="0" w:line="240" w:lineRule="auto"/>
              <w:ind w:left="0" w:right="0"/>
              <w:jc w:val="center"/>
              <w:rPr>
                <w:rFonts w:cs="Calibri"/>
                <w:b/>
                <w:bCs/>
                <w:sz w:val="22"/>
                <w:szCs w:val="22"/>
                <w:lang w:val="en-US"/>
              </w:rPr>
            </w:pPr>
            <w:r w:rsidRPr="0027064B">
              <w:rPr>
                <w:rFonts w:cs="Calibri"/>
                <w:b/>
                <w:bCs/>
                <w:sz w:val="22"/>
                <w:szCs w:val="22"/>
                <w:lang w:val="en-US"/>
              </w:rPr>
              <w:t>758</w:t>
            </w:r>
          </w:p>
        </w:tc>
      </w:tr>
    </w:tbl>
    <w:p w:rsidR="0089203E" w:rsidRPr="0089203E" w:rsidRDefault="0089203E" w:rsidP="0089203E">
      <w:pPr>
        <w:pStyle w:val="NormalWeb"/>
        <w:ind w:left="945"/>
        <w:textAlignment w:val="baseline"/>
        <w:rPr>
          <w:rFonts w:ascii="Verdana" w:hAnsi="Verdana" w:cs="Arial"/>
          <w:b/>
          <w:color w:val="000000"/>
          <w:sz w:val="22"/>
          <w:szCs w:val="22"/>
        </w:rPr>
      </w:pPr>
    </w:p>
    <w:p w:rsidR="0089203E" w:rsidRDefault="0089203E" w:rsidP="0024741C">
      <w:pPr>
        <w:pStyle w:val="NormalWeb"/>
        <w:numPr>
          <w:ilvl w:val="0"/>
          <w:numId w:val="18"/>
        </w:numPr>
        <w:textAlignment w:val="baseline"/>
        <w:rPr>
          <w:rFonts w:ascii="Verdana" w:hAnsi="Verdana" w:cs="Arial"/>
          <w:b/>
          <w:color w:val="000000"/>
          <w:sz w:val="22"/>
          <w:szCs w:val="22"/>
        </w:rPr>
      </w:pPr>
      <w:r w:rsidRPr="0089203E">
        <w:rPr>
          <w:rFonts w:ascii="Verdana" w:hAnsi="Verdana" w:cs="Arial"/>
          <w:b/>
          <w:color w:val="000000"/>
          <w:sz w:val="22"/>
          <w:szCs w:val="22"/>
        </w:rPr>
        <w:t>What is the current average waiting time to be seen by a Psychologist / Therapist in your Health Board? Should services be broken down into counties / divisions please provide a breakdown of the average waiting time in each county / division.) </w:t>
      </w:r>
      <w:r w:rsidR="0024741C">
        <w:rPr>
          <w:rFonts w:ascii="Verdana" w:hAnsi="Verdana" w:cs="Arial"/>
          <w:b/>
          <w:color w:val="000000"/>
          <w:sz w:val="22"/>
          <w:szCs w:val="22"/>
        </w:rPr>
        <w:br/>
      </w:r>
      <w:r w:rsidR="0024741C">
        <w:rPr>
          <w:rFonts w:ascii="Verdana" w:hAnsi="Verdana" w:cs="Arial"/>
          <w:b/>
          <w:color w:val="000000"/>
          <w:sz w:val="22"/>
          <w:szCs w:val="22"/>
        </w:rPr>
        <w:br/>
      </w:r>
      <w:r w:rsidR="0024741C" w:rsidRPr="0024741C">
        <w:rPr>
          <w:rFonts w:ascii="Verdana" w:hAnsi="Verdana" w:cs="Arial"/>
          <w:color w:val="000000"/>
          <w:sz w:val="22"/>
          <w:szCs w:val="22"/>
        </w:rPr>
        <w:t>The average waiting time to be seen by a psychologist or therapist was less than the national target of 26 weeks in both areas within the health board as of 31st December 2021.</w:t>
      </w:r>
    </w:p>
    <w:p w:rsidR="0089203E" w:rsidRDefault="0089203E" w:rsidP="0089203E">
      <w:pPr>
        <w:pStyle w:val="NormalWeb"/>
        <w:ind w:left="945"/>
        <w:textAlignment w:val="baseline"/>
        <w:rPr>
          <w:rFonts w:ascii="Verdana" w:hAnsi="Verdana" w:cs="Arial"/>
          <w:b/>
          <w:color w:val="000000"/>
          <w:sz w:val="22"/>
          <w:szCs w:val="22"/>
        </w:rPr>
      </w:pPr>
    </w:p>
    <w:tbl>
      <w:tblPr>
        <w:tblStyle w:val="TableGrid"/>
        <w:tblW w:w="0" w:type="auto"/>
        <w:jc w:val="center"/>
        <w:tblLook w:val="04A0" w:firstRow="1" w:lastRow="0" w:firstColumn="1" w:lastColumn="0" w:noHBand="0" w:noVBand="1"/>
      </w:tblPr>
      <w:tblGrid>
        <w:gridCol w:w="4536"/>
        <w:gridCol w:w="1985"/>
      </w:tblGrid>
      <w:tr w:rsidR="0089203E" w:rsidRPr="00F7030A" w:rsidTr="00705843">
        <w:trPr>
          <w:trHeight w:val="259"/>
          <w:jc w:val="center"/>
        </w:trPr>
        <w:tc>
          <w:tcPr>
            <w:tcW w:w="6521" w:type="dxa"/>
            <w:gridSpan w:val="2"/>
            <w:tcBorders>
              <w:top w:val="single" w:sz="4" w:space="0" w:color="auto"/>
              <w:left w:val="single" w:sz="4" w:space="0" w:color="auto"/>
              <w:bottom w:val="single" w:sz="4" w:space="0" w:color="auto"/>
            </w:tcBorders>
          </w:tcPr>
          <w:p w:rsidR="0089203E" w:rsidRPr="00F7030A" w:rsidRDefault="0089203E" w:rsidP="00705843">
            <w:pPr>
              <w:tabs>
                <w:tab w:val="left" w:pos="666"/>
                <w:tab w:val="center" w:pos="2740"/>
              </w:tabs>
              <w:rPr>
                <w:rFonts w:asciiTheme="minorHAnsi" w:hAnsiTheme="minorHAnsi" w:cstheme="minorHAnsi"/>
                <w:b/>
                <w:bCs/>
                <w:lang w:val="en-US"/>
              </w:rPr>
            </w:pPr>
            <w:r>
              <w:rPr>
                <w:rFonts w:asciiTheme="minorHAnsi" w:hAnsiTheme="minorHAnsi" w:cstheme="minorHAnsi"/>
                <w:b/>
                <w:bCs/>
                <w:lang w:val="en-US"/>
              </w:rPr>
              <w:t xml:space="preserve">Current Average Waiting time </w:t>
            </w:r>
            <w:r w:rsidR="00705843">
              <w:rPr>
                <w:rFonts w:asciiTheme="minorHAnsi" w:hAnsiTheme="minorHAnsi" w:cstheme="minorHAnsi"/>
                <w:b/>
                <w:bCs/>
                <w:lang w:val="en-US"/>
              </w:rPr>
              <w:t>–</w:t>
            </w:r>
            <w:r>
              <w:rPr>
                <w:rFonts w:asciiTheme="minorHAnsi" w:hAnsiTheme="minorHAnsi" w:cstheme="minorHAnsi"/>
                <w:b/>
                <w:bCs/>
                <w:lang w:val="en-US"/>
              </w:rPr>
              <w:t xml:space="preserve"> </w:t>
            </w:r>
            <w:r w:rsidR="00705843">
              <w:rPr>
                <w:rFonts w:asciiTheme="minorHAnsi" w:hAnsiTheme="minorHAnsi" w:cstheme="minorHAnsi"/>
                <w:b/>
                <w:bCs/>
                <w:lang w:val="en-US"/>
              </w:rPr>
              <w:t>31</w:t>
            </w:r>
            <w:r w:rsidR="00705843" w:rsidRPr="00705843">
              <w:rPr>
                <w:rFonts w:asciiTheme="minorHAnsi" w:hAnsiTheme="minorHAnsi" w:cstheme="minorHAnsi"/>
                <w:b/>
                <w:bCs/>
                <w:vertAlign w:val="superscript"/>
                <w:lang w:val="en-US"/>
              </w:rPr>
              <w:t>st</w:t>
            </w:r>
            <w:r w:rsidR="00705843">
              <w:rPr>
                <w:rFonts w:asciiTheme="minorHAnsi" w:hAnsiTheme="minorHAnsi" w:cstheme="minorHAnsi"/>
                <w:b/>
                <w:bCs/>
                <w:lang w:val="en-US"/>
              </w:rPr>
              <w:t xml:space="preserve"> December 2021</w:t>
            </w:r>
          </w:p>
        </w:tc>
      </w:tr>
      <w:tr w:rsidR="0089203E" w:rsidRPr="00F7030A" w:rsidTr="00705843">
        <w:trPr>
          <w:trHeight w:val="126"/>
          <w:jc w:val="center"/>
        </w:trPr>
        <w:tc>
          <w:tcPr>
            <w:tcW w:w="4536" w:type="dxa"/>
            <w:tcBorders>
              <w:top w:val="single" w:sz="4" w:space="0" w:color="auto"/>
            </w:tcBorders>
          </w:tcPr>
          <w:p w:rsidR="0089203E" w:rsidRPr="00F7030A" w:rsidRDefault="0089203E" w:rsidP="00DC00EA">
            <w:pPr>
              <w:rPr>
                <w:rFonts w:asciiTheme="minorHAnsi" w:hAnsiTheme="minorHAnsi" w:cstheme="minorHAnsi"/>
                <w:b/>
                <w:bCs/>
                <w:lang w:val="en-US"/>
              </w:rPr>
            </w:pPr>
            <w:r w:rsidRPr="00F7030A">
              <w:rPr>
                <w:rFonts w:asciiTheme="minorHAnsi" w:hAnsiTheme="minorHAnsi" w:cstheme="minorHAnsi"/>
                <w:b/>
                <w:bCs/>
                <w:lang w:val="en-US"/>
              </w:rPr>
              <w:t>Neath Port Talbot</w:t>
            </w:r>
          </w:p>
        </w:tc>
        <w:tc>
          <w:tcPr>
            <w:tcW w:w="1985" w:type="dxa"/>
          </w:tcPr>
          <w:p w:rsidR="0089203E" w:rsidRPr="00F7030A" w:rsidRDefault="0089203E" w:rsidP="0089203E">
            <w:pPr>
              <w:ind w:left="0"/>
              <w:rPr>
                <w:rFonts w:asciiTheme="minorHAnsi" w:hAnsiTheme="minorHAnsi" w:cstheme="minorHAnsi"/>
                <w:bCs/>
                <w:lang w:val="en-US"/>
              </w:rPr>
            </w:pPr>
            <w:r>
              <w:rPr>
                <w:rFonts w:asciiTheme="minorHAnsi" w:hAnsiTheme="minorHAnsi" w:cstheme="minorHAnsi"/>
                <w:bCs/>
                <w:lang w:val="en-US"/>
              </w:rPr>
              <w:t>10 weeks</w:t>
            </w:r>
          </w:p>
        </w:tc>
      </w:tr>
      <w:tr w:rsidR="0089203E" w:rsidRPr="00F7030A" w:rsidTr="00705843">
        <w:trPr>
          <w:trHeight w:val="126"/>
          <w:jc w:val="center"/>
        </w:trPr>
        <w:tc>
          <w:tcPr>
            <w:tcW w:w="4536" w:type="dxa"/>
          </w:tcPr>
          <w:p w:rsidR="0089203E" w:rsidRPr="00F7030A" w:rsidRDefault="0089203E" w:rsidP="00DC00EA">
            <w:pPr>
              <w:rPr>
                <w:rFonts w:asciiTheme="minorHAnsi" w:hAnsiTheme="minorHAnsi" w:cstheme="minorHAnsi"/>
                <w:b/>
                <w:bCs/>
                <w:lang w:val="en-US"/>
              </w:rPr>
            </w:pPr>
            <w:r w:rsidRPr="00F7030A">
              <w:rPr>
                <w:rFonts w:asciiTheme="minorHAnsi" w:hAnsiTheme="minorHAnsi" w:cstheme="minorHAnsi"/>
                <w:b/>
                <w:bCs/>
                <w:lang w:val="en-US"/>
              </w:rPr>
              <w:t>Swansea</w:t>
            </w:r>
          </w:p>
        </w:tc>
        <w:tc>
          <w:tcPr>
            <w:tcW w:w="1985" w:type="dxa"/>
          </w:tcPr>
          <w:p w:rsidR="0089203E" w:rsidRPr="00F7030A" w:rsidRDefault="0024741C" w:rsidP="0089203E">
            <w:pPr>
              <w:ind w:left="0"/>
              <w:rPr>
                <w:rFonts w:asciiTheme="minorHAnsi" w:hAnsiTheme="minorHAnsi" w:cstheme="minorHAnsi"/>
                <w:bCs/>
                <w:lang w:val="en-US"/>
              </w:rPr>
            </w:pPr>
            <w:r>
              <w:rPr>
                <w:rFonts w:asciiTheme="minorHAnsi" w:hAnsiTheme="minorHAnsi" w:cstheme="minorHAnsi"/>
                <w:bCs/>
                <w:lang w:val="en-US"/>
              </w:rPr>
              <w:t>10</w:t>
            </w:r>
            <w:r w:rsidR="0089203E">
              <w:rPr>
                <w:rFonts w:asciiTheme="minorHAnsi" w:hAnsiTheme="minorHAnsi" w:cstheme="minorHAnsi"/>
                <w:bCs/>
                <w:lang w:val="en-US"/>
              </w:rPr>
              <w:t xml:space="preserve"> weeks</w:t>
            </w:r>
          </w:p>
        </w:tc>
      </w:tr>
    </w:tbl>
    <w:p w:rsidR="0089203E" w:rsidRDefault="0089203E" w:rsidP="0089203E">
      <w:pPr>
        <w:pStyle w:val="NormalWeb"/>
        <w:ind w:left="945"/>
        <w:textAlignment w:val="baseline"/>
        <w:rPr>
          <w:rFonts w:ascii="Verdana" w:hAnsi="Verdana" w:cs="Arial"/>
          <w:b/>
          <w:color w:val="000000"/>
          <w:sz w:val="22"/>
          <w:szCs w:val="22"/>
        </w:rPr>
      </w:pPr>
    </w:p>
    <w:p w:rsidR="0089203E" w:rsidRPr="0089203E" w:rsidRDefault="0089203E" w:rsidP="0089203E">
      <w:pPr>
        <w:pStyle w:val="NormalWeb"/>
        <w:ind w:left="945"/>
        <w:textAlignment w:val="baseline"/>
        <w:rPr>
          <w:rFonts w:ascii="Verdana" w:hAnsi="Verdana" w:cs="Arial"/>
          <w:b/>
          <w:color w:val="000000"/>
          <w:sz w:val="22"/>
          <w:szCs w:val="22"/>
        </w:rPr>
      </w:pPr>
    </w:p>
    <w:p w:rsidR="0089203E" w:rsidRDefault="0089203E" w:rsidP="00705843">
      <w:pPr>
        <w:pStyle w:val="NormalWeb"/>
        <w:numPr>
          <w:ilvl w:val="0"/>
          <w:numId w:val="18"/>
        </w:numPr>
        <w:textAlignment w:val="baseline"/>
        <w:rPr>
          <w:rFonts w:ascii="Verdana" w:hAnsi="Verdana" w:cs="Arial"/>
          <w:b/>
          <w:color w:val="000000"/>
          <w:sz w:val="22"/>
          <w:szCs w:val="22"/>
        </w:rPr>
      </w:pPr>
      <w:r w:rsidRPr="0089203E">
        <w:rPr>
          <w:rFonts w:ascii="Verdana" w:hAnsi="Verdana" w:cs="Arial"/>
          <w:b/>
          <w:color w:val="000000"/>
          <w:sz w:val="22"/>
          <w:szCs w:val="22"/>
        </w:rPr>
        <w:t>What is the longest length of time an individual patient has waited for mental health treatment in the past three years? 2019 - present. Please provide a breakdown for each county / division. </w:t>
      </w:r>
      <w:r w:rsidR="00705843">
        <w:rPr>
          <w:rFonts w:ascii="Verdana" w:hAnsi="Verdana" w:cs="Arial"/>
          <w:b/>
          <w:color w:val="000000"/>
          <w:sz w:val="22"/>
          <w:szCs w:val="22"/>
        </w:rPr>
        <w:br/>
      </w:r>
      <w:r w:rsidR="00705843">
        <w:rPr>
          <w:rFonts w:ascii="Verdana" w:hAnsi="Verdana" w:cs="Arial"/>
          <w:b/>
          <w:color w:val="000000"/>
          <w:sz w:val="22"/>
          <w:szCs w:val="22"/>
        </w:rPr>
        <w:br/>
      </w:r>
      <w:r w:rsidR="00705843" w:rsidRPr="00705843">
        <w:rPr>
          <w:rFonts w:ascii="Verdana" w:hAnsi="Verdana" w:cs="Arial"/>
          <w:color w:val="000000"/>
          <w:sz w:val="22"/>
          <w:szCs w:val="22"/>
        </w:rPr>
        <w:t>The longest wait in 2020 was June, when we were unable to offer face to face therapy due the pandemic. From November 2020 there were no patients waiting greater than 26 weeks.</w:t>
      </w:r>
    </w:p>
    <w:p w:rsidR="0089203E" w:rsidRPr="0089203E" w:rsidRDefault="0089203E" w:rsidP="0089203E">
      <w:pPr>
        <w:pStyle w:val="NormalWeb"/>
        <w:ind w:left="945"/>
        <w:textAlignment w:val="baseline"/>
        <w:rPr>
          <w:rFonts w:ascii="Verdana" w:hAnsi="Verdana" w:cs="Arial"/>
          <w:b/>
          <w:color w:val="000000"/>
          <w:sz w:val="22"/>
          <w:szCs w:val="22"/>
        </w:rPr>
      </w:pPr>
    </w:p>
    <w:tbl>
      <w:tblPr>
        <w:tblStyle w:val="TableGrid"/>
        <w:tblW w:w="0" w:type="auto"/>
        <w:tblInd w:w="988" w:type="dxa"/>
        <w:tblLook w:val="04A0" w:firstRow="1" w:lastRow="0" w:firstColumn="1" w:lastColumn="0" w:noHBand="0" w:noVBand="1"/>
      </w:tblPr>
      <w:tblGrid>
        <w:gridCol w:w="2017"/>
        <w:gridCol w:w="3005"/>
        <w:gridCol w:w="3006"/>
      </w:tblGrid>
      <w:tr w:rsidR="0089203E" w:rsidRPr="00F7030A" w:rsidTr="0089203E">
        <w:tc>
          <w:tcPr>
            <w:tcW w:w="2017" w:type="dxa"/>
          </w:tcPr>
          <w:p w:rsidR="0089203E" w:rsidRPr="0089203E" w:rsidRDefault="0089203E" w:rsidP="0089203E">
            <w:pPr>
              <w:tabs>
                <w:tab w:val="center" w:pos="4513"/>
                <w:tab w:val="right" w:pos="9026"/>
              </w:tabs>
              <w:ind w:left="0"/>
              <w:jc w:val="center"/>
              <w:rPr>
                <w:rFonts w:asciiTheme="minorHAnsi" w:hAnsiTheme="minorHAnsi" w:cstheme="minorHAnsi"/>
                <w:b/>
                <w:bCs/>
                <w:lang w:val="en-US"/>
              </w:rPr>
            </w:pPr>
            <w:r w:rsidRPr="0089203E">
              <w:rPr>
                <w:rFonts w:asciiTheme="minorHAnsi" w:hAnsiTheme="minorHAnsi" w:cstheme="minorHAnsi"/>
                <w:b/>
                <w:bCs/>
                <w:lang w:val="en-US"/>
              </w:rPr>
              <w:t>Year</w:t>
            </w:r>
          </w:p>
        </w:tc>
        <w:tc>
          <w:tcPr>
            <w:tcW w:w="3005" w:type="dxa"/>
          </w:tcPr>
          <w:p w:rsidR="0089203E" w:rsidRPr="00F7030A" w:rsidRDefault="0089203E" w:rsidP="00DC00EA">
            <w:pPr>
              <w:rPr>
                <w:rFonts w:asciiTheme="minorHAnsi" w:hAnsiTheme="minorHAnsi" w:cstheme="minorHAnsi"/>
                <w:b/>
                <w:bCs/>
                <w:lang w:val="en-US"/>
              </w:rPr>
            </w:pPr>
            <w:r w:rsidRPr="00F7030A">
              <w:rPr>
                <w:rFonts w:asciiTheme="minorHAnsi" w:hAnsiTheme="minorHAnsi" w:cstheme="minorHAnsi"/>
                <w:b/>
                <w:bCs/>
                <w:lang w:val="en-US"/>
              </w:rPr>
              <w:t>Neath Port Talbot</w:t>
            </w:r>
          </w:p>
        </w:tc>
        <w:tc>
          <w:tcPr>
            <w:tcW w:w="3006" w:type="dxa"/>
          </w:tcPr>
          <w:p w:rsidR="0089203E" w:rsidRPr="00F7030A" w:rsidRDefault="0089203E" w:rsidP="00DC00EA">
            <w:pPr>
              <w:rPr>
                <w:rFonts w:asciiTheme="minorHAnsi" w:hAnsiTheme="minorHAnsi" w:cstheme="minorHAnsi"/>
                <w:b/>
                <w:bCs/>
                <w:lang w:val="en-US"/>
              </w:rPr>
            </w:pPr>
            <w:r w:rsidRPr="00F7030A">
              <w:rPr>
                <w:rFonts w:asciiTheme="minorHAnsi" w:hAnsiTheme="minorHAnsi" w:cstheme="minorHAnsi"/>
                <w:b/>
                <w:bCs/>
                <w:lang w:val="en-US"/>
              </w:rPr>
              <w:t>Swansea</w:t>
            </w:r>
          </w:p>
        </w:tc>
      </w:tr>
      <w:tr w:rsidR="0089203E" w:rsidRPr="00F7030A" w:rsidTr="0089203E">
        <w:tc>
          <w:tcPr>
            <w:tcW w:w="2017" w:type="dxa"/>
          </w:tcPr>
          <w:p w:rsidR="0089203E" w:rsidRPr="00F7030A" w:rsidRDefault="0089203E" w:rsidP="0089203E">
            <w:pPr>
              <w:rPr>
                <w:rFonts w:asciiTheme="minorHAnsi" w:hAnsiTheme="minorHAnsi" w:cstheme="minorHAnsi"/>
                <w:b/>
                <w:bCs/>
                <w:lang w:val="en-US"/>
              </w:rPr>
            </w:pPr>
            <w:r w:rsidRPr="00F7030A">
              <w:rPr>
                <w:rFonts w:asciiTheme="minorHAnsi" w:hAnsiTheme="minorHAnsi" w:cstheme="minorHAnsi"/>
                <w:b/>
                <w:bCs/>
                <w:lang w:val="en-US"/>
              </w:rPr>
              <w:t>2019</w:t>
            </w:r>
          </w:p>
        </w:tc>
        <w:tc>
          <w:tcPr>
            <w:tcW w:w="3005" w:type="dxa"/>
          </w:tcPr>
          <w:p w:rsidR="0089203E" w:rsidRPr="00F7030A" w:rsidRDefault="0089203E" w:rsidP="00DC00EA">
            <w:pPr>
              <w:rPr>
                <w:rFonts w:asciiTheme="minorHAnsi" w:hAnsiTheme="minorHAnsi" w:cstheme="minorHAnsi"/>
                <w:bCs/>
                <w:lang w:val="en-US"/>
              </w:rPr>
            </w:pPr>
            <w:r w:rsidRPr="00F7030A">
              <w:rPr>
                <w:rFonts w:asciiTheme="minorHAnsi" w:hAnsiTheme="minorHAnsi" w:cstheme="minorHAnsi"/>
                <w:bCs/>
                <w:lang w:val="en-US"/>
              </w:rPr>
              <w:t>25 weeks</w:t>
            </w:r>
          </w:p>
        </w:tc>
        <w:tc>
          <w:tcPr>
            <w:tcW w:w="3006" w:type="dxa"/>
          </w:tcPr>
          <w:p w:rsidR="0089203E" w:rsidRPr="00F7030A" w:rsidRDefault="0089203E" w:rsidP="00DC00EA">
            <w:pPr>
              <w:rPr>
                <w:rFonts w:asciiTheme="minorHAnsi" w:hAnsiTheme="minorHAnsi" w:cstheme="minorHAnsi"/>
                <w:bCs/>
                <w:lang w:val="en-US"/>
              </w:rPr>
            </w:pPr>
            <w:r w:rsidRPr="00F7030A">
              <w:rPr>
                <w:rFonts w:asciiTheme="minorHAnsi" w:hAnsiTheme="minorHAnsi" w:cstheme="minorHAnsi"/>
                <w:bCs/>
                <w:lang w:val="en-US"/>
              </w:rPr>
              <w:t>25 weeks</w:t>
            </w:r>
          </w:p>
        </w:tc>
      </w:tr>
      <w:tr w:rsidR="0089203E" w:rsidRPr="00F7030A" w:rsidTr="0089203E">
        <w:tc>
          <w:tcPr>
            <w:tcW w:w="2017" w:type="dxa"/>
          </w:tcPr>
          <w:p w:rsidR="0089203E" w:rsidRPr="00F7030A" w:rsidRDefault="0089203E" w:rsidP="0089203E">
            <w:pPr>
              <w:rPr>
                <w:rFonts w:asciiTheme="minorHAnsi" w:hAnsiTheme="minorHAnsi" w:cstheme="minorHAnsi"/>
                <w:b/>
                <w:bCs/>
                <w:lang w:val="en-US"/>
              </w:rPr>
            </w:pPr>
            <w:r w:rsidRPr="00F7030A">
              <w:rPr>
                <w:rFonts w:asciiTheme="minorHAnsi" w:hAnsiTheme="minorHAnsi" w:cstheme="minorHAnsi"/>
                <w:b/>
                <w:bCs/>
                <w:lang w:val="en-US"/>
              </w:rPr>
              <w:t>2020</w:t>
            </w:r>
          </w:p>
        </w:tc>
        <w:tc>
          <w:tcPr>
            <w:tcW w:w="3005" w:type="dxa"/>
          </w:tcPr>
          <w:p w:rsidR="0089203E" w:rsidRPr="00F7030A" w:rsidRDefault="0089203E" w:rsidP="00DC00EA">
            <w:pPr>
              <w:rPr>
                <w:rFonts w:asciiTheme="minorHAnsi" w:hAnsiTheme="minorHAnsi" w:cstheme="minorHAnsi"/>
                <w:bCs/>
                <w:lang w:val="en-US"/>
              </w:rPr>
            </w:pPr>
            <w:r w:rsidRPr="00F7030A">
              <w:rPr>
                <w:rFonts w:asciiTheme="minorHAnsi" w:hAnsiTheme="minorHAnsi" w:cstheme="minorHAnsi"/>
                <w:bCs/>
                <w:lang w:val="en-US"/>
              </w:rPr>
              <w:t>43 weeks</w:t>
            </w:r>
          </w:p>
        </w:tc>
        <w:tc>
          <w:tcPr>
            <w:tcW w:w="3006" w:type="dxa"/>
          </w:tcPr>
          <w:p w:rsidR="0089203E" w:rsidRPr="00F7030A" w:rsidRDefault="0089203E" w:rsidP="00DC00EA">
            <w:pPr>
              <w:rPr>
                <w:rFonts w:asciiTheme="minorHAnsi" w:hAnsiTheme="minorHAnsi" w:cstheme="minorHAnsi"/>
                <w:bCs/>
                <w:lang w:val="en-US"/>
              </w:rPr>
            </w:pPr>
            <w:r w:rsidRPr="00F7030A">
              <w:rPr>
                <w:rFonts w:asciiTheme="minorHAnsi" w:hAnsiTheme="minorHAnsi" w:cstheme="minorHAnsi"/>
                <w:bCs/>
                <w:lang w:val="en-US"/>
              </w:rPr>
              <w:t>39 weeks</w:t>
            </w:r>
          </w:p>
        </w:tc>
      </w:tr>
      <w:tr w:rsidR="0089203E" w:rsidRPr="00F7030A" w:rsidTr="0089203E">
        <w:tc>
          <w:tcPr>
            <w:tcW w:w="2017" w:type="dxa"/>
          </w:tcPr>
          <w:p w:rsidR="0089203E" w:rsidRPr="00F7030A" w:rsidRDefault="0089203E" w:rsidP="0089203E">
            <w:pPr>
              <w:rPr>
                <w:rFonts w:asciiTheme="minorHAnsi" w:hAnsiTheme="minorHAnsi" w:cstheme="minorHAnsi"/>
                <w:b/>
                <w:bCs/>
                <w:lang w:val="en-US"/>
              </w:rPr>
            </w:pPr>
            <w:r w:rsidRPr="00F7030A">
              <w:rPr>
                <w:rFonts w:asciiTheme="minorHAnsi" w:hAnsiTheme="minorHAnsi" w:cstheme="minorHAnsi"/>
                <w:b/>
                <w:bCs/>
                <w:lang w:val="en-US"/>
              </w:rPr>
              <w:t>2021</w:t>
            </w:r>
          </w:p>
        </w:tc>
        <w:tc>
          <w:tcPr>
            <w:tcW w:w="3005" w:type="dxa"/>
          </w:tcPr>
          <w:p w:rsidR="0089203E" w:rsidRPr="00F7030A" w:rsidRDefault="0089203E" w:rsidP="00DC00EA">
            <w:pPr>
              <w:rPr>
                <w:rFonts w:asciiTheme="minorHAnsi" w:hAnsiTheme="minorHAnsi" w:cstheme="minorHAnsi"/>
                <w:bCs/>
                <w:lang w:val="en-US"/>
              </w:rPr>
            </w:pPr>
            <w:r w:rsidRPr="00F7030A">
              <w:rPr>
                <w:rFonts w:asciiTheme="minorHAnsi" w:hAnsiTheme="minorHAnsi" w:cstheme="minorHAnsi"/>
                <w:bCs/>
                <w:lang w:val="en-US"/>
              </w:rPr>
              <w:t>25 weeks</w:t>
            </w:r>
          </w:p>
        </w:tc>
        <w:tc>
          <w:tcPr>
            <w:tcW w:w="3006" w:type="dxa"/>
          </w:tcPr>
          <w:p w:rsidR="0089203E" w:rsidRPr="00F7030A" w:rsidRDefault="0089203E" w:rsidP="00DC00EA">
            <w:pPr>
              <w:rPr>
                <w:rFonts w:asciiTheme="minorHAnsi" w:hAnsiTheme="minorHAnsi" w:cstheme="minorHAnsi"/>
                <w:bCs/>
                <w:lang w:val="en-US"/>
              </w:rPr>
            </w:pPr>
            <w:r w:rsidRPr="00F7030A">
              <w:rPr>
                <w:rFonts w:asciiTheme="minorHAnsi" w:hAnsiTheme="minorHAnsi" w:cstheme="minorHAnsi"/>
                <w:bCs/>
                <w:lang w:val="en-US"/>
              </w:rPr>
              <w:t>25 weeks</w:t>
            </w:r>
          </w:p>
        </w:tc>
      </w:tr>
    </w:tbl>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9"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0"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331ACD" w:rsidP="002677FD">
      <w:pPr>
        <w:jc w:val="both"/>
        <w:rPr>
          <w:rFonts w:ascii="Verdana" w:hAnsi="Verdana"/>
          <w:sz w:val="22"/>
          <w:szCs w:val="22"/>
        </w:rPr>
      </w:pPr>
      <w:r>
        <w:rPr>
          <w:rFonts w:ascii="Calibri" w:hAnsi="Calibri" w:cs="Calibri"/>
          <w:noProof/>
          <w:color w:val="1F497D"/>
        </w:rPr>
        <w:drawing>
          <wp:inline distT="0" distB="0" distL="0" distR="0" wp14:anchorId="09A1619D" wp14:editId="0F2A81C8">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1" r:link="rId12">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3"/>
      <w:headerReference w:type="first" r:id="rId14"/>
      <w:footerReference w:type="first" r:id="rId15"/>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331ACD">
      <w:rPr>
        <w:noProof/>
      </w:rPr>
      <w:t>3</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r w:rsidRPr="002D32B6">
                      <w:rPr>
                        <w:b/>
                        <w:color w:val="6E609E"/>
                        <w:sz w:val="18"/>
                        <w:szCs w:val="18"/>
                      </w:rPr>
                      <w:t>g</w:t>
                    </w:r>
                    <w:r w:rsidR="002D32B6" w:rsidRPr="002D32B6">
                      <w:rPr>
                        <w:b/>
                        <w:color w:val="6E609E"/>
                        <w:sz w:val="18"/>
                        <w:szCs w:val="18"/>
                      </w:rPr>
                      <w:t>ofalu</w:t>
                    </w:r>
                    <w:proofErr w:type="spell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310" type="#_x0000_t75" style="width:21pt;height:21pt;visibility:visible;mso-wrap-style:square" o:bullet="t">
        <v:imagedata r:id="rId1" o:title=""/>
      </v:shape>
    </w:pict>
  </w:numPicBullet>
  <w:numPicBullet w:numPicBulletId="1">
    <w:pict>
      <v:shape id="_x0000_i1311" type="#_x0000_t75" style="width:383.25pt;height:383.25pt;visibility:visible;mso-wrap-style:square" o:bullet="t">
        <v:imagedata r:id="rId2" o:title=""/>
      </v:shape>
    </w:pict>
  </w:numPicBullet>
  <w:numPicBullet w:numPicBulletId="2">
    <w:pict>
      <v:shape id="_x0000_i1312" type="#_x0000_t75" style="width:225pt;height:225pt;visibility:visible;mso-wrap-style:square" o:bullet="t">
        <v:imagedata r:id="rId3" o:title=""/>
      </v:shape>
    </w:pict>
  </w:numPicBullet>
  <w:numPicBullet w:numPicBulletId="3">
    <w:pict>
      <v:shape id="_x0000_i1313"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1151557"/>
    <w:multiLevelType w:val="multilevel"/>
    <w:tmpl w:val="4C34BDD8"/>
    <w:lvl w:ilvl="0">
      <w:start w:val="1"/>
      <w:numFmt w:val="decimal"/>
      <w:lvlText w:val="%1."/>
      <w:lvlJc w:val="left"/>
      <w:pPr>
        <w:tabs>
          <w:tab w:val="num" w:pos="720"/>
        </w:tabs>
        <w:ind w:left="720" w:hanging="360"/>
      </w:pPr>
      <w:rPr>
        <w:b/>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3"/>
  </w:num>
  <w:num w:numId="2">
    <w:abstractNumId w:val="0"/>
  </w:num>
  <w:num w:numId="3">
    <w:abstractNumId w:val="7"/>
  </w:num>
  <w:num w:numId="4">
    <w:abstractNumId w:val="15"/>
  </w:num>
  <w:num w:numId="5">
    <w:abstractNumId w:val="3"/>
  </w:num>
  <w:num w:numId="6">
    <w:abstractNumId w:val="2"/>
  </w:num>
  <w:num w:numId="7">
    <w:abstractNumId w:val="10"/>
  </w:num>
  <w:num w:numId="8">
    <w:abstractNumId w:val="14"/>
  </w:num>
  <w:num w:numId="9">
    <w:abstractNumId w:val="17"/>
  </w:num>
  <w:num w:numId="10">
    <w:abstractNumId w:val="1"/>
  </w:num>
  <w:num w:numId="11">
    <w:abstractNumId w:val="8"/>
  </w:num>
  <w:num w:numId="12">
    <w:abstractNumId w:val="12"/>
  </w:num>
  <w:num w:numId="13">
    <w:abstractNumId w:val="16"/>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1"/>
  </w:num>
  <w:num w:numId="17">
    <w:abstractNumId w:val="4"/>
  </w:num>
  <w:num w:numId="1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B1339"/>
    <w:rsid w:val="001E2D50"/>
    <w:rsid w:val="00213076"/>
    <w:rsid w:val="002156AF"/>
    <w:rsid w:val="0024741C"/>
    <w:rsid w:val="002677FD"/>
    <w:rsid w:val="0027064B"/>
    <w:rsid w:val="00296FDA"/>
    <w:rsid w:val="002B74C8"/>
    <w:rsid w:val="002C252B"/>
    <w:rsid w:val="002D32B6"/>
    <w:rsid w:val="002E02A9"/>
    <w:rsid w:val="00304A21"/>
    <w:rsid w:val="003245D9"/>
    <w:rsid w:val="00331ACD"/>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F4A69"/>
    <w:rsid w:val="006F5A5D"/>
    <w:rsid w:val="00705843"/>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24D19"/>
    <w:rsid w:val="00846C1D"/>
    <w:rsid w:val="0089203E"/>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442A8"/>
    <w:rsid w:val="00B61DE2"/>
    <w:rsid w:val="00B82C9E"/>
    <w:rsid w:val="00B8458F"/>
    <w:rsid w:val="00BB4931"/>
    <w:rsid w:val="00BC67E1"/>
    <w:rsid w:val="00C021A4"/>
    <w:rsid w:val="00C050BE"/>
    <w:rsid w:val="00C75A00"/>
    <w:rsid w:val="00CA07E3"/>
    <w:rsid w:val="00CB2BBE"/>
    <w:rsid w:val="00CD10B5"/>
    <w:rsid w:val="00CE1516"/>
    <w:rsid w:val="00CE325E"/>
    <w:rsid w:val="00CE3DBC"/>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5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table" w:customStyle="1" w:styleId="TableGrid1">
    <w:name w:val="Table Grid1"/>
    <w:basedOn w:val="TableNormal"/>
    <w:next w:val="TableGrid"/>
    <w:uiPriority w:val="59"/>
    <w:rsid w:val="0027064B"/>
    <w:rPr>
      <w:rFonts w:ascii="Calibri" w:hAnsi="Calibri" w:cs="Times New Roman"/>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76170904">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42096592">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71592492">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cid:image002.png@01D7E51B.D422D810"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mailto:FOIA.Requests@wales.nhs.uk" TargetMode="External"/><Relationship Id="rId4" Type="http://schemas.openxmlformats.org/officeDocument/2006/relationships/settings" Target="settings.xml"/><Relationship Id="rId9" Type="http://schemas.openxmlformats.org/officeDocument/2006/relationships/hyperlink" Target="mailto:FOIA.Requests@wales.nhs.uk"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97BE503-D8E3-491B-A919-50B5492E4F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13</TotalTime>
  <Pages>3</Pages>
  <Words>788</Words>
  <Characters>4498</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5276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9</cp:revision>
  <cp:lastPrinted>2022-02-01T15:37:00Z</cp:lastPrinted>
  <dcterms:created xsi:type="dcterms:W3CDTF">2022-01-25T07:46:00Z</dcterms:created>
  <dcterms:modified xsi:type="dcterms:W3CDTF">2024-03-13T12:22:00Z</dcterms:modified>
</cp:coreProperties>
</file>