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10603" w14:textId="6EB1826E" w:rsidR="005A02FF" w:rsidRDefault="00590904" w:rsidP="005A02FF">
      <w:pPr>
        <w:rPr>
          <w:rFonts w:cs="Arial"/>
          <w:b/>
          <w:bCs/>
          <w:color w:val="2E74B5" w:themeColor="accent1" w:themeShade="BF"/>
          <w:sz w:val="56"/>
          <w:szCs w:val="56"/>
        </w:rPr>
      </w:pPr>
      <w:r>
        <w:rPr>
          <w:noProof/>
          <w:lang w:eastAsia="en-GB"/>
        </w:rPr>
        <w:drawing>
          <wp:anchor distT="0" distB="0" distL="114300" distR="114300" simplePos="0" relativeHeight="251658241" behindDoc="0" locked="0" layoutInCell="1" allowOverlap="1" wp14:anchorId="2AE5B87D" wp14:editId="48AAFA37">
            <wp:simplePos x="542925" y="762000"/>
            <wp:positionH relativeFrom="margin">
              <wp:align>left</wp:align>
            </wp:positionH>
            <wp:positionV relativeFrom="margin">
              <wp:align>top</wp:align>
            </wp:positionV>
            <wp:extent cx="3127375" cy="7499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7375" cy="749935"/>
                    </a:xfrm>
                    <a:prstGeom prst="rect">
                      <a:avLst/>
                    </a:prstGeom>
                    <a:noFill/>
                  </pic:spPr>
                </pic:pic>
              </a:graphicData>
            </a:graphic>
          </wp:anchor>
        </w:drawing>
      </w:r>
    </w:p>
    <w:p w14:paraId="0066A741" w14:textId="3EE126A2" w:rsidR="00590904" w:rsidRDefault="00590904" w:rsidP="005A02FF">
      <w:pPr>
        <w:rPr>
          <w:rFonts w:cs="Arial"/>
          <w:b/>
          <w:bCs/>
          <w:color w:val="2E74B5" w:themeColor="accent1" w:themeShade="BF"/>
          <w:sz w:val="56"/>
          <w:szCs w:val="56"/>
        </w:rPr>
      </w:pPr>
      <w:r>
        <w:rPr>
          <w:noProof/>
          <w:lang w:eastAsia="en-GB"/>
        </w:rPr>
        <w:drawing>
          <wp:anchor distT="0" distB="0" distL="114300" distR="114300" simplePos="0" relativeHeight="251658240" behindDoc="0" locked="0" layoutInCell="1" allowOverlap="1" wp14:anchorId="5E93F1D6" wp14:editId="7E9C1F8D">
            <wp:simplePos x="542925" y="2085975"/>
            <wp:positionH relativeFrom="margin">
              <wp:align>right</wp:align>
            </wp:positionH>
            <wp:positionV relativeFrom="margin">
              <wp:align>top</wp:align>
            </wp:positionV>
            <wp:extent cx="1932305" cy="59118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p>
    <w:p w14:paraId="7A76E94D" w14:textId="77777777" w:rsidR="00590904" w:rsidRDefault="00590904" w:rsidP="005A02FF">
      <w:pPr>
        <w:rPr>
          <w:rFonts w:cs="Arial"/>
          <w:b/>
          <w:bCs/>
          <w:color w:val="2E74B5" w:themeColor="accent1" w:themeShade="BF"/>
          <w:sz w:val="56"/>
          <w:szCs w:val="56"/>
        </w:rPr>
      </w:pPr>
    </w:p>
    <w:p w14:paraId="6FE0875D" w14:textId="7D2B1FFB" w:rsidR="005A02FF" w:rsidRDefault="005A02FF" w:rsidP="005A02FF">
      <w:pPr>
        <w:rPr>
          <w:rFonts w:cs="Arial"/>
          <w:b/>
          <w:bCs/>
          <w:color w:val="2E74B5" w:themeColor="accent1" w:themeShade="BF"/>
          <w:sz w:val="56"/>
          <w:szCs w:val="56"/>
        </w:rPr>
      </w:pPr>
      <w:r w:rsidRPr="00A7523F">
        <w:rPr>
          <w:rFonts w:cs="Arial"/>
          <w:b/>
          <w:bCs/>
          <w:color w:val="2E74B5" w:themeColor="accent1" w:themeShade="BF"/>
          <w:sz w:val="56"/>
          <w:szCs w:val="56"/>
        </w:rPr>
        <w:t>Swansea</w:t>
      </w:r>
      <w:r>
        <w:rPr>
          <w:rFonts w:cs="Arial"/>
          <w:b/>
          <w:bCs/>
          <w:color w:val="2E74B5" w:themeColor="accent1" w:themeShade="BF"/>
          <w:sz w:val="56"/>
          <w:szCs w:val="56"/>
        </w:rPr>
        <w:t xml:space="preserve"> </w:t>
      </w:r>
      <w:r w:rsidRPr="00A7523F">
        <w:rPr>
          <w:rFonts w:cs="Arial"/>
          <w:b/>
          <w:bCs/>
          <w:color w:val="2E74B5" w:themeColor="accent1" w:themeShade="BF"/>
          <w:sz w:val="56"/>
          <w:szCs w:val="56"/>
        </w:rPr>
        <w:t>Bay</w:t>
      </w:r>
      <w:r>
        <w:rPr>
          <w:rFonts w:cs="Arial"/>
          <w:b/>
          <w:bCs/>
          <w:color w:val="2E74B5" w:themeColor="accent1" w:themeShade="BF"/>
          <w:sz w:val="56"/>
          <w:szCs w:val="56"/>
        </w:rPr>
        <w:t xml:space="preserve"> </w:t>
      </w:r>
      <w:r w:rsidRPr="00A7523F">
        <w:rPr>
          <w:rFonts w:cs="Arial"/>
          <w:b/>
          <w:bCs/>
          <w:color w:val="2E74B5" w:themeColor="accent1" w:themeShade="BF"/>
          <w:sz w:val="56"/>
          <w:szCs w:val="56"/>
        </w:rPr>
        <w:t>University</w:t>
      </w:r>
      <w:r>
        <w:rPr>
          <w:rFonts w:cs="Arial"/>
          <w:b/>
          <w:bCs/>
          <w:color w:val="2E74B5" w:themeColor="accent1" w:themeShade="BF"/>
          <w:sz w:val="56"/>
          <w:szCs w:val="56"/>
        </w:rPr>
        <w:t xml:space="preserve"> </w:t>
      </w:r>
      <w:r w:rsidRPr="00A7523F">
        <w:rPr>
          <w:rFonts w:cs="Arial"/>
          <w:b/>
          <w:bCs/>
          <w:color w:val="2E74B5" w:themeColor="accent1" w:themeShade="BF"/>
          <w:sz w:val="56"/>
          <w:szCs w:val="56"/>
        </w:rPr>
        <w:t>Health</w:t>
      </w:r>
      <w:r>
        <w:rPr>
          <w:rFonts w:cs="Arial"/>
          <w:b/>
          <w:bCs/>
          <w:color w:val="2E74B5" w:themeColor="accent1" w:themeShade="BF"/>
          <w:sz w:val="56"/>
          <w:szCs w:val="56"/>
        </w:rPr>
        <w:t xml:space="preserve"> </w:t>
      </w:r>
      <w:r w:rsidRPr="00A7523F">
        <w:rPr>
          <w:rFonts w:cs="Arial"/>
          <w:b/>
          <w:bCs/>
          <w:color w:val="2E74B5" w:themeColor="accent1" w:themeShade="BF"/>
          <w:sz w:val="56"/>
          <w:szCs w:val="56"/>
        </w:rPr>
        <w:t>Board</w:t>
      </w:r>
      <w:r>
        <w:rPr>
          <w:rFonts w:cs="Arial"/>
          <w:b/>
          <w:bCs/>
          <w:color w:val="2E74B5" w:themeColor="accent1" w:themeShade="BF"/>
          <w:sz w:val="56"/>
          <w:szCs w:val="56"/>
        </w:rPr>
        <w:t xml:space="preserve"> </w:t>
      </w:r>
    </w:p>
    <w:p w14:paraId="66116276" w14:textId="77777777" w:rsidR="00590904" w:rsidRDefault="00590904" w:rsidP="00590904">
      <w:pPr>
        <w:rPr>
          <w:rFonts w:cs="Arial"/>
          <w:b/>
          <w:bCs/>
          <w:color w:val="2E74B5" w:themeColor="accent1" w:themeShade="BF"/>
          <w:sz w:val="56"/>
          <w:szCs w:val="56"/>
        </w:rPr>
      </w:pPr>
    </w:p>
    <w:p w14:paraId="0ACF8905" w14:textId="2DB443FA" w:rsidR="00590904" w:rsidRPr="00590904" w:rsidRDefault="00590904" w:rsidP="00590904">
      <w:pPr>
        <w:rPr>
          <w:rFonts w:cs="Arial"/>
          <w:b/>
          <w:bCs/>
          <w:color w:val="2E74B5" w:themeColor="accent1" w:themeShade="BF"/>
          <w:sz w:val="56"/>
          <w:szCs w:val="56"/>
        </w:rPr>
      </w:pPr>
      <w:r w:rsidRPr="00590904">
        <w:rPr>
          <w:rFonts w:cs="Arial"/>
          <w:b/>
          <w:bCs/>
          <w:color w:val="2E74B5" w:themeColor="accent1" w:themeShade="BF"/>
          <w:sz w:val="56"/>
          <w:szCs w:val="56"/>
        </w:rPr>
        <w:t xml:space="preserve">Standard Operating </w:t>
      </w:r>
      <w:r w:rsidR="00810C90">
        <w:rPr>
          <w:rFonts w:cs="Arial"/>
          <w:b/>
          <w:bCs/>
          <w:color w:val="2E74B5" w:themeColor="accent1" w:themeShade="BF"/>
          <w:sz w:val="56"/>
          <w:szCs w:val="56"/>
        </w:rPr>
        <w:t>P</w:t>
      </w:r>
      <w:r w:rsidRPr="00590904">
        <w:rPr>
          <w:rFonts w:cs="Arial"/>
          <w:b/>
          <w:bCs/>
          <w:color w:val="2E74B5" w:themeColor="accent1" w:themeShade="BF"/>
          <w:sz w:val="56"/>
          <w:szCs w:val="56"/>
        </w:rPr>
        <w:t>rocedure</w:t>
      </w:r>
    </w:p>
    <w:p w14:paraId="168BB31E" w14:textId="77777777" w:rsidR="00590904" w:rsidRDefault="00590904" w:rsidP="00590904">
      <w:pPr>
        <w:rPr>
          <w:rFonts w:cs="Arial"/>
          <w:b/>
          <w:bCs/>
          <w:color w:val="2E74B5" w:themeColor="accent1" w:themeShade="BF"/>
          <w:sz w:val="56"/>
          <w:szCs w:val="56"/>
        </w:rPr>
      </w:pPr>
    </w:p>
    <w:p w14:paraId="56C84088" w14:textId="2914E58D" w:rsidR="00590904" w:rsidRPr="00590904" w:rsidRDefault="00590904" w:rsidP="00590904">
      <w:pPr>
        <w:rPr>
          <w:rFonts w:cs="Arial"/>
          <w:b/>
          <w:bCs/>
          <w:color w:val="2E74B5" w:themeColor="accent1" w:themeShade="BF"/>
          <w:sz w:val="56"/>
          <w:szCs w:val="56"/>
        </w:rPr>
      </w:pPr>
      <w:r w:rsidRPr="00590904">
        <w:rPr>
          <w:rFonts w:cs="Arial"/>
          <w:b/>
          <w:bCs/>
          <w:color w:val="2E74B5" w:themeColor="accent1" w:themeShade="BF"/>
          <w:sz w:val="56"/>
          <w:szCs w:val="56"/>
        </w:rPr>
        <w:t xml:space="preserve">Reluctant discharges – </w:t>
      </w:r>
      <w:r w:rsidR="00495EA7">
        <w:rPr>
          <w:rFonts w:cs="Arial"/>
          <w:b/>
          <w:bCs/>
          <w:color w:val="2E74B5" w:themeColor="accent1" w:themeShade="BF"/>
          <w:sz w:val="56"/>
          <w:szCs w:val="56"/>
        </w:rPr>
        <w:t>People with Capa</w:t>
      </w:r>
      <w:r w:rsidR="00B731CC">
        <w:rPr>
          <w:rFonts w:cs="Arial"/>
          <w:b/>
          <w:bCs/>
          <w:color w:val="2E74B5" w:themeColor="accent1" w:themeShade="BF"/>
          <w:sz w:val="56"/>
          <w:szCs w:val="56"/>
        </w:rPr>
        <w:t>city and People without Capacity to Decide</w:t>
      </w:r>
    </w:p>
    <w:p w14:paraId="2AACCE5A" w14:textId="77777777" w:rsidR="005A02FF" w:rsidRPr="005E1DCD" w:rsidRDefault="005A02FF" w:rsidP="005A02FF">
      <w:pPr>
        <w:rPr>
          <w:rFonts w:cs="Arial"/>
          <w:b/>
          <w:bCs/>
          <w:sz w:val="32"/>
          <w:szCs w:val="32"/>
        </w:rPr>
      </w:pPr>
    </w:p>
    <w:p w14:paraId="42751575" w14:textId="77777777" w:rsidR="005A02FF" w:rsidRPr="005E1DCD" w:rsidRDefault="005A02FF" w:rsidP="005A02FF">
      <w:pPr>
        <w:rPr>
          <w:rFonts w:cs="Arial"/>
          <w:b/>
          <w:bCs/>
          <w:sz w:val="32"/>
          <w:szCs w:val="32"/>
          <w:u w:val="single"/>
        </w:rPr>
      </w:pPr>
    </w:p>
    <w:p w14:paraId="20C4FD47" w14:textId="77777777" w:rsidR="005A02FF" w:rsidRPr="005E1DCD" w:rsidRDefault="005A02FF" w:rsidP="005A02FF">
      <w:pPr>
        <w:rPr>
          <w:rFonts w:cs="Arial"/>
          <w:b/>
          <w:bCs/>
          <w:sz w:val="28"/>
          <w:szCs w:val="28"/>
          <w:u w:val="single"/>
        </w:rPr>
      </w:pPr>
      <w:r w:rsidRPr="005E1DCD">
        <w:rPr>
          <w:rFonts w:cs="Arial"/>
          <w:b/>
          <w:bCs/>
          <w:sz w:val="28"/>
          <w:szCs w:val="28"/>
          <w:u w:val="single"/>
        </w:rPr>
        <w:t>Equality Impact Statement</w:t>
      </w:r>
    </w:p>
    <w:p w14:paraId="4035431E" w14:textId="77777777" w:rsidR="005A02FF" w:rsidRPr="005E1DCD" w:rsidRDefault="005A02FF" w:rsidP="005A02FF">
      <w:pPr>
        <w:rPr>
          <w:rFonts w:cs="Arial"/>
          <w:b/>
          <w:bCs/>
          <w:sz w:val="28"/>
          <w:szCs w:val="28"/>
        </w:rPr>
      </w:pPr>
      <w:r w:rsidRPr="005E1DCD">
        <w:rPr>
          <w:rFonts w:cs="Arial"/>
          <w:b/>
          <w:bCs/>
          <w:sz w:val="28"/>
          <w:szCs w:val="28"/>
        </w:rPr>
        <w:t>This policy has been screened for relevance to equality. No potential negative impact has been identified so a full equality impact assessment is not required</w:t>
      </w:r>
    </w:p>
    <w:p w14:paraId="565CA3D3" w14:textId="77777777" w:rsidR="005A02FF" w:rsidRDefault="005A02FF" w:rsidP="005A02FF">
      <w:pPr>
        <w:rPr>
          <w:rFonts w:cs="Arial"/>
          <w:b/>
          <w:bCs/>
          <w:sz w:val="32"/>
          <w:szCs w:val="32"/>
        </w:rPr>
      </w:pPr>
    </w:p>
    <w:p w14:paraId="15786743" w14:textId="77777777" w:rsidR="003626D0" w:rsidRPr="005E1DCD" w:rsidRDefault="003626D0" w:rsidP="005A02FF">
      <w:pPr>
        <w:rPr>
          <w:rFonts w:cs="Arial"/>
          <w:b/>
          <w:bCs/>
          <w:sz w:val="32"/>
          <w:szCs w:val="32"/>
        </w:rPr>
      </w:pPr>
    </w:p>
    <w:p w14:paraId="4C2EEBEB" w14:textId="77777777" w:rsidR="003626D0" w:rsidRDefault="003626D0" w:rsidP="003626D0">
      <w:pPr>
        <w:rPr>
          <w:rFonts w:cs="Arial"/>
          <w:b/>
          <w:bCs/>
        </w:rPr>
      </w:pPr>
      <w:r w:rsidRPr="005E1DCD">
        <w:rPr>
          <w:rFonts w:cs="Arial"/>
          <w:b/>
          <w:bCs/>
        </w:rPr>
        <w:t>Approved By: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66"/>
        <w:gridCol w:w="2461"/>
        <w:gridCol w:w="2461"/>
      </w:tblGrid>
      <w:tr w:rsidR="003626D0" w:rsidRPr="00BB5C33" w14:paraId="783DCAD4" w14:textId="77777777" w:rsidTr="003626D0">
        <w:trPr>
          <w:trHeight w:val="300"/>
        </w:trPr>
        <w:tc>
          <w:tcPr>
            <w:tcW w:w="2584" w:type="pct"/>
            <w:tcBorders>
              <w:top w:val="single" w:sz="6" w:space="0" w:color="156082"/>
              <w:left w:val="single" w:sz="6" w:space="0" w:color="156082"/>
              <w:bottom w:val="single" w:sz="6" w:space="0" w:color="156082"/>
              <w:right w:val="nil"/>
            </w:tcBorders>
            <w:shd w:val="clear" w:color="auto" w:fill="156082"/>
            <w:vAlign w:val="center"/>
            <w:hideMark/>
          </w:tcPr>
          <w:p w14:paraId="3F1D6F89" w14:textId="77777777" w:rsidR="003626D0" w:rsidRPr="00BB5C33" w:rsidRDefault="003626D0"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Approver </w:t>
            </w:r>
          </w:p>
        </w:tc>
        <w:tc>
          <w:tcPr>
            <w:tcW w:w="1208" w:type="pct"/>
            <w:tcBorders>
              <w:top w:val="single" w:sz="6" w:space="0" w:color="156082"/>
              <w:left w:val="nil"/>
              <w:bottom w:val="single" w:sz="6" w:space="0" w:color="156082"/>
              <w:right w:val="nil"/>
            </w:tcBorders>
            <w:shd w:val="clear" w:color="auto" w:fill="156082"/>
            <w:vAlign w:val="center"/>
            <w:hideMark/>
          </w:tcPr>
          <w:p w14:paraId="674CBA73" w14:textId="77777777" w:rsidR="003626D0" w:rsidRPr="00BB5C33" w:rsidRDefault="003626D0"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Date </w:t>
            </w:r>
          </w:p>
        </w:tc>
        <w:tc>
          <w:tcPr>
            <w:tcW w:w="1208" w:type="pct"/>
            <w:tcBorders>
              <w:top w:val="single" w:sz="6" w:space="0" w:color="156082"/>
              <w:left w:val="nil"/>
              <w:bottom w:val="single" w:sz="6" w:space="0" w:color="156082"/>
              <w:right w:val="single" w:sz="6" w:space="0" w:color="156082"/>
            </w:tcBorders>
            <w:shd w:val="clear" w:color="auto" w:fill="156082"/>
            <w:vAlign w:val="center"/>
            <w:hideMark/>
          </w:tcPr>
          <w:p w14:paraId="0599CC43" w14:textId="77777777" w:rsidR="003626D0" w:rsidRPr="00BB5C33" w:rsidRDefault="003626D0"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Version </w:t>
            </w:r>
          </w:p>
        </w:tc>
      </w:tr>
      <w:tr w:rsidR="003626D0" w:rsidRPr="00BB5C33" w14:paraId="7B5E5483" w14:textId="77777777" w:rsidTr="003626D0">
        <w:trPr>
          <w:trHeight w:val="300"/>
        </w:trPr>
        <w:tc>
          <w:tcPr>
            <w:tcW w:w="2584" w:type="pct"/>
            <w:tcBorders>
              <w:top w:val="single" w:sz="6" w:space="0" w:color="1B365D"/>
              <w:left w:val="single" w:sz="6" w:space="0" w:color="1B365D"/>
              <w:bottom w:val="single" w:sz="6" w:space="0" w:color="1B365D"/>
              <w:right w:val="single" w:sz="6" w:space="0" w:color="1B365D"/>
            </w:tcBorders>
            <w:vAlign w:val="center"/>
            <w:hideMark/>
          </w:tcPr>
          <w:p w14:paraId="1C9CDC81" w14:textId="77777777" w:rsidR="003626D0" w:rsidRPr="00BB5C33" w:rsidRDefault="003626D0" w:rsidP="001138AC">
            <w:pPr>
              <w:textAlignment w:val="baseline"/>
              <w:rPr>
                <w:rFonts w:eastAsia="Times New Roman" w:cs="Arial"/>
                <w:sz w:val="20"/>
                <w:szCs w:val="20"/>
                <w:lang w:eastAsia="en-GB"/>
              </w:rPr>
            </w:pPr>
            <w:r w:rsidRPr="00BB5C33">
              <w:rPr>
                <w:rFonts w:eastAsia="Times New Roman" w:cs="Arial"/>
                <w:sz w:val="20"/>
                <w:szCs w:val="20"/>
                <w:lang w:eastAsia="en-GB"/>
              </w:rPr>
              <w:t>Combined: Regional Operational Assurance Group/Pathway of Care Delays Group</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48C3FDB4" w14:textId="77777777" w:rsidR="003626D0" w:rsidRPr="00BB5C33" w:rsidRDefault="003626D0" w:rsidP="001138AC">
            <w:pPr>
              <w:textAlignment w:val="baseline"/>
              <w:rPr>
                <w:rFonts w:eastAsia="Times New Roman" w:cs="Arial"/>
                <w:sz w:val="20"/>
                <w:szCs w:val="20"/>
                <w:lang w:eastAsia="en-GB"/>
              </w:rPr>
            </w:pPr>
            <w:r w:rsidRPr="00BB5C33">
              <w:rPr>
                <w:rFonts w:eastAsia="Times New Roman" w:cs="Arial"/>
                <w:sz w:val="20"/>
                <w:szCs w:val="20"/>
                <w:lang w:eastAsia="en-GB"/>
              </w:rPr>
              <w:t>10/03/2025</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21E8CF1D" w14:textId="77777777" w:rsidR="003626D0" w:rsidRPr="00BB5C33" w:rsidRDefault="003626D0"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1.0 </w:t>
            </w:r>
          </w:p>
        </w:tc>
      </w:tr>
      <w:tr w:rsidR="003626D0" w:rsidRPr="00BB5C33" w14:paraId="4A1AB1E3" w14:textId="77777777" w:rsidTr="003626D0">
        <w:trPr>
          <w:trHeight w:val="300"/>
        </w:trPr>
        <w:tc>
          <w:tcPr>
            <w:tcW w:w="2584" w:type="pct"/>
            <w:tcBorders>
              <w:top w:val="single" w:sz="6" w:space="0" w:color="1B365D"/>
              <w:left w:val="single" w:sz="6" w:space="0" w:color="1B365D"/>
              <w:bottom w:val="single" w:sz="6" w:space="0" w:color="1B365D"/>
              <w:right w:val="single" w:sz="6" w:space="0" w:color="1B365D"/>
            </w:tcBorders>
            <w:vAlign w:val="center"/>
          </w:tcPr>
          <w:p w14:paraId="6CDD22A5" w14:textId="77777777" w:rsidR="003626D0" w:rsidRPr="00BB5C33" w:rsidRDefault="003626D0" w:rsidP="001138AC">
            <w:pPr>
              <w:textAlignment w:val="baseline"/>
              <w:rPr>
                <w:rFonts w:eastAsia="Times New Roman" w:cs="Arial"/>
                <w:sz w:val="20"/>
                <w:szCs w:val="20"/>
                <w:lang w:eastAsia="en-GB"/>
              </w:rPr>
            </w:pPr>
            <w:r>
              <w:rPr>
                <w:rFonts w:eastAsia="Times New Roman" w:cs="Arial"/>
                <w:sz w:val="20"/>
                <w:szCs w:val="20"/>
                <w:lang w:eastAsia="en-GB"/>
              </w:rPr>
              <w:t>Unscheduled Emergency Care Board</w:t>
            </w:r>
          </w:p>
        </w:tc>
        <w:tc>
          <w:tcPr>
            <w:tcW w:w="1208" w:type="pct"/>
            <w:tcBorders>
              <w:top w:val="single" w:sz="6" w:space="0" w:color="1B365D"/>
              <w:left w:val="single" w:sz="6" w:space="0" w:color="1B365D"/>
              <w:bottom w:val="single" w:sz="6" w:space="0" w:color="1B365D"/>
              <w:right w:val="single" w:sz="6" w:space="0" w:color="1B365D"/>
            </w:tcBorders>
            <w:vAlign w:val="center"/>
          </w:tcPr>
          <w:p w14:paraId="7A86F3EC" w14:textId="77777777" w:rsidR="003626D0" w:rsidRPr="00BB5C33" w:rsidRDefault="003626D0" w:rsidP="001138AC">
            <w:pPr>
              <w:textAlignment w:val="baseline"/>
              <w:rPr>
                <w:rFonts w:eastAsia="Times New Roman" w:cs="Arial"/>
                <w:sz w:val="20"/>
                <w:szCs w:val="20"/>
                <w:lang w:eastAsia="en-GB"/>
              </w:rPr>
            </w:pPr>
          </w:p>
        </w:tc>
        <w:tc>
          <w:tcPr>
            <w:tcW w:w="1208" w:type="pct"/>
            <w:tcBorders>
              <w:top w:val="single" w:sz="6" w:space="0" w:color="1B365D"/>
              <w:left w:val="single" w:sz="6" w:space="0" w:color="1B365D"/>
              <w:bottom w:val="single" w:sz="6" w:space="0" w:color="1B365D"/>
              <w:right w:val="single" w:sz="6" w:space="0" w:color="1B365D"/>
            </w:tcBorders>
            <w:vAlign w:val="center"/>
          </w:tcPr>
          <w:p w14:paraId="264898CD" w14:textId="77777777" w:rsidR="003626D0" w:rsidRPr="00BB5C33" w:rsidRDefault="003626D0" w:rsidP="001138AC">
            <w:pPr>
              <w:textAlignment w:val="baseline"/>
              <w:rPr>
                <w:rFonts w:eastAsia="Times New Roman" w:cs="Arial"/>
                <w:b/>
                <w:bCs/>
                <w:sz w:val="20"/>
                <w:szCs w:val="20"/>
                <w:lang w:eastAsia="en-GB"/>
              </w:rPr>
            </w:pPr>
          </w:p>
        </w:tc>
      </w:tr>
      <w:tr w:rsidR="003626D0" w:rsidRPr="00BB5C33" w14:paraId="68CA4796" w14:textId="77777777" w:rsidTr="003626D0">
        <w:trPr>
          <w:trHeight w:val="300"/>
        </w:trPr>
        <w:tc>
          <w:tcPr>
            <w:tcW w:w="2584" w:type="pct"/>
            <w:tcBorders>
              <w:top w:val="single" w:sz="6" w:space="0" w:color="1B365D"/>
              <w:left w:val="single" w:sz="6" w:space="0" w:color="1B365D"/>
              <w:bottom w:val="single" w:sz="6" w:space="0" w:color="1B365D"/>
              <w:right w:val="single" w:sz="6" w:space="0" w:color="1B365D"/>
            </w:tcBorders>
            <w:vAlign w:val="center"/>
          </w:tcPr>
          <w:p w14:paraId="7D271AE4" w14:textId="77777777" w:rsidR="003626D0" w:rsidRPr="00BB5C33" w:rsidRDefault="003626D0" w:rsidP="001138AC">
            <w:pPr>
              <w:textAlignment w:val="baseline"/>
              <w:rPr>
                <w:rFonts w:eastAsia="Times New Roman" w:cs="Arial"/>
                <w:sz w:val="20"/>
                <w:szCs w:val="20"/>
                <w:lang w:eastAsia="en-GB"/>
              </w:rPr>
            </w:pPr>
            <w:r>
              <w:rPr>
                <w:rFonts w:eastAsia="Times New Roman" w:cs="Arial"/>
                <w:sz w:val="20"/>
                <w:szCs w:val="20"/>
                <w:lang w:eastAsia="en-GB"/>
              </w:rPr>
              <w:t>RPB - Older Peoples Bord</w:t>
            </w:r>
          </w:p>
        </w:tc>
        <w:tc>
          <w:tcPr>
            <w:tcW w:w="1208" w:type="pct"/>
            <w:tcBorders>
              <w:top w:val="single" w:sz="6" w:space="0" w:color="1B365D"/>
              <w:left w:val="single" w:sz="6" w:space="0" w:color="1B365D"/>
              <w:bottom w:val="single" w:sz="6" w:space="0" w:color="1B365D"/>
              <w:right w:val="single" w:sz="6" w:space="0" w:color="1B365D"/>
            </w:tcBorders>
            <w:vAlign w:val="center"/>
          </w:tcPr>
          <w:p w14:paraId="603F9D54" w14:textId="77777777" w:rsidR="003626D0" w:rsidRPr="00BB5C33" w:rsidRDefault="003626D0" w:rsidP="001138AC">
            <w:pPr>
              <w:textAlignment w:val="baseline"/>
              <w:rPr>
                <w:rFonts w:eastAsia="Times New Roman" w:cs="Arial"/>
                <w:sz w:val="20"/>
                <w:szCs w:val="20"/>
                <w:lang w:eastAsia="en-GB"/>
              </w:rPr>
            </w:pPr>
          </w:p>
        </w:tc>
        <w:tc>
          <w:tcPr>
            <w:tcW w:w="1208" w:type="pct"/>
            <w:tcBorders>
              <w:top w:val="single" w:sz="6" w:space="0" w:color="1B365D"/>
              <w:left w:val="single" w:sz="6" w:space="0" w:color="1B365D"/>
              <w:bottom w:val="single" w:sz="6" w:space="0" w:color="1B365D"/>
              <w:right w:val="single" w:sz="6" w:space="0" w:color="1B365D"/>
            </w:tcBorders>
            <w:vAlign w:val="center"/>
          </w:tcPr>
          <w:p w14:paraId="03838D24" w14:textId="77777777" w:rsidR="003626D0" w:rsidRPr="00BB5C33" w:rsidRDefault="003626D0" w:rsidP="001138AC">
            <w:pPr>
              <w:textAlignment w:val="baseline"/>
              <w:rPr>
                <w:rFonts w:eastAsia="Times New Roman" w:cs="Arial"/>
                <w:b/>
                <w:bCs/>
                <w:sz w:val="20"/>
                <w:szCs w:val="20"/>
                <w:lang w:eastAsia="en-GB"/>
              </w:rPr>
            </w:pPr>
          </w:p>
        </w:tc>
      </w:tr>
    </w:tbl>
    <w:p w14:paraId="33293776" w14:textId="77777777" w:rsidR="003626D0" w:rsidRPr="005E1DCD" w:rsidRDefault="003626D0" w:rsidP="003626D0">
      <w:pPr>
        <w:rPr>
          <w:rFonts w:cs="Arial"/>
          <w:b/>
          <w:bCs/>
        </w:rPr>
      </w:pPr>
      <w:r w:rsidRPr="005E1DCD">
        <w:rPr>
          <w:rFonts w:cs="Arial"/>
          <w:b/>
          <w:bCs/>
        </w:rPr>
        <w:t xml:space="preserve">Review Date: </w:t>
      </w:r>
    </w:p>
    <w:p w14:paraId="5EBAE1A1" w14:textId="77777777" w:rsidR="00590904" w:rsidRDefault="00590904" w:rsidP="005A02FF">
      <w:pPr>
        <w:rPr>
          <w:rFonts w:cs="Arial"/>
          <w:b/>
          <w:bCs/>
          <w:sz w:val="28"/>
          <w:szCs w:val="28"/>
        </w:rPr>
        <w:sectPr w:rsidR="00590904" w:rsidSect="00590904">
          <w:pgSz w:w="11906" w:h="16838" w:code="9"/>
          <w:pgMar w:top="851" w:right="851" w:bottom="851" w:left="851" w:header="283" w:footer="283" w:gutter="0"/>
          <w:cols w:space="708"/>
          <w:docGrid w:linePitch="360"/>
        </w:sectPr>
      </w:pPr>
    </w:p>
    <w:p w14:paraId="75BD8573" w14:textId="39857E67" w:rsidR="00A015C7" w:rsidRPr="00991D98" w:rsidRDefault="00A015C7" w:rsidP="00590904">
      <w:pPr>
        <w:pStyle w:val="Heading1"/>
        <w:numPr>
          <w:ilvl w:val="0"/>
          <w:numId w:val="9"/>
        </w:numPr>
        <w:ind w:hanging="720"/>
        <w:jc w:val="left"/>
      </w:pPr>
      <w:r w:rsidRPr="00991D98">
        <w:lastRenderedPageBreak/>
        <w:t>Purpose</w:t>
      </w:r>
    </w:p>
    <w:p w14:paraId="02B57C16" w14:textId="77777777" w:rsidR="008475CF" w:rsidRPr="00991D98" w:rsidRDefault="00A015C7" w:rsidP="00590904">
      <w:pPr>
        <w:rPr>
          <w:rFonts w:cs="Arial"/>
          <w:szCs w:val="24"/>
        </w:rPr>
      </w:pPr>
      <w:r w:rsidRPr="00991D98">
        <w:rPr>
          <w:rFonts w:cs="Arial"/>
          <w:szCs w:val="24"/>
        </w:rPr>
        <w:t>To provide a clear Standard Operating Procedure (SOP) for all Health Board staff to utilise when they are attempting to manage</w:t>
      </w:r>
      <w:r w:rsidR="00ED59C1" w:rsidRPr="00991D98">
        <w:rPr>
          <w:rFonts w:cs="Arial"/>
          <w:szCs w:val="24"/>
        </w:rPr>
        <w:t xml:space="preserve"> patients</w:t>
      </w:r>
      <w:r w:rsidR="00FC70DD" w:rsidRPr="00991D98">
        <w:rPr>
          <w:rFonts w:cs="Arial"/>
          <w:szCs w:val="24"/>
        </w:rPr>
        <w:t>/families who are</w:t>
      </w:r>
      <w:r w:rsidRPr="00991D98">
        <w:rPr>
          <w:rFonts w:cs="Arial"/>
          <w:szCs w:val="24"/>
        </w:rPr>
        <w:t xml:space="preserve"> reluctant </w:t>
      </w:r>
      <w:r w:rsidR="00FC70DD" w:rsidRPr="00991D98">
        <w:rPr>
          <w:rFonts w:cs="Arial"/>
          <w:szCs w:val="24"/>
        </w:rPr>
        <w:t>for discharge to take place.</w:t>
      </w:r>
      <w:r w:rsidRPr="00991D98">
        <w:rPr>
          <w:rFonts w:cs="Arial"/>
          <w:szCs w:val="24"/>
        </w:rPr>
        <w:t xml:space="preserve"> </w:t>
      </w:r>
    </w:p>
    <w:p w14:paraId="0766180F" w14:textId="2BE601D4" w:rsidR="006C1C6A" w:rsidRPr="00991D98" w:rsidRDefault="008475CF" w:rsidP="00590904">
      <w:pPr>
        <w:rPr>
          <w:rFonts w:cs="Arial"/>
          <w:szCs w:val="24"/>
        </w:rPr>
      </w:pPr>
      <w:r w:rsidRPr="00991D98">
        <w:rPr>
          <w:rFonts w:cs="Arial"/>
          <w:szCs w:val="24"/>
        </w:rPr>
        <w:t xml:space="preserve">This procedure applies to patients who have capacity to make decisions and </w:t>
      </w:r>
      <w:r w:rsidR="00FC70DD" w:rsidRPr="00991D98">
        <w:rPr>
          <w:rFonts w:cs="Arial"/>
          <w:szCs w:val="24"/>
        </w:rPr>
        <w:t>the family</w:t>
      </w:r>
      <w:r w:rsidRPr="00991D98">
        <w:rPr>
          <w:rFonts w:cs="Arial"/>
          <w:szCs w:val="24"/>
        </w:rPr>
        <w:t xml:space="preserve"> of patients who lack capacity.</w:t>
      </w:r>
      <w:r w:rsidR="00F55BF0" w:rsidRPr="00F55BF0">
        <w:t xml:space="preserve"> </w:t>
      </w:r>
      <w:r w:rsidR="00F55BF0">
        <w:t xml:space="preserve"> </w:t>
      </w:r>
      <w:r w:rsidR="00F55BF0" w:rsidRPr="00953E7B">
        <w:t>Where capacity is disputed or not established, staff must follow the Best Interest Decision SOP</w:t>
      </w:r>
      <w:r w:rsidR="009C7F67">
        <w:rPr>
          <w:rFonts w:cs="Arial"/>
          <w:szCs w:val="24"/>
        </w:rPr>
        <w:t xml:space="preserve">  </w:t>
      </w:r>
      <w:hyperlink r:id="rId12" w:history="1">
        <w:r w:rsidR="00784265" w:rsidRPr="00784265">
          <w:rPr>
            <w:rStyle w:val="Hyperlink"/>
            <w:rFonts w:cs="Arial"/>
            <w:szCs w:val="24"/>
          </w:rPr>
          <w:t>Standard Operating Procedure - Best Interest Decision.docx</w:t>
        </w:r>
      </w:hyperlink>
    </w:p>
    <w:p w14:paraId="72B5B68A" w14:textId="5C4D67E6" w:rsidR="00AB3DA9" w:rsidRDefault="00314D9E" w:rsidP="00A015C7">
      <w:pPr>
        <w:spacing w:line="276" w:lineRule="auto"/>
        <w:rPr>
          <w:color w:val="EE0000"/>
        </w:rPr>
      </w:pPr>
      <w:r w:rsidRPr="00953E7B">
        <w:t>This procedure should be used alongside the Choice Policy where discharge delays are caused by choice or placement preference</w:t>
      </w:r>
      <w:r>
        <w:t>.</w:t>
      </w:r>
      <w:r w:rsidR="009C7F67">
        <w:t xml:space="preserve">  </w:t>
      </w:r>
      <w:hyperlink r:id="rId13" w:history="1">
        <w:r w:rsidR="00112637" w:rsidRPr="00112637">
          <w:rPr>
            <w:rStyle w:val="Hyperlink"/>
          </w:rPr>
          <w:t>Choice Policy v2.0.docx</w:t>
        </w:r>
      </w:hyperlink>
    </w:p>
    <w:p w14:paraId="58FB77E8" w14:textId="6126D30D" w:rsidR="007C1CEA" w:rsidRPr="009C7F67" w:rsidRDefault="007C1CEA" w:rsidP="00A015C7">
      <w:pPr>
        <w:spacing w:line="276" w:lineRule="auto"/>
        <w:rPr>
          <w:rFonts w:cs="Arial"/>
          <w:color w:val="EE0000"/>
          <w:szCs w:val="24"/>
        </w:rPr>
      </w:pPr>
      <w:r w:rsidRPr="00953E7B">
        <w:t xml:space="preserve">This procedure should be used alongside the </w:t>
      </w:r>
      <w:r>
        <w:t xml:space="preserve">Overarching Discharge Policy.  </w:t>
      </w:r>
      <w:hyperlink r:id="rId14" w:history="1">
        <w:r w:rsidR="001F08B7" w:rsidRPr="001F08B7">
          <w:rPr>
            <w:rStyle w:val="Hyperlink"/>
          </w:rPr>
          <w:t>Overarching Discharge Policy DRAFT v1.2.docx</w:t>
        </w:r>
      </w:hyperlink>
    </w:p>
    <w:p w14:paraId="4028BAB8" w14:textId="77777777" w:rsidR="00A015C7" w:rsidRPr="00590904" w:rsidRDefault="00A015C7" w:rsidP="00590904">
      <w:pPr>
        <w:pStyle w:val="Heading1"/>
        <w:numPr>
          <w:ilvl w:val="0"/>
          <w:numId w:val="9"/>
        </w:numPr>
        <w:ind w:hanging="720"/>
        <w:jc w:val="left"/>
      </w:pPr>
      <w:r w:rsidRPr="00590904">
        <w:t>Background</w:t>
      </w:r>
    </w:p>
    <w:p w14:paraId="758FF371" w14:textId="77777777" w:rsidR="00085CFF" w:rsidRPr="00991D98" w:rsidRDefault="00A015C7" w:rsidP="00590904">
      <w:pPr>
        <w:rPr>
          <w:rFonts w:cs="Arial"/>
          <w:szCs w:val="24"/>
        </w:rPr>
      </w:pPr>
      <w:r w:rsidRPr="00991D98">
        <w:rPr>
          <w:rFonts w:cs="Arial"/>
          <w:szCs w:val="24"/>
        </w:rPr>
        <w:t>A reluctant discharge is when</w:t>
      </w:r>
      <w:r w:rsidR="00085CFF" w:rsidRPr="00991D98">
        <w:rPr>
          <w:rFonts w:cs="Arial"/>
          <w:szCs w:val="24"/>
        </w:rPr>
        <w:t xml:space="preserve"> </w:t>
      </w:r>
      <w:r w:rsidR="00AB3DA9" w:rsidRPr="00991D98">
        <w:rPr>
          <w:rFonts w:cs="Arial"/>
          <w:szCs w:val="24"/>
        </w:rPr>
        <w:t>the MDT</w:t>
      </w:r>
      <w:r w:rsidR="00085CFF" w:rsidRPr="00991D98">
        <w:rPr>
          <w:rFonts w:cs="Arial"/>
          <w:szCs w:val="24"/>
        </w:rPr>
        <w:t xml:space="preserve"> have assessed a person </w:t>
      </w:r>
      <w:r w:rsidRPr="00991D98">
        <w:rPr>
          <w:rFonts w:cs="Arial"/>
          <w:szCs w:val="24"/>
        </w:rPr>
        <w:t xml:space="preserve">as no longer in </w:t>
      </w:r>
      <w:r w:rsidR="00AB3DA9" w:rsidRPr="00991D98">
        <w:rPr>
          <w:rFonts w:cs="Arial"/>
          <w:szCs w:val="24"/>
        </w:rPr>
        <w:t>need of care or treatment in a</w:t>
      </w:r>
      <w:r w:rsidRPr="00991D98">
        <w:rPr>
          <w:rFonts w:cs="Arial"/>
          <w:szCs w:val="24"/>
        </w:rPr>
        <w:t xml:space="preserve"> hospit</w:t>
      </w:r>
      <w:r w:rsidR="00085CFF" w:rsidRPr="00991D98">
        <w:rPr>
          <w:rFonts w:cs="Arial"/>
          <w:szCs w:val="24"/>
        </w:rPr>
        <w:t>al setting but the patient or family of the clinically optimised patient refuse to engage in the discharge process</w:t>
      </w:r>
      <w:r w:rsidRPr="00991D98">
        <w:rPr>
          <w:rFonts w:cs="Arial"/>
          <w:szCs w:val="24"/>
        </w:rPr>
        <w:t>.</w:t>
      </w:r>
    </w:p>
    <w:p w14:paraId="2E7B24A5" w14:textId="77777777" w:rsidR="00A015C7" w:rsidRPr="00991D98" w:rsidRDefault="00085CFF" w:rsidP="00590904">
      <w:pPr>
        <w:rPr>
          <w:rFonts w:cs="Arial"/>
          <w:szCs w:val="24"/>
        </w:rPr>
      </w:pPr>
      <w:r w:rsidRPr="00991D98">
        <w:rPr>
          <w:rFonts w:cs="Arial"/>
          <w:szCs w:val="24"/>
        </w:rPr>
        <w:t>The patient</w:t>
      </w:r>
      <w:r w:rsidR="00A015C7" w:rsidRPr="00991D98">
        <w:rPr>
          <w:rFonts w:cs="Arial"/>
          <w:szCs w:val="24"/>
        </w:rPr>
        <w:t xml:space="preserve"> will have been assessed </w:t>
      </w:r>
      <w:r w:rsidR="00AB3DA9" w:rsidRPr="00991D98">
        <w:rPr>
          <w:rFonts w:cs="Arial"/>
          <w:szCs w:val="24"/>
        </w:rPr>
        <w:t xml:space="preserve">by the MDT </w:t>
      </w:r>
      <w:r w:rsidR="00A015C7" w:rsidRPr="00991D98">
        <w:rPr>
          <w:rFonts w:cs="Arial"/>
          <w:szCs w:val="24"/>
        </w:rPr>
        <w:t>as able to transfer on to the next stage in their care e.g. from an acute bed to a rehabilitation/reablement bed in an alternative setting or that they no longer require any form of inpatient care. These individuals w</w:t>
      </w:r>
      <w:r w:rsidR="00AB3DA9" w:rsidRPr="00991D98">
        <w:rPr>
          <w:rFonts w:cs="Arial"/>
          <w:szCs w:val="24"/>
        </w:rPr>
        <w:t>ill</w:t>
      </w:r>
      <w:r w:rsidR="00A015C7" w:rsidRPr="00991D98">
        <w:rPr>
          <w:rFonts w:cs="Arial"/>
          <w:szCs w:val="24"/>
        </w:rPr>
        <w:t xml:space="preserve"> have been reviewed in relation to their ongoing needs; with safe and approp</w:t>
      </w:r>
      <w:r w:rsidR="00AB3DA9" w:rsidRPr="00991D98">
        <w:rPr>
          <w:rFonts w:cs="Arial"/>
          <w:szCs w:val="24"/>
        </w:rPr>
        <w:t xml:space="preserve">riate arrangements </w:t>
      </w:r>
      <w:r w:rsidR="00A015C7" w:rsidRPr="00991D98">
        <w:rPr>
          <w:rFonts w:cs="Arial"/>
          <w:szCs w:val="24"/>
        </w:rPr>
        <w:t>in place where required.</w:t>
      </w:r>
    </w:p>
    <w:p w14:paraId="4539ABAD" w14:textId="77777777" w:rsidR="00A015C7" w:rsidRPr="00590904" w:rsidRDefault="00A015C7" w:rsidP="00590904">
      <w:pPr>
        <w:rPr>
          <w:rFonts w:cs="Arial"/>
          <w:szCs w:val="24"/>
        </w:rPr>
      </w:pPr>
      <w:r w:rsidRPr="00991D98">
        <w:rPr>
          <w:rFonts w:cs="Arial"/>
          <w:szCs w:val="24"/>
        </w:rPr>
        <w:t xml:space="preserve">When a person no longer requires care in the hospital setting there are significant risks </w:t>
      </w:r>
      <w:r w:rsidR="006F7D8A" w:rsidRPr="00991D98">
        <w:rPr>
          <w:rFonts w:cs="Arial"/>
          <w:szCs w:val="24"/>
        </w:rPr>
        <w:t>such as loss of independence, hospital acquired infections,</w:t>
      </w:r>
      <w:r w:rsidRPr="00991D98">
        <w:rPr>
          <w:rFonts w:cs="Arial"/>
          <w:szCs w:val="24"/>
        </w:rPr>
        <w:t xml:space="preserve"> falls</w:t>
      </w:r>
      <w:r w:rsidR="006F7D8A" w:rsidRPr="00991D98">
        <w:rPr>
          <w:rFonts w:cs="Arial"/>
          <w:szCs w:val="24"/>
        </w:rPr>
        <w:t xml:space="preserve"> and deconditioning</w:t>
      </w:r>
      <w:r w:rsidRPr="00991D98">
        <w:rPr>
          <w:rFonts w:cs="Arial"/>
          <w:szCs w:val="24"/>
        </w:rPr>
        <w:t>. The</w:t>
      </w:r>
      <w:r w:rsidR="006F7D8A" w:rsidRPr="00991D98">
        <w:rPr>
          <w:rFonts w:cs="Arial"/>
          <w:szCs w:val="24"/>
        </w:rPr>
        <w:t xml:space="preserve"> health </w:t>
      </w:r>
      <w:r w:rsidR="006A769E" w:rsidRPr="00991D98">
        <w:rPr>
          <w:rFonts w:cs="Arial"/>
          <w:szCs w:val="24"/>
        </w:rPr>
        <w:t>board’s</w:t>
      </w:r>
      <w:r w:rsidRPr="00991D98">
        <w:rPr>
          <w:rFonts w:cs="Arial"/>
          <w:szCs w:val="24"/>
        </w:rPr>
        <w:t xml:space="preserve"> aim must always be to ensure that care</w:t>
      </w:r>
      <w:r w:rsidR="006A769E" w:rsidRPr="00991D98">
        <w:rPr>
          <w:rFonts w:cs="Arial"/>
          <w:szCs w:val="24"/>
        </w:rPr>
        <w:t xml:space="preserve"> needs are</w:t>
      </w:r>
      <w:r w:rsidRPr="00991D98">
        <w:rPr>
          <w:rFonts w:cs="Arial"/>
          <w:szCs w:val="24"/>
        </w:rPr>
        <w:t xml:space="preserve"> assessed</w:t>
      </w:r>
      <w:r w:rsidR="006A769E" w:rsidRPr="00991D98">
        <w:rPr>
          <w:rFonts w:cs="Arial"/>
          <w:szCs w:val="24"/>
        </w:rPr>
        <w:t xml:space="preserve"> and following this is</w:t>
      </w:r>
      <w:r w:rsidRPr="00991D98">
        <w:rPr>
          <w:rFonts w:cs="Arial"/>
          <w:szCs w:val="24"/>
        </w:rPr>
        <w:t xml:space="preserve"> provided in the most appropriate setting without delay. </w:t>
      </w:r>
    </w:p>
    <w:p w14:paraId="507BEE9A" w14:textId="77777777" w:rsidR="008475CF" w:rsidRPr="00590904" w:rsidRDefault="00A015C7" w:rsidP="00590904">
      <w:pPr>
        <w:pStyle w:val="Heading1"/>
        <w:numPr>
          <w:ilvl w:val="0"/>
          <w:numId w:val="9"/>
        </w:numPr>
        <w:ind w:hanging="720"/>
        <w:jc w:val="left"/>
      </w:pPr>
      <w:r w:rsidRPr="00590904">
        <w:t>Process</w:t>
      </w:r>
    </w:p>
    <w:p w14:paraId="10BA0D0E" w14:textId="77777777" w:rsidR="008475CF" w:rsidRPr="00991D98" w:rsidRDefault="008475CF" w:rsidP="00590904">
      <w:pPr>
        <w:pStyle w:val="ListParagraph"/>
        <w:numPr>
          <w:ilvl w:val="0"/>
          <w:numId w:val="6"/>
        </w:numPr>
        <w:ind w:left="714" w:hanging="714"/>
        <w:contextualSpacing w:val="0"/>
        <w:rPr>
          <w:rFonts w:cs="Arial"/>
          <w:szCs w:val="24"/>
        </w:rPr>
      </w:pPr>
      <w:r w:rsidRPr="00991D98">
        <w:rPr>
          <w:rFonts w:cs="Arial"/>
          <w:szCs w:val="24"/>
        </w:rPr>
        <w:t>Please follow this SOP for patients who have capacity to make decisions and</w:t>
      </w:r>
      <w:r w:rsidR="00180267" w:rsidRPr="00991D98">
        <w:rPr>
          <w:rFonts w:cs="Arial"/>
          <w:szCs w:val="24"/>
        </w:rPr>
        <w:t xml:space="preserve"> for</w:t>
      </w:r>
      <w:r w:rsidRPr="00991D98">
        <w:rPr>
          <w:rFonts w:cs="Arial"/>
          <w:szCs w:val="24"/>
        </w:rPr>
        <w:t xml:space="preserve"> family/friends of patients who lack capacity </w:t>
      </w:r>
      <w:r w:rsidR="00180267" w:rsidRPr="00991D98">
        <w:rPr>
          <w:rFonts w:cs="Arial"/>
          <w:szCs w:val="24"/>
        </w:rPr>
        <w:t>to engage in the discharge process</w:t>
      </w:r>
      <w:r w:rsidRPr="00991D98">
        <w:rPr>
          <w:rFonts w:cs="Arial"/>
          <w:szCs w:val="24"/>
        </w:rPr>
        <w:t>.</w:t>
      </w:r>
    </w:p>
    <w:p w14:paraId="4C93802B" w14:textId="77777777" w:rsidR="00ED59C1" w:rsidRPr="00991D98" w:rsidRDefault="00ED4315" w:rsidP="00590904">
      <w:pPr>
        <w:pStyle w:val="ListParagraph"/>
        <w:numPr>
          <w:ilvl w:val="0"/>
          <w:numId w:val="6"/>
        </w:numPr>
        <w:ind w:left="714" w:hanging="714"/>
        <w:contextualSpacing w:val="0"/>
        <w:rPr>
          <w:rFonts w:cs="Arial"/>
          <w:bCs/>
          <w:szCs w:val="24"/>
        </w:rPr>
      </w:pPr>
      <w:r w:rsidRPr="00991D98">
        <w:rPr>
          <w:rFonts w:cs="Arial"/>
          <w:bCs/>
          <w:szCs w:val="24"/>
        </w:rPr>
        <w:t>Staff to hand out discharge process leaflet on admission (Appendix 1)</w:t>
      </w:r>
      <w:r w:rsidR="006C1C6A" w:rsidRPr="00991D98">
        <w:rPr>
          <w:rFonts w:cs="Arial"/>
          <w:bCs/>
          <w:szCs w:val="24"/>
        </w:rPr>
        <w:t>.</w:t>
      </w:r>
    </w:p>
    <w:p w14:paraId="51A8C04C" w14:textId="77777777" w:rsidR="00ED4315" w:rsidRPr="00991D98" w:rsidRDefault="00ED4315" w:rsidP="00590904">
      <w:pPr>
        <w:pStyle w:val="ListParagraph"/>
        <w:numPr>
          <w:ilvl w:val="0"/>
          <w:numId w:val="6"/>
        </w:numPr>
        <w:ind w:left="714" w:hanging="714"/>
        <w:contextualSpacing w:val="0"/>
        <w:rPr>
          <w:rFonts w:cs="Arial"/>
          <w:bCs/>
          <w:szCs w:val="24"/>
        </w:rPr>
      </w:pPr>
      <w:r w:rsidRPr="00991D98">
        <w:rPr>
          <w:rFonts w:cs="Arial"/>
          <w:bCs/>
          <w:szCs w:val="24"/>
        </w:rPr>
        <w:t>Staff to ensure local discharge policies have been utilised to their full effect</w:t>
      </w:r>
      <w:r w:rsidR="00F0024D" w:rsidRPr="00991D98">
        <w:rPr>
          <w:rFonts w:cs="Arial"/>
          <w:bCs/>
          <w:szCs w:val="24"/>
        </w:rPr>
        <w:t>.</w:t>
      </w:r>
    </w:p>
    <w:p w14:paraId="51E5F2CF" w14:textId="77777777" w:rsidR="00C14EEF" w:rsidRPr="00991D98" w:rsidRDefault="00C14EEF" w:rsidP="00590904">
      <w:pPr>
        <w:pStyle w:val="ListParagraph"/>
        <w:numPr>
          <w:ilvl w:val="0"/>
          <w:numId w:val="6"/>
        </w:numPr>
        <w:ind w:left="714" w:hanging="714"/>
        <w:contextualSpacing w:val="0"/>
        <w:rPr>
          <w:rFonts w:cs="Arial"/>
          <w:bCs/>
          <w:szCs w:val="24"/>
        </w:rPr>
      </w:pPr>
      <w:r w:rsidRPr="00991D98">
        <w:rPr>
          <w:rFonts w:cs="Arial"/>
          <w:bCs/>
          <w:szCs w:val="24"/>
        </w:rPr>
        <w:t xml:space="preserve">Staff should highlight and discuss any options </w:t>
      </w:r>
      <w:r w:rsidR="00F0024D" w:rsidRPr="00991D98">
        <w:rPr>
          <w:rFonts w:cs="Arial"/>
          <w:bCs/>
          <w:szCs w:val="24"/>
        </w:rPr>
        <w:t xml:space="preserve">or concerns the patient/family have around discharge </w:t>
      </w:r>
      <w:r w:rsidR="006A625D" w:rsidRPr="00991D98">
        <w:rPr>
          <w:rFonts w:cs="Arial"/>
          <w:bCs/>
          <w:szCs w:val="24"/>
        </w:rPr>
        <w:t>and should ensure channels of communication remain open.</w:t>
      </w:r>
    </w:p>
    <w:p w14:paraId="7DA0C8CF" w14:textId="77777777" w:rsidR="00F0024D" w:rsidRPr="00991D98" w:rsidRDefault="00F0024D" w:rsidP="00590904">
      <w:pPr>
        <w:pStyle w:val="ListParagraph"/>
        <w:numPr>
          <w:ilvl w:val="0"/>
          <w:numId w:val="6"/>
        </w:numPr>
        <w:ind w:left="714" w:hanging="714"/>
        <w:contextualSpacing w:val="0"/>
        <w:rPr>
          <w:rFonts w:cs="Arial"/>
          <w:bCs/>
          <w:szCs w:val="24"/>
        </w:rPr>
      </w:pPr>
      <w:r w:rsidRPr="00991D98">
        <w:rPr>
          <w:rFonts w:cs="Arial"/>
          <w:bCs/>
          <w:szCs w:val="24"/>
        </w:rPr>
        <w:t>It should be clearly documented in the notes that the patient is cli</w:t>
      </w:r>
      <w:r w:rsidR="006A625D" w:rsidRPr="00991D98">
        <w:rPr>
          <w:rFonts w:cs="Arial"/>
          <w:bCs/>
          <w:szCs w:val="24"/>
        </w:rPr>
        <w:t>nically optimised and that the discharge plans are safe and appropriate.</w:t>
      </w:r>
    </w:p>
    <w:p w14:paraId="1C44B6B2" w14:textId="77777777" w:rsidR="006A625D" w:rsidRPr="00991D98" w:rsidRDefault="006A625D" w:rsidP="00590904">
      <w:pPr>
        <w:pStyle w:val="ListParagraph"/>
        <w:numPr>
          <w:ilvl w:val="0"/>
          <w:numId w:val="6"/>
        </w:numPr>
        <w:ind w:left="714" w:hanging="714"/>
        <w:contextualSpacing w:val="0"/>
        <w:rPr>
          <w:rFonts w:cs="Arial"/>
          <w:bCs/>
          <w:szCs w:val="24"/>
        </w:rPr>
      </w:pPr>
      <w:r w:rsidRPr="00991D98">
        <w:rPr>
          <w:rFonts w:cs="Arial"/>
          <w:bCs/>
          <w:szCs w:val="24"/>
        </w:rPr>
        <w:t>Discuss with patient/family any alternative options if appropriate.</w:t>
      </w:r>
    </w:p>
    <w:p w14:paraId="13218A22" w14:textId="77777777" w:rsidR="006A625D" w:rsidRPr="00991D98" w:rsidRDefault="006A625D" w:rsidP="00590904">
      <w:pPr>
        <w:pStyle w:val="ListParagraph"/>
        <w:numPr>
          <w:ilvl w:val="0"/>
          <w:numId w:val="6"/>
        </w:numPr>
        <w:ind w:left="714" w:hanging="714"/>
        <w:contextualSpacing w:val="0"/>
        <w:rPr>
          <w:rFonts w:cs="Arial"/>
          <w:bCs/>
          <w:szCs w:val="24"/>
        </w:rPr>
      </w:pPr>
      <w:r w:rsidRPr="00991D98">
        <w:rPr>
          <w:rFonts w:cs="Arial"/>
          <w:bCs/>
          <w:szCs w:val="24"/>
        </w:rPr>
        <w:t>Staff to reiterate and ensure the patient/family understand the risks of remaining in hospital.</w:t>
      </w:r>
    </w:p>
    <w:p w14:paraId="08BCE810" w14:textId="77777777" w:rsidR="00ED4315" w:rsidRDefault="00401066" w:rsidP="00590904">
      <w:pPr>
        <w:pStyle w:val="ListParagraph"/>
        <w:numPr>
          <w:ilvl w:val="0"/>
          <w:numId w:val="6"/>
        </w:numPr>
        <w:ind w:left="714" w:hanging="714"/>
        <w:contextualSpacing w:val="0"/>
        <w:rPr>
          <w:rFonts w:cs="Arial"/>
          <w:bCs/>
          <w:szCs w:val="24"/>
        </w:rPr>
      </w:pPr>
      <w:r w:rsidRPr="00991D98">
        <w:rPr>
          <w:rFonts w:cs="Arial"/>
          <w:bCs/>
          <w:szCs w:val="24"/>
        </w:rPr>
        <w:t>Ward staff to escalate any concerns they have around discharge to their matron/patient flow co-ordinator.</w:t>
      </w:r>
    </w:p>
    <w:p w14:paraId="5C909627" w14:textId="77777777" w:rsidR="00590904" w:rsidRPr="00991D98" w:rsidRDefault="00590904" w:rsidP="00590904">
      <w:pPr>
        <w:pStyle w:val="ListParagraph"/>
        <w:ind w:left="714"/>
        <w:contextualSpacing w:val="0"/>
        <w:rPr>
          <w:rFonts w:cs="Arial"/>
          <w:bCs/>
          <w:szCs w:val="24"/>
        </w:rPr>
      </w:pPr>
    </w:p>
    <w:p w14:paraId="521F59A5" w14:textId="77777777" w:rsidR="00F0024D" w:rsidRPr="00991D98" w:rsidRDefault="00F0024D" w:rsidP="00EF6A66">
      <w:pPr>
        <w:pStyle w:val="Heading3"/>
      </w:pPr>
      <w:r w:rsidRPr="00991D98">
        <w:lastRenderedPageBreak/>
        <w:t>The below processes should only be used when the above points have been completed</w:t>
      </w:r>
    </w:p>
    <w:p w14:paraId="17BEF2C0" w14:textId="77777777" w:rsidR="005627BD" w:rsidRPr="00FC51B3" w:rsidRDefault="00C14EEF" w:rsidP="00FC51B3">
      <w:pPr>
        <w:pStyle w:val="ListParagraph"/>
        <w:numPr>
          <w:ilvl w:val="0"/>
          <w:numId w:val="6"/>
        </w:numPr>
        <w:ind w:left="714" w:hanging="714"/>
        <w:contextualSpacing w:val="0"/>
        <w:rPr>
          <w:rFonts w:cs="Arial"/>
          <w:bCs/>
          <w:szCs w:val="24"/>
        </w:rPr>
      </w:pPr>
      <w:r w:rsidRPr="00FC51B3">
        <w:rPr>
          <w:rFonts w:cs="Arial"/>
          <w:bCs/>
          <w:szCs w:val="24"/>
        </w:rPr>
        <w:t xml:space="preserve">A meeting </w:t>
      </w:r>
      <w:r w:rsidR="03F33067" w:rsidRPr="00FC51B3">
        <w:rPr>
          <w:rFonts w:cs="Arial"/>
          <w:bCs/>
          <w:szCs w:val="24"/>
        </w:rPr>
        <w:t>should then be</w:t>
      </w:r>
      <w:r w:rsidR="00730AC4" w:rsidRPr="00FC51B3">
        <w:rPr>
          <w:rFonts w:cs="Arial"/>
          <w:bCs/>
          <w:szCs w:val="24"/>
        </w:rPr>
        <w:t xml:space="preserve"> held between the matron, ward manager, patient flow co-ordinator, senior medical practitioner, </w:t>
      </w:r>
      <w:r w:rsidR="00C10EBD" w:rsidRPr="00FC51B3">
        <w:rPr>
          <w:rFonts w:cs="Arial"/>
          <w:bCs/>
          <w:szCs w:val="24"/>
        </w:rPr>
        <w:t>social worker (if applicable), LPA or court appointed deputy (if applicable), the person and if appropriate family and carers. The purpose of this meeting would be to explore the issues or concerns they have in relation</w:t>
      </w:r>
      <w:r w:rsidR="00C10EBD" w:rsidRPr="00991D98">
        <w:rPr>
          <w:rFonts w:cs="Arial"/>
          <w:szCs w:val="24"/>
        </w:rPr>
        <w:t xml:space="preserve"> </w:t>
      </w:r>
      <w:r w:rsidR="00C10EBD" w:rsidRPr="00FC51B3">
        <w:rPr>
          <w:rFonts w:cs="Arial"/>
          <w:bCs/>
          <w:szCs w:val="24"/>
        </w:rPr>
        <w:t>to discharge.</w:t>
      </w:r>
      <w:r w:rsidR="005627BD" w:rsidRPr="00FC51B3">
        <w:rPr>
          <w:rFonts w:cs="Arial"/>
          <w:bCs/>
          <w:szCs w:val="24"/>
        </w:rPr>
        <w:t xml:space="preserve"> This meeting should also include discussions around the risks of being in hospital when clinically optimised. The patient should be given a date and time of discharge and the whole discussion should be carefully and clearly documented.</w:t>
      </w:r>
    </w:p>
    <w:p w14:paraId="13736121" w14:textId="77777777" w:rsidR="00A015C7" w:rsidRPr="00991D98" w:rsidRDefault="00320B9D" w:rsidP="00FC51B3">
      <w:pPr>
        <w:pStyle w:val="ListParagraph"/>
        <w:numPr>
          <w:ilvl w:val="0"/>
          <w:numId w:val="6"/>
        </w:numPr>
        <w:ind w:left="714" w:hanging="714"/>
        <w:contextualSpacing w:val="0"/>
        <w:rPr>
          <w:rFonts w:cs="Arial"/>
          <w:bCs/>
          <w:szCs w:val="24"/>
        </w:rPr>
      </w:pPr>
      <w:r w:rsidRPr="00991D98">
        <w:rPr>
          <w:rFonts w:cs="Arial"/>
          <w:bCs/>
          <w:szCs w:val="24"/>
        </w:rPr>
        <w:t>If the meeting i</w:t>
      </w:r>
      <w:r w:rsidR="008475CF" w:rsidRPr="00991D98">
        <w:rPr>
          <w:rFonts w:cs="Arial"/>
          <w:bCs/>
          <w:szCs w:val="24"/>
        </w:rPr>
        <w:t>s unsuccessful then the health board should supply the patient with a letter (appendix 2). This should be given by a senior member of staff.</w:t>
      </w:r>
    </w:p>
    <w:p w14:paraId="4C61FD5D" w14:textId="77777777" w:rsidR="00547774" w:rsidRPr="00FC51B3" w:rsidRDefault="008475CF" w:rsidP="00FC51B3">
      <w:pPr>
        <w:pStyle w:val="ListParagraph"/>
        <w:numPr>
          <w:ilvl w:val="0"/>
          <w:numId w:val="6"/>
        </w:numPr>
        <w:ind w:left="714" w:hanging="714"/>
        <w:contextualSpacing w:val="0"/>
        <w:rPr>
          <w:rFonts w:cs="Arial"/>
          <w:bCs/>
          <w:szCs w:val="24"/>
        </w:rPr>
      </w:pPr>
      <w:r w:rsidRPr="00991D98">
        <w:rPr>
          <w:rFonts w:cs="Arial"/>
          <w:bCs/>
          <w:szCs w:val="24"/>
        </w:rPr>
        <w:t>If following the letter the patient/families are still not engaging in the discharge process staff should seek legal advice</w:t>
      </w:r>
      <w:r w:rsidR="00547774" w:rsidRPr="00991D98">
        <w:rPr>
          <w:rFonts w:cs="Arial"/>
          <w:bCs/>
          <w:szCs w:val="24"/>
        </w:rPr>
        <w:t xml:space="preserve">. </w:t>
      </w:r>
      <w:r w:rsidR="00547774" w:rsidRPr="00FC51B3">
        <w:rPr>
          <w:rFonts w:cs="Arial"/>
          <w:bCs/>
          <w:szCs w:val="24"/>
        </w:rPr>
        <w:t>(SBU.Claims@wales.nhs.uk)</w:t>
      </w:r>
    </w:p>
    <w:p w14:paraId="6641B279" w14:textId="77777777" w:rsidR="008475CF" w:rsidRPr="00991D98" w:rsidRDefault="00547774" w:rsidP="00FC51B3">
      <w:pPr>
        <w:pStyle w:val="ListParagraph"/>
        <w:numPr>
          <w:ilvl w:val="0"/>
          <w:numId w:val="6"/>
        </w:numPr>
        <w:ind w:left="714" w:hanging="714"/>
        <w:contextualSpacing w:val="0"/>
        <w:rPr>
          <w:rFonts w:cs="Arial"/>
          <w:bCs/>
          <w:szCs w:val="24"/>
        </w:rPr>
      </w:pPr>
      <w:r w:rsidRPr="00FC51B3">
        <w:rPr>
          <w:rFonts w:cs="Arial"/>
          <w:bCs/>
          <w:szCs w:val="24"/>
        </w:rPr>
        <w:t>The final step for the Health Board would be an application to the court for an order for possession, with the associated legal costs in applying for such an order being claimed from the person. This stage must be informed by specific and additional legal advice.</w:t>
      </w:r>
      <w:r w:rsidR="006C1C6A" w:rsidRPr="00FC51B3">
        <w:rPr>
          <w:rFonts w:cs="Arial"/>
          <w:bCs/>
          <w:szCs w:val="24"/>
        </w:rPr>
        <w:t xml:space="preserve"> (</w:t>
      </w:r>
      <w:r w:rsidR="00142B68" w:rsidRPr="00FC51B3">
        <w:rPr>
          <w:rFonts w:cs="Arial"/>
          <w:bCs/>
          <w:szCs w:val="24"/>
        </w:rPr>
        <w:t>Please</w:t>
      </w:r>
      <w:r w:rsidR="006C1C6A" w:rsidRPr="00FC51B3">
        <w:rPr>
          <w:rFonts w:cs="Arial"/>
          <w:bCs/>
          <w:szCs w:val="24"/>
        </w:rPr>
        <w:t xml:space="preserve"> see flow chart attached to this procedure for quick guidance).</w:t>
      </w:r>
    </w:p>
    <w:p w14:paraId="0168B60F" w14:textId="77777777" w:rsidR="00DD1764" w:rsidRPr="00991D98" w:rsidRDefault="00DD1764">
      <w:pPr>
        <w:rPr>
          <w:rFonts w:cs="Arial"/>
        </w:rPr>
      </w:pPr>
    </w:p>
    <w:p w14:paraId="186DE965" w14:textId="77777777" w:rsidR="00E15FBF" w:rsidRPr="00590904" w:rsidRDefault="00115132" w:rsidP="00590904">
      <w:pPr>
        <w:pStyle w:val="Heading1"/>
        <w:numPr>
          <w:ilvl w:val="0"/>
          <w:numId w:val="9"/>
        </w:numPr>
        <w:ind w:hanging="720"/>
        <w:jc w:val="left"/>
      </w:pPr>
      <w:r w:rsidRPr="00590904">
        <w:t>Appendix 1</w:t>
      </w:r>
      <w:r w:rsidR="00F0024D" w:rsidRPr="00590904">
        <w:t xml:space="preserve"> – </w:t>
      </w:r>
      <w:r w:rsidR="00142B68" w:rsidRPr="00590904">
        <w:t>Leaflet</w:t>
      </w:r>
    </w:p>
    <w:p w14:paraId="4B9F9205" w14:textId="77777777" w:rsidR="00E15FBF" w:rsidRPr="00991D98" w:rsidRDefault="00E15FBF" w:rsidP="473B67F0">
      <w:pPr>
        <w:rPr>
          <w:rFonts w:cs="Arial"/>
          <w:b/>
          <w:bCs/>
          <w:u w:val="single"/>
        </w:rPr>
      </w:pPr>
    </w:p>
    <w:p w14:paraId="43B1AAD9" w14:textId="77777777" w:rsidR="473B67F0" w:rsidRPr="00590904" w:rsidRDefault="00E15FBF" w:rsidP="00590904">
      <w:pPr>
        <w:pStyle w:val="Heading1"/>
        <w:numPr>
          <w:ilvl w:val="0"/>
          <w:numId w:val="9"/>
        </w:numPr>
        <w:ind w:hanging="720"/>
        <w:jc w:val="left"/>
      </w:pPr>
      <w:r w:rsidRPr="00590904">
        <w:t xml:space="preserve">Appendix 2 </w:t>
      </w:r>
      <w:r w:rsidR="003A59B8" w:rsidRPr="00590904">
        <w:t>–</w:t>
      </w:r>
      <w:r w:rsidRPr="00590904">
        <w:t xml:space="preserve"> Letter</w:t>
      </w:r>
    </w:p>
    <w:p w14:paraId="11F4294A" w14:textId="77777777" w:rsidR="3BD8A1B0" w:rsidRPr="00991D98" w:rsidRDefault="3BD8A1B0" w:rsidP="3BD8A1B0">
      <w:pPr>
        <w:rPr>
          <w:rFonts w:eastAsia="Calibri" w:cs="Arial"/>
        </w:rPr>
      </w:pPr>
    </w:p>
    <w:p w14:paraId="5EE0C948" w14:textId="77777777" w:rsidR="003A59B8" w:rsidRPr="00991D98" w:rsidRDefault="003A59B8" w:rsidP="473B67F0">
      <w:pPr>
        <w:rPr>
          <w:rFonts w:cs="Arial"/>
          <w:b/>
          <w:bCs/>
          <w:sz w:val="28"/>
          <w:szCs w:val="28"/>
          <w:u w:val="single"/>
        </w:rPr>
      </w:pPr>
      <w:r w:rsidRPr="00991D98">
        <w:rPr>
          <w:rFonts w:cs="Arial"/>
          <w:b/>
          <w:bCs/>
          <w:sz w:val="28"/>
          <w:szCs w:val="28"/>
          <w:u w:val="single"/>
        </w:rPr>
        <w:t>Relevant links/information</w:t>
      </w:r>
    </w:p>
    <w:p w14:paraId="7096C158" w14:textId="77777777" w:rsidR="003A59B8" w:rsidRPr="00991D98" w:rsidRDefault="003A59B8" w:rsidP="473B67F0">
      <w:pPr>
        <w:rPr>
          <w:rFonts w:cs="Arial"/>
          <w:szCs w:val="24"/>
        </w:rPr>
      </w:pPr>
      <w:hyperlink r:id="rId15" w:history="1">
        <w:r w:rsidRPr="00991D98">
          <w:rPr>
            <w:rStyle w:val="Hyperlink"/>
            <w:rFonts w:cs="Arial"/>
            <w:color w:val="auto"/>
            <w:szCs w:val="24"/>
          </w:rPr>
          <w:t>The Management of Reluctant Discharge_Transfer of Care to a More Appropriate Care Setting - Guidance.pdf</w:t>
        </w:r>
      </w:hyperlink>
      <w:r w:rsidRPr="00991D98">
        <w:rPr>
          <w:rFonts w:cs="Arial"/>
          <w:szCs w:val="24"/>
        </w:rPr>
        <w:t xml:space="preserve"> </w:t>
      </w:r>
      <w:hyperlink r:id="rId16" w:history="1">
        <w:r w:rsidRPr="00991D98">
          <w:rPr>
            <w:rStyle w:val="Hyperlink"/>
            <w:rFonts w:cs="Arial"/>
            <w:szCs w:val="24"/>
          </w:rPr>
          <w:t>file:///C:/Users/re136992/OneDrive%20-%20NHS%20Wales/CoP%20information/Discharge%20pathway/The%20Management%20of%20Reluctant%20Discharge_Transfer%20of%20Care%20to%20a%20More%20Appropriate%20Care%20Setting%20-%20Guidance.pdf</w:t>
        </w:r>
      </w:hyperlink>
    </w:p>
    <w:p w14:paraId="62844647" w14:textId="77777777" w:rsidR="003A59B8" w:rsidRPr="00991D98" w:rsidRDefault="003A59B8" w:rsidP="473B67F0">
      <w:pPr>
        <w:rPr>
          <w:rFonts w:cs="Arial"/>
          <w:szCs w:val="24"/>
        </w:rPr>
      </w:pPr>
      <w:hyperlink r:id="rId17" w:history="1">
        <w:r w:rsidRPr="00991D98">
          <w:rPr>
            <w:rStyle w:val="Hyperlink"/>
            <w:rFonts w:cs="Arial"/>
            <w:color w:val="auto"/>
            <w:szCs w:val="24"/>
          </w:rPr>
          <w:t>Mental Capacity Act Code of Practice - GOV.UK</w:t>
        </w:r>
      </w:hyperlink>
    </w:p>
    <w:p w14:paraId="0788EEA2" w14:textId="77777777" w:rsidR="003A59B8" w:rsidRPr="00991D98" w:rsidRDefault="003A59B8" w:rsidP="473B67F0">
      <w:pPr>
        <w:rPr>
          <w:rFonts w:cs="Arial"/>
          <w:bCs/>
          <w:szCs w:val="24"/>
          <w:u w:val="single"/>
        </w:rPr>
      </w:pPr>
      <w:hyperlink r:id="rId18" w:history="1">
        <w:r w:rsidRPr="00991D98">
          <w:rPr>
            <w:rStyle w:val="Hyperlink"/>
            <w:rFonts w:cs="Arial"/>
            <w:bCs/>
            <w:szCs w:val="24"/>
          </w:rPr>
          <w:t>https://www.legislation.gov.uk/ukpga/2005/9/pdfs/ukpgacop_20050009_en.pdf</w:t>
        </w:r>
      </w:hyperlink>
    </w:p>
    <w:p w14:paraId="2B37725A" w14:textId="77777777" w:rsidR="003A59B8" w:rsidRPr="00991D98" w:rsidRDefault="003A59B8" w:rsidP="473B67F0">
      <w:pPr>
        <w:rPr>
          <w:rFonts w:cs="Arial"/>
          <w:szCs w:val="24"/>
        </w:rPr>
      </w:pPr>
      <w:hyperlink r:id="rId19" w:history="1">
        <w:r w:rsidRPr="00991D98">
          <w:rPr>
            <w:rStyle w:val="Hyperlink"/>
            <w:rFonts w:cs="Arial"/>
            <w:color w:val="auto"/>
            <w:szCs w:val="24"/>
          </w:rPr>
          <w:t>Mental Capacity Act 2005</w:t>
        </w:r>
      </w:hyperlink>
    </w:p>
    <w:p w14:paraId="092AB4B3" w14:textId="77777777" w:rsidR="00495870" w:rsidRPr="00991D98" w:rsidRDefault="003A59B8" w:rsidP="473B67F0">
      <w:pPr>
        <w:rPr>
          <w:rFonts w:cs="Arial"/>
          <w:color w:val="0000FF"/>
          <w:szCs w:val="24"/>
          <w:u w:val="single"/>
        </w:rPr>
      </w:pPr>
      <w:hyperlink r:id="rId20" w:history="1">
        <w:r w:rsidRPr="00991D98">
          <w:rPr>
            <w:rStyle w:val="Hyperlink"/>
            <w:rFonts w:cs="Arial"/>
            <w:szCs w:val="24"/>
          </w:rPr>
          <w:t>https://www.legislation.gov.uk/ukpga/2005/9/contents</w:t>
        </w:r>
      </w:hyperlink>
    </w:p>
    <w:p w14:paraId="4662EDE0" w14:textId="77777777" w:rsidR="00495870" w:rsidRPr="00991D98" w:rsidRDefault="00495870" w:rsidP="473B67F0">
      <w:pPr>
        <w:rPr>
          <w:rFonts w:cs="Arial"/>
          <w:szCs w:val="24"/>
          <w:u w:val="single"/>
        </w:rPr>
      </w:pPr>
      <w:r w:rsidRPr="00991D98">
        <w:rPr>
          <w:rFonts w:cs="Arial"/>
          <w:szCs w:val="24"/>
          <w:u w:val="single"/>
        </w:rPr>
        <w:t>Hospital discharge guidance 2025</w:t>
      </w:r>
    </w:p>
    <w:p w14:paraId="5C4C82B7" w14:textId="77777777" w:rsidR="00495870" w:rsidRPr="00991D98" w:rsidRDefault="00495870" w:rsidP="473B67F0">
      <w:pPr>
        <w:rPr>
          <w:rFonts w:cs="Arial"/>
          <w:szCs w:val="24"/>
        </w:rPr>
      </w:pPr>
      <w:hyperlink r:id="rId21" w:history="1">
        <w:r w:rsidRPr="00991D98">
          <w:rPr>
            <w:rStyle w:val="Hyperlink"/>
            <w:rFonts w:cs="Arial"/>
            <w:szCs w:val="24"/>
          </w:rPr>
          <w:t>file:///C:/Users/re136992/OneDrive%20-%20NHS%20Wales/CoP%20information/Discharge%20pathway/hospital-discharge-guidance-january-2025.pdf</w:t>
        </w:r>
      </w:hyperlink>
    </w:p>
    <w:p w14:paraId="6B621FE6" w14:textId="77777777" w:rsidR="00115132" w:rsidRPr="00991D98" w:rsidRDefault="00115132">
      <w:pPr>
        <w:rPr>
          <w:rFonts w:cs="Arial"/>
        </w:rPr>
      </w:pPr>
    </w:p>
    <w:p w14:paraId="2E6EB97C" w14:textId="77777777" w:rsidR="00115132" w:rsidRPr="00991D98" w:rsidRDefault="00115132">
      <w:pPr>
        <w:rPr>
          <w:rFonts w:cs="Arial"/>
        </w:rPr>
      </w:pPr>
    </w:p>
    <w:p w14:paraId="5772B25E" w14:textId="77777777" w:rsidR="00FC51B3" w:rsidRDefault="00FC51B3">
      <w:pPr>
        <w:spacing w:before="0" w:after="160" w:line="259" w:lineRule="auto"/>
        <w:rPr>
          <w:rFonts w:cs="Arial"/>
          <w:b/>
          <w:bCs/>
          <w:sz w:val="28"/>
          <w:szCs w:val="28"/>
          <w:u w:val="single"/>
        </w:rPr>
      </w:pPr>
      <w:r>
        <w:rPr>
          <w:rFonts w:cs="Arial"/>
          <w:b/>
          <w:bCs/>
          <w:sz w:val="28"/>
          <w:szCs w:val="28"/>
          <w:u w:val="single"/>
        </w:rPr>
        <w:br w:type="page"/>
      </w:r>
    </w:p>
    <w:p w14:paraId="200DA4E1" w14:textId="77777777" w:rsidR="00FC51B3" w:rsidRDefault="00115132" w:rsidP="00810C90">
      <w:pPr>
        <w:pStyle w:val="Heading3"/>
      </w:pPr>
      <w:r w:rsidRPr="00991D98">
        <w:lastRenderedPageBreak/>
        <w:t>Four stages of escalation for a reluctant discharge</w:t>
      </w:r>
    </w:p>
    <w:p w14:paraId="68CE987F" w14:textId="5802519C" w:rsidR="00115132" w:rsidRPr="00810C90" w:rsidRDefault="00810C90" w:rsidP="3BD8A1B0">
      <w:pPr>
        <w:rPr>
          <w:rFonts w:cs="Arial"/>
          <w:b/>
          <w:bCs/>
          <w:sz w:val="28"/>
          <w:szCs w:val="28"/>
        </w:rPr>
      </w:pPr>
      <w:r w:rsidRPr="00810C90">
        <w:rPr>
          <w:rFonts w:cs="Arial"/>
          <w:b/>
          <w:bCs/>
          <w:sz w:val="28"/>
          <w:szCs w:val="28"/>
        </w:rPr>
        <w:t>Please ensure all avenues have been explored for discharge prior to implementing this 4 stage pathway.</w:t>
      </w:r>
    </w:p>
    <w:p w14:paraId="58BD20CB" w14:textId="77777777" w:rsidR="006A625D" w:rsidRPr="00991D98" w:rsidRDefault="006A625D">
      <w:pPr>
        <w:rPr>
          <w:rFonts w:cs="Arial"/>
          <w:b/>
          <w:sz w:val="28"/>
          <w:szCs w:val="28"/>
        </w:rPr>
      </w:pPr>
    </w:p>
    <w:p w14:paraId="15092837" w14:textId="40109C6A" w:rsidR="004A1D4A" w:rsidRPr="00810C90" w:rsidRDefault="006A625D">
      <w:pPr>
        <w:rPr>
          <w:rFonts w:cs="Arial"/>
          <w:b/>
          <w:sz w:val="28"/>
          <w:szCs w:val="28"/>
        </w:rPr>
      </w:pPr>
      <w:r w:rsidRPr="00991D98">
        <w:rPr>
          <w:rFonts w:cs="Arial"/>
          <w:noProof/>
          <w:lang w:eastAsia="en-GB"/>
        </w:rPr>
        <w:drawing>
          <wp:inline distT="0" distB="0" distL="0" distR="0" wp14:anchorId="71BAE869" wp14:editId="65ED595D">
            <wp:extent cx="6172200" cy="7086600"/>
            <wp:effectExtent l="38100" t="0" r="571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sectPr w:rsidR="004A1D4A" w:rsidRPr="00810C90" w:rsidSect="00590904">
      <w:pgSz w:w="11906" w:h="16838" w:code="9"/>
      <w:pgMar w:top="851" w:right="851" w:bottom="851"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968E7" w14:textId="77777777" w:rsidR="001D678A" w:rsidRDefault="001D678A" w:rsidP="00A015C7">
      <w:pPr>
        <w:spacing w:after="0"/>
      </w:pPr>
      <w:r>
        <w:separator/>
      </w:r>
    </w:p>
  </w:endnote>
  <w:endnote w:type="continuationSeparator" w:id="0">
    <w:p w14:paraId="16D97B75" w14:textId="77777777" w:rsidR="001D678A" w:rsidRDefault="001D678A" w:rsidP="00A015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4B575" w14:textId="77777777" w:rsidR="001D678A" w:rsidRDefault="001D678A" w:rsidP="00A015C7">
      <w:pPr>
        <w:spacing w:after="0"/>
      </w:pPr>
      <w:r>
        <w:separator/>
      </w:r>
    </w:p>
  </w:footnote>
  <w:footnote w:type="continuationSeparator" w:id="0">
    <w:p w14:paraId="39215863" w14:textId="77777777" w:rsidR="001D678A" w:rsidRDefault="001D678A" w:rsidP="00A015C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322B5"/>
    <w:multiLevelType w:val="hybridMultilevel"/>
    <w:tmpl w:val="BD2E4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E65B40"/>
    <w:multiLevelType w:val="hybridMultilevel"/>
    <w:tmpl w:val="6DFA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A93536"/>
    <w:multiLevelType w:val="hybridMultilevel"/>
    <w:tmpl w:val="46B87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012C6E"/>
    <w:multiLevelType w:val="hybridMultilevel"/>
    <w:tmpl w:val="7C7AC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341158"/>
    <w:multiLevelType w:val="hybridMultilevel"/>
    <w:tmpl w:val="D54AF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1B7D3B"/>
    <w:multiLevelType w:val="hybridMultilevel"/>
    <w:tmpl w:val="E8E8A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EE6A23"/>
    <w:multiLevelType w:val="hybridMultilevel"/>
    <w:tmpl w:val="03CE3AE0"/>
    <w:lvl w:ilvl="0" w:tplc="1D54AAA6">
      <w:start w:val="1"/>
      <w:numFmt w:val="bullet"/>
      <w:lvlText w:val="•"/>
      <w:lvlJc w:val="left"/>
      <w:pPr>
        <w:tabs>
          <w:tab w:val="num" w:pos="720"/>
        </w:tabs>
        <w:ind w:left="720" w:hanging="360"/>
      </w:pPr>
      <w:rPr>
        <w:rFonts w:ascii="Times New Roman" w:hAnsi="Times New Roman" w:hint="default"/>
      </w:rPr>
    </w:lvl>
    <w:lvl w:ilvl="1" w:tplc="1384359C" w:tentative="1">
      <w:start w:val="1"/>
      <w:numFmt w:val="bullet"/>
      <w:lvlText w:val="•"/>
      <w:lvlJc w:val="left"/>
      <w:pPr>
        <w:tabs>
          <w:tab w:val="num" w:pos="1440"/>
        </w:tabs>
        <w:ind w:left="1440" w:hanging="360"/>
      </w:pPr>
      <w:rPr>
        <w:rFonts w:ascii="Times New Roman" w:hAnsi="Times New Roman" w:hint="default"/>
      </w:rPr>
    </w:lvl>
    <w:lvl w:ilvl="2" w:tplc="27F40A68" w:tentative="1">
      <w:start w:val="1"/>
      <w:numFmt w:val="bullet"/>
      <w:lvlText w:val="•"/>
      <w:lvlJc w:val="left"/>
      <w:pPr>
        <w:tabs>
          <w:tab w:val="num" w:pos="2160"/>
        </w:tabs>
        <w:ind w:left="2160" w:hanging="360"/>
      </w:pPr>
      <w:rPr>
        <w:rFonts w:ascii="Times New Roman" w:hAnsi="Times New Roman" w:hint="default"/>
      </w:rPr>
    </w:lvl>
    <w:lvl w:ilvl="3" w:tplc="7130A05C" w:tentative="1">
      <w:start w:val="1"/>
      <w:numFmt w:val="bullet"/>
      <w:lvlText w:val="•"/>
      <w:lvlJc w:val="left"/>
      <w:pPr>
        <w:tabs>
          <w:tab w:val="num" w:pos="2880"/>
        </w:tabs>
        <w:ind w:left="2880" w:hanging="360"/>
      </w:pPr>
      <w:rPr>
        <w:rFonts w:ascii="Times New Roman" w:hAnsi="Times New Roman" w:hint="default"/>
      </w:rPr>
    </w:lvl>
    <w:lvl w:ilvl="4" w:tplc="7834F9AA" w:tentative="1">
      <w:start w:val="1"/>
      <w:numFmt w:val="bullet"/>
      <w:lvlText w:val="•"/>
      <w:lvlJc w:val="left"/>
      <w:pPr>
        <w:tabs>
          <w:tab w:val="num" w:pos="3600"/>
        </w:tabs>
        <w:ind w:left="3600" w:hanging="360"/>
      </w:pPr>
      <w:rPr>
        <w:rFonts w:ascii="Times New Roman" w:hAnsi="Times New Roman" w:hint="default"/>
      </w:rPr>
    </w:lvl>
    <w:lvl w:ilvl="5" w:tplc="74AA1530" w:tentative="1">
      <w:start w:val="1"/>
      <w:numFmt w:val="bullet"/>
      <w:lvlText w:val="•"/>
      <w:lvlJc w:val="left"/>
      <w:pPr>
        <w:tabs>
          <w:tab w:val="num" w:pos="4320"/>
        </w:tabs>
        <w:ind w:left="4320" w:hanging="360"/>
      </w:pPr>
      <w:rPr>
        <w:rFonts w:ascii="Times New Roman" w:hAnsi="Times New Roman" w:hint="default"/>
      </w:rPr>
    </w:lvl>
    <w:lvl w:ilvl="6" w:tplc="19EE17FE" w:tentative="1">
      <w:start w:val="1"/>
      <w:numFmt w:val="bullet"/>
      <w:lvlText w:val="•"/>
      <w:lvlJc w:val="left"/>
      <w:pPr>
        <w:tabs>
          <w:tab w:val="num" w:pos="5040"/>
        </w:tabs>
        <w:ind w:left="5040" w:hanging="360"/>
      </w:pPr>
      <w:rPr>
        <w:rFonts w:ascii="Times New Roman" w:hAnsi="Times New Roman" w:hint="default"/>
      </w:rPr>
    </w:lvl>
    <w:lvl w:ilvl="7" w:tplc="BFE2D46C" w:tentative="1">
      <w:start w:val="1"/>
      <w:numFmt w:val="bullet"/>
      <w:lvlText w:val="•"/>
      <w:lvlJc w:val="left"/>
      <w:pPr>
        <w:tabs>
          <w:tab w:val="num" w:pos="5760"/>
        </w:tabs>
        <w:ind w:left="5760" w:hanging="360"/>
      </w:pPr>
      <w:rPr>
        <w:rFonts w:ascii="Times New Roman" w:hAnsi="Times New Roman" w:hint="default"/>
      </w:rPr>
    </w:lvl>
    <w:lvl w:ilvl="8" w:tplc="ACC6AC4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63C3CF0"/>
    <w:multiLevelType w:val="hybridMultilevel"/>
    <w:tmpl w:val="F5545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8325A72"/>
    <w:multiLevelType w:val="hybridMultilevel"/>
    <w:tmpl w:val="440E2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48783">
    <w:abstractNumId w:val="7"/>
  </w:num>
  <w:num w:numId="2" w16cid:durableId="2108769717">
    <w:abstractNumId w:val="0"/>
  </w:num>
  <w:num w:numId="3" w16cid:durableId="222759722">
    <w:abstractNumId w:val="1"/>
  </w:num>
  <w:num w:numId="4" w16cid:durableId="1816726258">
    <w:abstractNumId w:val="8"/>
  </w:num>
  <w:num w:numId="5" w16cid:durableId="1019965438">
    <w:abstractNumId w:val="3"/>
  </w:num>
  <w:num w:numId="6" w16cid:durableId="248269083">
    <w:abstractNumId w:val="5"/>
  </w:num>
  <w:num w:numId="7" w16cid:durableId="67309938">
    <w:abstractNumId w:val="6"/>
  </w:num>
  <w:num w:numId="8" w16cid:durableId="1260605785">
    <w:abstractNumId w:val="4"/>
  </w:num>
  <w:num w:numId="9" w16cid:durableId="1541018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C7"/>
    <w:rsid w:val="00085CFF"/>
    <w:rsid w:val="00090C42"/>
    <w:rsid w:val="00112637"/>
    <w:rsid w:val="00115132"/>
    <w:rsid w:val="00135EAB"/>
    <w:rsid w:val="00142B68"/>
    <w:rsid w:val="00180267"/>
    <w:rsid w:val="001D678A"/>
    <w:rsid w:val="001F08B7"/>
    <w:rsid w:val="002B39C4"/>
    <w:rsid w:val="00314D9E"/>
    <w:rsid w:val="00320B9D"/>
    <w:rsid w:val="00332DF4"/>
    <w:rsid w:val="0033545D"/>
    <w:rsid w:val="003626D0"/>
    <w:rsid w:val="00385B69"/>
    <w:rsid w:val="003A59B8"/>
    <w:rsid w:val="003C3A79"/>
    <w:rsid w:val="003D7833"/>
    <w:rsid w:val="003F7D64"/>
    <w:rsid w:val="00401066"/>
    <w:rsid w:val="00495870"/>
    <w:rsid w:val="00495EA7"/>
    <w:rsid w:val="004A1D4A"/>
    <w:rsid w:val="005166FA"/>
    <w:rsid w:val="00547774"/>
    <w:rsid w:val="005627BD"/>
    <w:rsid w:val="00590904"/>
    <w:rsid w:val="005A02FF"/>
    <w:rsid w:val="005D2FF5"/>
    <w:rsid w:val="006A625D"/>
    <w:rsid w:val="006A769E"/>
    <w:rsid w:val="006C1C6A"/>
    <w:rsid w:val="006F7D8A"/>
    <w:rsid w:val="00730AC4"/>
    <w:rsid w:val="00784265"/>
    <w:rsid w:val="007C1CEA"/>
    <w:rsid w:val="00810C90"/>
    <w:rsid w:val="008475CF"/>
    <w:rsid w:val="008813C7"/>
    <w:rsid w:val="008E5886"/>
    <w:rsid w:val="009778D9"/>
    <w:rsid w:val="00991D98"/>
    <w:rsid w:val="009C551F"/>
    <w:rsid w:val="009C7F67"/>
    <w:rsid w:val="00A015C7"/>
    <w:rsid w:val="00AB3DA9"/>
    <w:rsid w:val="00AD3597"/>
    <w:rsid w:val="00AE0065"/>
    <w:rsid w:val="00B731CC"/>
    <w:rsid w:val="00B87931"/>
    <w:rsid w:val="00C10EBD"/>
    <w:rsid w:val="00C14EEF"/>
    <w:rsid w:val="00C631A2"/>
    <w:rsid w:val="00D13C00"/>
    <w:rsid w:val="00DA7DC1"/>
    <w:rsid w:val="00DD1764"/>
    <w:rsid w:val="00DE36B3"/>
    <w:rsid w:val="00E15FBF"/>
    <w:rsid w:val="00E267E9"/>
    <w:rsid w:val="00ED4315"/>
    <w:rsid w:val="00ED59C1"/>
    <w:rsid w:val="00EE65E2"/>
    <w:rsid w:val="00EF1FC1"/>
    <w:rsid w:val="00EF6A66"/>
    <w:rsid w:val="00F0024D"/>
    <w:rsid w:val="00F55BF0"/>
    <w:rsid w:val="00F732CD"/>
    <w:rsid w:val="00FC51B3"/>
    <w:rsid w:val="00FC70DD"/>
    <w:rsid w:val="00FD2235"/>
    <w:rsid w:val="0158D286"/>
    <w:rsid w:val="03F33067"/>
    <w:rsid w:val="07BF24F7"/>
    <w:rsid w:val="0D0842CC"/>
    <w:rsid w:val="1D294D2D"/>
    <w:rsid w:val="3BD8A1B0"/>
    <w:rsid w:val="44DA7BEA"/>
    <w:rsid w:val="473B67F0"/>
    <w:rsid w:val="5CBA45B8"/>
    <w:rsid w:val="5D04F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9A11A"/>
  <w15:chartTrackingRefBased/>
  <w15:docId w15:val="{995054CA-792C-47F7-8410-AF43038D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2" w:unhideWhenUsed="1" w:qFormat="1"/>
    <w:lsdException w:name="heading 6" w:semiHidden="1" w:uiPriority="9" w:unhideWhenUsed="1" w:qFormat="1"/>
    <w:lsdException w:name="heading 7" w:semiHidden="1" w:uiPriority="2"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904"/>
    <w:pPr>
      <w:spacing w:before="120" w:after="120" w:line="240" w:lineRule="auto"/>
    </w:pPr>
    <w:rPr>
      <w:rFonts w:ascii="Arial" w:hAnsi="Arial"/>
      <w:sz w:val="24"/>
    </w:rPr>
  </w:style>
  <w:style w:type="paragraph" w:styleId="Heading1">
    <w:name w:val="heading 1"/>
    <w:basedOn w:val="Normal"/>
    <w:link w:val="Heading1Char"/>
    <w:uiPriority w:val="2"/>
    <w:qFormat/>
    <w:rsid w:val="00590904"/>
    <w:pPr>
      <w:keepNext/>
      <w:keepLines/>
      <w:spacing w:before="240" w:after="240"/>
      <w:jc w:val="center"/>
      <w:outlineLvl w:val="0"/>
    </w:pPr>
    <w:rPr>
      <w:rFonts w:eastAsiaTheme="majorEastAsia" w:cstheme="majorBidi"/>
      <w:b/>
      <w:color w:val="2F5496"/>
      <w:sz w:val="32"/>
      <w:szCs w:val="32"/>
      <w:lang w:val="en-US" w:eastAsia="ja-JP"/>
    </w:rPr>
  </w:style>
  <w:style w:type="paragraph" w:styleId="Heading3">
    <w:name w:val="heading 3"/>
    <w:basedOn w:val="Normal"/>
    <w:link w:val="Heading3Char"/>
    <w:uiPriority w:val="2"/>
    <w:unhideWhenUsed/>
    <w:qFormat/>
    <w:rsid w:val="00810C90"/>
    <w:pPr>
      <w:keepNext/>
      <w:keepLines/>
      <w:outlineLvl w:val="2"/>
    </w:pPr>
    <w:rPr>
      <w:rFonts w:eastAsiaTheme="majorEastAsia" w:cstheme="majorBidi"/>
      <w:b/>
      <w:caps/>
      <w:color w:val="2F5496"/>
      <w:sz w:val="28"/>
      <w:szCs w:val="24"/>
      <w:lang w:val="en-US" w:eastAsia="ja-JP"/>
    </w:rPr>
  </w:style>
  <w:style w:type="paragraph" w:styleId="Heading5">
    <w:name w:val="heading 5"/>
    <w:basedOn w:val="Normal"/>
    <w:link w:val="Heading5Char"/>
    <w:uiPriority w:val="2"/>
    <w:unhideWhenUsed/>
    <w:qFormat/>
    <w:rsid w:val="004A1D4A"/>
    <w:pPr>
      <w:keepNext/>
      <w:keepLines/>
      <w:spacing w:after="0"/>
      <w:ind w:left="144"/>
      <w:outlineLvl w:val="4"/>
    </w:pPr>
    <w:rPr>
      <w:rFonts w:asciiTheme="majorHAnsi" w:eastAsiaTheme="majorEastAsia" w:hAnsiTheme="majorHAnsi" w:cstheme="majorBidi"/>
      <w:lang w:val="en-US" w:eastAsia="ja-JP"/>
    </w:rPr>
  </w:style>
  <w:style w:type="paragraph" w:styleId="Heading7">
    <w:name w:val="heading 7"/>
    <w:basedOn w:val="Normal"/>
    <w:link w:val="Heading7Char"/>
    <w:uiPriority w:val="2"/>
    <w:unhideWhenUsed/>
    <w:qFormat/>
    <w:rsid w:val="004A1D4A"/>
    <w:pPr>
      <w:keepNext/>
      <w:keepLines/>
      <w:pBdr>
        <w:bottom w:val="single" w:sz="4" w:space="4" w:color="2E74B5" w:themeColor="accent1" w:themeShade="BF"/>
      </w:pBdr>
      <w:spacing w:after="60"/>
      <w:jc w:val="center"/>
      <w:outlineLvl w:val="6"/>
    </w:pPr>
    <w:rPr>
      <w:rFonts w:asciiTheme="majorHAnsi" w:eastAsiaTheme="majorEastAsia" w:hAnsiTheme="majorHAnsi" w:cstheme="majorBidi"/>
      <w:iCs/>
      <w:caps/>
      <w:lang w:val="en-US"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5C7"/>
    <w:pPr>
      <w:tabs>
        <w:tab w:val="center" w:pos="4513"/>
        <w:tab w:val="right" w:pos="9026"/>
      </w:tabs>
      <w:spacing w:after="0"/>
    </w:pPr>
  </w:style>
  <w:style w:type="character" w:customStyle="1" w:styleId="HeaderChar">
    <w:name w:val="Header Char"/>
    <w:basedOn w:val="DefaultParagraphFont"/>
    <w:link w:val="Header"/>
    <w:uiPriority w:val="99"/>
    <w:rsid w:val="00A015C7"/>
  </w:style>
  <w:style w:type="paragraph" w:styleId="Footer">
    <w:name w:val="footer"/>
    <w:basedOn w:val="Normal"/>
    <w:link w:val="FooterChar"/>
    <w:uiPriority w:val="99"/>
    <w:unhideWhenUsed/>
    <w:rsid w:val="00A015C7"/>
    <w:pPr>
      <w:tabs>
        <w:tab w:val="center" w:pos="4513"/>
        <w:tab w:val="right" w:pos="9026"/>
      </w:tabs>
      <w:spacing w:after="0"/>
    </w:pPr>
  </w:style>
  <w:style w:type="character" w:customStyle="1" w:styleId="FooterChar">
    <w:name w:val="Footer Char"/>
    <w:basedOn w:val="DefaultParagraphFont"/>
    <w:link w:val="Footer"/>
    <w:uiPriority w:val="99"/>
    <w:rsid w:val="00A015C7"/>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A015C7"/>
    <w:pPr>
      <w:ind w:left="720"/>
      <w:contextualSpacing/>
    </w:p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A015C7"/>
  </w:style>
  <w:style w:type="character" w:customStyle="1" w:styleId="Heading1Char">
    <w:name w:val="Heading 1 Char"/>
    <w:basedOn w:val="DefaultParagraphFont"/>
    <w:link w:val="Heading1"/>
    <w:uiPriority w:val="2"/>
    <w:rsid w:val="00590904"/>
    <w:rPr>
      <w:rFonts w:ascii="Arial" w:eastAsiaTheme="majorEastAsia" w:hAnsi="Arial" w:cstheme="majorBidi"/>
      <w:b/>
      <w:color w:val="2F5496"/>
      <w:sz w:val="32"/>
      <w:szCs w:val="32"/>
      <w:lang w:val="en-US" w:eastAsia="ja-JP"/>
    </w:rPr>
  </w:style>
  <w:style w:type="character" w:customStyle="1" w:styleId="Heading3Char">
    <w:name w:val="Heading 3 Char"/>
    <w:basedOn w:val="DefaultParagraphFont"/>
    <w:link w:val="Heading3"/>
    <w:uiPriority w:val="2"/>
    <w:rsid w:val="00810C90"/>
    <w:rPr>
      <w:rFonts w:ascii="Arial" w:eastAsiaTheme="majorEastAsia" w:hAnsi="Arial" w:cstheme="majorBidi"/>
      <w:b/>
      <w:caps/>
      <w:color w:val="2F5496"/>
      <w:sz w:val="28"/>
      <w:szCs w:val="24"/>
      <w:lang w:val="en-US" w:eastAsia="ja-JP"/>
    </w:rPr>
  </w:style>
  <w:style w:type="character" w:customStyle="1" w:styleId="Heading5Char">
    <w:name w:val="Heading 5 Char"/>
    <w:basedOn w:val="DefaultParagraphFont"/>
    <w:link w:val="Heading5"/>
    <w:uiPriority w:val="2"/>
    <w:rsid w:val="004A1D4A"/>
    <w:rPr>
      <w:rFonts w:asciiTheme="majorHAnsi" w:eastAsiaTheme="majorEastAsia" w:hAnsiTheme="majorHAnsi" w:cstheme="majorBidi"/>
      <w:sz w:val="24"/>
      <w:lang w:val="en-US" w:eastAsia="ja-JP"/>
    </w:rPr>
  </w:style>
  <w:style w:type="character" w:customStyle="1" w:styleId="Heading7Char">
    <w:name w:val="Heading 7 Char"/>
    <w:basedOn w:val="DefaultParagraphFont"/>
    <w:link w:val="Heading7"/>
    <w:uiPriority w:val="2"/>
    <w:rsid w:val="004A1D4A"/>
    <w:rPr>
      <w:rFonts w:asciiTheme="majorHAnsi" w:eastAsiaTheme="majorEastAsia" w:hAnsiTheme="majorHAnsi" w:cstheme="majorBidi"/>
      <w:iCs/>
      <w:caps/>
      <w:lang w:val="en-US" w:eastAsia="ja-JP"/>
    </w:rPr>
  </w:style>
  <w:style w:type="table" w:styleId="TableGrid">
    <w:name w:val="Table Grid"/>
    <w:basedOn w:val="TableNormal"/>
    <w:uiPriority w:val="39"/>
    <w:rsid w:val="004A1D4A"/>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3"/>
    <w:qFormat/>
    <w:rsid w:val="004A1D4A"/>
    <w:pPr>
      <w:spacing w:after="0"/>
      <w:contextualSpacing/>
      <w:jc w:val="center"/>
    </w:pPr>
    <w:rPr>
      <w:rFonts w:asciiTheme="majorHAnsi" w:eastAsiaTheme="majorEastAsia" w:hAnsiTheme="majorHAnsi" w:cstheme="majorBidi"/>
      <w:color w:val="2E74B5" w:themeColor="accent1" w:themeShade="BF"/>
      <w:kern w:val="28"/>
      <w:sz w:val="84"/>
      <w:szCs w:val="56"/>
      <w:lang w:val="en-US" w:eastAsia="ja-JP"/>
    </w:rPr>
  </w:style>
  <w:style w:type="character" w:customStyle="1" w:styleId="TitleChar">
    <w:name w:val="Title Char"/>
    <w:basedOn w:val="DefaultParagraphFont"/>
    <w:link w:val="Title"/>
    <w:uiPriority w:val="3"/>
    <w:rsid w:val="004A1D4A"/>
    <w:rPr>
      <w:rFonts w:asciiTheme="majorHAnsi" w:eastAsiaTheme="majorEastAsia" w:hAnsiTheme="majorHAnsi" w:cstheme="majorBidi"/>
      <w:color w:val="2E74B5" w:themeColor="accent1" w:themeShade="BF"/>
      <w:kern w:val="28"/>
      <w:sz w:val="84"/>
      <w:szCs w:val="56"/>
      <w:lang w:val="en-US" w:eastAsia="ja-JP"/>
    </w:rPr>
  </w:style>
  <w:style w:type="paragraph" w:customStyle="1" w:styleId="TableDescription">
    <w:name w:val="Table Description"/>
    <w:basedOn w:val="Normal"/>
    <w:uiPriority w:val="4"/>
    <w:qFormat/>
    <w:rsid w:val="004A1D4A"/>
    <w:pPr>
      <w:pBdr>
        <w:top w:val="single" w:sz="24" w:space="1" w:color="44546A" w:themeColor="text2"/>
        <w:left w:val="single" w:sz="24" w:space="4" w:color="44546A" w:themeColor="text2"/>
        <w:bottom w:val="single" w:sz="24" w:space="1" w:color="44546A" w:themeColor="text2"/>
        <w:right w:val="single" w:sz="24" w:space="4" w:color="44546A" w:themeColor="text2"/>
      </w:pBdr>
      <w:shd w:val="clear" w:color="auto" w:fill="44546A" w:themeFill="text2"/>
      <w:spacing w:before="40" w:after="40"/>
      <w:ind w:right="187"/>
      <w:jc w:val="center"/>
    </w:pPr>
    <w:rPr>
      <w:rFonts w:eastAsiaTheme="minorEastAsia"/>
      <w:caps/>
      <w:color w:val="FFFFFF" w:themeColor="background1"/>
      <w:sz w:val="20"/>
      <w:lang w:val="en-US" w:eastAsia="ja-JP"/>
    </w:rPr>
  </w:style>
  <w:style w:type="character" w:styleId="Hyperlink">
    <w:name w:val="Hyperlink"/>
    <w:basedOn w:val="DefaultParagraphFont"/>
    <w:uiPriority w:val="99"/>
    <w:unhideWhenUsed/>
    <w:rsid w:val="003A59B8"/>
    <w:rPr>
      <w:color w:val="0000FF"/>
      <w:u w:val="single"/>
    </w:rPr>
  </w:style>
  <w:style w:type="character" w:styleId="CommentReference">
    <w:name w:val="annotation reference"/>
    <w:basedOn w:val="DefaultParagraphFont"/>
    <w:uiPriority w:val="99"/>
    <w:semiHidden/>
    <w:unhideWhenUsed/>
    <w:rsid w:val="009C7F67"/>
    <w:rPr>
      <w:sz w:val="16"/>
      <w:szCs w:val="16"/>
    </w:rPr>
  </w:style>
  <w:style w:type="paragraph" w:styleId="CommentText">
    <w:name w:val="annotation text"/>
    <w:basedOn w:val="Normal"/>
    <w:link w:val="CommentTextChar"/>
    <w:uiPriority w:val="99"/>
    <w:unhideWhenUsed/>
    <w:rsid w:val="009C7F67"/>
    <w:rPr>
      <w:sz w:val="20"/>
      <w:szCs w:val="20"/>
    </w:rPr>
  </w:style>
  <w:style w:type="character" w:customStyle="1" w:styleId="CommentTextChar">
    <w:name w:val="Comment Text Char"/>
    <w:basedOn w:val="DefaultParagraphFont"/>
    <w:link w:val="CommentText"/>
    <w:uiPriority w:val="99"/>
    <w:rsid w:val="009C7F6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C7F67"/>
    <w:rPr>
      <w:b/>
      <w:bCs/>
    </w:rPr>
  </w:style>
  <w:style w:type="character" w:customStyle="1" w:styleId="CommentSubjectChar">
    <w:name w:val="Comment Subject Char"/>
    <w:basedOn w:val="CommentTextChar"/>
    <w:link w:val="CommentSubject"/>
    <w:uiPriority w:val="99"/>
    <w:semiHidden/>
    <w:rsid w:val="009C7F67"/>
    <w:rPr>
      <w:rFonts w:ascii="Arial" w:hAnsi="Arial"/>
      <w:b/>
      <w:bCs/>
      <w:sz w:val="20"/>
      <w:szCs w:val="20"/>
    </w:rPr>
  </w:style>
  <w:style w:type="character" w:styleId="UnresolvedMention">
    <w:name w:val="Unresolved Mention"/>
    <w:basedOn w:val="DefaultParagraphFont"/>
    <w:uiPriority w:val="99"/>
    <w:semiHidden/>
    <w:unhideWhenUsed/>
    <w:rsid w:val="00784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36695">
      <w:bodyDiv w:val="1"/>
      <w:marLeft w:val="0"/>
      <w:marRight w:val="0"/>
      <w:marTop w:val="0"/>
      <w:marBottom w:val="0"/>
      <w:divBdr>
        <w:top w:val="none" w:sz="0" w:space="0" w:color="auto"/>
        <w:left w:val="none" w:sz="0" w:space="0" w:color="auto"/>
        <w:bottom w:val="none" w:sz="0" w:space="0" w:color="auto"/>
        <w:right w:val="none" w:sz="0" w:space="0" w:color="auto"/>
      </w:divBdr>
      <w:divsChild>
        <w:div w:id="19240716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sbuhb.nhs.wales%2Ffiles%2Fdischarge-documents-august-2026%2Fchoice-policy-v2-0-docx%2F%3Fts%3D1788264516116&amp;wdOrigin=BROWSELINK" TargetMode="External"/><Relationship Id="rId18" Type="http://schemas.openxmlformats.org/officeDocument/2006/relationships/hyperlink" Target="https://www.legislation.gov.uk/ukpga/2005/9/pdfs/ukpgacop_20050009_en.pdf" TargetMode="Externa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hyperlink" Target="file:///C:/Users/re136992/OneDrive%20-%20NHS%20Wales/CoP%20information/Discharge%20pathway/hospital-discharge-guidance-january-2025.pdf" TargetMode="External"/><Relationship Id="rId7" Type="http://schemas.openxmlformats.org/officeDocument/2006/relationships/webSettings" Target="webSettings.xml"/><Relationship Id="rId12" Type="http://schemas.openxmlformats.org/officeDocument/2006/relationships/hyperlink" Target="https://view.officeapps.live.com/op/view.aspx?src=https%3A%2F%2Fsbuhb.nhs.wales%2Ffiles%2Fdischarge-documents-august-2026%2Fstandard-operating-procedure-best-interest-decision-docx%2F%3Fts%3D1788264486171&amp;wdOrigin=BROWSELINK" TargetMode="External"/><Relationship Id="rId17" Type="http://schemas.openxmlformats.org/officeDocument/2006/relationships/hyperlink" Target="https://www.gov.uk/government/publications/mental-capacity-act-code-of-practice" TargetMode="Externa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yperlink" Target="file:///C:/Users/re136992/OneDrive%20-%20NHS%20Wales/CoP%20information/Discharge%20pathway/The%20Management%20of%20Reluctant%20Discharge_Transfer%20of%20Care%20to%20a%20More%20Appropriate%20Care%20Setting%20-%20Guidance.pdf" TargetMode="External"/><Relationship Id="rId20" Type="http://schemas.openxmlformats.org/officeDocument/2006/relationships/hyperlink" Target="https://www.legislation.gov.uk/ukpga/2005/9/cont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hyperlink" Target="file:///C:/Users/re136992/OneDrive%20-%20NHS%20Wales/CoP%20information/Discharge%20pathway/The%20Management%20of%20Reluctant%20Discharge_Transfer%20of%20Care%20to%20a%20More%20Appropriate%20Care%20Setting%20-%20Guidance.pdf" TargetMode="External"/><Relationship Id="rId23" Type="http://schemas.openxmlformats.org/officeDocument/2006/relationships/diagramLayout" Target="diagrams/layout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legislation.gov.uk/ukpga/2005/9/cont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ew.officeapps.live.com/op/view.aspx?src=https%3A%2F%2Fsbuhb.nhs.wales%2Ffiles%2Fdischarge-documents-august-2026%2Foverarching-discharge-policy-draft-v1-2-docx%2F%3Fts%3D1788264560028&amp;wdOrigin=BROWSELINK" TargetMode="External"/><Relationship Id="rId22" Type="http://schemas.openxmlformats.org/officeDocument/2006/relationships/diagramData" Target="diagrams/data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F7262D-4CD4-4122-A85A-959C3F1DF3A5}" type="doc">
      <dgm:prSet loTypeId="urn:microsoft.com/office/officeart/2005/8/layout/chevron2" loCatId="process" qsTypeId="urn:microsoft.com/office/officeart/2005/8/quickstyle/simple1#1" qsCatId="simple" csTypeId="urn:microsoft.com/office/officeart/2005/8/colors/accent1_2#1" csCatId="accent1" phldr="1"/>
      <dgm:spPr/>
      <dgm:t>
        <a:bodyPr/>
        <a:lstStyle/>
        <a:p>
          <a:endParaRPr lang="en-US"/>
        </a:p>
      </dgm:t>
    </dgm:pt>
    <dgm:pt modelId="{66EAC695-5CAA-48F8-867D-F958115AEBA8}">
      <dgm:prSet phldrT="[Text]"/>
      <dgm:spPr>
        <a:xfrm rot="5400000">
          <a:off x="-274821" y="422130"/>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Stage 1</a:t>
          </a:r>
        </a:p>
      </dgm:t>
    </dgm:pt>
    <dgm:pt modelId="{7590B606-71FF-46A5-AF9A-4924D2560360}" type="parTrans" cxnId="{A8A9ED01-768E-4E9B-905C-84F39E127452}">
      <dgm:prSet/>
      <dgm:spPr/>
      <dgm:t>
        <a:bodyPr/>
        <a:lstStyle/>
        <a:p>
          <a:endParaRPr lang="en-US"/>
        </a:p>
      </dgm:t>
    </dgm:pt>
    <dgm:pt modelId="{20C65E44-5E93-4DB8-A450-9EA15B598495}" type="sibTrans" cxnId="{A8A9ED01-768E-4E9B-905C-84F39E127452}">
      <dgm:prSet/>
      <dgm:spPr/>
      <dgm:t>
        <a:bodyPr/>
        <a:lstStyle/>
        <a:p>
          <a:endParaRPr lang="en-US"/>
        </a:p>
      </dgm:t>
    </dgm:pt>
    <dgm:pt modelId="{44AF50DD-DFE0-4317-9F77-356A345BD464}">
      <dgm:prSet phldrT="[Text]" custT="1"/>
      <dgm:spPr>
        <a:xfrm rot="5400000">
          <a:off x="3010789" y="-1702094"/>
          <a:ext cx="1433121"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sz="1100">
              <a:solidFill>
                <a:sysClr val="windowText" lastClr="000000">
                  <a:hueOff val="0"/>
                  <a:satOff val="0"/>
                  <a:lumOff val="0"/>
                  <a:alphaOff val="0"/>
                </a:sysClr>
              </a:solidFill>
              <a:latin typeface="Calibri Light" panose="020F0302020204030204"/>
              <a:ea typeface="+mn-ea"/>
              <a:cs typeface="+mn-cs"/>
            </a:rPr>
            <a:t>A meeting should be held between the matron, ward manager, patient flow co-ordinator, senior medical practitioner, social worker (if applicable), LPA or court appointed deputy (if applicable), the person and if appropriate family and carers. </a:t>
          </a:r>
          <a:endParaRPr lang="en-US" sz="1100">
            <a:solidFill>
              <a:sysClr val="windowText" lastClr="000000">
                <a:hueOff val="0"/>
                <a:satOff val="0"/>
                <a:lumOff val="0"/>
                <a:alphaOff val="0"/>
              </a:sysClr>
            </a:solidFill>
            <a:latin typeface="Calibri Light" panose="020F0302020204030204"/>
            <a:ea typeface="+mn-ea"/>
            <a:cs typeface="+mn-cs"/>
          </a:endParaRPr>
        </a:p>
      </dgm:t>
    </dgm:pt>
    <dgm:pt modelId="{81B3E2C1-7ED0-4B28-9873-FAE62A2B6717}" type="parTrans" cxnId="{3C0E4B18-AE13-4BB7-904E-0CBBD82F9C67}">
      <dgm:prSet/>
      <dgm:spPr/>
      <dgm:t>
        <a:bodyPr/>
        <a:lstStyle/>
        <a:p>
          <a:endParaRPr lang="en-US"/>
        </a:p>
      </dgm:t>
    </dgm:pt>
    <dgm:pt modelId="{7DEDB89D-AAA9-492D-82E4-B3CFCE490B96}" type="sibTrans" cxnId="{3C0E4B18-AE13-4BB7-904E-0CBBD82F9C67}">
      <dgm:prSet/>
      <dgm:spPr/>
      <dgm:t>
        <a:bodyPr/>
        <a:lstStyle/>
        <a:p>
          <a:endParaRPr lang="en-US"/>
        </a:p>
      </dgm:t>
    </dgm:pt>
    <dgm:pt modelId="{CDF782E7-6432-4A06-BC4A-7D61CE5F2D53}">
      <dgm:prSet phldrT="[Text]"/>
      <dgm:spPr>
        <a:xfrm rot="5400000">
          <a:off x="-274821" y="3809432"/>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Stage 3</a:t>
          </a:r>
        </a:p>
      </dgm:t>
    </dgm:pt>
    <dgm:pt modelId="{E356BE2C-BE6D-4637-B185-CF7846D1420A}" type="parTrans" cxnId="{B5FB6CF4-457F-48C0-95DC-B31C4FF07FCC}">
      <dgm:prSet/>
      <dgm:spPr/>
      <dgm:t>
        <a:bodyPr/>
        <a:lstStyle/>
        <a:p>
          <a:endParaRPr lang="en-US"/>
        </a:p>
      </dgm:t>
    </dgm:pt>
    <dgm:pt modelId="{B353FC2B-47A6-431C-AACD-3D76209049B7}" type="sibTrans" cxnId="{B5FB6CF4-457F-48C0-95DC-B31C4FF07FCC}">
      <dgm:prSet/>
      <dgm:spPr/>
      <dgm:t>
        <a:bodyPr/>
        <a:lstStyle/>
        <a:p>
          <a:endParaRPr lang="en-US"/>
        </a:p>
      </dgm:t>
    </dgm:pt>
    <dgm:pt modelId="{B101401F-DDF5-42B7-87A8-AD03E5FAE3F7}">
      <dgm:prSet phldrT="[Text]" custT="1"/>
      <dgm:spPr>
        <a:xfrm rot="5400000">
          <a:off x="3131903" y="1685207"/>
          <a:ext cx="1190893"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sz="1200">
              <a:solidFill>
                <a:sysClr val="windowText" lastClr="000000">
                  <a:hueOff val="0"/>
                  <a:satOff val="0"/>
                  <a:lumOff val="0"/>
                  <a:alphaOff val="0"/>
                </a:sysClr>
              </a:solidFill>
              <a:latin typeface="Calibri Light" panose="020F0302020204030204"/>
              <a:ea typeface="+mn-ea"/>
              <a:cs typeface="+mn-cs"/>
            </a:rPr>
            <a:t>If following the letter the patient/families are still not engaging in the discharge process staff should seek legal advice. (</a:t>
          </a:r>
          <a:r>
            <a:rPr lang="en-US" sz="1200">
              <a:solidFill>
                <a:sysClr val="windowText" lastClr="000000">
                  <a:hueOff val="0"/>
                  <a:satOff val="0"/>
                  <a:lumOff val="0"/>
                  <a:alphaOff val="0"/>
                </a:sysClr>
              </a:solidFill>
              <a:latin typeface="Calibri Light" panose="020F0302020204030204"/>
              <a:ea typeface="+mn-ea"/>
              <a:cs typeface="+mn-cs"/>
            </a:rPr>
            <a:t>SBU.Claims@wales.nhs.uk)</a:t>
          </a:r>
        </a:p>
      </dgm:t>
    </dgm:pt>
    <dgm:pt modelId="{8F40E4FE-C5D5-4E00-98CA-416F920F0C24}" type="parTrans" cxnId="{F8914933-854F-4498-94C4-3CA011CF843A}">
      <dgm:prSet/>
      <dgm:spPr/>
      <dgm:t>
        <a:bodyPr/>
        <a:lstStyle/>
        <a:p>
          <a:endParaRPr lang="en-US"/>
        </a:p>
      </dgm:t>
    </dgm:pt>
    <dgm:pt modelId="{F4C41323-51DE-4757-B59E-33270C680503}" type="sibTrans" cxnId="{F8914933-854F-4498-94C4-3CA011CF843A}">
      <dgm:prSet/>
      <dgm:spPr/>
      <dgm:t>
        <a:bodyPr/>
        <a:lstStyle/>
        <a:p>
          <a:endParaRPr lang="en-US"/>
        </a:p>
      </dgm:t>
    </dgm:pt>
    <dgm:pt modelId="{E92FBB77-46D9-4FAA-8721-15C64A9EC895}">
      <dgm:prSet/>
      <dgm:spPr>
        <a:xfrm rot="5400000">
          <a:off x="-274821" y="5503082"/>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Stage 4</a:t>
          </a:r>
        </a:p>
      </dgm:t>
    </dgm:pt>
    <dgm:pt modelId="{E2A6E0D9-3E69-46AF-B674-6C7AFBE9DE19}" type="parTrans" cxnId="{91E9B55A-F2DA-4A43-9049-4D1CA933E43A}">
      <dgm:prSet/>
      <dgm:spPr/>
      <dgm:t>
        <a:bodyPr/>
        <a:lstStyle/>
        <a:p>
          <a:endParaRPr lang="en-US"/>
        </a:p>
      </dgm:t>
    </dgm:pt>
    <dgm:pt modelId="{F517B3D9-4F6D-4523-B411-0B1EB7BEE9B5}" type="sibTrans" cxnId="{91E9B55A-F2DA-4A43-9049-4D1CA933E43A}">
      <dgm:prSet/>
      <dgm:spPr/>
      <dgm:t>
        <a:bodyPr/>
        <a:lstStyle/>
        <a:p>
          <a:endParaRPr lang="en-US"/>
        </a:p>
      </dgm:t>
    </dgm:pt>
    <dgm:pt modelId="{266305F1-9479-412E-8F64-0055C0155EB8}">
      <dgm:prSet phldrT="[Text]" custT="1"/>
      <dgm:spPr>
        <a:xfrm rot="5400000">
          <a:off x="3010789" y="-1702094"/>
          <a:ext cx="1433121"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sz="1100">
              <a:solidFill>
                <a:sysClr val="windowText" lastClr="000000">
                  <a:hueOff val="0"/>
                  <a:satOff val="0"/>
                  <a:lumOff val="0"/>
                  <a:alphaOff val="0"/>
                </a:sysClr>
              </a:solidFill>
              <a:latin typeface="Calibri Light" panose="020F0302020204030204"/>
              <a:ea typeface="+mn-ea"/>
              <a:cs typeface="+mn-cs"/>
            </a:rPr>
            <a:t>The purpose of this meeting would be to explore the issues or concerns they have in relation to discharge. This meeting should include discussions around the risks of being in hospital when clinically optimised. </a:t>
          </a:r>
          <a:endParaRPr lang="en-US" sz="1100">
            <a:solidFill>
              <a:sysClr val="windowText" lastClr="000000">
                <a:hueOff val="0"/>
                <a:satOff val="0"/>
                <a:lumOff val="0"/>
                <a:alphaOff val="0"/>
              </a:sysClr>
            </a:solidFill>
            <a:latin typeface="Calibri Light" panose="020F0302020204030204"/>
            <a:ea typeface="+mn-ea"/>
            <a:cs typeface="+mn-cs"/>
          </a:endParaRPr>
        </a:p>
      </dgm:t>
    </dgm:pt>
    <dgm:pt modelId="{200C3A14-6AE1-4854-B30A-C56EF727CB0C}" type="parTrans" cxnId="{F70B0A7A-84C3-4223-AF33-E584A3667162}">
      <dgm:prSet/>
      <dgm:spPr/>
      <dgm:t>
        <a:bodyPr/>
        <a:lstStyle/>
        <a:p>
          <a:endParaRPr lang="en-US"/>
        </a:p>
      </dgm:t>
    </dgm:pt>
    <dgm:pt modelId="{3218B6C2-9F85-4724-B920-E4F1230180A3}" type="sibTrans" cxnId="{F70B0A7A-84C3-4223-AF33-E584A3667162}">
      <dgm:prSet/>
      <dgm:spPr/>
      <dgm:t>
        <a:bodyPr/>
        <a:lstStyle/>
        <a:p>
          <a:endParaRPr lang="en-US"/>
        </a:p>
      </dgm:t>
    </dgm:pt>
    <dgm:pt modelId="{C910343B-94BF-4427-BF34-1DF84B8E5D20}">
      <dgm:prSet phldrT="[Text]" custT="1"/>
      <dgm:spPr>
        <a:xfrm rot="5400000">
          <a:off x="3010789" y="-1702094"/>
          <a:ext cx="1433121"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sz="1100">
              <a:solidFill>
                <a:sysClr val="windowText" lastClr="000000">
                  <a:hueOff val="0"/>
                  <a:satOff val="0"/>
                  <a:lumOff val="0"/>
                  <a:alphaOff val="0"/>
                </a:sysClr>
              </a:solidFill>
              <a:latin typeface="Calibri Light" panose="020F0302020204030204"/>
              <a:ea typeface="+mn-ea"/>
              <a:cs typeface="+mn-cs"/>
            </a:rPr>
            <a:t>The patient should be given a date and time of discharge and the whole discussion should be carefully and clearly documented.</a:t>
          </a:r>
          <a:endParaRPr lang="en-US" sz="1100">
            <a:solidFill>
              <a:sysClr val="windowText" lastClr="000000">
                <a:hueOff val="0"/>
                <a:satOff val="0"/>
                <a:lumOff val="0"/>
                <a:alphaOff val="0"/>
              </a:sysClr>
            </a:solidFill>
            <a:latin typeface="Calibri Light" panose="020F0302020204030204"/>
            <a:ea typeface="+mn-ea"/>
            <a:cs typeface="+mn-cs"/>
          </a:endParaRPr>
        </a:p>
      </dgm:t>
    </dgm:pt>
    <dgm:pt modelId="{FBC237CE-0BF0-47AC-A9B0-9AB36EA96391}" type="parTrans" cxnId="{0DF41E6C-7ACF-4FAB-88FE-38E50D4BCA97}">
      <dgm:prSet/>
      <dgm:spPr/>
      <dgm:t>
        <a:bodyPr/>
        <a:lstStyle/>
        <a:p>
          <a:endParaRPr lang="en-US"/>
        </a:p>
      </dgm:t>
    </dgm:pt>
    <dgm:pt modelId="{6D7EF1FC-31AA-4245-8315-E30419ADADBF}" type="sibTrans" cxnId="{0DF41E6C-7ACF-4FAB-88FE-38E50D4BCA97}">
      <dgm:prSet/>
      <dgm:spPr/>
      <dgm:t>
        <a:bodyPr/>
        <a:lstStyle/>
        <a:p>
          <a:endParaRPr lang="en-US"/>
        </a:p>
      </dgm:t>
    </dgm:pt>
    <dgm:pt modelId="{09060618-BB0A-4D7B-AC3C-4F3F00A85699}">
      <dgm:prSet custT="1"/>
      <dgm:spPr>
        <a:xfrm rot="5400000">
          <a:off x="3131903" y="3378858"/>
          <a:ext cx="1190893"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sz="1200">
              <a:solidFill>
                <a:sysClr val="windowText" lastClr="000000">
                  <a:hueOff val="0"/>
                  <a:satOff val="0"/>
                  <a:lumOff val="0"/>
                  <a:alphaOff val="0"/>
                </a:sysClr>
              </a:solidFill>
              <a:latin typeface="Calibri Light" panose="020F0302020204030204"/>
              <a:ea typeface="+mn-ea"/>
              <a:cs typeface="+mn-cs"/>
            </a:rPr>
            <a:t>The Health Board would need to apply to the court for an order of possession or to the Court of Protection for a final decision on a disagreement. This stage must be informed by specific and additional legal advice.</a:t>
          </a:r>
          <a:endParaRPr lang="en-US" sz="1200">
            <a:solidFill>
              <a:sysClr val="windowText" lastClr="000000">
                <a:hueOff val="0"/>
                <a:satOff val="0"/>
                <a:lumOff val="0"/>
                <a:alphaOff val="0"/>
              </a:sysClr>
            </a:solidFill>
            <a:latin typeface="Calibri Light" panose="020F0302020204030204"/>
            <a:ea typeface="+mn-ea"/>
            <a:cs typeface="+mn-cs"/>
          </a:endParaRPr>
        </a:p>
      </dgm:t>
    </dgm:pt>
    <dgm:pt modelId="{4DFA5FD2-BE51-4913-9AB7-E6CB5BCB9FE2}" type="parTrans" cxnId="{2D45C7C3-9D66-4B6E-8E36-62354C60653D}">
      <dgm:prSet/>
      <dgm:spPr/>
      <dgm:t>
        <a:bodyPr/>
        <a:lstStyle/>
        <a:p>
          <a:endParaRPr lang="en-US"/>
        </a:p>
      </dgm:t>
    </dgm:pt>
    <dgm:pt modelId="{5C7853C1-589A-4647-A2F5-3E0072A6BDAD}" type="sibTrans" cxnId="{2D45C7C3-9D66-4B6E-8E36-62354C60653D}">
      <dgm:prSet/>
      <dgm:spPr/>
      <dgm:t>
        <a:bodyPr/>
        <a:lstStyle/>
        <a:p>
          <a:endParaRPr lang="en-US"/>
        </a:p>
      </dgm:t>
    </dgm:pt>
    <dgm:pt modelId="{BD5D4EE4-7A83-417E-81DF-CAF542801051}">
      <dgm:prSet phldrT="[Text]"/>
      <dgm:spPr>
        <a:xfrm rot="5400000">
          <a:off x="-274821" y="2115781"/>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 lastClr="FFFFFF"/>
              </a:solidFill>
              <a:latin typeface="Calibri" panose="020F0502020204030204"/>
              <a:ea typeface="+mn-ea"/>
              <a:cs typeface="+mn-cs"/>
            </a:rPr>
            <a:t>Stage 2</a:t>
          </a:r>
        </a:p>
      </dgm:t>
    </dgm:pt>
    <dgm:pt modelId="{912E57E3-FD53-4985-9A1C-2E7C24BDD364}" type="sibTrans" cxnId="{7FF7A598-813C-42BF-9812-7154D5BE255D}">
      <dgm:prSet/>
      <dgm:spPr/>
      <dgm:t>
        <a:bodyPr/>
        <a:lstStyle/>
        <a:p>
          <a:endParaRPr lang="en-US"/>
        </a:p>
      </dgm:t>
    </dgm:pt>
    <dgm:pt modelId="{84ED34C1-234E-4ABC-AAC0-84F6847372FD}" type="parTrans" cxnId="{7FF7A598-813C-42BF-9812-7154D5BE255D}">
      <dgm:prSet/>
      <dgm:spPr/>
      <dgm:t>
        <a:bodyPr/>
        <a:lstStyle/>
        <a:p>
          <a:endParaRPr lang="en-US"/>
        </a:p>
      </dgm:t>
    </dgm:pt>
    <dgm:pt modelId="{49CEFEC5-147B-4A8F-AF84-D3CEFED2E4FA}">
      <dgm:prSet custT="1"/>
      <dgm:spPr>
        <a:xfrm rot="5400000">
          <a:off x="3131903" y="-8443"/>
          <a:ext cx="1190893"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sz="1200">
              <a:solidFill>
                <a:sysClr val="windowText" lastClr="000000">
                  <a:hueOff val="0"/>
                  <a:satOff val="0"/>
                  <a:lumOff val="0"/>
                  <a:alphaOff val="0"/>
                </a:sysClr>
              </a:solidFill>
              <a:latin typeface="Calibri Light" panose="020F0302020204030204"/>
              <a:ea typeface="+mn-ea"/>
              <a:cs typeface="+mn-cs"/>
            </a:rPr>
            <a:t>If stage 1 is unsuccessful then the health board should supply the patient with a letter (appendix 2), this can be found in the SOP for reluctant to discharge patients.</a:t>
          </a:r>
          <a:endParaRPr lang="en-US" sz="1200">
            <a:solidFill>
              <a:sysClr val="windowText" lastClr="000000">
                <a:hueOff val="0"/>
                <a:satOff val="0"/>
                <a:lumOff val="0"/>
                <a:alphaOff val="0"/>
              </a:sysClr>
            </a:solidFill>
            <a:latin typeface="Calibri Light" panose="020F0302020204030204"/>
            <a:ea typeface="+mn-ea"/>
            <a:cs typeface="+mn-cs"/>
          </a:endParaRPr>
        </a:p>
      </dgm:t>
    </dgm:pt>
    <dgm:pt modelId="{8C5624A5-FF34-4B73-9BB6-7A9C53AB2F4A}" type="parTrans" cxnId="{3724A2DE-43B2-4AC0-AD41-70AAB2CD7FB6}">
      <dgm:prSet/>
      <dgm:spPr/>
      <dgm:t>
        <a:bodyPr/>
        <a:lstStyle/>
        <a:p>
          <a:endParaRPr lang="en-US"/>
        </a:p>
      </dgm:t>
    </dgm:pt>
    <dgm:pt modelId="{3FB7990D-4DF8-4BE6-9C3F-AE6B5212D2BF}" type="sibTrans" cxnId="{3724A2DE-43B2-4AC0-AD41-70AAB2CD7FB6}">
      <dgm:prSet/>
      <dgm:spPr/>
      <dgm:t>
        <a:bodyPr/>
        <a:lstStyle/>
        <a:p>
          <a:endParaRPr lang="en-US"/>
        </a:p>
      </dgm:t>
    </dgm:pt>
    <dgm:pt modelId="{8105A173-A18E-4687-B933-2C1F0B84067F}">
      <dgm:prSet custT="1"/>
      <dgm:spPr>
        <a:xfrm rot="5400000">
          <a:off x="3131903" y="-8443"/>
          <a:ext cx="1190893"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sz="1200">
              <a:solidFill>
                <a:sysClr val="windowText" lastClr="000000">
                  <a:hueOff val="0"/>
                  <a:satOff val="0"/>
                  <a:lumOff val="0"/>
                  <a:alphaOff val="0"/>
                </a:sysClr>
              </a:solidFill>
              <a:latin typeface="Calibri Light" panose="020F0302020204030204"/>
              <a:ea typeface="+mn-ea"/>
              <a:cs typeface="+mn-cs"/>
            </a:rPr>
            <a:t>This should be given by a senior member of staff.</a:t>
          </a:r>
          <a:endParaRPr lang="en-US" sz="1200">
            <a:solidFill>
              <a:sysClr val="windowText" lastClr="000000">
                <a:hueOff val="0"/>
                <a:satOff val="0"/>
                <a:lumOff val="0"/>
                <a:alphaOff val="0"/>
              </a:sysClr>
            </a:solidFill>
            <a:latin typeface="Calibri Light" panose="020F0302020204030204"/>
            <a:ea typeface="+mn-ea"/>
            <a:cs typeface="+mn-cs"/>
          </a:endParaRPr>
        </a:p>
      </dgm:t>
    </dgm:pt>
    <dgm:pt modelId="{1D7E936F-FF85-40ED-90BF-529AC7A0FD16}" type="parTrans" cxnId="{5E715940-7916-4FB5-BC69-AD20E47BC4A4}">
      <dgm:prSet/>
      <dgm:spPr/>
      <dgm:t>
        <a:bodyPr/>
        <a:lstStyle/>
        <a:p>
          <a:endParaRPr lang="en-US"/>
        </a:p>
      </dgm:t>
    </dgm:pt>
    <dgm:pt modelId="{58D1EF9F-F59B-4A73-A3DE-E0A17199643F}" type="sibTrans" cxnId="{5E715940-7916-4FB5-BC69-AD20E47BC4A4}">
      <dgm:prSet/>
      <dgm:spPr/>
      <dgm:t>
        <a:bodyPr/>
        <a:lstStyle/>
        <a:p>
          <a:endParaRPr lang="en-US"/>
        </a:p>
      </dgm:t>
    </dgm:pt>
    <dgm:pt modelId="{A35F6F9F-3C91-4810-B6FA-E5E1DCA0E054}" type="pres">
      <dgm:prSet presAssocID="{65F7262D-4CD4-4122-A85A-959C3F1DF3A5}" presName="linearFlow" presStyleCnt="0">
        <dgm:presLayoutVars>
          <dgm:dir/>
          <dgm:animLvl val="lvl"/>
          <dgm:resizeHandles val="exact"/>
        </dgm:presLayoutVars>
      </dgm:prSet>
      <dgm:spPr/>
    </dgm:pt>
    <dgm:pt modelId="{A4184C1A-76CE-4164-ACE8-F1DA28A7EEA0}" type="pres">
      <dgm:prSet presAssocID="{66EAC695-5CAA-48F8-867D-F958115AEBA8}" presName="composite" presStyleCnt="0"/>
      <dgm:spPr/>
    </dgm:pt>
    <dgm:pt modelId="{19008D38-746D-4422-B076-49512E70F3BC}" type="pres">
      <dgm:prSet presAssocID="{66EAC695-5CAA-48F8-867D-F958115AEBA8}" presName="parentText" presStyleLbl="alignNode1" presStyleIdx="0" presStyleCnt="4">
        <dgm:presLayoutVars>
          <dgm:chMax val="1"/>
          <dgm:bulletEnabled val="1"/>
        </dgm:presLayoutVars>
      </dgm:prSet>
      <dgm:spPr/>
    </dgm:pt>
    <dgm:pt modelId="{A836A420-AD8A-4015-92A2-EDF34A0960D9}" type="pres">
      <dgm:prSet presAssocID="{66EAC695-5CAA-48F8-867D-F958115AEBA8}" presName="descendantText" presStyleLbl="alignAcc1" presStyleIdx="0" presStyleCnt="4" custScaleY="120340">
        <dgm:presLayoutVars>
          <dgm:bulletEnabled val="1"/>
        </dgm:presLayoutVars>
      </dgm:prSet>
      <dgm:spPr/>
    </dgm:pt>
    <dgm:pt modelId="{A50C9C98-230D-44DF-8FBF-BC3DBE9DCD9F}" type="pres">
      <dgm:prSet presAssocID="{20C65E44-5E93-4DB8-A450-9EA15B598495}" presName="sp" presStyleCnt="0"/>
      <dgm:spPr/>
    </dgm:pt>
    <dgm:pt modelId="{02370C41-633C-405A-BE3D-F3E4D0C114C3}" type="pres">
      <dgm:prSet presAssocID="{BD5D4EE4-7A83-417E-81DF-CAF542801051}" presName="composite" presStyleCnt="0"/>
      <dgm:spPr/>
    </dgm:pt>
    <dgm:pt modelId="{2B7F9C96-30AC-465F-B245-483414F787A9}" type="pres">
      <dgm:prSet presAssocID="{BD5D4EE4-7A83-417E-81DF-CAF542801051}" presName="parentText" presStyleLbl="alignNode1" presStyleIdx="1" presStyleCnt="4">
        <dgm:presLayoutVars>
          <dgm:chMax val="1"/>
          <dgm:bulletEnabled val="1"/>
        </dgm:presLayoutVars>
      </dgm:prSet>
      <dgm:spPr/>
    </dgm:pt>
    <dgm:pt modelId="{EFACC75E-F4BB-446E-9B1E-8F648012901A}" type="pres">
      <dgm:prSet presAssocID="{BD5D4EE4-7A83-417E-81DF-CAF542801051}" presName="descendantText" presStyleLbl="alignAcc1" presStyleIdx="1" presStyleCnt="4">
        <dgm:presLayoutVars>
          <dgm:bulletEnabled val="1"/>
        </dgm:presLayoutVars>
      </dgm:prSet>
      <dgm:spPr/>
    </dgm:pt>
    <dgm:pt modelId="{115BE397-5384-432A-B152-008A217983E7}" type="pres">
      <dgm:prSet presAssocID="{912E57E3-FD53-4985-9A1C-2E7C24BDD364}" presName="sp" presStyleCnt="0"/>
      <dgm:spPr/>
    </dgm:pt>
    <dgm:pt modelId="{040ABDE9-A067-4866-8424-D89C62F5204B}" type="pres">
      <dgm:prSet presAssocID="{CDF782E7-6432-4A06-BC4A-7D61CE5F2D53}" presName="composite" presStyleCnt="0"/>
      <dgm:spPr/>
    </dgm:pt>
    <dgm:pt modelId="{9E1FE2FA-27B6-4267-A966-3E533E4A7441}" type="pres">
      <dgm:prSet presAssocID="{CDF782E7-6432-4A06-BC4A-7D61CE5F2D53}" presName="parentText" presStyleLbl="alignNode1" presStyleIdx="2" presStyleCnt="4">
        <dgm:presLayoutVars>
          <dgm:chMax val="1"/>
          <dgm:bulletEnabled val="1"/>
        </dgm:presLayoutVars>
      </dgm:prSet>
      <dgm:spPr/>
    </dgm:pt>
    <dgm:pt modelId="{1949CA2B-13D7-4324-B526-CF984D09C642}" type="pres">
      <dgm:prSet presAssocID="{CDF782E7-6432-4A06-BC4A-7D61CE5F2D53}" presName="descendantText" presStyleLbl="alignAcc1" presStyleIdx="2" presStyleCnt="4">
        <dgm:presLayoutVars>
          <dgm:bulletEnabled val="1"/>
        </dgm:presLayoutVars>
      </dgm:prSet>
      <dgm:spPr/>
    </dgm:pt>
    <dgm:pt modelId="{11AF0601-C52E-4855-88DE-161EE1A45CE6}" type="pres">
      <dgm:prSet presAssocID="{B353FC2B-47A6-431C-AACD-3D76209049B7}" presName="sp" presStyleCnt="0"/>
      <dgm:spPr/>
    </dgm:pt>
    <dgm:pt modelId="{989B6670-BF49-4D03-87D7-6BA99BA06BFF}" type="pres">
      <dgm:prSet presAssocID="{E92FBB77-46D9-4FAA-8721-15C64A9EC895}" presName="composite" presStyleCnt="0"/>
      <dgm:spPr/>
    </dgm:pt>
    <dgm:pt modelId="{8B7543D6-AFD8-430C-987E-E2D280ED4B8D}" type="pres">
      <dgm:prSet presAssocID="{E92FBB77-46D9-4FAA-8721-15C64A9EC895}" presName="parentText" presStyleLbl="alignNode1" presStyleIdx="3" presStyleCnt="4">
        <dgm:presLayoutVars>
          <dgm:chMax val="1"/>
          <dgm:bulletEnabled val="1"/>
        </dgm:presLayoutVars>
      </dgm:prSet>
      <dgm:spPr/>
    </dgm:pt>
    <dgm:pt modelId="{9E1DAEF5-C746-46F5-8DA8-27F677EF2128}" type="pres">
      <dgm:prSet presAssocID="{E92FBB77-46D9-4FAA-8721-15C64A9EC895}" presName="descendantText" presStyleLbl="alignAcc1" presStyleIdx="3" presStyleCnt="4">
        <dgm:presLayoutVars>
          <dgm:bulletEnabled val="1"/>
        </dgm:presLayoutVars>
      </dgm:prSet>
      <dgm:spPr/>
    </dgm:pt>
  </dgm:ptLst>
  <dgm:cxnLst>
    <dgm:cxn modelId="{A8A9ED01-768E-4E9B-905C-84F39E127452}" srcId="{65F7262D-4CD4-4122-A85A-959C3F1DF3A5}" destId="{66EAC695-5CAA-48F8-867D-F958115AEBA8}" srcOrd="0" destOrd="0" parTransId="{7590B606-71FF-46A5-AF9A-4924D2560360}" sibTransId="{20C65E44-5E93-4DB8-A450-9EA15B598495}"/>
    <dgm:cxn modelId="{96FBAB0C-7BBF-4CD7-803B-0242BE1E0E1C}" type="presOf" srcId="{E92FBB77-46D9-4FAA-8721-15C64A9EC895}" destId="{8B7543D6-AFD8-430C-987E-E2D280ED4B8D}" srcOrd="0" destOrd="0" presId="urn:microsoft.com/office/officeart/2005/8/layout/chevron2"/>
    <dgm:cxn modelId="{3C0E4B18-AE13-4BB7-904E-0CBBD82F9C67}" srcId="{66EAC695-5CAA-48F8-867D-F958115AEBA8}" destId="{44AF50DD-DFE0-4317-9F77-356A345BD464}" srcOrd="0" destOrd="0" parTransId="{81B3E2C1-7ED0-4B28-9873-FAE62A2B6717}" sibTransId="{7DEDB89D-AAA9-492D-82E4-B3CFCE490B96}"/>
    <dgm:cxn modelId="{5F0E6B1A-03D3-46F6-BD5D-D9778AE991FA}" type="presOf" srcId="{B101401F-DDF5-42B7-87A8-AD03E5FAE3F7}" destId="{1949CA2B-13D7-4324-B526-CF984D09C642}" srcOrd="0" destOrd="0" presId="urn:microsoft.com/office/officeart/2005/8/layout/chevron2"/>
    <dgm:cxn modelId="{9AE3A324-D2DA-465F-82FF-C123718CEBCF}" type="presOf" srcId="{266305F1-9479-412E-8F64-0055C0155EB8}" destId="{A836A420-AD8A-4015-92A2-EDF34A0960D9}" srcOrd="0" destOrd="1" presId="urn:microsoft.com/office/officeart/2005/8/layout/chevron2"/>
    <dgm:cxn modelId="{F8914933-854F-4498-94C4-3CA011CF843A}" srcId="{CDF782E7-6432-4A06-BC4A-7D61CE5F2D53}" destId="{B101401F-DDF5-42B7-87A8-AD03E5FAE3F7}" srcOrd="0" destOrd="0" parTransId="{8F40E4FE-C5D5-4E00-98CA-416F920F0C24}" sibTransId="{F4C41323-51DE-4757-B59E-33270C680503}"/>
    <dgm:cxn modelId="{5E715940-7916-4FB5-BC69-AD20E47BC4A4}" srcId="{BD5D4EE4-7A83-417E-81DF-CAF542801051}" destId="{8105A173-A18E-4687-B933-2C1F0B84067F}" srcOrd="1" destOrd="0" parTransId="{1D7E936F-FF85-40ED-90BF-529AC7A0FD16}" sibTransId="{58D1EF9F-F59B-4A73-A3DE-E0A17199643F}"/>
    <dgm:cxn modelId="{45099A42-8C28-4ACB-B90F-643F5B47B9CD}" type="presOf" srcId="{CDF782E7-6432-4A06-BC4A-7D61CE5F2D53}" destId="{9E1FE2FA-27B6-4267-A966-3E533E4A7441}" srcOrd="0" destOrd="0" presId="urn:microsoft.com/office/officeart/2005/8/layout/chevron2"/>
    <dgm:cxn modelId="{0DF41E6C-7ACF-4FAB-88FE-38E50D4BCA97}" srcId="{66EAC695-5CAA-48F8-867D-F958115AEBA8}" destId="{C910343B-94BF-4427-BF34-1DF84B8E5D20}" srcOrd="2" destOrd="0" parTransId="{FBC237CE-0BF0-47AC-A9B0-9AB36EA96391}" sibTransId="{6D7EF1FC-31AA-4245-8315-E30419ADADBF}"/>
    <dgm:cxn modelId="{F70B0A7A-84C3-4223-AF33-E584A3667162}" srcId="{66EAC695-5CAA-48F8-867D-F958115AEBA8}" destId="{266305F1-9479-412E-8F64-0055C0155EB8}" srcOrd="1" destOrd="0" parTransId="{200C3A14-6AE1-4854-B30A-C56EF727CB0C}" sibTransId="{3218B6C2-9F85-4724-B920-E4F1230180A3}"/>
    <dgm:cxn modelId="{91E9B55A-F2DA-4A43-9049-4D1CA933E43A}" srcId="{65F7262D-4CD4-4122-A85A-959C3F1DF3A5}" destId="{E92FBB77-46D9-4FAA-8721-15C64A9EC895}" srcOrd="3" destOrd="0" parTransId="{E2A6E0D9-3E69-46AF-B674-6C7AFBE9DE19}" sibTransId="{F517B3D9-4F6D-4523-B411-0B1EB7BEE9B5}"/>
    <dgm:cxn modelId="{2264F590-9DDB-46B5-A3D5-EBA13D52292A}" type="presOf" srcId="{65F7262D-4CD4-4122-A85A-959C3F1DF3A5}" destId="{A35F6F9F-3C91-4810-B6FA-E5E1DCA0E054}" srcOrd="0" destOrd="0" presId="urn:microsoft.com/office/officeart/2005/8/layout/chevron2"/>
    <dgm:cxn modelId="{972D3893-E3FD-4A27-B204-2E4A7313E142}" type="presOf" srcId="{BD5D4EE4-7A83-417E-81DF-CAF542801051}" destId="{2B7F9C96-30AC-465F-B245-483414F787A9}" srcOrd="0" destOrd="0" presId="urn:microsoft.com/office/officeart/2005/8/layout/chevron2"/>
    <dgm:cxn modelId="{7FF7A598-813C-42BF-9812-7154D5BE255D}" srcId="{65F7262D-4CD4-4122-A85A-959C3F1DF3A5}" destId="{BD5D4EE4-7A83-417E-81DF-CAF542801051}" srcOrd="1" destOrd="0" parTransId="{84ED34C1-234E-4ABC-AAC0-84F6847372FD}" sibTransId="{912E57E3-FD53-4985-9A1C-2E7C24BDD364}"/>
    <dgm:cxn modelId="{E17B7FC2-A387-469F-BF95-7CBB5D6A30A2}" type="presOf" srcId="{C910343B-94BF-4427-BF34-1DF84B8E5D20}" destId="{A836A420-AD8A-4015-92A2-EDF34A0960D9}" srcOrd="0" destOrd="2" presId="urn:microsoft.com/office/officeart/2005/8/layout/chevron2"/>
    <dgm:cxn modelId="{58EE8FC3-A23D-4C5A-8C70-DCD816446327}" type="presOf" srcId="{44AF50DD-DFE0-4317-9F77-356A345BD464}" destId="{A836A420-AD8A-4015-92A2-EDF34A0960D9}" srcOrd="0" destOrd="0" presId="urn:microsoft.com/office/officeart/2005/8/layout/chevron2"/>
    <dgm:cxn modelId="{2D45C7C3-9D66-4B6E-8E36-62354C60653D}" srcId="{E92FBB77-46D9-4FAA-8721-15C64A9EC895}" destId="{09060618-BB0A-4D7B-AC3C-4F3F00A85699}" srcOrd="0" destOrd="0" parTransId="{4DFA5FD2-BE51-4913-9AB7-E6CB5BCB9FE2}" sibTransId="{5C7853C1-589A-4647-A2F5-3E0072A6BDAD}"/>
    <dgm:cxn modelId="{500673CC-13FC-4272-97ED-979565813447}" type="presOf" srcId="{09060618-BB0A-4D7B-AC3C-4F3F00A85699}" destId="{9E1DAEF5-C746-46F5-8DA8-27F677EF2128}" srcOrd="0" destOrd="0" presId="urn:microsoft.com/office/officeart/2005/8/layout/chevron2"/>
    <dgm:cxn modelId="{3724A2DE-43B2-4AC0-AD41-70AAB2CD7FB6}" srcId="{BD5D4EE4-7A83-417E-81DF-CAF542801051}" destId="{49CEFEC5-147B-4A8F-AF84-D3CEFED2E4FA}" srcOrd="0" destOrd="0" parTransId="{8C5624A5-FF34-4B73-9BB6-7A9C53AB2F4A}" sibTransId="{3FB7990D-4DF8-4BE6-9C3F-AE6B5212D2BF}"/>
    <dgm:cxn modelId="{FE3C5ADF-8F83-4AA9-830D-E8B116199EDA}" type="presOf" srcId="{8105A173-A18E-4687-B933-2C1F0B84067F}" destId="{EFACC75E-F4BB-446E-9B1E-8F648012901A}" srcOrd="0" destOrd="1" presId="urn:microsoft.com/office/officeart/2005/8/layout/chevron2"/>
    <dgm:cxn modelId="{774EE5F0-748B-450A-92D6-3447CD7FE33C}" type="presOf" srcId="{49CEFEC5-147B-4A8F-AF84-D3CEFED2E4FA}" destId="{EFACC75E-F4BB-446E-9B1E-8F648012901A}" srcOrd="0" destOrd="0" presId="urn:microsoft.com/office/officeart/2005/8/layout/chevron2"/>
    <dgm:cxn modelId="{B5FB6CF4-457F-48C0-95DC-B31C4FF07FCC}" srcId="{65F7262D-4CD4-4122-A85A-959C3F1DF3A5}" destId="{CDF782E7-6432-4A06-BC4A-7D61CE5F2D53}" srcOrd="2" destOrd="0" parTransId="{E356BE2C-BE6D-4637-B185-CF7846D1420A}" sibTransId="{B353FC2B-47A6-431C-AACD-3D76209049B7}"/>
    <dgm:cxn modelId="{6977FCF8-5EB8-4095-B47A-4E854FACC391}" type="presOf" srcId="{66EAC695-5CAA-48F8-867D-F958115AEBA8}" destId="{19008D38-746D-4422-B076-49512E70F3BC}" srcOrd="0" destOrd="0" presId="urn:microsoft.com/office/officeart/2005/8/layout/chevron2"/>
    <dgm:cxn modelId="{771CF6D5-B308-4064-9B0F-FE1CDC89B210}" type="presParOf" srcId="{A35F6F9F-3C91-4810-B6FA-E5E1DCA0E054}" destId="{A4184C1A-76CE-4164-ACE8-F1DA28A7EEA0}" srcOrd="0" destOrd="0" presId="urn:microsoft.com/office/officeart/2005/8/layout/chevron2"/>
    <dgm:cxn modelId="{CBC30472-233B-43B1-8C1D-DDC744FF292D}" type="presParOf" srcId="{A4184C1A-76CE-4164-ACE8-F1DA28A7EEA0}" destId="{19008D38-746D-4422-B076-49512E70F3BC}" srcOrd="0" destOrd="0" presId="urn:microsoft.com/office/officeart/2005/8/layout/chevron2"/>
    <dgm:cxn modelId="{819086E0-D384-41D7-AED2-3A72AE5CECBB}" type="presParOf" srcId="{A4184C1A-76CE-4164-ACE8-F1DA28A7EEA0}" destId="{A836A420-AD8A-4015-92A2-EDF34A0960D9}" srcOrd="1" destOrd="0" presId="urn:microsoft.com/office/officeart/2005/8/layout/chevron2"/>
    <dgm:cxn modelId="{CEB9CC8A-10A4-4B58-9D59-C256C0F3EEDE}" type="presParOf" srcId="{A35F6F9F-3C91-4810-B6FA-E5E1DCA0E054}" destId="{A50C9C98-230D-44DF-8FBF-BC3DBE9DCD9F}" srcOrd="1" destOrd="0" presId="urn:microsoft.com/office/officeart/2005/8/layout/chevron2"/>
    <dgm:cxn modelId="{B0D5C61C-531E-4DA6-9FE6-ED504A9755BF}" type="presParOf" srcId="{A35F6F9F-3C91-4810-B6FA-E5E1DCA0E054}" destId="{02370C41-633C-405A-BE3D-F3E4D0C114C3}" srcOrd="2" destOrd="0" presId="urn:microsoft.com/office/officeart/2005/8/layout/chevron2"/>
    <dgm:cxn modelId="{D93FBD84-1F33-4E72-A6A0-AF2CAD03E723}" type="presParOf" srcId="{02370C41-633C-405A-BE3D-F3E4D0C114C3}" destId="{2B7F9C96-30AC-465F-B245-483414F787A9}" srcOrd="0" destOrd="0" presId="urn:microsoft.com/office/officeart/2005/8/layout/chevron2"/>
    <dgm:cxn modelId="{D661508A-4D12-48FC-B458-3204CC366916}" type="presParOf" srcId="{02370C41-633C-405A-BE3D-F3E4D0C114C3}" destId="{EFACC75E-F4BB-446E-9B1E-8F648012901A}" srcOrd="1" destOrd="0" presId="urn:microsoft.com/office/officeart/2005/8/layout/chevron2"/>
    <dgm:cxn modelId="{2326239B-1C22-4739-A298-A1E3B29E2394}" type="presParOf" srcId="{A35F6F9F-3C91-4810-B6FA-E5E1DCA0E054}" destId="{115BE397-5384-432A-B152-008A217983E7}" srcOrd="3" destOrd="0" presId="urn:microsoft.com/office/officeart/2005/8/layout/chevron2"/>
    <dgm:cxn modelId="{A79E0E9B-C126-401A-A2CC-8B34535EA2B8}" type="presParOf" srcId="{A35F6F9F-3C91-4810-B6FA-E5E1DCA0E054}" destId="{040ABDE9-A067-4866-8424-D89C62F5204B}" srcOrd="4" destOrd="0" presId="urn:microsoft.com/office/officeart/2005/8/layout/chevron2"/>
    <dgm:cxn modelId="{A70B6841-5D1E-487C-ADA5-8B2535526CED}" type="presParOf" srcId="{040ABDE9-A067-4866-8424-D89C62F5204B}" destId="{9E1FE2FA-27B6-4267-A966-3E533E4A7441}" srcOrd="0" destOrd="0" presId="urn:microsoft.com/office/officeart/2005/8/layout/chevron2"/>
    <dgm:cxn modelId="{0E767110-3C91-4B50-9D17-9DAE91BDFF4A}" type="presParOf" srcId="{040ABDE9-A067-4866-8424-D89C62F5204B}" destId="{1949CA2B-13D7-4324-B526-CF984D09C642}" srcOrd="1" destOrd="0" presId="urn:microsoft.com/office/officeart/2005/8/layout/chevron2"/>
    <dgm:cxn modelId="{07198748-2E30-4538-92E7-E92CC8FD9107}" type="presParOf" srcId="{A35F6F9F-3C91-4810-B6FA-E5E1DCA0E054}" destId="{11AF0601-C52E-4855-88DE-161EE1A45CE6}" srcOrd="5" destOrd="0" presId="urn:microsoft.com/office/officeart/2005/8/layout/chevron2"/>
    <dgm:cxn modelId="{D3669266-F42F-44FC-B54B-8F803B456E54}" type="presParOf" srcId="{A35F6F9F-3C91-4810-B6FA-E5E1DCA0E054}" destId="{989B6670-BF49-4D03-87D7-6BA99BA06BFF}" srcOrd="6" destOrd="0" presId="urn:microsoft.com/office/officeart/2005/8/layout/chevron2"/>
    <dgm:cxn modelId="{3C182657-21B1-4F56-99AA-99E612512DA6}" type="presParOf" srcId="{989B6670-BF49-4D03-87D7-6BA99BA06BFF}" destId="{8B7543D6-AFD8-430C-987E-E2D280ED4B8D}" srcOrd="0" destOrd="0" presId="urn:microsoft.com/office/officeart/2005/8/layout/chevron2"/>
    <dgm:cxn modelId="{357566A2-6ED0-4C20-B2FC-C894F616F3CA}" type="presParOf" srcId="{989B6670-BF49-4D03-87D7-6BA99BA06BFF}" destId="{9E1DAEF5-C746-46F5-8DA8-27F677EF2128}" srcOrd="1" destOrd="0" presId="urn:microsoft.com/office/officeart/2005/8/layout/chevro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008D38-746D-4422-B076-49512E70F3BC}">
      <dsp:nvSpPr>
        <dsp:cNvPr id="0" name=""/>
        <dsp:cNvSpPr/>
      </dsp:nvSpPr>
      <dsp:spPr>
        <a:xfrm rot="5400000">
          <a:off x="-274821" y="422130"/>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1466850">
            <a:lnSpc>
              <a:spcPct val="90000"/>
            </a:lnSpc>
            <a:spcBef>
              <a:spcPct val="0"/>
            </a:spcBef>
            <a:spcAft>
              <a:spcPct val="35000"/>
            </a:spcAft>
            <a:buNone/>
          </a:pPr>
          <a:r>
            <a:rPr lang="en-US" sz="3300" kern="1200">
              <a:solidFill>
                <a:sysClr val="window" lastClr="FFFFFF"/>
              </a:solidFill>
              <a:latin typeface="Calibri" panose="020F0502020204030204"/>
              <a:ea typeface="+mn-ea"/>
              <a:cs typeface="+mn-cs"/>
            </a:rPr>
            <a:t>Stage 1</a:t>
          </a:r>
        </a:p>
      </dsp:txBody>
      <dsp:txXfrm rot="-5400000">
        <a:off x="1" y="788558"/>
        <a:ext cx="1282500" cy="549643"/>
      </dsp:txXfrm>
    </dsp:sp>
    <dsp:sp modelId="{A836A420-AD8A-4015-92A2-EDF34A0960D9}">
      <dsp:nvSpPr>
        <dsp:cNvPr id="0" name=""/>
        <dsp:cNvSpPr/>
      </dsp:nvSpPr>
      <dsp:spPr>
        <a:xfrm rot="5400000">
          <a:off x="3010789" y="-1702094"/>
          <a:ext cx="1433121"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Light" panose="020F0302020204030204"/>
              <a:ea typeface="+mn-ea"/>
              <a:cs typeface="+mn-cs"/>
            </a:rPr>
            <a:t>A meeting should be held between the matron, ward manager, patient flow co-ordinator, senior medical practitioner, social worker (if applicable), LPA or court appointed deputy (if applicable), the person and if appropriate family and carers. </a:t>
          </a:r>
          <a:endParaRPr lang="en-US" sz="1100" kern="1200">
            <a:solidFill>
              <a:sysClr val="windowText" lastClr="000000">
                <a:hueOff val="0"/>
                <a:satOff val="0"/>
                <a:lumOff val="0"/>
                <a:alphaOff val="0"/>
              </a:sysClr>
            </a:solidFill>
            <a:latin typeface="Calibri Light" panose="020F0302020204030204"/>
            <a:ea typeface="+mn-ea"/>
            <a:cs typeface="+mn-cs"/>
          </a:endParaRP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Light" panose="020F0302020204030204"/>
              <a:ea typeface="+mn-ea"/>
              <a:cs typeface="+mn-cs"/>
            </a:rPr>
            <a:t>The purpose of this meeting would be to explore the issues or concerns they have in relation to discharge. This meeting should include discussions around the risks of being in hospital when clinically optimised. </a:t>
          </a:r>
          <a:endParaRPr lang="en-US" sz="1100" kern="1200">
            <a:solidFill>
              <a:sysClr val="windowText" lastClr="000000">
                <a:hueOff val="0"/>
                <a:satOff val="0"/>
                <a:lumOff val="0"/>
                <a:alphaOff val="0"/>
              </a:sysClr>
            </a:solidFill>
            <a:latin typeface="Calibri Light" panose="020F0302020204030204"/>
            <a:ea typeface="+mn-ea"/>
            <a:cs typeface="+mn-cs"/>
          </a:endParaRP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Light" panose="020F0302020204030204"/>
              <a:ea typeface="+mn-ea"/>
              <a:cs typeface="+mn-cs"/>
            </a:rPr>
            <a:t>The patient should be given a date and time of discharge and the whole discussion should be carefully and clearly documented.</a:t>
          </a:r>
          <a:endParaRPr lang="en-US" sz="1100" kern="1200">
            <a:solidFill>
              <a:sysClr val="windowText" lastClr="000000">
                <a:hueOff val="0"/>
                <a:satOff val="0"/>
                <a:lumOff val="0"/>
                <a:alphaOff val="0"/>
              </a:sysClr>
            </a:solidFill>
            <a:latin typeface="Calibri Light" panose="020F0302020204030204"/>
            <a:ea typeface="+mn-ea"/>
            <a:cs typeface="+mn-cs"/>
          </a:endParaRPr>
        </a:p>
      </dsp:txBody>
      <dsp:txXfrm rot="-5400000">
        <a:off x="1282501" y="96153"/>
        <a:ext cx="4819740" cy="1293203"/>
      </dsp:txXfrm>
    </dsp:sp>
    <dsp:sp modelId="{2B7F9C96-30AC-465F-B245-483414F787A9}">
      <dsp:nvSpPr>
        <dsp:cNvPr id="0" name=""/>
        <dsp:cNvSpPr/>
      </dsp:nvSpPr>
      <dsp:spPr>
        <a:xfrm rot="5400000">
          <a:off x="-274821" y="2115781"/>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1466850">
            <a:lnSpc>
              <a:spcPct val="90000"/>
            </a:lnSpc>
            <a:spcBef>
              <a:spcPct val="0"/>
            </a:spcBef>
            <a:spcAft>
              <a:spcPct val="35000"/>
            </a:spcAft>
            <a:buNone/>
          </a:pPr>
          <a:r>
            <a:rPr lang="en-US" sz="3300" kern="1200">
              <a:solidFill>
                <a:sysClr val="window" lastClr="FFFFFF"/>
              </a:solidFill>
              <a:latin typeface="Calibri" panose="020F0502020204030204"/>
              <a:ea typeface="+mn-ea"/>
              <a:cs typeface="+mn-cs"/>
            </a:rPr>
            <a:t>Stage 2</a:t>
          </a:r>
        </a:p>
      </dsp:txBody>
      <dsp:txXfrm rot="-5400000">
        <a:off x="1" y="2482209"/>
        <a:ext cx="1282500" cy="549643"/>
      </dsp:txXfrm>
    </dsp:sp>
    <dsp:sp modelId="{EFACC75E-F4BB-446E-9B1E-8F648012901A}">
      <dsp:nvSpPr>
        <dsp:cNvPr id="0" name=""/>
        <dsp:cNvSpPr/>
      </dsp:nvSpPr>
      <dsp:spPr>
        <a:xfrm rot="5400000">
          <a:off x="3131903" y="-8443"/>
          <a:ext cx="1190893"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Light" panose="020F0302020204030204"/>
              <a:ea typeface="+mn-ea"/>
              <a:cs typeface="+mn-cs"/>
            </a:rPr>
            <a:t>If stage 1 is unsuccessful then the health board should supply the patient with a letter (appendix 2), this can be found in the SOP for reluctant to discharge patients.</a:t>
          </a:r>
          <a:endParaRPr lang="en-US" sz="1200" kern="1200">
            <a:solidFill>
              <a:sysClr val="windowText" lastClr="000000">
                <a:hueOff val="0"/>
                <a:satOff val="0"/>
                <a:lumOff val="0"/>
                <a:alphaOff val="0"/>
              </a:sysClr>
            </a:solidFill>
            <a:latin typeface="Calibri Light" panose="020F0302020204030204"/>
            <a:ea typeface="+mn-ea"/>
            <a:cs typeface="+mn-cs"/>
          </a:endParaRP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Light" panose="020F0302020204030204"/>
              <a:ea typeface="+mn-ea"/>
              <a:cs typeface="+mn-cs"/>
            </a:rPr>
            <a:t>This should be given by a senior member of staff.</a:t>
          </a:r>
          <a:endParaRPr lang="en-US" sz="1200" kern="1200">
            <a:solidFill>
              <a:sysClr val="windowText" lastClr="000000">
                <a:hueOff val="0"/>
                <a:satOff val="0"/>
                <a:lumOff val="0"/>
                <a:alphaOff val="0"/>
              </a:sysClr>
            </a:solidFill>
            <a:latin typeface="Calibri Light" panose="020F0302020204030204"/>
            <a:ea typeface="+mn-ea"/>
            <a:cs typeface="+mn-cs"/>
          </a:endParaRPr>
        </a:p>
      </dsp:txBody>
      <dsp:txXfrm rot="-5400000">
        <a:off x="1282501" y="1899095"/>
        <a:ext cx="4831564" cy="1074623"/>
      </dsp:txXfrm>
    </dsp:sp>
    <dsp:sp modelId="{9E1FE2FA-27B6-4267-A966-3E533E4A7441}">
      <dsp:nvSpPr>
        <dsp:cNvPr id="0" name=""/>
        <dsp:cNvSpPr/>
      </dsp:nvSpPr>
      <dsp:spPr>
        <a:xfrm rot="5400000">
          <a:off x="-274821" y="3809432"/>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1466850">
            <a:lnSpc>
              <a:spcPct val="90000"/>
            </a:lnSpc>
            <a:spcBef>
              <a:spcPct val="0"/>
            </a:spcBef>
            <a:spcAft>
              <a:spcPct val="35000"/>
            </a:spcAft>
            <a:buNone/>
          </a:pPr>
          <a:r>
            <a:rPr lang="en-US" sz="3300" kern="1200">
              <a:solidFill>
                <a:sysClr val="window" lastClr="FFFFFF"/>
              </a:solidFill>
              <a:latin typeface="Calibri" panose="020F0502020204030204"/>
              <a:ea typeface="+mn-ea"/>
              <a:cs typeface="+mn-cs"/>
            </a:rPr>
            <a:t>Stage 3</a:t>
          </a:r>
        </a:p>
      </dsp:txBody>
      <dsp:txXfrm rot="-5400000">
        <a:off x="1" y="4175860"/>
        <a:ext cx="1282500" cy="549643"/>
      </dsp:txXfrm>
    </dsp:sp>
    <dsp:sp modelId="{1949CA2B-13D7-4324-B526-CF984D09C642}">
      <dsp:nvSpPr>
        <dsp:cNvPr id="0" name=""/>
        <dsp:cNvSpPr/>
      </dsp:nvSpPr>
      <dsp:spPr>
        <a:xfrm rot="5400000">
          <a:off x="3131903" y="1685207"/>
          <a:ext cx="1190893"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Light" panose="020F0302020204030204"/>
              <a:ea typeface="+mn-ea"/>
              <a:cs typeface="+mn-cs"/>
            </a:rPr>
            <a:t>If following the letter the patient/families are still not engaging in the discharge process staff should seek legal advice. (</a:t>
          </a:r>
          <a:r>
            <a:rPr lang="en-US" sz="1200" kern="1200">
              <a:solidFill>
                <a:sysClr val="windowText" lastClr="000000">
                  <a:hueOff val="0"/>
                  <a:satOff val="0"/>
                  <a:lumOff val="0"/>
                  <a:alphaOff val="0"/>
                </a:sysClr>
              </a:solidFill>
              <a:latin typeface="Calibri Light" panose="020F0302020204030204"/>
              <a:ea typeface="+mn-ea"/>
              <a:cs typeface="+mn-cs"/>
            </a:rPr>
            <a:t>SBU.Claims@wales.nhs.uk)</a:t>
          </a:r>
        </a:p>
      </dsp:txBody>
      <dsp:txXfrm rot="-5400000">
        <a:off x="1282501" y="3592745"/>
        <a:ext cx="4831564" cy="1074623"/>
      </dsp:txXfrm>
    </dsp:sp>
    <dsp:sp modelId="{8B7543D6-AFD8-430C-987E-E2D280ED4B8D}">
      <dsp:nvSpPr>
        <dsp:cNvPr id="0" name=""/>
        <dsp:cNvSpPr/>
      </dsp:nvSpPr>
      <dsp:spPr>
        <a:xfrm rot="5400000">
          <a:off x="-274821" y="5503082"/>
          <a:ext cx="1832143" cy="128250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1466850">
            <a:lnSpc>
              <a:spcPct val="90000"/>
            </a:lnSpc>
            <a:spcBef>
              <a:spcPct val="0"/>
            </a:spcBef>
            <a:spcAft>
              <a:spcPct val="35000"/>
            </a:spcAft>
            <a:buNone/>
          </a:pPr>
          <a:r>
            <a:rPr lang="en-US" sz="3300" kern="1200">
              <a:solidFill>
                <a:sysClr val="window" lastClr="FFFFFF"/>
              </a:solidFill>
              <a:latin typeface="Calibri" panose="020F0502020204030204"/>
              <a:ea typeface="+mn-ea"/>
              <a:cs typeface="+mn-cs"/>
            </a:rPr>
            <a:t>Stage 4</a:t>
          </a:r>
        </a:p>
      </dsp:txBody>
      <dsp:txXfrm rot="-5400000">
        <a:off x="1" y="5869510"/>
        <a:ext cx="1282500" cy="549643"/>
      </dsp:txXfrm>
    </dsp:sp>
    <dsp:sp modelId="{9E1DAEF5-C746-46F5-8DA8-27F677EF2128}">
      <dsp:nvSpPr>
        <dsp:cNvPr id="0" name=""/>
        <dsp:cNvSpPr/>
      </dsp:nvSpPr>
      <dsp:spPr>
        <a:xfrm rot="5400000">
          <a:off x="3131903" y="3378858"/>
          <a:ext cx="1190893" cy="488969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Calibri Light" panose="020F0302020204030204"/>
              <a:ea typeface="+mn-ea"/>
              <a:cs typeface="+mn-cs"/>
            </a:rPr>
            <a:t>The Health Board would need to apply to the court for an order of possession or to the Court of Protection for a final decision on a disagreement. This stage must be informed by specific and additional legal advice.</a:t>
          </a:r>
          <a:endParaRPr lang="en-US" sz="1200" kern="1200">
            <a:solidFill>
              <a:sysClr val="windowText" lastClr="000000">
                <a:hueOff val="0"/>
                <a:satOff val="0"/>
                <a:lumOff val="0"/>
                <a:alphaOff val="0"/>
              </a:sysClr>
            </a:solidFill>
            <a:latin typeface="Calibri Light" panose="020F0302020204030204"/>
            <a:ea typeface="+mn-ea"/>
            <a:cs typeface="+mn-cs"/>
          </a:endParaRPr>
        </a:p>
      </dsp:txBody>
      <dsp:txXfrm rot="-5400000">
        <a:off x="1282501" y="5286396"/>
        <a:ext cx="4831564" cy="107462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ed2708-2df0-4e4c-b040-0525db79a988" xsi:nil="true"/>
    <Action_x002f_Decision xmlns="9fdf7563-49dc-4a0c-816a-bc95101aabf7" xsi:nil="true"/>
    <lcf76f155ced4ddcb4097134ff3c332f xmlns="9fdf7563-49dc-4a0c-816a-bc95101aab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D7415FFDB2EC4A9B6D063F10EDA402" ma:contentTypeVersion="17" ma:contentTypeDescription="Create a new document." ma:contentTypeScope="" ma:versionID="d6b15cf24536c763c3d3f11930e09d92">
  <xsd:schema xmlns:xsd="http://www.w3.org/2001/XMLSchema" xmlns:xs="http://www.w3.org/2001/XMLSchema" xmlns:p="http://schemas.microsoft.com/office/2006/metadata/properties" xmlns:ns2="9fdf7563-49dc-4a0c-816a-bc95101aabf7" xmlns:ns3="bced2708-2df0-4e4c-b040-0525db79a988" targetNamespace="http://schemas.microsoft.com/office/2006/metadata/properties" ma:root="true" ma:fieldsID="e7f819a0aa520c3f1300b2566297f548" ns2:_="" ns3:_="">
    <xsd:import namespace="9fdf7563-49dc-4a0c-816a-bc95101aabf7"/>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Action_x002f_Dec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f7563-49dc-4a0c-816a-bc95101aa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2f_Decision" ma:index="23" nillable="true" ma:displayName="Action/Decision" ma:format="Dropdown" ma:internalName="Action_x002f_Decision">
      <xsd:simpleType>
        <xsd:restriction base="dms:Choice">
          <xsd:enumeration value="Action"/>
          <xsd:enumeration value="Deci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46b93a-dcc6-4bc2-8f85-c942819364be}" ma:internalName="TaxCatchAll" ma:showField="CatchAllData" ma:web="bced2708-2df0-4e4c-b040-0525db79a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794BF-B358-4B86-A964-A4E3F2DCF704}">
  <ds:schemaRefs>
    <ds:schemaRef ds:uri="http://schemas.microsoft.com/office/2006/metadata/properties"/>
    <ds:schemaRef ds:uri="http://schemas.microsoft.com/office/infopath/2007/PartnerControls"/>
    <ds:schemaRef ds:uri="bced2708-2df0-4e4c-b040-0525db79a988"/>
    <ds:schemaRef ds:uri="9fdf7563-49dc-4a0c-816a-bc95101aabf7"/>
  </ds:schemaRefs>
</ds:datastoreItem>
</file>

<file path=customXml/itemProps2.xml><?xml version="1.0" encoding="utf-8"?>
<ds:datastoreItem xmlns:ds="http://schemas.openxmlformats.org/officeDocument/2006/customXml" ds:itemID="{C32D2A18-325B-497E-A413-4B794094D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f7563-49dc-4a0c-816a-bc95101aabf7"/>
    <ds:schemaRef ds:uri="bced2708-2df0-4e4c-b040-0525db79a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F46A6-8C9F-4A25-AE39-50FA3522BF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1047</Words>
  <Characters>5974</Characters>
  <Application>Microsoft Office Word</Application>
  <DocSecurity>0</DocSecurity>
  <Lines>49</Lines>
  <Paragraphs>14</Paragraphs>
  <ScaleCrop>false</ScaleCrop>
  <Company>ABMU LHB</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Cochrane (Swansea Bay UHB - Corporate safeguarding)</dc:creator>
  <cp:keywords/>
  <dc:description/>
  <cp:lastModifiedBy>Abby Bolter (Swansea Bay UHB - Communications)</cp:lastModifiedBy>
  <cp:revision>13</cp:revision>
  <dcterms:created xsi:type="dcterms:W3CDTF">2026-08-25T08:48:00Z</dcterms:created>
  <dcterms:modified xsi:type="dcterms:W3CDTF">2026-09-01T12:09:00Z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0x01010076D7415FFDB2EC4A9B6D063F10EDA402</vt:lpwstr>
  </property>
  <property fmtid="{D5CDD505-2E9C-101B-9397-08002B2CF9AE}" pid="3" name="MediaServiceImageTags">
    <vt:lpwstr/>
  </property>
</Properties>
</file>