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1C57" w14:textId="56172F11" w:rsidR="00FB4AD1" w:rsidRPr="009B51B1" w:rsidRDefault="00C9236B" w:rsidP="0040543F">
      <w:pPr>
        <w:rPr>
          <w:rFonts w:ascii="Segoe UI" w:hAnsi="Segoe UI" w:cs="Segoe UI"/>
          <w:b/>
          <w:bCs/>
          <w:szCs w:val="24"/>
        </w:rPr>
      </w:pPr>
      <w:r w:rsidRPr="009B51B1">
        <w:rPr>
          <w:rFonts w:ascii="Segoe UI" w:hAnsi="Segoe UI" w:cs="Segoe UI"/>
          <w:noProof/>
          <w:szCs w:val="24"/>
        </w:rPr>
        <w:drawing>
          <wp:anchor distT="0" distB="0" distL="114300" distR="114300" simplePos="0" relativeHeight="251658242" behindDoc="0" locked="0" layoutInCell="1" allowOverlap="1" wp14:anchorId="27FDEB9B" wp14:editId="5275739F">
            <wp:simplePos x="0" y="0"/>
            <wp:positionH relativeFrom="margin">
              <wp:align>right</wp:align>
            </wp:positionH>
            <wp:positionV relativeFrom="margin">
              <wp:posOffset>635</wp:posOffset>
            </wp:positionV>
            <wp:extent cx="1868170" cy="628650"/>
            <wp:effectExtent l="0" t="0" r="0" b="0"/>
            <wp:wrapSquare wrapText="bothSides"/>
            <wp:docPr id="4" name="Picture 2" descr="Blue text on a black background&#10;&#10;AI-generated content may be incorrect.">
              <a:extLst xmlns:a="http://schemas.openxmlformats.org/drawingml/2006/main">
                <a:ext uri="{FF2B5EF4-FFF2-40B4-BE49-F238E27FC236}">
                  <a16:creationId xmlns:a16="http://schemas.microsoft.com/office/drawing/2014/main" id="{CAB25152-BD40-467C-AC54-943C3333D8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Blue text on a black background&#10;&#10;AI-generated content may be incorrect.">
                      <a:extLst>
                        <a:ext uri="{FF2B5EF4-FFF2-40B4-BE49-F238E27FC236}">
                          <a16:creationId xmlns:a16="http://schemas.microsoft.com/office/drawing/2014/main" id="{CAB25152-BD40-467C-AC54-943C3333D8D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8170" cy="628650"/>
                    </a:xfrm>
                    <a:prstGeom prst="rect">
                      <a:avLst/>
                    </a:prstGeom>
                    <a:noFill/>
                  </pic:spPr>
                </pic:pic>
              </a:graphicData>
            </a:graphic>
            <wp14:sizeRelH relativeFrom="margin">
              <wp14:pctWidth>0</wp14:pctWidth>
            </wp14:sizeRelH>
            <wp14:sizeRelV relativeFrom="margin">
              <wp14:pctHeight>0</wp14:pctHeight>
            </wp14:sizeRelV>
          </wp:anchor>
        </w:drawing>
      </w:r>
      <w:r w:rsidR="00FB4AD1" w:rsidRPr="009B51B1">
        <w:rPr>
          <w:rFonts w:ascii="Segoe UI" w:hAnsi="Segoe UI" w:cs="Segoe UI"/>
          <w:b/>
          <w:bCs/>
          <w:noProof/>
          <w:szCs w:val="24"/>
          <w:lang w:eastAsia="en-GB"/>
        </w:rPr>
        <w:drawing>
          <wp:anchor distT="0" distB="0" distL="114300" distR="114300" simplePos="0" relativeHeight="251658240" behindDoc="0" locked="0" layoutInCell="1" allowOverlap="1" wp14:anchorId="4087E0BC" wp14:editId="4E52D6A0">
            <wp:simplePos x="1866900" y="628650"/>
            <wp:positionH relativeFrom="margin">
              <wp:align>left</wp:align>
            </wp:positionH>
            <wp:positionV relativeFrom="margin">
              <wp:align>top</wp:align>
            </wp:positionV>
            <wp:extent cx="3893597" cy="985652"/>
            <wp:effectExtent l="0" t="0" r="0" b="5080"/>
            <wp:wrapSquare wrapText="bothSides"/>
            <wp:docPr id="2"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893597" cy="985652"/>
                    </a:xfrm>
                    <a:prstGeom prst="rect">
                      <a:avLst/>
                    </a:prstGeom>
                  </pic:spPr>
                </pic:pic>
              </a:graphicData>
            </a:graphic>
          </wp:anchor>
        </w:drawing>
      </w:r>
    </w:p>
    <w:p w14:paraId="01671525" w14:textId="77777777" w:rsidR="00FB4AD1" w:rsidRPr="0040543F" w:rsidRDefault="00FB4AD1" w:rsidP="0040543F">
      <w:pPr>
        <w:rPr>
          <w:rFonts w:cs="Arial"/>
          <w:b/>
          <w:bCs/>
          <w:color w:val="2F5496" w:themeColor="accent1" w:themeShade="BF"/>
          <w:sz w:val="56"/>
          <w:szCs w:val="56"/>
        </w:rPr>
      </w:pPr>
    </w:p>
    <w:p w14:paraId="6AA2D041" w14:textId="77777777" w:rsidR="00FB4AD1" w:rsidRPr="0040543F" w:rsidRDefault="00FB4AD1" w:rsidP="0040543F">
      <w:pPr>
        <w:rPr>
          <w:rFonts w:cs="Arial"/>
          <w:b/>
          <w:bCs/>
          <w:color w:val="2F5496" w:themeColor="accent1" w:themeShade="BF"/>
          <w:sz w:val="56"/>
          <w:szCs w:val="56"/>
        </w:rPr>
      </w:pPr>
    </w:p>
    <w:p w14:paraId="031C4714" w14:textId="77777777" w:rsidR="00FB4AD1" w:rsidRPr="0040543F" w:rsidRDefault="00FB4AD1" w:rsidP="0040543F">
      <w:pPr>
        <w:rPr>
          <w:rFonts w:cs="Arial"/>
          <w:b/>
          <w:bCs/>
          <w:color w:val="2F5496" w:themeColor="accent1" w:themeShade="BF"/>
          <w:sz w:val="56"/>
          <w:szCs w:val="56"/>
        </w:rPr>
      </w:pPr>
    </w:p>
    <w:p w14:paraId="6EDF73B3" w14:textId="77777777" w:rsidR="00FB4AD1" w:rsidRPr="0040543F" w:rsidRDefault="00FB4AD1" w:rsidP="0040543F">
      <w:pPr>
        <w:rPr>
          <w:rFonts w:cs="Arial"/>
          <w:b/>
          <w:bCs/>
          <w:color w:val="2F5496" w:themeColor="accent1" w:themeShade="BF"/>
          <w:sz w:val="56"/>
          <w:szCs w:val="56"/>
        </w:rPr>
      </w:pPr>
      <w:r w:rsidRPr="0040543F">
        <w:rPr>
          <w:rFonts w:cs="Arial"/>
          <w:b/>
          <w:bCs/>
          <w:color w:val="2F5496" w:themeColor="accent1" w:themeShade="BF"/>
          <w:sz w:val="56"/>
          <w:szCs w:val="56"/>
        </w:rPr>
        <w:t>Choice Policy</w:t>
      </w:r>
    </w:p>
    <w:p w14:paraId="5EA0B15D" w14:textId="77777777" w:rsidR="00952926" w:rsidRDefault="00952926" w:rsidP="0040543F">
      <w:pPr>
        <w:rPr>
          <w:rFonts w:cs="Arial"/>
          <w:b/>
          <w:bCs/>
          <w:color w:val="2F5496" w:themeColor="accent1" w:themeShade="BF"/>
          <w:sz w:val="56"/>
          <w:szCs w:val="56"/>
        </w:rPr>
      </w:pPr>
    </w:p>
    <w:p w14:paraId="0D668508" w14:textId="6034A4BC" w:rsidR="00731A39" w:rsidRPr="0040543F" w:rsidRDefault="00731A39" w:rsidP="0040543F">
      <w:pPr>
        <w:rPr>
          <w:rFonts w:cs="Arial"/>
          <w:b/>
          <w:bCs/>
          <w:color w:val="2F5496" w:themeColor="accent1" w:themeShade="BF"/>
          <w:sz w:val="56"/>
          <w:szCs w:val="56"/>
        </w:rPr>
      </w:pPr>
      <w:r w:rsidRPr="0040543F">
        <w:rPr>
          <w:rFonts w:cs="Arial"/>
          <w:b/>
          <w:bCs/>
          <w:color w:val="2F5496" w:themeColor="accent1" w:themeShade="BF"/>
          <w:sz w:val="56"/>
          <w:szCs w:val="56"/>
        </w:rPr>
        <w:t>Supporting Patient Choices to Avoid Delayed Discharge</w:t>
      </w:r>
    </w:p>
    <w:p w14:paraId="762D855E" w14:textId="681BD0F3" w:rsidR="00FB4AD1" w:rsidRPr="009B51B1" w:rsidRDefault="00852C39" w:rsidP="00C9236B">
      <w:pPr>
        <w:rPr>
          <w:rFonts w:ascii="Segoe UI" w:hAnsi="Segoe UI" w:cs="Segoe UI"/>
          <w:szCs w:val="24"/>
        </w:rPr>
      </w:pPr>
      <w:r w:rsidRPr="00953E7B">
        <w:t>Supporting policy dealing specifically with patient choice, care home choice, temporary placements and discharge disputes relating to choice.</w:t>
      </w:r>
    </w:p>
    <w:p w14:paraId="4B625FC8" w14:textId="3780750C" w:rsidR="00FB4AD1" w:rsidRPr="009B51B1" w:rsidRDefault="00FB4AD1" w:rsidP="00FB4AD1">
      <w:pPr>
        <w:jc w:val="center"/>
        <w:rPr>
          <w:rFonts w:ascii="Segoe UI" w:hAnsi="Segoe UI" w:cs="Segoe UI"/>
          <w:szCs w:val="24"/>
        </w:rPr>
      </w:pPr>
    </w:p>
    <w:p w14:paraId="52F962F3" w14:textId="77777777" w:rsidR="00C9236B" w:rsidRPr="005E1DCD" w:rsidRDefault="00C9236B" w:rsidP="00C9236B">
      <w:pPr>
        <w:rPr>
          <w:rFonts w:cs="Arial"/>
          <w:b/>
          <w:bCs/>
          <w:sz w:val="28"/>
          <w:szCs w:val="28"/>
          <w:u w:val="single"/>
        </w:rPr>
      </w:pPr>
      <w:bookmarkStart w:id="0" w:name="_Toc237794293"/>
      <w:bookmarkStart w:id="1" w:name="_Toc237795404"/>
      <w:r w:rsidRPr="005E1DCD">
        <w:rPr>
          <w:rFonts w:cs="Arial"/>
          <w:b/>
          <w:bCs/>
          <w:sz w:val="28"/>
          <w:szCs w:val="28"/>
          <w:u w:val="single"/>
        </w:rPr>
        <w:t>Equality Impact Statement</w:t>
      </w:r>
    </w:p>
    <w:p w14:paraId="4455F8CA" w14:textId="77777777" w:rsidR="00C9236B" w:rsidRPr="005E1DCD" w:rsidRDefault="00C9236B" w:rsidP="00C9236B">
      <w:pPr>
        <w:rPr>
          <w:rFonts w:cs="Arial"/>
          <w:b/>
          <w:bCs/>
          <w:sz w:val="28"/>
          <w:szCs w:val="28"/>
        </w:rPr>
      </w:pPr>
      <w:r w:rsidRPr="005E1DCD">
        <w:rPr>
          <w:rFonts w:cs="Arial"/>
          <w:b/>
          <w:bCs/>
          <w:sz w:val="28"/>
          <w:szCs w:val="28"/>
        </w:rPr>
        <w:t>This policy has been screened for relevance to equality. No potential negative impact has been identified so a full equality impact assessment is not required</w:t>
      </w:r>
    </w:p>
    <w:p w14:paraId="31364888" w14:textId="77777777" w:rsidR="00C9236B" w:rsidRPr="005E1DCD" w:rsidRDefault="00C9236B" w:rsidP="00C9236B">
      <w:pPr>
        <w:rPr>
          <w:rFonts w:cs="Arial"/>
          <w:b/>
          <w:bCs/>
          <w:sz w:val="32"/>
          <w:szCs w:val="32"/>
        </w:rPr>
      </w:pPr>
    </w:p>
    <w:p w14:paraId="7B5F7A46" w14:textId="77777777" w:rsidR="00C535A8" w:rsidRPr="00BB5C33" w:rsidRDefault="00C535A8" w:rsidP="00C535A8">
      <w:pPr>
        <w:spacing w:after="0"/>
        <w:textAlignment w:val="baseline"/>
        <w:rPr>
          <w:rFonts w:cs="Arial"/>
          <w:b/>
          <w:bCs/>
        </w:rPr>
      </w:pPr>
      <w:r w:rsidRPr="005E1DCD">
        <w:rPr>
          <w:rFonts w:cs="Arial"/>
          <w:b/>
          <w:bCs/>
        </w:rPr>
        <w:t>Document Author</w:t>
      </w:r>
      <w:r>
        <w:rPr>
          <w:rFonts w:cs="Arial"/>
          <w:b/>
          <w:bCs/>
        </w:rPr>
        <w:t>s</w:t>
      </w:r>
      <w:r w:rsidRPr="005E1DCD">
        <w:rPr>
          <w:rFonts w:cs="Arial"/>
          <w:b/>
          <w:bCs/>
        </w:rPr>
        <w:t>:</w:t>
      </w:r>
      <w:r>
        <w:rPr>
          <w:rFonts w:cs="Arial"/>
          <w:b/>
          <w:bCs/>
        </w:rPr>
        <w:t xml:space="preserve">  </w:t>
      </w:r>
      <w:r w:rsidRPr="00BB5C33">
        <w:rPr>
          <w:rFonts w:eastAsia="Times New Roman" w:cs="Arial"/>
          <w:sz w:val="20"/>
          <w:szCs w:val="20"/>
          <w:lang w:eastAsia="en-GB"/>
        </w:rPr>
        <w:t>Sharon Jackson – Interim Integrated Community Services Manager</w:t>
      </w:r>
      <w:r w:rsidRPr="00BB5C33">
        <w:rPr>
          <w:rFonts w:eastAsia="Times New Roman" w:cs="Arial"/>
          <w:sz w:val="20"/>
          <w:szCs w:val="20"/>
          <w:lang w:eastAsia="en-GB"/>
        </w:rPr>
        <w:br/>
        <w:t>Sarah Morse – Clinical Lead OT, UEC</w:t>
      </w:r>
      <w:r>
        <w:rPr>
          <w:rFonts w:eastAsia="Times New Roman" w:cs="Arial"/>
          <w:sz w:val="20"/>
          <w:szCs w:val="20"/>
          <w:lang w:eastAsia="en-GB"/>
        </w:rPr>
        <w:t xml:space="preserve">; </w:t>
      </w:r>
      <w:r w:rsidRPr="00BB5C33">
        <w:rPr>
          <w:rFonts w:eastAsia="Times New Roman" w:cs="Arial"/>
          <w:sz w:val="20"/>
          <w:szCs w:val="20"/>
          <w:lang w:eastAsia="en-GB"/>
        </w:rPr>
        <w:t>Laura Thompson – Lead OT, MGH</w:t>
      </w:r>
      <w:r>
        <w:rPr>
          <w:rFonts w:eastAsia="Times New Roman" w:cs="Arial"/>
          <w:sz w:val="20"/>
          <w:szCs w:val="20"/>
          <w:lang w:eastAsia="en-GB"/>
        </w:rPr>
        <w:t xml:space="preserve">; </w:t>
      </w:r>
      <w:r w:rsidRPr="00BB5C33">
        <w:rPr>
          <w:rFonts w:eastAsia="Times New Roman" w:cs="Arial"/>
          <w:sz w:val="20"/>
          <w:szCs w:val="20"/>
          <w:lang w:eastAsia="en-GB"/>
        </w:rPr>
        <w:t>Andrea Preddy – Principal Officer, Swansea Council</w:t>
      </w:r>
    </w:p>
    <w:p w14:paraId="18E2C12C" w14:textId="77777777" w:rsidR="00C535A8" w:rsidRDefault="00C535A8" w:rsidP="00C535A8">
      <w:pPr>
        <w:rPr>
          <w:rFonts w:cs="Arial"/>
          <w:b/>
          <w:bCs/>
        </w:rPr>
      </w:pPr>
      <w:r w:rsidRPr="005E1DCD">
        <w:rPr>
          <w:rFonts w:cs="Arial"/>
          <w:b/>
          <w:bCs/>
        </w:rPr>
        <w:t>Approved By:</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65"/>
        <w:gridCol w:w="2461"/>
        <w:gridCol w:w="2461"/>
      </w:tblGrid>
      <w:tr w:rsidR="00C535A8" w:rsidRPr="00BB5C33" w14:paraId="2FA04225" w14:textId="77777777" w:rsidTr="00C535A8">
        <w:trPr>
          <w:trHeight w:val="300"/>
        </w:trPr>
        <w:tc>
          <w:tcPr>
            <w:tcW w:w="2584" w:type="pct"/>
            <w:tcBorders>
              <w:top w:val="single" w:sz="6" w:space="0" w:color="156082"/>
              <w:left w:val="single" w:sz="6" w:space="0" w:color="156082"/>
              <w:bottom w:val="single" w:sz="6" w:space="0" w:color="156082"/>
              <w:right w:val="nil"/>
            </w:tcBorders>
            <w:shd w:val="clear" w:color="auto" w:fill="156082"/>
            <w:vAlign w:val="center"/>
            <w:hideMark/>
          </w:tcPr>
          <w:p w14:paraId="4E1984A2" w14:textId="77777777" w:rsidR="00C535A8" w:rsidRPr="00BB5C33" w:rsidRDefault="00C535A8"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Approver </w:t>
            </w:r>
          </w:p>
        </w:tc>
        <w:tc>
          <w:tcPr>
            <w:tcW w:w="1208" w:type="pct"/>
            <w:tcBorders>
              <w:top w:val="single" w:sz="6" w:space="0" w:color="156082"/>
              <w:left w:val="nil"/>
              <w:bottom w:val="single" w:sz="6" w:space="0" w:color="156082"/>
              <w:right w:val="nil"/>
            </w:tcBorders>
            <w:shd w:val="clear" w:color="auto" w:fill="156082"/>
            <w:vAlign w:val="center"/>
            <w:hideMark/>
          </w:tcPr>
          <w:p w14:paraId="440217EA" w14:textId="77777777" w:rsidR="00C535A8" w:rsidRPr="00BB5C33" w:rsidRDefault="00C535A8"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Date </w:t>
            </w:r>
          </w:p>
        </w:tc>
        <w:tc>
          <w:tcPr>
            <w:tcW w:w="1208" w:type="pct"/>
            <w:tcBorders>
              <w:top w:val="single" w:sz="6" w:space="0" w:color="156082"/>
              <w:left w:val="nil"/>
              <w:bottom w:val="single" w:sz="6" w:space="0" w:color="156082"/>
              <w:right w:val="single" w:sz="6" w:space="0" w:color="156082"/>
            </w:tcBorders>
            <w:shd w:val="clear" w:color="auto" w:fill="156082"/>
            <w:vAlign w:val="center"/>
            <w:hideMark/>
          </w:tcPr>
          <w:p w14:paraId="1F5C366A" w14:textId="77777777" w:rsidR="00C535A8" w:rsidRPr="00BB5C33" w:rsidRDefault="00C535A8"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Version </w:t>
            </w:r>
          </w:p>
        </w:tc>
      </w:tr>
      <w:tr w:rsidR="00C535A8" w:rsidRPr="00BB5C33" w14:paraId="0F202798" w14:textId="77777777" w:rsidTr="00C535A8">
        <w:trPr>
          <w:trHeight w:val="300"/>
        </w:trPr>
        <w:tc>
          <w:tcPr>
            <w:tcW w:w="2584" w:type="pct"/>
            <w:tcBorders>
              <w:top w:val="single" w:sz="6" w:space="0" w:color="1B365D"/>
              <w:left w:val="single" w:sz="6" w:space="0" w:color="1B365D"/>
              <w:bottom w:val="single" w:sz="6" w:space="0" w:color="1B365D"/>
              <w:right w:val="single" w:sz="6" w:space="0" w:color="1B365D"/>
            </w:tcBorders>
            <w:vAlign w:val="center"/>
            <w:hideMark/>
          </w:tcPr>
          <w:p w14:paraId="5FA08A9E" w14:textId="77777777" w:rsidR="00C535A8" w:rsidRPr="00BB5C33" w:rsidRDefault="00C535A8" w:rsidP="001138AC">
            <w:pPr>
              <w:textAlignment w:val="baseline"/>
              <w:rPr>
                <w:rFonts w:eastAsia="Times New Roman" w:cs="Arial"/>
                <w:sz w:val="20"/>
                <w:szCs w:val="20"/>
                <w:lang w:eastAsia="en-GB"/>
              </w:rPr>
            </w:pPr>
            <w:r w:rsidRPr="00BB5C33">
              <w:rPr>
                <w:rFonts w:eastAsia="Times New Roman" w:cs="Arial"/>
                <w:sz w:val="20"/>
                <w:szCs w:val="20"/>
                <w:lang w:eastAsia="en-GB"/>
              </w:rPr>
              <w:t>Combined: Regional Operational Assurance Group/Pathway of Care Delays Group</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2CF2B920" w14:textId="1E422233" w:rsidR="00C535A8" w:rsidRPr="00BB5C33" w:rsidRDefault="00A82831" w:rsidP="001138AC">
            <w:pPr>
              <w:textAlignment w:val="baseline"/>
              <w:rPr>
                <w:rFonts w:eastAsia="Times New Roman" w:cs="Arial"/>
                <w:sz w:val="20"/>
                <w:szCs w:val="20"/>
                <w:lang w:eastAsia="en-GB"/>
              </w:rPr>
            </w:pPr>
            <w:r>
              <w:rPr>
                <w:rFonts w:eastAsia="Times New Roman" w:cs="Arial"/>
                <w:sz w:val="20"/>
                <w:szCs w:val="20"/>
                <w:lang w:eastAsia="en-GB"/>
              </w:rPr>
              <w:t>24</w:t>
            </w:r>
            <w:r w:rsidR="00C535A8" w:rsidRPr="00BB5C33">
              <w:rPr>
                <w:rFonts w:eastAsia="Times New Roman" w:cs="Arial"/>
                <w:sz w:val="20"/>
                <w:szCs w:val="20"/>
                <w:lang w:eastAsia="en-GB"/>
              </w:rPr>
              <w:t>/0</w:t>
            </w:r>
            <w:r w:rsidR="00D53F70">
              <w:rPr>
                <w:rFonts w:eastAsia="Times New Roman" w:cs="Arial"/>
                <w:sz w:val="20"/>
                <w:szCs w:val="20"/>
                <w:lang w:eastAsia="en-GB"/>
              </w:rPr>
              <w:t>8</w:t>
            </w:r>
            <w:r w:rsidR="00C535A8" w:rsidRPr="00BB5C33">
              <w:rPr>
                <w:rFonts w:eastAsia="Times New Roman" w:cs="Arial"/>
                <w:sz w:val="20"/>
                <w:szCs w:val="20"/>
                <w:lang w:eastAsia="en-GB"/>
              </w:rPr>
              <w:t>/2025</w:t>
            </w:r>
          </w:p>
        </w:tc>
        <w:tc>
          <w:tcPr>
            <w:tcW w:w="1208" w:type="pct"/>
            <w:tcBorders>
              <w:top w:val="single" w:sz="6" w:space="0" w:color="1B365D"/>
              <w:left w:val="single" w:sz="6" w:space="0" w:color="1B365D"/>
              <w:bottom w:val="single" w:sz="6" w:space="0" w:color="1B365D"/>
              <w:right w:val="single" w:sz="6" w:space="0" w:color="1B365D"/>
            </w:tcBorders>
            <w:vAlign w:val="center"/>
            <w:hideMark/>
          </w:tcPr>
          <w:p w14:paraId="76B4BF69" w14:textId="77777777" w:rsidR="00C535A8" w:rsidRPr="00BB5C33" w:rsidRDefault="00C535A8" w:rsidP="001138AC">
            <w:pPr>
              <w:textAlignment w:val="baseline"/>
              <w:rPr>
                <w:rFonts w:eastAsia="Times New Roman" w:cs="Arial"/>
                <w:b/>
                <w:bCs/>
                <w:sz w:val="20"/>
                <w:szCs w:val="20"/>
                <w:lang w:eastAsia="en-GB"/>
              </w:rPr>
            </w:pPr>
            <w:r w:rsidRPr="00BB5C33">
              <w:rPr>
                <w:rFonts w:eastAsia="Times New Roman" w:cs="Arial"/>
                <w:b/>
                <w:bCs/>
                <w:sz w:val="20"/>
                <w:szCs w:val="20"/>
                <w:lang w:eastAsia="en-GB"/>
              </w:rPr>
              <w:t>1.0 </w:t>
            </w:r>
          </w:p>
        </w:tc>
      </w:tr>
      <w:tr w:rsidR="00C535A8" w:rsidRPr="00BB5C33" w14:paraId="3233903A" w14:textId="77777777" w:rsidTr="00C535A8">
        <w:trPr>
          <w:trHeight w:val="300"/>
        </w:trPr>
        <w:tc>
          <w:tcPr>
            <w:tcW w:w="2584" w:type="pct"/>
            <w:tcBorders>
              <w:top w:val="single" w:sz="6" w:space="0" w:color="1B365D"/>
              <w:left w:val="single" w:sz="6" w:space="0" w:color="1B365D"/>
              <w:bottom w:val="single" w:sz="6" w:space="0" w:color="1B365D"/>
              <w:right w:val="single" w:sz="6" w:space="0" w:color="1B365D"/>
            </w:tcBorders>
            <w:vAlign w:val="center"/>
          </w:tcPr>
          <w:p w14:paraId="5F9B9CDA" w14:textId="77777777" w:rsidR="00C535A8" w:rsidRPr="00BB5C33" w:rsidRDefault="00C535A8" w:rsidP="001138AC">
            <w:pPr>
              <w:textAlignment w:val="baseline"/>
              <w:rPr>
                <w:rFonts w:eastAsia="Times New Roman" w:cs="Arial"/>
                <w:sz w:val="20"/>
                <w:szCs w:val="20"/>
                <w:lang w:eastAsia="en-GB"/>
              </w:rPr>
            </w:pPr>
            <w:r>
              <w:rPr>
                <w:rFonts w:eastAsia="Times New Roman" w:cs="Arial"/>
                <w:sz w:val="20"/>
                <w:szCs w:val="20"/>
                <w:lang w:eastAsia="en-GB"/>
              </w:rPr>
              <w:t>Unscheduled Emergency Care Board</w:t>
            </w:r>
          </w:p>
        </w:tc>
        <w:tc>
          <w:tcPr>
            <w:tcW w:w="1208" w:type="pct"/>
            <w:tcBorders>
              <w:top w:val="single" w:sz="6" w:space="0" w:color="1B365D"/>
              <w:left w:val="single" w:sz="6" w:space="0" w:color="1B365D"/>
              <w:bottom w:val="single" w:sz="6" w:space="0" w:color="1B365D"/>
              <w:right w:val="single" w:sz="6" w:space="0" w:color="1B365D"/>
            </w:tcBorders>
            <w:vAlign w:val="center"/>
          </w:tcPr>
          <w:p w14:paraId="6FDD3E98" w14:textId="77777777" w:rsidR="00C535A8" w:rsidRPr="00BB5C33" w:rsidRDefault="00C535A8" w:rsidP="001138AC">
            <w:pPr>
              <w:textAlignment w:val="baseline"/>
              <w:rPr>
                <w:rFonts w:eastAsia="Times New Roman" w:cs="Arial"/>
                <w:sz w:val="20"/>
                <w:szCs w:val="20"/>
                <w:lang w:eastAsia="en-GB"/>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15B74089" w14:textId="77777777" w:rsidR="00C535A8" w:rsidRPr="00BB5C33" w:rsidRDefault="00C535A8" w:rsidP="001138AC">
            <w:pPr>
              <w:textAlignment w:val="baseline"/>
              <w:rPr>
                <w:rFonts w:eastAsia="Times New Roman" w:cs="Arial"/>
                <w:b/>
                <w:bCs/>
                <w:sz w:val="20"/>
                <w:szCs w:val="20"/>
                <w:lang w:eastAsia="en-GB"/>
              </w:rPr>
            </w:pPr>
          </w:p>
        </w:tc>
      </w:tr>
      <w:tr w:rsidR="00C535A8" w:rsidRPr="00BB5C33" w14:paraId="0240B553" w14:textId="77777777" w:rsidTr="00C535A8">
        <w:trPr>
          <w:trHeight w:val="300"/>
        </w:trPr>
        <w:tc>
          <w:tcPr>
            <w:tcW w:w="2584" w:type="pct"/>
            <w:tcBorders>
              <w:top w:val="single" w:sz="6" w:space="0" w:color="1B365D"/>
              <w:left w:val="single" w:sz="6" w:space="0" w:color="1B365D"/>
              <w:bottom w:val="single" w:sz="6" w:space="0" w:color="1B365D"/>
              <w:right w:val="single" w:sz="6" w:space="0" w:color="1B365D"/>
            </w:tcBorders>
            <w:vAlign w:val="center"/>
          </w:tcPr>
          <w:p w14:paraId="7F30CD58" w14:textId="77777777" w:rsidR="00C535A8" w:rsidRPr="00BB5C33" w:rsidRDefault="00C535A8" w:rsidP="001138AC">
            <w:pPr>
              <w:textAlignment w:val="baseline"/>
              <w:rPr>
                <w:rFonts w:eastAsia="Times New Roman" w:cs="Arial"/>
                <w:sz w:val="20"/>
                <w:szCs w:val="20"/>
                <w:lang w:eastAsia="en-GB"/>
              </w:rPr>
            </w:pPr>
            <w:r>
              <w:rPr>
                <w:rFonts w:eastAsia="Times New Roman" w:cs="Arial"/>
                <w:sz w:val="20"/>
                <w:szCs w:val="20"/>
                <w:lang w:eastAsia="en-GB"/>
              </w:rPr>
              <w:t>RPB - Older Peoples Bord</w:t>
            </w:r>
          </w:p>
        </w:tc>
        <w:tc>
          <w:tcPr>
            <w:tcW w:w="1208" w:type="pct"/>
            <w:tcBorders>
              <w:top w:val="single" w:sz="6" w:space="0" w:color="1B365D"/>
              <w:left w:val="single" w:sz="6" w:space="0" w:color="1B365D"/>
              <w:bottom w:val="single" w:sz="6" w:space="0" w:color="1B365D"/>
              <w:right w:val="single" w:sz="6" w:space="0" w:color="1B365D"/>
            </w:tcBorders>
            <w:vAlign w:val="center"/>
          </w:tcPr>
          <w:p w14:paraId="0E42A5BA" w14:textId="77777777" w:rsidR="00C535A8" w:rsidRPr="00BB5C33" w:rsidRDefault="00C535A8" w:rsidP="001138AC">
            <w:pPr>
              <w:textAlignment w:val="baseline"/>
              <w:rPr>
                <w:rFonts w:eastAsia="Times New Roman" w:cs="Arial"/>
                <w:sz w:val="20"/>
                <w:szCs w:val="20"/>
                <w:lang w:eastAsia="en-GB"/>
              </w:rPr>
            </w:pPr>
          </w:p>
        </w:tc>
        <w:tc>
          <w:tcPr>
            <w:tcW w:w="1208" w:type="pct"/>
            <w:tcBorders>
              <w:top w:val="single" w:sz="6" w:space="0" w:color="1B365D"/>
              <w:left w:val="single" w:sz="6" w:space="0" w:color="1B365D"/>
              <w:bottom w:val="single" w:sz="6" w:space="0" w:color="1B365D"/>
              <w:right w:val="single" w:sz="6" w:space="0" w:color="1B365D"/>
            </w:tcBorders>
            <w:vAlign w:val="center"/>
          </w:tcPr>
          <w:p w14:paraId="2DDC94AE" w14:textId="77777777" w:rsidR="00C535A8" w:rsidRPr="00BB5C33" w:rsidRDefault="00C535A8" w:rsidP="001138AC">
            <w:pPr>
              <w:textAlignment w:val="baseline"/>
              <w:rPr>
                <w:rFonts w:eastAsia="Times New Roman" w:cs="Arial"/>
                <w:b/>
                <w:bCs/>
                <w:sz w:val="20"/>
                <w:szCs w:val="20"/>
                <w:lang w:eastAsia="en-GB"/>
              </w:rPr>
            </w:pPr>
          </w:p>
        </w:tc>
      </w:tr>
    </w:tbl>
    <w:p w14:paraId="33532091" w14:textId="77777777" w:rsidR="00C535A8" w:rsidRPr="005E1DCD" w:rsidRDefault="00C535A8" w:rsidP="00C535A8">
      <w:pPr>
        <w:rPr>
          <w:rFonts w:cs="Arial"/>
          <w:b/>
          <w:bCs/>
        </w:rPr>
      </w:pPr>
      <w:r w:rsidRPr="005E1DCD">
        <w:rPr>
          <w:rFonts w:cs="Arial"/>
          <w:b/>
          <w:bCs/>
        </w:rPr>
        <w:t xml:space="preserve">Review Date: </w:t>
      </w:r>
    </w:p>
    <w:p w14:paraId="133E0BDC" w14:textId="77777777" w:rsidR="00852C39" w:rsidRDefault="00852C39" w:rsidP="007A767A">
      <w:pPr>
        <w:pStyle w:val="Heading1"/>
        <w:rPr>
          <w:rFonts w:ascii="Segoe UI" w:hAnsi="Segoe UI" w:cs="Segoe UI"/>
          <w:b w:val="0"/>
          <w:bCs/>
          <w:color w:val="auto"/>
          <w:sz w:val="24"/>
          <w:szCs w:val="24"/>
        </w:rPr>
        <w:sectPr w:rsidR="00852C39" w:rsidSect="00C9236B">
          <w:headerReference w:type="default" r:id="rId13"/>
          <w:footerReference w:type="default" r:id="rId14"/>
          <w:pgSz w:w="11905" w:h="14956"/>
          <w:pgMar w:top="851" w:right="851" w:bottom="851" w:left="851" w:header="284" w:footer="284" w:gutter="0"/>
          <w:cols w:space="720"/>
          <w:noEndnote/>
          <w:docGrid w:linePitch="299"/>
        </w:sectPr>
      </w:pPr>
    </w:p>
    <w:sdt>
      <w:sdtPr>
        <w:rPr>
          <w:rFonts w:eastAsiaTheme="minorHAnsi" w:cstheme="minorBidi"/>
          <w:b w:val="0"/>
          <w:color w:val="auto"/>
          <w:sz w:val="24"/>
          <w:szCs w:val="22"/>
          <w:lang w:eastAsia="en-US"/>
        </w:rPr>
        <w:id w:val="-244271918"/>
        <w:docPartObj>
          <w:docPartGallery w:val="Table of Contents"/>
          <w:docPartUnique/>
        </w:docPartObj>
      </w:sdtPr>
      <w:sdtEndPr>
        <w:rPr>
          <w:bCs/>
        </w:rPr>
      </w:sdtEndPr>
      <w:sdtContent>
        <w:p w14:paraId="2B2A0D0A" w14:textId="452006FA" w:rsidR="00A52E39" w:rsidRDefault="00A52E39">
          <w:pPr>
            <w:pStyle w:val="TOCHeading"/>
          </w:pPr>
          <w:r>
            <w:t>Table of Contents</w:t>
          </w:r>
        </w:p>
        <w:p w14:paraId="56015AFE" w14:textId="14557864" w:rsidR="009A2B5E" w:rsidRDefault="00A52E39">
          <w:pPr>
            <w:pStyle w:val="TOC1"/>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238736105" w:history="1">
            <w:r w:rsidR="009A2B5E" w:rsidRPr="00BC3586">
              <w:rPr>
                <w:rStyle w:val="Hyperlink"/>
                <w:noProof/>
              </w:rPr>
              <w:t>1.</w:t>
            </w:r>
            <w:r w:rsidR="009A2B5E">
              <w:rPr>
                <w:rFonts w:asciiTheme="minorHAnsi" w:eastAsiaTheme="minorEastAsia" w:hAnsiTheme="minorHAnsi"/>
                <w:noProof/>
                <w:kern w:val="2"/>
                <w:szCs w:val="24"/>
                <w:lang w:eastAsia="en-GB"/>
                <w14:ligatures w14:val="standardContextual"/>
              </w:rPr>
              <w:tab/>
            </w:r>
            <w:r w:rsidR="009A2B5E" w:rsidRPr="00BC3586">
              <w:rPr>
                <w:rStyle w:val="Hyperlink"/>
                <w:noProof/>
              </w:rPr>
              <w:t>Introduction</w:t>
            </w:r>
            <w:r w:rsidR="009A2B5E">
              <w:rPr>
                <w:noProof/>
                <w:webHidden/>
              </w:rPr>
              <w:tab/>
            </w:r>
            <w:r w:rsidR="009A2B5E">
              <w:rPr>
                <w:noProof/>
                <w:webHidden/>
              </w:rPr>
              <w:fldChar w:fldCharType="begin"/>
            </w:r>
            <w:r w:rsidR="009A2B5E">
              <w:rPr>
                <w:noProof/>
                <w:webHidden/>
              </w:rPr>
              <w:instrText xml:space="preserve"> PAGEREF _Toc238736105 \h </w:instrText>
            </w:r>
            <w:r w:rsidR="009A2B5E">
              <w:rPr>
                <w:noProof/>
                <w:webHidden/>
              </w:rPr>
            </w:r>
            <w:r w:rsidR="009A2B5E">
              <w:rPr>
                <w:noProof/>
                <w:webHidden/>
              </w:rPr>
              <w:fldChar w:fldCharType="separate"/>
            </w:r>
            <w:r w:rsidR="009A2B5E">
              <w:rPr>
                <w:noProof/>
                <w:webHidden/>
              </w:rPr>
              <w:t>3</w:t>
            </w:r>
            <w:r w:rsidR="009A2B5E">
              <w:rPr>
                <w:noProof/>
                <w:webHidden/>
              </w:rPr>
              <w:fldChar w:fldCharType="end"/>
            </w:r>
          </w:hyperlink>
        </w:p>
        <w:p w14:paraId="0D0CA914" w14:textId="27916AE6" w:rsidR="009A2B5E" w:rsidRDefault="009A2B5E">
          <w:pPr>
            <w:pStyle w:val="TOC1"/>
            <w:rPr>
              <w:rFonts w:asciiTheme="minorHAnsi" w:eastAsiaTheme="minorEastAsia" w:hAnsiTheme="minorHAnsi"/>
              <w:noProof/>
              <w:kern w:val="2"/>
              <w:szCs w:val="24"/>
              <w:lang w:eastAsia="en-GB"/>
              <w14:ligatures w14:val="standardContextual"/>
            </w:rPr>
          </w:pPr>
          <w:hyperlink w:anchor="_Toc238736106" w:history="1">
            <w:r w:rsidRPr="00BC3586">
              <w:rPr>
                <w:rStyle w:val="Hyperlink"/>
                <w:noProof/>
              </w:rPr>
              <w:t>2.</w:t>
            </w:r>
            <w:r>
              <w:rPr>
                <w:rFonts w:asciiTheme="minorHAnsi" w:eastAsiaTheme="minorEastAsia" w:hAnsiTheme="minorHAnsi"/>
                <w:noProof/>
                <w:kern w:val="2"/>
                <w:szCs w:val="24"/>
                <w:lang w:eastAsia="en-GB"/>
                <w14:ligatures w14:val="standardContextual"/>
              </w:rPr>
              <w:tab/>
            </w:r>
            <w:r w:rsidRPr="00BC3586">
              <w:rPr>
                <w:rStyle w:val="Hyperlink"/>
                <w:noProof/>
              </w:rPr>
              <w:t>Purpose</w:t>
            </w:r>
            <w:r>
              <w:rPr>
                <w:noProof/>
                <w:webHidden/>
              </w:rPr>
              <w:tab/>
            </w:r>
            <w:r>
              <w:rPr>
                <w:noProof/>
                <w:webHidden/>
              </w:rPr>
              <w:fldChar w:fldCharType="begin"/>
            </w:r>
            <w:r>
              <w:rPr>
                <w:noProof/>
                <w:webHidden/>
              </w:rPr>
              <w:instrText xml:space="preserve"> PAGEREF _Toc238736106 \h </w:instrText>
            </w:r>
            <w:r>
              <w:rPr>
                <w:noProof/>
                <w:webHidden/>
              </w:rPr>
            </w:r>
            <w:r>
              <w:rPr>
                <w:noProof/>
                <w:webHidden/>
              </w:rPr>
              <w:fldChar w:fldCharType="separate"/>
            </w:r>
            <w:r>
              <w:rPr>
                <w:noProof/>
                <w:webHidden/>
              </w:rPr>
              <w:t>3</w:t>
            </w:r>
            <w:r>
              <w:rPr>
                <w:noProof/>
                <w:webHidden/>
              </w:rPr>
              <w:fldChar w:fldCharType="end"/>
            </w:r>
          </w:hyperlink>
        </w:p>
        <w:p w14:paraId="39BF1FD6" w14:textId="02704A80" w:rsidR="009A2B5E" w:rsidRDefault="009A2B5E">
          <w:pPr>
            <w:pStyle w:val="TOC1"/>
            <w:rPr>
              <w:rFonts w:asciiTheme="minorHAnsi" w:eastAsiaTheme="minorEastAsia" w:hAnsiTheme="minorHAnsi"/>
              <w:noProof/>
              <w:kern w:val="2"/>
              <w:szCs w:val="24"/>
              <w:lang w:eastAsia="en-GB"/>
              <w14:ligatures w14:val="standardContextual"/>
            </w:rPr>
          </w:pPr>
          <w:hyperlink w:anchor="_Toc238736107" w:history="1">
            <w:r w:rsidRPr="00BC3586">
              <w:rPr>
                <w:rStyle w:val="Hyperlink"/>
                <w:noProof/>
              </w:rPr>
              <w:t>3.</w:t>
            </w:r>
            <w:r>
              <w:rPr>
                <w:rFonts w:asciiTheme="minorHAnsi" w:eastAsiaTheme="minorEastAsia" w:hAnsiTheme="minorHAnsi"/>
                <w:noProof/>
                <w:kern w:val="2"/>
                <w:szCs w:val="24"/>
                <w:lang w:eastAsia="en-GB"/>
                <w14:ligatures w14:val="standardContextual"/>
              </w:rPr>
              <w:tab/>
            </w:r>
            <w:r w:rsidRPr="00BC3586">
              <w:rPr>
                <w:rStyle w:val="Hyperlink"/>
                <w:noProof/>
              </w:rPr>
              <w:t>Overarching Principles</w:t>
            </w:r>
            <w:r>
              <w:rPr>
                <w:noProof/>
                <w:webHidden/>
              </w:rPr>
              <w:tab/>
            </w:r>
            <w:r>
              <w:rPr>
                <w:noProof/>
                <w:webHidden/>
              </w:rPr>
              <w:fldChar w:fldCharType="begin"/>
            </w:r>
            <w:r>
              <w:rPr>
                <w:noProof/>
                <w:webHidden/>
              </w:rPr>
              <w:instrText xml:space="preserve"> PAGEREF _Toc238736107 \h </w:instrText>
            </w:r>
            <w:r>
              <w:rPr>
                <w:noProof/>
                <w:webHidden/>
              </w:rPr>
            </w:r>
            <w:r>
              <w:rPr>
                <w:noProof/>
                <w:webHidden/>
              </w:rPr>
              <w:fldChar w:fldCharType="separate"/>
            </w:r>
            <w:r>
              <w:rPr>
                <w:noProof/>
                <w:webHidden/>
              </w:rPr>
              <w:t>3</w:t>
            </w:r>
            <w:r>
              <w:rPr>
                <w:noProof/>
                <w:webHidden/>
              </w:rPr>
              <w:fldChar w:fldCharType="end"/>
            </w:r>
          </w:hyperlink>
        </w:p>
        <w:p w14:paraId="743517BA" w14:textId="356C9CDA" w:rsidR="009A2B5E" w:rsidRDefault="009A2B5E">
          <w:pPr>
            <w:pStyle w:val="TOC1"/>
            <w:rPr>
              <w:rFonts w:asciiTheme="minorHAnsi" w:eastAsiaTheme="minorEastAsia" w:hAnsiTheme="minorHAnsi"/>
              <w:noProof/>
              <w:kern w:val="2"/>
              <w:szCs w:val="24"/>
              <w:lang w:eastAsia="en-GB"/>
              <w14:ligatures w14:val="standardContextual"/>
            </w:rPr>
          </w:pPr>
          <w:hyperlink w:anchor="_Toc238736108" w:history="1">
            <w:r w:rsidRPr="00BC3586">
              <w:rPr>
                <w:rStyle w:val="Hyperlink"/>
                <w:noProof/>
              </w:rPr>
              <w:t>4.</w:t>
            </w:r>
            <w:r>
              <w:rPr>
                <w:rFonts w:asciiTheme="minorHAnsi" w:eastAsiaTheme="minorEastAsia" w:hAnsiTheme="minorHAnsi"/>
                <w:noProof/>
                <w:kern w:val="2"/>
                <w:szCs w:val="24"/>
                <w:lang w:eastAsia="en-GB"/>
                <w14:ligatures w14:val="standardContextual"/>
              </w:rPr>
              <w:tab/>
            </w:r>
            <w:r w:rsidRPr="00BC3586">
              <w:rPr>
                <w:rStyle w:val="Hyperlink"/>
                <w:noProof/>
              </w:rPr>
              <w:t>Supporting people to make decisions</w:t>
            </w:r>
            <w:r>
              <w:rPr>
                <w:noProof/>
                <w:webHidden/>
              </w:rPr>
              <w:tab/>
            </w:r>
            <w:r>
              <w:rPr>
                <w:noProof/>
                <w:webHidden/>
              </w:rPr>
              <w:fldChar w:fldCharType="begin"/>
            </w:r>
            <w:r>
              <w:rPr>
                <w:noProof/>
                <w:webHidden/>
              </w:rPr>
              <w:instrText xml:space="preserve"> PAGEREF _Toc238736108 \h </w:instrText>
            </w:r>
            <w:r>
              <w:rPr>
                <w:noProof/>
                <w:webHidden/>
              </w:rPr>
            </w:r>
            <w:r>
              <w:rPr>
                <w:noProof/>
                <w:webHidden/>
              </w:rPr>
              <w:fldChar w:fldCharType="separate"/>
            </w:r>
            <w:r>
              <w:rPr>
                <w:noProof/>
                <w:webHidden/>
              </w:rPr>
              <w:t>4</w:t>
            </w:r>
            <w:r>
              <w:rPr>
                <w:noProof/>
                <w:webHidden/>
              </w:rPr>
              <w:fldChar w:fldCharType="end"/>
            </w:r>
          </w:hyperlink>
        </w:p>
        <w:p w14:paraId="33DC233F" w14:textId="419FB9C1"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09" w:history="1">
            <w:r w:rsidRPr="00BC3586">
              <w:rPr>
                <w:rStyle w:val="Hyperlink"/>
                <w:noProof/>
                <w:lang w:eastAsia="en-GB"/>
              </w:rPr>
              <w:t>4.1</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Home First and Ongoing Assessment</w:t>
            </w:r>
            <w:r>
              <w:rPr>
                <w:noProof/>
                <w:webHidden/>
              </w:rPr>
              <w:tab/>
            </w:r>
            <w:r>
              <w:rPr>
                <w:noProof/>
                <w:webHidden/>
              </w:rPr>
              <w:fldChar w:fldCharType="begin"/>
            </w:r>
            <w:r>
              <w:rPr>
                <w:noProof/>
                <w:webHidden/>
              </w:rPr>
              <w:instrText xml:space="preserve"> PAGEREF _Toc238736109 \h </w:instrText>
            </w:r>
            <w:r>
              <w:rPr>
                <w:noProof/>
                <w:webHidden/>
              </w:rPr>
            </w:r>
            <w:r>
              <w:rPr>
                <w:noProof/>
                <w:webHidden/>
              </w:rPr>
              <w:fldChar w:fldCharType="separate"/>
            </w:r>
            <w:r>
              <w:rPr>
                <w:noProof/>
                <w:webHidden/>
              </w:rPr>
              <w:t>4</w:t>
            </w:r>
            <w:r>
              <w:rPr>
                <w:noProof/>
                <w:webHidden/>
              </w:rPr>
              <w:fldChar w:fldCharType="end"/>
            </w:r>
          </w:hyperlink>
        </w:p>
        <w:p w14:paraId="1F40F849" w14:textId="22ADD5F0"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0" w:history="1">
            <w:r w:rsidRPr="00BC3586">
              <w:rPr>
                <w:rStyle w:val="Hyperlink"/>
                <w:noProof/>
                <w:lang w:eastAsia="en-GB"/>
              </w:rPr>
              <w:t>4.2</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Information, Involvement and Choice</w:t>
            </w:r>
            <w:r>
              <w:rPr>
                <w:noProof/>
                <w:webHidden/>
              </w:rPr>
              <w:tab/>
            </w:r>
            <w:r>
              <w:rPr>
                <w:noProof/>
                <w:webHidden/>
              </w:rPr>
              <w:fldChar w:fldCharType="begin"/>
            </w:r>
            <w:r>
              <w:rPr>
                <w:noProof/>
                <w:webHidden/>
              </w:rPr>
              <w:instrText xml:space="preserve"> PAGEREF _Toc238736110 \h </w:instrText>
            </w:r>
            <w:r>
              <w:rPr>
                <w:noProof/>
                <w:webHidden/>
              </w:rPr>
            </w:r>
            <w:r>
              <w:rPr>
                <w:noProof/>
                <w:webHidden/>
              </w:rPr>
              <w:fldChar w:fldCharType="separate"/>
            </w:r>
            <w:r>
              <w:rPr>
                <w:noProof/>
                <w:webHidden/>
              </w:rPr>
              <w:t>4</w:t>
            </w:r>
            <w:r>
              <w:rPr>
                <w:noProof/>
                <w:webHidden/>
              </w:rPr>
              <w:fldChar w:fldCharType="end"/>
            </w:r>
          </w:hyperlink>
        </w:p>
        <w:p w14:paraId="1A81DE8A" w14:textId="36144DA6"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1" w:history="1">
            <w:r w:rsidRPr="00BC3586">
              <w:rPr>
                <w:rStyle w:val="Hyperlink"/>
                <w:noProof/>
                <w:lang w:eastAsia="en-GB"/>
              </w:rPr>
              <w:t>4.3</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Families, Carers and Representatives</w:t>
            </w:r>
            <w:r>
              <w:rPr>
                <w:noProof/>
                <w:webHidden/>
              </w:rPr>
              <w:tab/>
            </w:r>
            <w:r>
              <w:rPr>
                <w:noProof/>
                <w:webHidden/>
              </w:rPr>
              <w:fldChar w:fldCharType="begin"/>
            </w:r>
            <w:r>
              <w:rPr>
                <w:noProof/>
                <w:webHidden/>
              </w:rPr>
              <w:instrText xml:space="preserve"> PAGEREF _Toc238736111 \h </w:instrText>
            </w:r>
            <w:r>
              <w:rPr>
                <w:noProof/>
                <w:webHidden/>
              </w:rPr>
            </w:r>
            <w:r>
              <w:rPr>
                <w:noProof/>
                <w:webHidden/>
              </w:rPr>
              <w:fldChar w:fldCharType="separate"/>
            </w:r>
            <w:r>
              <w:rPr>
                <w:noProof/>
                <w:webHidden/>
              </w:rPr>
              <w:t>5</w:t>
            </w:r>
            <w:r>
              <w:rPr>
                <w:noProof/>
                <w:webHidden/>
              </w:rPr>
              <w:fldChar w:fldCharType="end"/>
            </w:r>
          </w:hyperlink>
        </w:p>
        <w:p w14:paraId="03431BB2" w14:textId="744C9C39"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2" w:history="1">
            <w:r w:rsidRPr="00BC3586">
              <w:rPr>
                <w:rStyle w:val="Hyperlink"/>
                <w:noProof/>
                <w:lang w:eastAsia="en-GB"/>
              </w:rPr>
              <w:t>4.4</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Mental Capacity and Best Interests</w:t>
            </w:r>
            <w:r>
              <w:rPr>
                <w:noProof/>
                <w:webHidden/>
              </w:rPr>
              <w:tab/>
            </w:r>
            <w:r>
              <w:rPr>
                <w:noProof/>
                <w:webHidden/>
              </w:rPr>
              <w:fldChar w:fldCharType="begin"/>
            </w:r>
            <w:r>
              <w:rPr>
                <w:noProof/>
                <w:webHidden/>
              </w:rPr>
              <w:instrText xml:space="preserve"> PAGEREF _Toc238736112 \h </w:instrText>
            </w:r>
            <w:r>
              <w:rPr>
                <w:noProof/>
                <w:webHidden/>
              </w:rPr>
            </w:r>
            <w:r>
              <w:rPr>
                <w:noProof/>
                <w:webHidden/>
              </w:rPr>
              <w:fldChar w:fldCharType="separate"/>
            </w:r>
            <w:r>
              <w:rPr>
                <w:noProof/>
                <w:webHidden/>
              </w:rPr>
              <w:t>5</w:t>
            </w:r>
            <w:r>
              <w:rPr>
                <w:noProof/>
                <w:webHidden/>
              </w:rPr>
              <w:fldChar w:fldCharType="end"/>
            </w:r>
          </w:hyperlink>
        </w:p>
        <w:p w14:paraId="408A1AAF" w14:textId="63846BD9" w:rsidR="009A2B5E" w:rsidRDefault="009A2B5E">
          <w:pPr>
            <w:pStyle w:val="TOC1"/>
            <w:rPr>
              <w:rFonts w:asciiTheme="minorHAnsi" w:eastAsiaTheme="minorEastAsia" w:hAnsiTheme="minorHAnsi"/>
              <w:noProof/>
              <w:kern w:val="2"/>
              <w:szCs w:val="24"/>
              <w:lang w:eastAsia="en-GB"/>
              <w14:ligatures w14:val="standardContextual"/>
            </w:rPr>
          </w:pPr>
          <w:hyperlink w:anchor="_Toc238736113" w:history="1">
            <w:r w:rsidRPr="00BC3586">
              <w:rPr>
                <w:rStyle w:val="Hyperlink"/>
                <w:noProof/>
              </w:rPr>
              <w:t>5.</w:t>
            </w:r>
            <w:r>
              <w:rPr>
                <w:rFonts w:asciiTheme="minorHAnsi" w:eastAsiaTheme="minorEastAsia" w:hAnsiTheme="minorHAnsi"/>
                <w:noProof/>
                <w:kern w:val="2"/>
                <w:szCs w:val="24"/>
                <w:lang w:eastAsia="en-GB"/>
                <w14:ligatures w14:val="standardContextual"/>
              </w:rPr>
              <w:tab/>
            </w:r>
            <w:r w:rsidRPr="00BC3586">
              <w:rPr>
                <w:rStyle w:val="Hyperlink"/>
                <w:noProof/>
              </w:rPr>
              <w:t>Discharge Home with a package of care</w:t>
            </w:r>
            <w:r>
              <w:rPr>
                <w:noProof/>
                <w:webHidden/>
              </w:rPr>
              <w:tab/>
            </w:r>
            <w:r>
              <w:rPr>
                <w:noProof/>
                <w:webHidden/>
              </w:rPr>
              <w:fldChar w:fldCharType="begin"/>
            </w:r>
            <w:r>
              <w:rPr>
                <w:noProof/>
                <w:webHidden/>
              </w:rPr>
              <w:instrText xml:space="preserve"> PAGEREF _Toc238736113 \h </w:instrText>
            </w:r>
            <w:r>
              <w:rPr>
                <w:noProof/>
                <w:webHidden/>
              </w:rPr>
            </w:r>
            <w:r>
              <w:rPr>
                <w:noProof/>
                <w:webHidden/>
              </w:rPr>
              <w:fldChar w:fldCharType="separate"/>
            </w:r>
            <w:r>
              <w:rPr>
                <w:noProof/>
                <w:webHidden/>
              </w:rPr>
              <w:t>5</w:t>
            </w:r>
            <w:r>
              <w:rPr>
                <w:noProof/>
                <w:webHidden/>
              </w:rPr>
              <w:fldChar w:fldCharType="end"/>
            </w:r>
          </w:hyperlink>
        </w:p>
        <w:p w14:paraId="0D2E8D10" w14:textId="724D587D" w:rsidR="009A2B5E" w:rsidRDefault="009A2B5E">
          <w:pPr>
            <w:pStyle w:val="TOC1"/>
            <w:rPr>
              <w:rFonts w:asciiTheme="minorHAnsi" w:eastAsiaTheme="minorEastAsia" w:hAnsiTheme="minorHAnsi"/>
              <w:noProof/>
              <w:kern w:val="2"/>
              <w:szCs w:val="24"/>
              <w:lang w:eastAsia="en-GB"/>
              <w14:ligatures w14:val="standardContextual"/>
            </w:rPr>
          </w:pPr>
          <w:hyperlink w:anchor="_Toc238736114" w:history="1">
            <w:r w:rsidRPr="00BC3586">
              <w:rPr>
                <w:rStyle w:val="Hyperlink"/>
                <w:noProof/>
              </w:rPr>
              <w:t>6.</w:t>
            </w:r>
            <w:r>
              <w:rPr>
                <w:rFonts w:asciiTheme="minorHAnsi" w:eastAsiaTheme="minorEastAsia" w:hAnsiTheme="minorHAnsi"/>
                <w:noProof/>
                <w:kern w:val="2"/>
                <w:szCs w:val="24"/>
                <w:lang w:eastAsia="en-GB"/>
                <w14:ligatures w14:val="standardContextual"/>
              </w:rPr>
              <w:tab/>
            </w:r>
            <w:r w:rsidRPr="00BC3586">
              <w:rPr>
                <w:rStyle w:val="Hyperlink"/>
                <w:noProof/>
              </w:rPr>
              <w:t>Transfer to a Non-Acute Bed / Clinically Stable for Transfer</w:t>
            </w:r>
            <w:r>
              <w:rPr>
                <w:noProof/>
                <w:webHidden/>
              </w:rPr>
              <w:tab/>
            </w:r>
            <w:r>
              <w:rPr>
                <w:noProof/>
                <w:webHidden/>
              </w:rPr>
              <w:fldChar w:fldCharType="begin"/>
            </w:r>
            <w:r>
              <w:rPr>
                <w:noProof/>
                <w:webHidden/>
              </w:rPr>
              <w:instrText xml:space="preserve"> PAGEREF _Toc238736114 \h </w:instrText>
            </w:r>
            <w:r>
              <w:rPr>
                <w:noProof/>
                <w:webHidden/>
              </w:rPr>
            </w:r>
            <w:r>
              <w:rPr>
                <w:noProof/>
                <w:webHidden/>
              </w:rPr>
              <w:fldChar w:fldCharType="separate"/>
            </w:r>
            <w:r>
              <w:rPr>
                <w:noProof/>
                <w:webHidden/>
              </w:rPr>
              <w:t>5</w:t>
            </w:r>
            <w:r>
              <w:rPr>
                <w:noProof/>
                <w:webHidden/>
              </w:rPr>
              <w:fldChar w:fldCharType="end"/>
            </w:r>
          </w:hyperlink>
        </w:p>
        <w:p w14:paraId="4DE64EFE" w14:textId="2AEBCD8C" w:rsidR="009A2B5E" w:rsidRDefault="009A2B5E">
          <w:pPr>
            <w:pStyle w:val="TOC1"/>
            <w:rPr>
              <w:rFonts w:asciiTheme="minorHAnsi" w:eastAsiaTheme="minorEastAsia" w:hAnsiTheme="minorHAnsi"/>
              <w:noProof/>
              <w:kern w:val="2"/>
              <w:szCs w:val="24"/>
              <w:lang w:eastAsia="en-GB"/>
              <w14:ligatures w14:val="standardContextual"/>
            </w:rPr>
          </w:pPr>
          <w:hyperlink w:anchor="_Toc238736115" w:history="1">
            <w:r w:rsidRPr="00BC3586">
              <w:rPr>
                <w:rStyle w:val="Hyperlink"/>
                <w:noProof/>
              </w:rPr>
              <w:t>7.</w:t>
            </w:r>
            <w:r>
              <w:rPr>
                <w:rFonts w:asciiTheme="minorHAnsi" w:eastAsiaTheme="minorEastAsia" w:hAnsiTheme="minorHAnsi"/>
                <w:noProof/>
                <w:kern w:val="2"/>
                <w:szCs w:val="24"/>
                <w:lang w:eastAsia="en-GB"/>
                <w14:ligatures w14:val="standardContextual"/>
              </w:rPr>
              <w:tab/>
            </w:r>
            <w:r w:rsidRPr="00BC3586">
              <w:rPr>
                <w:rStyle w:val="Hyperlink"/>
                <w:noProof/>
              </w:rPr>
              <w:t>Discharge to a Care Home</w:t>
            </w:r>
            <w:r>
              <w:rPr>
                <w:noProof/>
                <w:webHidden/>
              </w:rPr>
              <w:tab/>
            </w:r>
            <w:r>
              <w:rPr>
                <w:noProof/>
                <w:webHidden/>
              </w:rPr>
              <w:fldChar w:fldCharType="begin"/>
            </w:r>
            <w:r>
              <w:rPr>
                <w:noProof/>
                <w:webHidden/>
              </w:rPr>
              <w:instrText xml:space="preserve"> PAGEREF _Toc238736115 \h </w:instrText>
            </w:r>
            <w:r>
              <w:rPr>
                <w:noProof/>
                <w:webHidden/>
              </w:rPr>
            </w:r>
            <w:r>
              <w:rPr>
                <w:noProof/>
                <w:webHidden/>
              </w:rPr>
              <w:fldChar w:fldCharType="separate"/>
            </w:r>
            <w:r>
              <w:rPr>
                <w:noProof/>
                <w:webHidden/>
              </w:rPr>
              <w:t>6</w:t>
            </w:r>
            <w:r>
              <w:rPr>
                <w:noProof/>
                <w:webHidden/>
              </w:rPr>
              <w:fldChar w:fldCharType="end"/>
            </w:r>
          </w:hyperlink>
        </w:p>
        <w:p w14:paraId="1771383F" w14:textId="356CDFF9"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6" w:history="1">
            <w:r w:rsidRPr="00BC3586">
              <w:rPr>
                <w:rStyle w:val="Hyperlink"/>
                <w:noProof/>
                <w:lang w:eastAsia="en-GB"/>
              </w:rPr>
              <w:t>7.1</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Social Care Assessment</w:t>
            </w:r>
            <w:r>
              <w:rPr>
                <w:noProof/>
                <w:webHidden/>
              </w:rPr>
              <w:tab/>
            </w:r>
            <w:r>
              <w:rPr>
                <w:noProof/>
                <w:webHidden/>
              </w:rPr>
              <w:fldChar w:fldCharType="begin"/>
            </w:r>
            <w:r>
              <w:rPr>
                <w:noProof/>
                <w:webHidden/>
              </w:rPr>
              <w:instrText xml:space="preserve"> PAGEREF _Toc238736116 \h </w:instrText>
            </w:r>
            <w:r>
              <w:rPr>
                <w:noProof/>
                <w:webHidden/>
              </w:rPr>
            </w:r>
            <w:r>
              <w:rPr>
                <w:noProof/>
                <w:webHidden/>
              </w:rPr>
              <w:fldChar w:fldCharType="separate"/>
            </w:r>
            <w:r>
              <w:rPr>
                <w:noProof/>
                <w:webHidden/>
              </w:rPr>
              <w:t>6</w:t>
            </w:r>
            <w:r>
              <w:rPr>
                <w:noProof/>
                <w:webHidden/>
              </w:rPr>
              <w:fldChar w:fldCharType="end"/>
            </w:r>
          </w:hyperlink>
        </w:p>
        <w:p w14:paraId="6D8797C9" w14:textId="1F89925E"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7" w:history="1">
            <w:r w:rsidRPr="00BC3586">
              <w:rPr>
                <w:rStyle w:val="Hyperlink"/>
                <w:noProof/>
                <w:lang w:eastAsia="en-GB"/>
              </w:rPr>
              <w:t>7.2</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Financial Assessment</w:t>
            </w:r>
            <w:r>
              <w:rPr>
                <w:noProof/>
                <w:webHidden/>
              </w:rPr>
              <w:tab/>
            </w:r>
            <w:r>
              <w:rPr>
                <w:noProof/>
                <w:webHidden/>
              </w:rPr>
              <w:fldChar w:fldCharType="begin"/>
            </w:r>
            <w:r>
              <w:rPr>
                <w:noProof/>
                <w:webHidden/>
              </w:rPr>
              <w:instrText xml:space="preserve"> PAGEREF _Toc238736117 \h </w:instrText>
            </w:r>
            <w:r>
              <w:rPr>
                <w:noProof/>
                <w:webHidden/>
              </w:rPr>
            </w:r>
            <w:r>
              <w:rPr>
                <w:noProof/>
                <w:webHidden/>
              </w:rPr>
              <w:fldChar w:fldCharType="separate"/>
            </w:r>
            <w:r>
              <w:rPr>
                <w:noProof/>
                <w:webHidden/>
              </w:rPr>
              <w:t>6</w:t>
            </w:r>
            <w:r>
              <w:rPr>
                <w:noProof/>
                <w:webHidden/>
              </w:rPr>
              <w:fldChar w:fldCharType="end"/>
            </w:r>
          </w:hyperlink>
        </w:p>
        <w:p w14:paraId="05D6DE21" w14:textId="2F471584"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8" w:history="1">
            <w:r w:rsidRPr="00BC3586">
              <w:rPr>
                <w:rStyle w:val="Hyperlink"/>
                <w:noProof/>
                <w:lang w:eastAsia="en-GB"/>
              </w:rPr>
              <w:t>7.3</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Expressing a Preference</w:t>
            </w:r>
            <w:r>
              <w:rPr>
                <w:noProof/>
                <w:webHidden/>
              </w:rPr>
              <w:tab/>
            </w:r>
            <w:r>
              <w:rPr>
                <w:noProof/>
                <w:webHidden/>
              </w:rPr>
              <w:fldChar w:fldCharType="begin"/>
            </w:r>
            <w:r>
              <w:rPr>
                <w:noProof/>
                <w:webHidden/>
              </w:rPr>
              <w:instrText xml:space="preserve"> PAGEREF _Toc238736118 \h </w:instrText>
            </w:r>
            <w:r>
              <w:rPr>
                <w:noProof/>
                <w:webHidden/>
              </w:rPr>
            </w:r>
            <w:r>
              <w:rPr>
                <w:noProof/>
                <w:webHidden/>
              </w:rPr>
              <w:fldChar w:fldCharType="separate"/>
            </w:r>
            <w:r>
              <w:rPr>
                <w:noProof/>
                <w:webHidden/>
              </w:rPr>
              <w:t>7</w:t>
            </w:r>
            <w:r>
              <w:rPr>
                <w:noProof/>
                <w:webHidden/>
              </w:rPr>
              <w:fldChar w:fldCharType="end"/>
            </w:r>
          </w:hyperlink>
        </w:p>
        <w:p w14:paraId="1F143EE1" w14:textId="0DE6A957"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19" w:history="1">
            <w:r w:rsidRPr="00BC3586">
              <w:rPr>
                <w:rStyle w:val="Hyperlink"/>
                <w:noProof/>
                <w:lang w:eastAsia="en-GB"/>
              </w:rPr>
              <w:t>7.4</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Visits and Decisions</w:t>
            </w:r>
            <w:r>
              <w:rPr>
                <w:noProof/>
                <w:webHidden/>
              </w:rPr>
              <w:tab/>
            </w:r>
            <w:r>
              <w:rPr>
                <w:noProof/>
                <w:webHidden/>
              </w:rPr>
              <w:fldChar w:fldCharType="begin"/>
            </w:r>
            <w:r>
              <w:rPr>
                <w:noProof/>
                <w:webHidden/>
              </w:rPr>
              <w:instrText xml:space="preserve"> PAGEREF _Toc238736119 \h </w:instrText>
            </w:r>
            <w:r>
              <w:rPr>
                <w:noProof/>
                <w:webHidden/>
              </w:rPr>
            </w:r>
            <w:r>
              <w:rPr>
                <w:noProof/>
                <w:webHidden/>
              </w:rPr>
              <w:fldChar w:fldCharType="separate"/>
            </w:r>
            <w:r>
              <w:rPr>
                <w:noProof/>
                <w:webHidden/>
              </w:rPr>
              <w:t>7</w:t>
            </w:r>
            <w:r>
              <w:rPr>
                <w:noProof/>
                <w:webHidden/>
              </w:rPr>
              <w:fldChar w:fldCharType="end"/>
            </w:r>
          </w:hyperlink>
        </w:p>
        <w:p w14:paraId="66BCFBA1" w14:textId="13F2334D"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20" w:history="1">
            <w:r w:rsidRPr="00BC3586">
              <w:rPr>
                <w:rStyle w:val="Hyperlink"/>
                <w:noProof/>
                <w:lang w:eastAsia="en-GB"/>
              </w:rPr>
              <w:t>7.5</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Additional Cost Payments</w:t>
            </w:r>
            <w:r>
              <w:rPr>
                <w:noProof/>
                <w:webHidden/>
              </w:rPr>
              <w:tab/>
            </w:r>
            <w:r>
              <w:rPr>
                <w:noProof/>
                <w:webHidden/>
              </w:rPr>
              <w:fldChar w:fldCharType="begin"/>
            </w:r>
            <w:r>
              <w:rPr>
                <w:noProof/>
                <w:webHidden/>
              </w:rPr>
              <w:instrText xml:space="preserve"> PAGEREF _Toc238736120 \h </w:instrText>
            </w:r>
            <w:r>
              <w:rPr>
                <w:noProof/>
                <w:webHidden/>
              </w:rPr>
            </w:r>
            <w:r>
              <w:rPr>
                <w:noProof/>
                <w:webHidden/>
              </w:rPr>
              <w:fldChar w:fldCharType="separate"/>
            </w:r>
            <w:r>
              <w:rPr>
                <w:noProof/>
                <w:webHidden/>
              </w:rPr>
              <w:t>7</w:t>
            </w:r>
            <w:r>
              <w:rPr>
                <w:noProof/>
                <w:webHidden/>
              </w:rPr>
              <w:fldChar w:fldCharType="end"/>
            </w:r>
          </w:hyperlink>
        </w:p>
        <w:p w14:paraId="7B0E2AAC" w14:textId="122CFD0E"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21" w:history="1">
            <w:r w:rsidRPr="00BC3586">
              <w:rPr>
                <w:rStyle w:val="Hyperlink"/>
                <w:noProof/>
                <w:lang w:eastAsia="en-GB"/>
              </w:rPr>
              <w:t>7.6</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Interim Placements</w:t>
            </w:r>
            <w:r>
              <w:rPr>
                <w:noProof/>
                <w:webHidden/>
              </w:rPr>
              <w:tab/>
            </w:r>
            <w:r>
              <w:rPr>
                <w:noProof/>
                <w:webHidden/>
              </w:rPr>
              <w:fldChar w:fldCharType="begin"/>
            </w:r>
            <w:r>
              <w:rPr>
                <w:noProof/>
                <w:webHidden/>
              </w:rPr>
              <w:instrText xml:space="preserve"> PAGEREF _Toc238736121 \h </w:instrText>
            </w:r>
            <w:r>
              <w:rPr>
                <w:noProof/>
                <w:webHidden/>
              </w:rPr>
            </w:r>
            <w:r>
              <w:rPr>
                <w:noProof/>
                <w:webHidden/>
              </w:rPr>
              <w:fldChar w:fldCharType="separate"/>
            </w:r>
            <w:r>
              <w:rPr>
                <w:noProof/>
                <w:webHidden/>
              </w:rPr>
              <w:t>7</w:t>
            </w:r>
            <w:r>
              <w:rPr>
                <w:noProof/>
                <w:webHidden/>
              </w:rPr>
              <w:fldChar w:fldCharType="end"/>
            </w:r>
          </w:hyperlink>
        </w:p>
        <w:p w14:paraId="69880ADB" w14:textId="62D490BD"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22" w:history="1">
            <w:r w:rsidRPr="00BC3586">
              <w:rPr>
                <w:rStyle w:val="Hyperlink"/>
                <w:noProof/>
                <w:lang w:eastAsia="en-GB"/>
              </w:rPr>
              <w:t>7.7</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Self-Funding Arrangements</w:t>
            </w:r>
            <w:r>
              <w:rPr>
                <w:noProof/>
                <w:webHidden/>
              </w:rPr>
              <w:tab/>
            </w:r>
            <w:r>
              <w:rPr>
                <w:noProof/>
                <w:webHidden/>
              </w:rPr>
              <w:fldChar w:fldCharType="begin"/>
            </w:r>
            <w:r>
              <w:rPr>
                <w:noProof/>
                <w:webHidden/>
              </w:rPr>
              <w:instrText xml:space="preserve"> PAGEREF _Toc238736122 \h </w:instrText>
            </w:r>
            <w:r>
              <w:rPr>
                <w:noProof/>
                <w:webHidden/>
              </w:rPr>
            </w:r>
            <w:r>
              <w:rPr>
                <w:noProof/>
                <w:webHidden/>
              </w:rPr>
              <w:fldChar w:fldCharType="separate"/>
            </w:r>
            <w:r>
              <w:rPr>
                <w:noProof/>
                <w:webHidden/>
              </w:rPr>
              <w:t>8</w:t>
            </w:r>
            <w:r>
              <w:rPr>
                <w:noProof/>
                <w:webHidden/>
              </w:rPr>
              <w:fldChar w:fldCharType="end"/>
            </w:r>
          </w:hyperlink>
        </w:p>
        <w:p w14:paraId="231575DC" w14:textId="0FC32A4B" w:rsidR="009A2B5E" w:rsidRDefault="009A2B5E">
          <w:pPr>
            <w:pStyle w:val="TOC2"/>
            <w:tabs>
              <w:tab w:val="left" w:pos="960"/>
              <w:tab w:val="right" w:leader="dot" w:pos="10281"/>
            </w:tabs>
            <w:rPr>
              <w:rFonts w:asciiTheme="minorHAnsi" w:eastAsiaTheme="minorEastAsia" w:hAnsiTheme="minorHAnsi"/>
              <w:noProof/>
              <w:kern w:val="2"/>
              <w:szCs w:val="24"/>
              <w:lang w:eastAsia="en-GB"/>
              <w14:ligatures w14:val="standardContextual"/>
            </w:rPr>
          </w:pPr>
          <w:hyperlink w:anchor="_Toc238736123" w:history="1">
            <w:r w:rsidRPr="00BC3586">
              <w:rPr>
                <w:rStyle w:val="Hyperlink"/>
                <w:noProof/>
                <w:lang w:eastAsia="en-GB"/>
              </w:rPr>
              <w:t>7.8</w:t>
            </w:r>
            <w:r>
              <w:rPr>
                <w:rFonts w:asciiTheme="minorHAnsi" w:eastAsiaTheme="minorEastAsia" w:hAnsiTheme="minorHAnsi"/>
                <w:noProof/>
                <w:kern w:val="2"/>
                <w:szCs w:val="24"/>
                <w:lang w:eastAsia="en-GB"/>
                <w14:ligatures w14:val="standardContextual"/>
              </w:rPr>
              <w:tab/>
            </w:r>
            <w:r w:rsidRPr="00BC3586">
              <w:rPr>
                <w:rStyle w:val="Hyperlink"/>
                <w:noProof/>
                <w:lang w:eastAsia="en-GB"/>
              </w:rPr>
              <w:t>Continuing NHS Healthcare (CHC)</w:t>
            </w:r>
            <w:r>
              <w:rPr>
                <w:noProof/>
                <w:webHidden/>
              </w:rPr>
              <w:tab/>
            </w:r>
            <w:r>
              <w:rPr>
                <w:noProof/>
                <w:webHidden/>
              </w:rPr>
              <w:fldChar w:fldCharType="begin"/>
            </w:r>
            <w:r>
              <w:rPr>
                <w:noProof/>
                <w:webHidden/>
              </w:rPr>
              <w:instrText xml:space="preserve"> PAGEREF _Toc238736123 \h </w:instrText>
            </w:r>
            <w:r>
              <w:rPr>
                <w:noProof/>
                <w:webHidden/>
              </w:rPr>
            </w:r>
            <w:r>
              <w:rPr>
                <w:noProof/>
                <w:webHidden/>
              </w:rPr>
              <w:fldChar w:fldCharType="separate"/>
            </w:r>
            <w:r>
              <w:rPr>
                <w:noProof/>
                <w:webHidden/>
              </w:rPr>
              <w:t>8</w:t>
            </w:r>
            <w:r>
              <w:rPr>
                <w:noProof/>
                <w:webHidden/>
              </w:rPr>
              <w:fldChar w:fldCharType="end"/>
            </w:r>
          </w:hyperlink>
        </w:p>
        <w:p w14:paraId="09574DE5" w14:textId="4BD2BF39" w:rsidR="009A2B5E" w:rsidRDefault="009A2B5E">
          <w:pPr>
            <w:pStyle w:val="TOC1"/>
            <w:rPr>
              <w:rFonts w:asciiTheme="minorHAnsi" w:eastAsiaTheme="minorEastAsia" w:hAnsiTheme="minorHAnsi"/>
              <w:noProof/>
              <w:kern w:val="2"/>
              <w:szCs w:val="24"/>
              <w:lang w:eastAsia="en-GB"/>
              <w14:ligatures w14:val="standardContextual"/>
            </w:rPr>
          </w:pPr>
          <w:hyperlink w:anchor="_Toc238736124" w:history="1">
            <w:r w:rsidRPr="00BC3586">
              <w:rPr>
                <w:rStyle w:val="Hyperlink"/>
                <w:noProof/>
              </w:rPr>
              <w:t>8.</w:t>
            </w:r>
            <w:r>
              <w:rPr>
                <w:rFonts w:asciiTheme="minorHAnsi" w:eastAsiaTheme="minorEastAsia" w:hAnsiTheme="minorHAnsi"/>
                <w:noProof/>
                <w:kern w:val="2"/>
                <w:szCs w:val="24"/>
                <w:lang w:eastAsia="en-GB"/>
                <w14:ligatures w14:val="standardContextual"/>
              </w:rPr>
              <w:tab/>
            </w:r>
            <w:r w:rsidRPr="00BC3586">
              <w:rPr>
                <w:rStyle w:val="Hyperlink"/>
                <w:noProof/>
              </w:rPr>
              <w:t>Managing Disagreement, Reluctant Discharge and Escalation</w:t>
            </w:r>
            <w:r>
              <w:rPr>
                <w:noProof/>
                <w:webHidden/>
              </w:rPr>
              <w:tab/>
            </w:r>
            <w:r>
              <w:rPr>
                <w:noProof/>
                <w:webHidden/>
              </w:rPr>
              <w:fldChar w:fldCharType="begin"/>
            </w:r>
            <w:r>
              <w:rPr>
                <w:noProof/>
                <w:webHidden/>
              </w:rPr>
              <w:instrText xml:space="preserve"> PAGEREF _Toc238736124 \h </w:instrText>
            </w:r>
            <w:r>
              <w:rPr>
                <w:noProof/>
                <w:webHidden/>
              </w:rPr>
            </w:r>
            <w:r>
              <w:rPr>
                <w:noProof/>
                <w:webHidden/>
              </w:rPr>
              <w:fldChar w:fldCharType="separate"/>
            </w:r>
            <w:r>
              <w:rPr>
                <w:noProof/>
                <w:webHidden/>
              </w:rPr>
              <w:t>8</w:t>
            </w:r>
            <w:r>
              <w:rPr>
                <w:noProof/>
                <w:webHidden/>
              </w:rPr>
              <w:fldChar w:fldCharType="end"/>
            </w:r>
          </w:hyperlink>
        </w:p>
        <w:p w14:paraId="07430D88" w14:textId="7553FCEA" w:rsidR="00A52E39" w:rsidRDefault="00A52E39">
          <w:r>
            <w:rPr>
              <w:b/>
              <w:bCs/>
            </w:rPr>
            <w:fldChar w:fldCharType="end"/>
          </w:r>
        </w:p>
      </w:sdtContent>
    </w:sdt>
    <w:p w14:paraId="5B5D7E4F" w14:textId="77777777" w:rsidR="00A52E39" w:rsidRDefault="00A52E39" w:rsidP="007A767A">
      <w:pPr>
        <w:pStyle w:val="Heading1"/>
        <w:rPr>
          <w:rFonts w:ascii="Segoe UI" w:hAnsi="Segoe UI" w:cs="Segoe UI"/>
          <w:b w:val="0"/>
          <w:bCs/>
          <w:color w:val="auto"/>
          <w:sz w:val="24"/>
          <w:szCs w:val="24"/>
        </w:rPr>
        <w:sectPr w:rsidR="00A52E39" w:rsidSect="00420F9F">
          <w:pgSz w:w="11905" w:h="14956"/>
          <w:pgMar w:top="914" w:right="759" w:bottom="1392" w:left="855" w:header="720" w:footer="720" w:gutter="0"/>
          <w:cols w:space="720"/>
          <w:noEndnote/>
        </w:sectPr>
      </w:pPr>
    </w:p>
    <w:p w14:paraId="75A02769" w14:textId="249C46E7" w:rsidR="007A767A" w:rsidRPr="00C24556" w:rsidRDefault="007A767A" w:rsidP="00C24556">
      <w:pPr>
        <w:pStyle w:val="Heading1"/>
        <w:numPr>
          <w:ilvl w:val="0"/>
          <w:numId w:val="32"/>
        </w:numPr>
        <w:ind w:hanging="720"/>
      </w:pPr>
      <w:bookmarkStart w:id="2" w:name="_Toc238736105"/>
      <w:r w:rsidRPr="00C24556">
        <w:lastRenderedPageBreak/>
        <w:t>Introduction</w:t>
      </w:r>
      <w:bookmarkEnd w:id="0"/>
      <w:bookmarkEnd w:id="1"/>
      <w:bookmarkEnd w:id="2"/>
    </w:p>
    <w:p w14:paraId="68161D6C" w14:textId="2C740AB9" w:rsidR="007A767A" w:rsidRPr="00C24556" w:rsidRDefault="007A767A" w:rsidP="00C24556">
      <w:pPr>
        <w:pStyle w:val="ListParagraph"/>
        <w:numPr>
          <w:ilvl w:val="1"/>
          <w:numId w:val="32"/>
        </w:numPr>
        <w:ind w:left="709" w:hanging="709"/>
        <w:rPr>
          <w:rFonts w:cs="Arial"/>
          <w:szCs w:val="24"/>
        </w:rPr>
      </w:pPr>
      <w:r w:rsidRPr="00C24556">
        <w:rPr>
          <w:rFonts w:cs="Arial"/>
          <w:szCs w:val="24"/>
        </w:rPr>
        <w:t xml:space="preserve">This policy supports timely and effective discharge from NHS and social care inpatient settings </w:t>
      </w:r>
      <w:r w:rsidR="009C48B4">
        <w:rPr>
          <w:rFonts w:cs="Arial"/>
          <w:szCs w:val="24"/>
        </w:rPr>
        <w:t xml:space="preserve">for meeting physical health care needs </w:t>
      </w:r>
      <w:r w:rsidRPr="00C24556">
        <w:rPr>
          <w:rFonts w:cs="Arial"/>
          <w:szCs w:val="24"/>
        </w:rPr>
        <w:t>to the most appropriate environment to meet an individual's needs. It applies to all adult inpatients within Swansea Bay University Health Board provider services and should be considered during pre-operative assessment and throughout admission to support safe and timely discharge once a patient no longer meets the criteria to reside.</w:t>
      </w:r>
    </w:p>
    <w:p w14:paraId="3373AF5F" w14:textId="1AC6838A" w:rsidR="007A767A" w:rsidRPr="00C24556" w:rsidRDefault="007A767A" w:rsidP="00C24556">
      <w:pPr>
        <w:pStyle w:val="ListParagraph"/>
        <w:numPr>
          <w:ilvl w:val="1"/>
          <w:numId w:val="32"/>
        </w:numPr>
        <w:ind w:left="709" w:hanging="709"/>
        <w:rPr>
          <w:rFonts w:cs="Arial"/>
          <w:szCs w:val="24"/>
        </w:rPr>
      </w:pPr>
      <w:r w:rsidRPr="00C24556">
        <w:rPr>
          <w:rFonts w:cs="Arial"/>
          <w:szCs w:val="24"/>
        </w:rPr>
        <w:t>This policy supports Welsh Government Hospital Discharge Guidance (January 2025) and does not apply to patients requiring a Fast Track discharge process.</w:t>
      </w:r>
    </w:p>
    <w:p w14:paraId="781BA201" w14:textId="2D39C94D" w:rsidR="007A767A" w:rsidRPr="00C24556" w:rsidRDefault="007A767A" w:rsidP="00C24556">
      <w:pPr>
        <w:pStyle w:val="ListParagraph"/>
        <w:numPr>
          <w:ilvl w:val="1"/>
          <w:numId w:val="32"/>
        </w:numPr>
        <w:ind w:left="709" w:hanging="709"/>
        <w:rPr>
          <w:rFonts w:cs="Arial"/>
          <w:szCs w:val="24"/>
        </w:rPr>
      </w:pPr>
      <w:r w:rsidRPr="00C24556">
        <w:rPr>
          <w:rFonts w:cs="Arial"/>
          <w:szCs w:val="24"/>
        </w:rPr>
        <w:t>Patient engagement and involvement are central to discharge planning. References to patients include, where appropriate and with consent, their representatives, family members or advocates.</w:t>
      </w:r>
    </w:p>
    <w:p w14:paraId="5723000A" w14:textId="4DFB48D9" w:rsidR="007A767A" w:rsidRPr="00C24556" w:rsidRDefault="007A767A" w:rsidP="00C24556">
      <w:pPr>
        <w:pStyle w:val="ListParagraph"/>
        <w:numPr>
          <w:ilvl w:val="1"/>
          <w:numId w:val="32"/>
        </w:numPr>
        <w:ind w:left="709" w:hanging="709"/>
        <w:rPr>
          <w:rFonts w:cs="Arial"/>
          <w:szCs w:val="24"/>
        </w:rPr>
      </w:pPr>
      <w:r w:rsidRPr="00C24556">
        <w:rPr>
          <w:rFonts w:cs="Arial"/>
          <w:szCs w:val="24"/>
        </w:rPr>
        <w:t>Patients and families may experience difficulties making discharge decisions due to concerns regarding care quality, costs, availability of services, future accommodation, family support arrangements, or uncertainty about available options. Staff should provide timely information, advice and support to enable informed decision-making and minimise avoidable delays.</w:t>
      </w:r>
    </w:p>
    <w:p w14:paraId="54FD267C" w14:textId="2BBAFFC9" w:rsidR="008E6672" w:rsidRPr="00C24556" w:rsidRDefault="0061004C" w:rsidP="00C24556">
      <w:pPr>
        <w:pStyle w:val="Heading1"/>
        <w:numPr>
          <w:ilvl w:val="0"/>
          <w:numId w:val="32"/>
        </w:numPr>
        <w:ind w:hanging="720"/>
      </w:pPr>
      <w:bookmarkStart w:id="3" w:name="_Toc237794294"/>
      <w:bookmarkStart w:id="4" w:name="_Toc237795405"/>
      <w:bookmarkStart w:id="5" w:name="_Toc238736106"/>
      <w:r w:rsidRPr="00C24556">
        <w:t>P</w:t>
      </w:r>
      <w:r w:rsidR="00A21E9D" w:rsidRPr="00C24556">
        <w:t>urpose</w:t>
      </w:r>
      <w:bookmarkEnd w:id="3"/>
      <w:bookmarkEnd w:id="4"/>
      <w:bookmarkEnd w:id="5"/>
    </w:p>
    <w:p w14:paraId="0EBA552A" w14:textId="4877F15C" w:rsidR="0061004C" w:rsidRPr="00C24556" w:rsidRDefault="0061004C" w:rsidP="00C24556">
      <w:pPr>
        <w:pStyle w:val="ListParagraph"/>
        <w:numPr>
          <w:ilvl w:val="1"/>
          <w:numId w:val="32"/>
        </w:numPr>
        <w:ind w:left="709" w:hanging="709"/>
        <w:rPr>
          <w:rFonts w:cs="Arial"/>
          <w:szCs w:val="24"/>
        </w:rPr>
      </w:pPr>
      <w:r w:rsidRPr="00C24556">
        <w:rPr>
          <w:rFonts w:cs="Arial"/>
          <w:szCs w:val="24"/>
        </w:rPr>
        <w:t>This policy ensures that patient choice is managed consistently and sensitively throughout the discharge process, enabling informed decision-making through timely information, advice and support.</w:t>
      </w:r>
    </w:p>
    <w:p w14:paraId="1D61F83D" w14:textId="7E742337" w:rsidR="0061004C" w:rsidRPr="00C24556" w:rsidRDefault="0061004C" w:rsidP="00C24556">
      <w:pPr>
        <w:pStyle w:val="ListParagraph"/>
        <w:numPr>
          <w:ilvl w:val="1"/>
          <w:numId w:val="32"/>
        </w:numPr>
        <w:ind w:left="709" w:hanging="709"/>
        <w:rPr>
          <w:rFonts w:cs="Arial"/>
          <w:szCs w:val="24"/>
        </w:rPr>
      </w:pPr>
      <w:r w:rsidRPr="00C24556">
        <w:rPr>
          <w:rFonts w:cs="Arial"/>
          <w:szCs w:val="24"/>
        </w:rPr>
        <w:t>It provides a framework to support the appropriate and efficient use of inpatient beds and discharge-to-assess pathways across Swansea Bay University Health Board, ensuring timely discharge once a patient no longer requires inpatient care.</w:t>
      </w:r>
    </w:p>
    <w:p w14:paraId="527CF6AE" w14:textId="0E36A639" w:rsidR="0061004C" w:rsidRPr="00081DAE" w:rsidRDefault="0061004C" w:rsidP="00C24556">
      <w:pPr>
        <w:pStyle w:val="ListParagraph"/>
        <w:numPr>
          <w:ilvl w:val="1"/>
          <w:numId w:val="32"/>
        </w:numPr>
        <w:ind w:left="709" w:hanging="709"/>
        <w:rPr>
          <w:rFonts w:cs="Arial"/>
          <w:color w:val="EE0000"/>
          <w:szCs w:val="24"/>
        </w:rPr>
      </w:pPr>
      <w:r w:rsidRPr="00C24556">
        <w:rPr>
          <w:rFonts w:cs="Arial"/>
          <w:szCs w:val="24"/>
        </w:rPr>
        <w:t>Where a patient lacks capacity to make decisions regarding discharge, this policy must be applied in accordance with the Mental Capacity Act 2005 and the guidance outlined</w:t>
      </w:r>
      <w:r w:rsidR="00D53F70">
        <w:rPr>
          <w:rFonts w:cs="Arial"/>
          <w:szCs w:val="24"/>
        </w:rPr>
        <w:t xml:space="preserve"> in the </w:t>
      </w:r>
      <w:hyperlink r:id="rId15" w:history="1">
        <w:r w:rsidR="00B85231" w:rsidRPr="00B85231">
          <w:rPr>
            <w:rStyle w:val="Hyperlink"/>
            <w:rFonts w:cs="Arial"/>
            <w:szCs w:val="24"/>
          </w:rPr>
          <w:t>Standard Operating Procedure - Best Interest Decision.docx</w:t>
        </w:r>
      </w:hyperlink>
    </w:p>
    <w:p w14:paraId="1F1045BB" w14:textId="225838E5" w:rsidR="0061004C" w:rsidRPr="00C24556" w:rsidRDefault="0061004C" w:rsidP="00C24556">
      <w:pPr>
        <w:pStyle w:val="ListParagraph"/>
        <w:numPr>
          <w:ilvl w:val="1"/>
          <w:numId w:val="32"/>
        </w:numPr>
        <w:ind w:left="709" w:hanging="709"/>
        <w:rPr>
          <w:rFonts w:cs="Arial"/>
          <w:szCs w:val="24"/>
        </w:rPr>
      </w:pPr>
      <w:r w:rsidRPr="00C24556">
        <w:rPr>
          <w:rFonts w:cs="Arial"/>
          <w:szCs w:val="24"/>
        </w:rPr>
        <w:t xml:space="preserve">Consistent application of this policy should reduce delayed discharges, improve patient flow and support better outcomes by ensuring patients receive care in the most appropriate setting. </w:t>
      </w:r>
    </w:p>
    <w:p w14:paraId="7693F84E" w14:textId="52EDE8C5" w:rsidR="00EE01A3" w:rsidRPr="00702CBD" w:rsidRDefault="00EE01A3" w:rsidP="00A13F62">
      <w:pPr>
        <w:pStyle w:val="ListParagraph"/>
        <w:numPr>
          <w:ilvl w:val="1"/>
          <w:numId w:val="32"/>
        </w:numPr>
        <w:ind w:left="709" w:hanging="709"/>
        <w:rPr>
          <w:rFonts w:cs="Arial"/>
          <w:szCs w:val="24"/>
        </w:rPr>
      </w:pPr>
      <w:r w:rsidRPr="00953E7B">
        <w:t xml:space="preserve">This policy forms part of the </w:t>
      </w:r>
      <w:hyperlink r:id="rId16" w:history="1">
        <w:r w:rsidR="00C4346C" w:rsidRPr="00C4346C">
          <w:rPr>
            <w:rStyle w:val="Hyperlink"/>
          </w:rPr>
          <w:t>Overarching Discharge Policy DRAFT v1.2.docx</w:t>
        </w:r>
      </w:hyperlink>
    </w:p>
    <w:p w14:paraId="6B33B4D7" w14:textId="23EAB7A8" w:rsidR="00225CBE" w:rsidRPr="00C24556" w:rsidRDefault="008B0EBC" w:rsidP="00C24556">
      <w:pPr>
        <w:pStyle w:val="Heading1"/>
        <w:numPr>
          <w:ilvl w:val="0"/>
          <w:numId w:val="32"/>
        </w:numPr>
        <w:ind w:hanging="720"/>
      </w:pPr>
      <w:bookmarkStart w:id="6" w:name="_Toc238736107"/>
      <w:r w:rsidRPr="00C24556">
        <w:t>Overa</w:t>
      </w:r>
      <w:r w:rsidR="006B7B60" w:rsidRPr="00C24556">
        <w:t>rching</w:t>
      </w:r>
      <w:r w:rsidR="00225CBE" w:rsidRPr="00C24556">
        <w:t xml:space="preserve"> Principles</w:t>
      </w:r>
      <w:bookmarkEnd w:id="6"/>
    </w:p>
    <w:p w14:paraId="39AD9C75"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t>Discharge planning should commence prior to admission wherever possible, or at the earliest opportunity following admission.</w:t>
      </w:r>
    </w:p>
    <w:p w14:paraId="54581430" w14:textId="77777777" w:rsidR="00225CBE" w:rsidRPr="00C24556" w:rsidRDefault="00225CBE" w:rsidP="00C24556">
      <w:pPr>
        <w:pStyle w:val="ListParagraph"/>
        <w:numPr>
          <w:ilvl w:val="1"/>
          <w:numId w:val="32"/>
        </w:numPr>
        <w:ind w:left="709" w:hanging="709"/>
        <w:rPr>
          <w:rFonts w:eastAsia="Times New Roman" w:cs="Arial"/>
          <w:szCs w:val="24"/>
          <w:lang w:eastAsia="en-GB"/>
        </w:rPr>
      </w:pPr>
      <w:r w:rsidRPr="00C24556">
        <w:rPr>
          <w:rFonts w:eastAsia="Times New Roman" w:cs="Arial"/>
          <w:szCs w:val="24"/>
          <w:lang w:eastAsia="en-GB"/>
        </w:rPr>
        <w:t xml:space="preserve">A </w:t>
      </w:r>
      <w:r w:rsidRPr="00C24556">
        <w:rPr>
          <w:rFonts w:eastAsia="Times New Roman" w:cs="Arial"/>
          <w:b/>
          <w:bCs/>
          <w:szCs w:val="24"/>
          <w:lang w:eastAsia="en-GB"/>
        </w:rPr>
        <w:t>Home First, strengths-based approach</w:t>
      </w:r>
      <w:r w:rsidRPr="00C24556">
        <w:rPr>
          <w:rFonts w:eastAsia="Times New Roman" w:cs="Arial"/>
          <w:szCs w:val="24"/>
          <w:lang w:eastAsia="en-GB"/>
        </w:rPr>
        <w:t xml:space="preserve"> should be adopted wherever safe and appropriate, maximising independence and recovery within the patient's usual place of residence.</w:t>
      </w:r>
    </w:p>
    <w:p w14:paraId="520B4D8D"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lastRenderedPageBreak/>
        <w:t xml:space="preserve">Long-term care needs should not normally be determined during an acute hospital admission. </w:t>
      </w:r>
    </w:p>
    <w:p w14:paraId="16AB0B71" w14:textId="77777777" w:rsidR="00225CBE" w:rsidRPr="00C24556" w:rsidRDefault="00225CBE" w:rsidP="00C24556">
      <w:pPr>
        <w:pStyle w:val="ListParagraph"/>
        <w:numPr>
          <w:ilvl w:val="1"/>
          <w:numId w:val="32"/>
        </w:numPr>
        <w:ind w:left="709" w:hanging="709"/>
        <w:rPr>
          <w:rFonts w:eastAsia="Times New Roman" w:cs="Arial"/>
          <w:szCs w:val="24"/>
          <w:lang w:eastAsia="en-GB"/>
        </w:rPr>
      </w:pPr>
      <w:r w:rsidRPr="00C24556">
        <w:rPr>
          <w:rFonts w:cs="Arial"/>
          <w:szCs w:val="24"/>
        </w:rPr>
        <w:t>Patients</w:t>
      </w:r>
      <w:r w:rsidRPr="00C24556">
        <w:rPr>
          <w:rFonts w:eastAsia="Times New Roman" w:cs="Arial"/>
          <w:szCs w:val="24"/>
          <w:lang w:eastAsia="en-GB"/>
        </w:rPr>
        <w:t xml:space="preserve"> who no longer meet the </w:t>
      </w:r>
      <w:r w:rsidRPr="00C24556">
        <w:rPr>
          <w:rFonts w:eastAsia="Times New Roman" w:cs="Arial"/>
          <w:b/>
          <w:bCs/>
          <w:szCs w:val="24"/>
          <w:lang w:eastAsia="en-GB"/>
        </w:rPr>
        <w:t>Criteria to Reside</w:t>
      </w:r>
      <w:r w:rsidRPr="00C24556">
        <w:rPr>
          <w:rFonts w:eastAsia="Times New Roman" w:cs="Arial"/>
          <w:szCs w:val="24"/>
          <w:lang w:eastAsia="en-GB"/>
        </w:rPr>
        <w:t xml:space="preserve"> do not have a legal entitlement to remain in an acute hospital bed or discharge pathway while awaiting a preferred option.</w:t>
      </w:r>
    </w:p>
    <w:p w14:paraId="3AE2B323"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t>Prolonged hospital stays beyond clinical necessity may expose patients to avoidable harms, including hospital-acquired infection, physical deconditioning, loss of independence, sleep disturbance, psychological distress, and poorer recovery outcomes.</w:t>
      </w:r>
    </w:p>
    <w:p w14:paraId="25FF0B53"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t>Delays in discharge reduce the availability of inpatient beds and services, affecting timely access to care for other patients who require hospital admission.</w:t>
      </w:r>
    </w:p>
    <w:p w14:paraId="44623F2D"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t>Information sharing must be undertaken in accordance with legal, professional and organisational requirements, while respecting patient confidentiality.</w:t>
      </w:r>
    </w:p>
    <w:p w14:paraId="081E7AE4" w14:textId="77777777" w:rsidR="00225CBE" w:rsidRPr="00C24556" w:rsidRDefault="00225CBE" w:rsidP="00C24556">
      <w:pPr>
        <w:pStyle w:val="ListParagraph"/>
        <w:numPr>
          <w:ilvl w:val="1"/>
          <w:numId w:val="32"/>
        </w:numPr>
        <w:ind w:left="709" w:hanging="709"/>
        <w:rPr>
          <w:rFonts w:cs="Arial"/>
          <w:szCs w:val="24"/>
        </w:rPr>
      </w:pPr>
      <w:r w:rsidRPr="00C24556">
        <w:rPr>
          <w:rFonts w:cs="Arial"/>
          <w:szCs w:val="24"/>
        </w:rPr>
        <w:t>All organisations and professionals involved in the patient's care share responsibility for facilitating safe, timely, effective and person-centred discharge arrangements.</w:t>
      </w:r>
    </w:p>
    <w:p w14:paraId="566C0DFF" w14:textId="78572A76" w:rsidR="005F1775" w:rsidRPr="00C24556" w:rsidRDefault="007E0A51" w:rsidP="00C24556">
      <w:pPr>
        <w:pStyle w:val="Heading1"/>
        <w:numPr>
          <w:ilvl w:val="0"/>
          <w:numId w:val="32"/>
        </w:numPr>
        <w:ind w:hanging="720"/>
      </w:pPr>
      <w:bookmarkStart w:id="7" w:name="_Toc237794295"/>
      <w:bookmarkStart w:id="8" w:name="_Toc237795406"/>
      <w:bookmarkStart w:id="9" w:name="_Toc238736108"/>
      <w:r w:rsidRPr="00C24556">
        <w:t>Supporting people to make decisions</w:t>
      </w:r>
      <w:bookmarkEnd w:id="7"/>
      <w:bookmarkEnd w:id="8"/>
      <w:bookmarkEnd w:id="9"/>
    </w:p>
    <w:p w14:paraId="0A61E2BB" w14:textId="10B1DFC9" w:rsidR="005F1775" w:rsidRPr="00BA35B6" w:rsidRDefault="005F1775" w:rsidP="00C24556">
      <w:pPr>
        <w:pStyle w:val="Heading2"/>
        <w:numPr>
          <w:ilvl w:val="1"/>
          <w:numId w:val="32"/>
        </w:numPr>
        <w:ind w:left="709" w:hanging="709"/>
        <w:rPr>
          <w:lang w:eastAsia="en-GB"/>
        </w:rPr>
      </w:pPr>
      <w:bookmarkStart w:id="10" w:name="_Toc237794296"/>
      <w:bookmarkStart w:id="11" w:name="_Toc237795407"/>
      <w:bookmarkStart w:id="12" w:name="_Toc238736109"/>
      <w:r w:rsidRPr="005D5496">
        <w:rPr>
          <w:lang w:eastAsia="en-GB"/>
        </w:rPr>
        <w:t>Home First and Ongoing Assessment</w:t>
      </w:r>
      <w:bookmarkEnd w:id="10"/>
      <w:bookmarkEnd w:id="11"/>
      <w:bookmarkEnd w:id="12"/>
    </w:p>
    <w:p w14:paraId="6843D368" w14:textId="7009398E" w:rsidR="005F1775" w:rsidRPr="00BA35B6" w:rsidRDefault="005F1775" w:rsidP="000A0A98">
      <w:pPr>
        <w:pStyle w:val="ListParagraph"/>
        <w:numPr>
          <w:ilvl w:val="2"/>
          <w:numId w:val="32"/>
        </w:numPr>
        <w:ind w:left="709"/>
        <w:rPr>
          <w:lang w:eastAsia="en-GB"/>
        </w:rPr>
      </w:pPr>
      <w:r w:rsidRPr="00BA35B6">
        <w:rPr>
          <w:lang w:eastAsia="en-GB"/>
        </w:rPr>
        <w:t>A Home First, strengths-based approach will be adopted, focusing on what matters to the patient, their abilities and recovery potential. Patients should not normally make long-term care decisions whilst in hospital. Home care, reablement, intermediate care and community-based support options will be explored wherever appropriate.</w:t>
      </w:r>
    </w:p>
    <w:p w14:paraId="0D1234D2" w14:textId="77777777" w:rsidR="005F1775" w:rsidRPr="00BA35B6" w:rsidRDefault="005F1775" w:rsidP="000A0A98">
      <w:pPr>
        <w:pStyle w:val="ListParagraph"/>
        <w:numPr>
          <w:ilvl w:val="2"/>
          <w:numId w:val="32"/>
        </w:numPr>
        <w:ind w:left="709"/>
        <w:rPr>
          <w:lang w:eastAsia="en-GB"/>
        </w:rPr>
      </w:pPr>
      <w:bookmarkStart w:id="13" w:name="_Hlk237699212"/>
      <w:r w:rsidRPr="00BA35B6">
        <w:rPr>
          <w:lang w:eastAsia="en-GB"/>
        </w:rPr>
        <w:t>Any package of care or placement offered at discharge will normally be temporary. Assessment and planning of long-term care needs should take place following discharge and recovery, with patient preferences considered wherever possible.</w:t>
      </w:r>
      <w:bookmarkEnd w:id="13"/>
      <w:r w:rsidRPr="00BA35B6">
        <w:rPr>
          <w:lang w:eastAsia="en-GB"/>
        </w:rPr>
        <w:t xml:space="preserve"> Permanent care home placements from an acute hospital bed will only be considered in exceptional circumstances in line with Welsh Government Hospital Discharge Guidance (2025).</w:t>
      </w:r>
    </w:p>
    <w:p w14:paraId="0E810F52" w14:textId="6B49091B" w:rsidR="005F1775" w:rsidRPr="00C24556" w:rsidRDefault="005F1775" w:rsidP="00C24556">
      <w:pPr>
        <w:pStyle w:val="Heading2"/>
        <w:numPr>
          <w:ilvl w:val="1"/>
          <w:numId w:val="32"/>
        </w:numPr>
        <w:ind w:left="709" w:hanging="709"/>
        <w:rPr>
          <w:lang w:eastAsia="en-GB"/>
        </w:rPr>
      </w:pPr>
      <w:bookmarkStart w:id="14" w:name="_Toc237794297"/>
      <w:bookmarkStart w:id="15" w:name="_Toc237795408"/>
      <w:bookmarkStart w:id="16" w:name="_Toc238736110"/>
      <w:r w:rsidRPr="00C24556">
        <w:rPr>
          <w:lang w:eastAsia="en-GB"/>
        </w:rPr>
        <w:t>Information, Involvement and Choice</w:t>
      </w:r>
      <w:bookmarkEnd w:id="14"/>
      <w:bookmarkEnd w:id="15"/>
      <w:bookmarkEnd w:id="16"/>
    </w:p>
    <w:p w14:paraId="083564A8" w14:textId="31C893C8" w:rsidR="00A8622F" w:rsidRPr="000A0A98" w:rsidRDefault="005F1775" w:rsidP="000A0A98">
      <w:pPr>
        <w:pStyle w:val="ListParagraph"/>
        <w:numPr>
          <w:ilvl w:val="2"/>
          <w:numId w:val="32"/>
        </w:numPr>
        <w:ind w:left="709"/>
        <w:rPr>
          <w:lang w:eastAsia="en-GB"/>
        </w:rPr>
      </w:pPr>
      <w:r w:rsidRPr="000A0A98">
        <w:rPr>
          <w:lang w:eastAsia="en-GB"/>
        </w:rPr>
        <w:t>Patients and those who support them should receive timely, accessible information, advice and support</w:t>
      </w:r>
      <w:r w:rsidR="00A8622F" w:rsidRPr="000A0A98">
        <w:rPr>
          <w:lang w:eastAsia="en-GB"/>
        </w:rPr>
        <w:t xml:space="preserve"> throughout their admission to enable informed participation in discharge planning and decision-making</w:t>
      </w:r>
      <w:r w:rsidR="005126FE">
        <w:rPr>
          <w:lang w:eastAsia="en-GB"/>
        </w:rPr>
        <w:t xml:space="preserve"> with reasonable adjustments made as necessary to ensure this</w:t>
      </w:r>
      <w:r w:rsidR="00A8622F" w:rsidRPr="000A0A98">
        <w:rPr>
          <w:lang w:eastAsia="en-GB"/>
        </w:rPr>
        <w:t>.</w:t>
      </w:r>
    </w:p>
    <w:p w14:paraId="0363266D" w14:textId="77777777" w:rsidR="00803147" w:rsidRPr="000A0A98" w:rsidRDefault="00803147" w:rsidP="000A0A98">
      <w:pPr>
        <w:pStyle w:val="ListParagraph"/>
        <w:numPr>
          <w:ilvl w:val="2"/>
          <w:numId w:val="32"/>
        </w:numPr>
        <w:ind w:left="709"/>
        <w:rPr>
          <w:lang w:eastAsia="en-GB"/>
        </w:rPr>
      </w:pPr>
      <w:r w:rsidRPr="000A0A98">
        <w:rPr>
          <w:lang w:eastAsia="en-GB"/>
        </w:rPr>
        <w:t>A discharge coordinator or lead will be identified for each patient, and they will explain the discharge planning process</w:t>
      </w:r>
      <w:r w:rsidR="00540F50" w:rsidRPr="000A0A98">
        <w:rPr>
          <w:lang w:eastAsia="en-GB"/>
        </w:rPr>
        <w:t xml:space="preserve"> including t</w:t>
      </w:r>
      <w:r w:rsidR="007D4295" w:rsidRPr="000A0A98">
        <w:rPr>
          <w:lang w:eastAsia="en-GB"/>
        </w:rPr>
        <w:t>his policy</w:t>
      </w:r>
      <w:r w:rsidRPr="000A0A98">
        <w:rPr>
          <w:lang w:eastAsia="en-GB"/>
        </w:rPr>
        <w:t xml:space="preserve"> to the patient on</w:t>
      </w:r>
      <w:r w:rsidR="00A8622F" w:rsidRPr="000A0A98">
        <w:rPr>
          <w:lang w:eastAsia="en-GB"/>
        </w:rPr>
        <w:t xml:space="preserve"> or soon after</w:t>
      </w:r>
      <w:r w:rsidRPr="000A0A98">
        <w:rPr>
          <w:lang w:eastAsia="en-GB"/>
        </w:rPr>
        <w:t xml:space="preserve"> admission. This may be a health or social care staff member. </w:t>
      </w:r>
    </w:p>
    <w:p w14:paraId="0DC5C937" w14:textId="77777777" w:rsidR="005F1775" w:rsidRDefault="005F1775" w:rsidP="000A0A98">
      <w:pPr>
        <w:pStyle w:val="ListParagraph"/>
        <w:numPr>
          <w:ilvl w:val="2"/>
          <w:numId w:val="32"/>
        </w:numPr>
        <w:ind w:left="709"/>
        <w:rPr>
          <w:lang w:eastAsia="en-GB"/>
        </w:rPr>
      </w:pPr>
      <w:r w:rsidRPr="000A0A98">
        <w:rPr>
          <w:lang w:eastAsia="en-GB"/>
        </w:rPr>
        <w:t>Patients and, where appropriate, their advocates should be involved in decisions regarding their care and discharge arrangements in accordance with the NHS Constitution for Wales. The process for offering care options and discharge destinations will be fair, transparent and appropriately documented.</w:t>
      </w:r>
    </w:p>
    <w:p w14:paraId="52336B79" w14:textId="5F1A6404" w:rsidR="00891A23" w:rsidRPr="00C4346C" w:rsidRDefault="00891A23" w:rsidP="000A0A98">
      <w:pPr>
        <w:pStyle w:val="ListParagraph"/>
        <w:numPr>
          <w:ilvl w:val="2"/>
          <w:numId w:val="32"/>
        </w:numPr>
        <w:ind w:left="709"/>
        <w:rPr>
          <w:lang w:eastAsia="en-GB"/>
        </w:rPr>
      </w:pPr>
      <w:r>
        <w:rPr>
          <w:lang w:eastAsia="en-GB"/>
        </w:rPr>
        <w:t xml:space="preserve">An </w:t>
      </w:r>
      <w:r w:rsidRPr="00C4346C">
        <w:rPr>
          <w:lang w:eastAsia="en-GB"/>
        </w:rPr>
        <w:t>information leaflet for Patients and Carers can be found here</w:t>
      </w:r>
      <w:r w:rsidR="00A67517" w:rsidRPr="00C4346C">
        <w:rPr>
          <w:lang w:eastAsia="en-GB"/>
        </w:rPr>
        <w:t xml:space="preserve"> in both English and Welsh</w:t>
      </w:r>
      <w:r w:rsidR="002A0455">
        <w:rPr>
          <w:lang w:eastAsia="en-GB"/>
        </w:rPr>
        <w:t xml:space="preserve"> </w:t>
      </w:r>
      <w:hyperlink r:id="rId17" w:history="1">
        <w:r w:rsidR="002A0455" w:rsidRPr="002A0455">
          <w:rPr>
            <w:rStyle w:val="Hyperlink"/>
            <w:lang w:eastAsia="en-GB"/>
          </w:rPr>
          <w:t>Information for Patients and Carers Leaflet.docx</w:t>
        </w:r>
      </w:hyperlink>
      <w:r w:rsidR="002A0455">
        <w:rPr>
          <w:lang w:eastAsia="en-GB"/>
        </w:rPr>
        <w:t xml:space="preserve">  </w:t>
      </w:r>
      <w:hyperlink r:id="rId18" w:history="1">
        <w:r w:rsidR="002A0455" w:rsidRPr="002A0455">
          <w:rPr>
            <w:rStyle w:val="Hyperlink"/>
            <w:lang w:eastAsia="en-GB"/>
          </w:rPr>
          <w:t>Information for Patients and Carers Leaflet - Welsh.docx</w:t>
        </w:r>
      </w:hyperlink>
    </w:p>
    <w:p w14:paraId="4292B0FE" w14:textId="629445FC" w:rsidR="009A2B5E" w:rsidRPr="002A0455" w:rsidRDefault="009A2B5E" w:rsidP="000A0A98">
      <w:pPr>
        <w:pStyle w:val="ListParagraph"/>
        <w:numPr>
          <w:ilvl w:val="2"/>
          <w:numId w:val="32"/>
        </w:numPr>
        <w:ind w:left="709"/>
        <w:rPr>
          <w:lang w:eastAsia="en-GB"/>
        </w:rPr>
      </w:pPr>
      <w:r w:rsidRPr="002A0455">
        <w:rPr>
          <w:lang w:eastAsia="en-GB"/>
        </w:rPr>
        <w:lastRenderedPageBreak/>
        <w:t xml:space="preserve">A leaflet </w:t>
      </w:r>
      <w:r w:rsidR="00635148" w:rsidRPr="002A0455">
        <w:rPr>
          <w:lang w:eastAsia="en-GB"/>
        </w:rPr>
        <w:t>on your hospital discharge going home can be found here</w:t>
      </w:r>
      <w:r w:rsidR="002A0455">
        <w:rPr>
          <w:lang w:eastAsia="en-GB"/>
        </w:rPr>
        <w:t xml:space="preserve"> </w:t>
      </w:r>
      <w:hyperlink r:id="rId19" w:history="1">
        <w:r w:rsidR="002D3443" w:rsidRPr="002D3443">
          <w:rPr>
            <w:rStyle w:val="Hyperlink"/>
            <w:lang w:eastAsia="en-GB"/>
          </w:rPr>
          <w:t>Your hospital discharge - going home Leaflet D.docx</w:t>
        </w:r>
      </w:hyperlink>
    </w:p>
    <w:p w14:paraId="77C4FD7F" w14:textId="78F24868" w:rsidR="005F1775" w:rsidRPr="00C24556" w:rsidRDefault="005F1775" w:rsidP="00C24556">
      <w:pPr>
        <w:pStyle w:val="Heading2"/>
        <w:numPr>
          <w:ilvl w:val="1"/>
          <w:numId w:val="32"/>
        </w:numPr>
        <w:ind w:left="709" w:hanging="709"/>
        <w:rPr>
          <w:lang w:eastAsia="en-GB"/>
        </w:rPr>
      </w:pPr>
      <w:bookmarkStart w:id="17" w:name="_Toc237794298"/>
      <w:bookmarkStart w:id="18" w:name="_Toc237795409"/>
      <w:bookmarkStart w:id="19" w:name="_Toc238736111"/>
      <w:r w:rsidRPr="00C24556">
        <w:rPr>
          <w:lang w:eastAsia="en-GB"/>
        </w:rPr>
        <w:t>Families, Carers and Representatives</w:t>
      </w:r>
      <w:bookmarkEnd w:id="17"/>
      <w:bookmarkEnd w:id="18"/>
      <w:bookmarkEnd w:id="19"/>
    </w:p>
    <w:p w14:paraId="5B3DEC05" w14:textId="77777777" w:rsidR="005F1775" w:rsidRPr="000A0A98" w:rsidRDefault="005F1775" w:rsidP="000A0A98">
      <w:pPr>
        <w:pStyle w:val="ListParagraph"/>
        <w:numPr>
          <w:ilvl w:val="2"/>
          <w:numId w:val="32"/>
        </w:numPr>
        <w:ind w:left="709"/>
        <w:rPr>
          <w:lang w:eastAsia="en-GB"/>
        </w:rPr>
      </w:pPr>
      <w:r w:rsidRPr="000A0A98">
        <w:rPr>
          <w:lang w:eastAsia="en-GB"/>
        </w:rPr>
        <w:t>Patients should be supported to involve family members, friends, carers or nominated representatives in discharge planning where appropriate. Confidential information will only be shared with the patient's consent or another lawful basis for sharing.</w:t>
      </w:r>
    </w:p>
    <w:p w14:paraId="71945175" w14:textId="77777777" w:rsidR="00A6165E" w:rsidRPr="000A0A98" w:rsidRDefault="00A6165E" w:rsidP="000A0A98">
      <w:pPr>
        <w:pStyle w:val="ListParagraph"/>
        <w:numPr>
          <w:ilvl w:val="2"/>
          <w:numId w:val="32"/>
        </w:numPr>
        <w:ind w:left="709"/>
        <w:rPr>
          <w:lang w:eastAsia="en-GB"/>
        </w:rPr>
      </w:pPr>
      <w:r w:rsidRPr="000A0A98">
        <w:rPr>
          <w:lang w:eastAsia="en-GB"/>
        </w:rPr>
        <w:t>Any request for carers, family or patient representatives to attend relevant meetings will give a minimum of 24 hours’ notice and may be in person or virtual. Invitees are expected to prioritise attendance and not contribute to delays in discharge by postponing</w:t>
      </w:r>
    </w:p>
    <w:p w14:paraId="6205E6F2" w14:textId="77777777" w:rsidR="005F1775" w:rsidRPr="000A0A98" w:rsidRDefault="005F1775" w:rsidP="000A0A98">
      <w:pPr>
        <w:pStyle w:val="ListParagraph"/>
        <w:numPr>
          <w:ilvl w:val="2"/>
          <w:numId w:val="32"/>
        </w:numPr>
        <w:ind w:left="709"/>
        <w:rPr>
          <w:lang w:eastAsia="en-GB"/>
        </w:rPr>
      </w:pPr>
      <w:r w:rsidRPr="000A0A98">
        <w:rPr>
          <w:lang w:eastAsia="en-GB"/>
        </w:rPr>
        <w:t>Carers should be identified and involved at the earliest opportunity. They must be offered information, advice and support, including information about their right to a Carer's Assessment. Where appropriate, carers should receive the training and support necessary to undertake their caring role following discharge.</w:t>
      </w:r>
    </w:p>
    <w:p w14:paraId="1779AC0E" w14:textId="77777777" w:rsidR="005F1775" w:rsidRPr="000A0A98" w:rsidRDefault="005F1775" w:rsidP="000A0A98">
      <w:pPr>
        <w:pStyle w:val="ListParagraph"/>
        <w:numPr>
          <w:ilvl w:val="2"/>
          <w:numId w:val="32"/>
        </w:numPr>
        <w:ind w:left="709"/>
        <w:rPr>
          <w:lang w:eastAsia="en-GB"/>
        </w:rPr>
      </w:pPr>
      <w:r w:rsidRPr="000A0A98">
        <w:rPr>
          <w:lang w:eastAsia="en-GB"/>
        </w:rPr>
        <w:t>Practitioners should recognise the needs of young carers and young adult carers and ensure appropriate support is in place. Where carers have an allocated social worker, they should be involved in discharge planning discussions as early as possible.</w:t>
      </w:r>
    </w:p>
    <w:p w14:paraId="03009F2F" w14:textId="63B1ED01" w:rsidR="005F1775" w:rsidRPr="00C24556" w:rsidRDefault="005F1775" w:rsidP="00C24556">
      <w:pPr>
        <w:pStyle w:val="Heading2"/>
        <w:numPr>
          <w:ilvl w:val="1"/>
          <w:numId w:val="32"/>
        </w:numPr>
        <w:ind w:left="709" w:hanging="709"/>
        <w:rPr>
          <w:lang w:eastAsia="en-GB"/>
        </w:rPr>
      </w:pPr>
      <w:bookmarkStart w:id="20" w:name="_Toc237794299"/>
      <w:bookmarkStart w:id="21" w:name="_Toc237795410"/>
      <w:bookmarkStart w:id="22" w:name="_Toc238736112"/>
      <w:r w:rsidRPr="00C24556">
        <w:rPr>
          <w:lang w:eastAsia="en-GB"/>
        </w:rPr>
        <w:t>Mental Capacity and Best Interests</w:t>
      </w:r>
      <w:bookmarkEnd w:id="20"/>
      <w:bookmarkEnd w:id="21"/>
      <w:bookmarkEnd w:id="22"/>
    </w:p>
    <w:p w14:paraId="24120A14" w14:textId="50DCC194" w:rsidR="008320B8" w:rsidRPr="000A0A98" w:rsidRDefault="008320B8" w:rsidP="000A0A98">
      <w:pPr>
        <w:pStyle w:val="ListParagraph"/>
        <w:numPr>
          <w:ilvl w:val="2"/>
          <w:numId w:val="32"/>
        </w:numPr>
        <w:ind w:left="709"/>
        <w:rPr>
          <w:lang w:eastAsia="en-GB"/>
        </w:rPr>
      </w:pPr>
      <w:r w:rsidRPr="00953E7B">
        <w:t>The Best Interest Decision SOP should be followed where a patient lacks capacity regarding discharge decisions</w:t>
      </w:r>
      <w:r>
        <w:t xml:space="preserve">.  </w:t>
      </w:r>
      <w:hyperlink r:id="rId20" w:history="1">
        <w:r w:rsidR="00CA4BB9" w:rsidRPr="00CA4BB9">
          <w:rPr>
            <w:rStyle w:val="Hyperlink"/>
          </w:rPr>
          <w:t>Standard Operating Procedure - Best Interest Decision.docx</w:t>
        </w:r>
      </w:hyperlink>
    </w:p>
    <w:p w14:paraId="45D9B5B7" w14:textId="57A49540" w:rsidR="001A3FC7" w:rsidRPr="00C24556" w:rsidRDefault="001A3FC7" w:rsidP="00C24556">
      <w:pPr>
        <w:pStyle w:val="Heading1"/>
        <w:numPr>
          <w:ilvl w:val="0"/>
          <w:numId w:val="32"/>
        </w:numPr>
        <w:ind w:hanging="720"/>
      </w:pPr>
      <w:bookmarkStart w:id="23" w:name="_Toc238736113"/>
      <w:r w:rsidRPr="00C24556">
        <w:t>Discharge Home with a package of care</w:t>
      </w:r>
      <w:bookmarkEnd w:id="23"/>
    </w:p>
    <w:p w14:paraId="4C1CFF3A" w14:textId="44B5FF05" w:rsidR="001A3FC7" w:rsidRPr="000A0A98" w:rsidRDefault="001A3FC7" w:rsidP="000A0A98">
      <w:pPr>
        <w:pStyle w:val="ListParagraph"/>
        <w:numPr>
          <w:ilvl w:val="1"/>
          <w:numId w:val="32"/>
        </w:numPr>
        <w:ind w:left="709" w:hanging="709"/>
        <w:rPr>
          <w:rFonts w:cs="Arial"/>
          <w:szCs w:val="24"/>
        </w:rPr>
      </w:pPr>
      <w:r w:rsidRPr="000A0A98">
        <w:rPr>
          <w:rFonts w:cs="Arial"/>
          <w:szCs w:val="24"/>
        </w:rPr>
        <w:t>A package of care offered at discharge will normally be temporary in accordance with D2RA Home First principles.</w:t>
      </w:r>
    </w:p>
    <w:p w14:paraId="13446D16" w14:textId="77777777" w:rsidR="000A0A98" w:rsidRDefault="001A3FC7" w:rsidP="000A0A98">
      <w:pPr>
        <w:pStyle w:val="ListParagraph"/>
        <w:numPr>
          <w:ilvl w:val="1"/>
          <w:numId w:val="32"/>
        </w:numPr>
        <w:ind w:left="709" w:hanging="709"/>
        <w:rPr>
          <w:rFonts w:cs="Arial"/>
          <w:szCs w:val="24"/>
        </w:rPr>
      </w:pPr>
      <w:r w:rsidRPr="000A0A98">
        <w:rPr>
          <w:rFonts w:cs="Arial"/>
          <w:szCs w:val="24"/>
        </w:rPr>
        <w:t>Assessment and planning of long-term care needs should take place following discharge and recovery in the patient’s usual place of residence.</w:t>
      </w:r>
    </w:p>
    <w:p w14:paraId="11802A11" w14:textId="5D975FD6" w:rsidR="001A3FC7" w:rsidRPr="00B42A0A" w:rsidRDefault="001A3FC7" w:rsidP="000A0A98">
      <w:pPr>
        <w:pStyle w:val="ListParagraph"/>
        <w:numPr>
          <w:ilvl w:val="1"/>
          <w:numId w:val="32"/>
        </w:numPr>
        <w:ind w:left="709" w:hanging="709"/>
        <w:rPr>
          <w:rFonts w:cs="Arial"/>
          <w:szCs w:val="24"/>
        </w:rPr>
      </w:pPr>
      <w:r w:rsidRPr="00B42A0A">
        <w:rPr>
          <w:rFonts w:eastAsia="Times New Roman" w:cs="Arial"/>
          <w:szCs w:val="24"/>
          <w:lang w:eastAsia="en-GB"/>
        </w:rPr>
        <w:t>A long-term package of care may be offered upon discharge when a patient has stable long- term needs identified following a period of in-patient recovery and assessment.</w:t>
      </w:r>
    </w:p>
    <w:p w14:paraId="7CDA9A4D" w14:textId="77777777" w:rsidR="001A3FC7" w:rsidRPr="000A0A98" w:rsidRDefault="001A3FC7" w:rsidP="000A0A98">
      <w:pPr>
        <w:pStyle w:val="ListParagraph"/>
        <w:numPr>
          <w:ilvl w:val="1"/>
          <w:numId w:val="32"/>
        </w:numPr>
        <w:ind w:left="709" w:hanging="709"/>
        <w:rPr>
          <w:rFonts w:cs="Arial"/>
          <w:szCs w:val="24"/>
        </w:rPr>
      </w:pPr>
      <w:r w:rsidRPr="000A0A98">
        <w:rPr>
          <w:rFonts w:cs="Arial"/>
          <w:szCs w:val="24"/>
        </w:rPr>
        <w:t>Expected discharge arrangements and anticipated timescales should be discussed with patients, families, carers and advocates from the outset.</w:t>
      </w:r>
    </w:p>
    <w:p w14:paraId="69772E71" w14:textId="203B193D" w:rsidR="00DC4952" w:rsidRPr="00C24556" w:rsidRDefault="00DC4952" w:rsidP="00C24556">
      <w:pPr>
        <w:pStyle w:val="Heading1"/>
        <w:numPr>
          <w:ilvl w:val="0"/>
          <w:numId w:val="32"/>
        </w:numPr>
        <w:ind w:hanging="720"/>
      </w:pPr>
      <w:bookmarkStart w:id="24" w:name="_Toc237794300"/>
      <w:bookmarkStart w:id="25" w:name="_Toc237795411"/>
      <w:bookmarkStart w:id="26" w:name="_Toc238736114"/>
      <w:r w:rsidRPr="00C24556">
        <w:t>Transfer to a Non-Acute Bed / Clinically Stable for Transfer</w:t>
      </w:r>
      <w:bookmarkEnd w:id="24"/>
      <w:bookmarkEnd w:id="25"/>
      <w:bookmarkEnd w:id="26"/>
    </w:p>
    <w:p w14:paraId="1C3D8B55" w14:textId="77777777" w:rsidR="00DC4952" w:rsidRPr="000A0A98" w:rsidRDefault="00DC4952" w:rsidP="000A0A98">
      <w:pPr>
        <w:pStyle w:val="ListParagraph"/>
        <w:numPr>
          <w:ilvl w:val="1"/>
          <w:numId w:val="32"/>
        </w:numPr>
        <w:ind w:left="709" w:hanging="709"/>
        <w:rPr>
          <w:rFonts w:cs="Arial"/>
          <w:szCs w:val="24"/>
        </w:rPr>
      </w:pPr>
      <w:r w:rsidRPr="000A0A98">
        <w:rPr>
          <w:rFonts w:cs="Arial"/>
          <w:szCs w:val="24"/>
        </w:rPr>
        <w:t>Where a patient has recovered from the acute phase of their illness and no longer requires acute hospital care, but is not yet able to return home, they may be transferred to a non-acute hospital bed as part of their ongoing care pathway. This may include transfer to another hospital or healthcare facility within the Health Board or partner organisation.</w:t>
      </w:r>
    </w:p>
    <w:p w14:paraId="0016ED09" w14:textId="77777777" w:rsidR="00DC4952" w:rsidRPr="000A0A98" w:rsidRDefault="00DC4952" w:rsidP="000A0A98">
      <w:pPr>
        <w:pStyle w:val="ListParagraph"/>
        <w:numPr>
          <w:ilvl w:val="1"/>
          <w:numId w:val="32"/>
        </w:numPr>
        <w:ind w:left="709" w:hanging="709"/>
        <w:rPr>
          <w:rFonts w:cs="Arial"/>
          <w:szCs w:val="24"/>
        </w:rPr>
      </w:pPr>
      <w:r w:rsidRPr="000A0A98">
        <w:rPr>
          <w:rFonts w:cs="Arial"/>
          <w:szCs w:val="24"/>
        </w:rPr>
        <w:t>Such transfers are necessary to ensure that acute hospital beds remain available for patients who require specialist acute assessment, treatment and care.</w:t>
      </w:r>
    </w:p>
    <w:p w14:paraId="0A902BBE" w14:textId="77777777" w:rsidR="00DC4952" w:rsidRPr="000A0A98" w:rsidRDefault="00DC4952" w:rsidP="000A0A98">
      <w:pPr>
        <w:pStyle w:val="ListParagraph"/>
        <w:numPr>
          <w:ilvl w:val="1"/>
          <w:numId w:val="32"/>
        </w:numPr>
        <w:ind w:left="709" w:hanging="709"/>
        <w:rPr>
          <w:rFonts w:cs="Arial"/>
          <w:szCs w:val="24"/>
        </w:rPr>
      </w:pPr>
      <w:r w:rsidRPr="000A0A98">
        <w:rPr>
          <w:rFonts w:cs="Arial"/>
          <w:szCs w:val="24"/>
        </w:rPr>
        <w:lastRenderedPageBreak/>
        <w:t>Patients and, where appropriate, their families or representatives will be informed of the transfer arrangements and the reasons for the move. As the transfer forms part of the patient's continuing care and treatment pathway, patient preference will be considered where possible; however, consent is not required for transfer between hospital settings when the patient no longer requires acute care and an appropriate alternative bed has been identified.</w:t>
      </w:r>
    </w:p>
    <w:p w14:paraId="57EAD7B6" w14:textId="77777777" w:rsidR="00DC4952" w:rsidRPr="000A0A98" w:rsidRDefault="00DC4952" w:rsidP="000A0A98">
      <w:pPr>
        <w:pStyle w:val="ListParagraph"/>
        <w:numPr>
          <w:ilvl w:val="1"/>
          <w:numId w:val="32"/>
        </w:numPr>
        <w:ind w:left="709" w:hanging="709"/>
        <w:rPr>
          <w:rFonts w:cs="Arial"/>
          <w:szCs w:val="24"/>
        </w:rPr>
      </w:pPr>
      <w:r w:rsidRPr="000A0A98">
        <w:rPr>
          <w:rFonts w:cs="Arial"/>
          <w:szCs w:val="24"/>
        </w:rPr>
        <w:t>The receiving ward or facility will be responsible for continuing the patient's assessment, treatment, rehabilitation and discharge planning in accordance with their individual care needs.</w:t>
      </w:r>
    </w:p>
    <w:p w14:paraId="42CD20F7" w14:textId="44B17848" w:rsidR="002D5E2B" w:rsidRPr="00C24556" w:rsidRDefault="00993933" w:rsidP="00C24556">
      <w:pPr>
        <w:pStyle w:val="Heading1"/>
        <w:numPr>
          <w:ilvl w:val="0"/>
          <w:numId w:val="32"/>
        </w:numPr>
        <w:ind w:hanging="720"/>
      </w:pPr>
      <w:bookmarkStart w:id="27" w:name="_Toc238736115"/>
      <w:r w:rsidRPr="00C24556">
        <w:t>Discharge to a Care Home</w:t>
      </w:r>
      <w:bookmarkEnd w:id="27"/>
    </w:p>
    <w:p w14:paraId="527670C2" w14:textId="77777777" w:rsidR="00B71EDF" w:rsidRPr="00EF3154" w:rsidRDefault="00B71EDF" w:rsidP="00EF3154">
      <w:pPr>
        <w:rPr>
          <w:rFonts w:cs="Arial"/>
          <w:szCs w:val="24"/>
        </w:rPr>
      </w:pPr>
      <w:r w:rsidRPr="00EF3154">
        <w:rPr>
          <w:rFonts w:cs="Arial"/>
          <w:szCs w:val="24"/>
        </w:rPr>
        <w:t>The following principles will guide all care home placement decisions:</w:t>
      </w:r>
    </w:p>
    <w:p w14:paraId="5479EE72" w14:textId="77777777" w:rsidR="00FD75B9" w:rsidRPr="00FD75B9" w:rsidRDefault="00987A5D" w:rsidP="00FD75B9">
      <w:pPr>
        <w:widowControl w:val="0"/>
        <w:numPr>
          <w:ilvl w:val="0"/>
          <w:numId w:val="20"/>
        </w:numPr>
        <w:tabs>
          <w:tab w:val="clear" w:pos="720"/>
        </w:tabs>
        <w:autoSpaceDE w:val="0"/>
        <w:autoSpaceDN w:val="0"/>
        <w:ind w:left="567" w:right="629" w:hanging="567"/>
        <w:rPr>
          <w:rFonts w:cs="Segoe UI"/>
          <w:szCs w:val="24"/>
        </w:rPr>
      </w:pPr>
      <w:r w:rsidRPr="00EF3154">
        <w:rPr>
          <w:rFonts w:cs="Segoe UI"/>
          <w:szCs w:val="24"/>
        </w:rPr>
        <w:t>Patients should be offered information, advice and support to make informed decisions regarding care home option</w:t>
      </w:r>
      <w:r w:rsidR="00907286" w:rsidRPr="00EF3154">
        <w:rPr>
          <w:rFonts w:cs="Segoe UI"/>
          <w:szCs w:val="24"/>
        </w:rPr>
        <w:t>s.</w:t>
      </w:r>
      <w:r w:rsidR="00FD75B9">
        <w:rPr>
          <w:rFonts w:cs="Segoe UI"/>
          <w:szCs w:val="24"/>
        </w:rPr>
        <w:t xml:space="preserve">  </w:t>
      </w:r>
      <w:r w:rsidR="00FD75B9" w:rsidRPr="00FD75B9">
        <w:rPr>
          <w:rFonts w:cs="Segoe UI"/>
          <w:szCs w:val="24"/>
        </w:rPr>
        <w:t xml:space="preserve">The information should be tailored to the individual’s needs to ensure informed decision making, with reasonable adjustments made as necessary. </w:t>
      </w:r>
    </w:p>
    <w:p w14:paraId="70773333" w14:textId="77777777" w:rsidR="00B71EDF" w:rsidRPr="00EF3154" w:rsidRDefault="00B71EDF" w:rsidP="00EF3154">
      <w:pPr>
        <w:widowControl w:val="0"/>
        <w:numPr>
          <w:ilvl w:val="0"/>
          <w:numId w:val="20"/>
        </w:numPr>
        <w:tabs>
          <w:tab w:val="clear" w:pos="720"/>
        </w:tabs>
        <w:autoSpaceDE w:val="0"/>
        <w:autoSpaceDN w:val="0"/>
        <w:ind w:left="567" w:right="629" w:hanging="567"/>
        <w:rPr>
          <w:rFonts w:cs="Segoe UI"/>
          <w:szCs w:val="24"/>
        </w:rPr>
      </w:pPr>
      <w:r w:rsidRPr="00EF3154">
        <w:rPr>
          <w:rFonts w:cs="Segoe UI"/>
          <w:szCs w:val="24"/>
        </w:rPr>
        <w:t>Care home placements must be based on assessed need and the ability of the provider to meet those needs safely.</w:t>
      </w:r>
    </w:p>
    <w:p w14:paraId="27F42CC8" w14:textId="77777777" w:rsidR="008F58D2" w:rsidRPr="00EF3154" w:rsidRDefault="00B71EDF" w:rsidP="00EF3154">
      <w:pPr>
        <w:widowControl w:val="0"/>
        <w:numPr>
          <w:ilvl w:val="0"/>
          <w:numId w:val="20"/>
        </w:numPr>
        <w:tabs>
          <w:tab w:val="clear" w:pos="720"/>
        </w:tabs>
        <w:autoSpaceDE w:val="0"/>
        <w:autoSpaceDN w:val="0"/>
        <w:ind w:left="567" w:right="629" w:hanging="567"/>
        <w:rPr>
          <w:rFonts w:cs="Segoe UI"/>
          <w:szCs w:val="24"/>
        </w:rPr>
      </w:pPr>
      <w:r w:rsidRPr="00EF3154">
        <w:rPr>
          <w:rFonts w:cs="Segoe UI"/>
          <w:szCs w:val="24"/>
        </w:rPr>
        <w:t>Patients have the right to express a preference for a care home, subject to availability, suitability, funding arrangements and statutory requirements.</w:t>
      </w:r>
    </w:p>
    <w:p w14:paraId="5D66B4DE" w14:textId="77777777" w:rsidR="008F58D2" w:rsidRPr="00EF3154" w:rsidRDefault="008F58D2" w:rsidP="00EF3154">
      <w:pPr>
        <w:widowControl w:val="0"/>
        <w:numPr>
          <w:ilvl w:val="0"/>
          <w:numId w:val="20"/>
        </w:numPr>
        <w:tabs>
          <w:tab w:val="clear" w:pos="720"/>
        </w:tabs>
        <w:autoSpaceDE w:val="0"/>
        <w:autoSpaceDN w:val="0"/>
        <w:ind w:left="567" w:right="629" w:hanging="567"/>
        <w:rPr>
          <w:rFonts w:cs="Segoe UI"/>
          <w:szCs w:val="24"/>
        </w:rPr>
      </w:pPr>
      <w:r w:rsidRPr="00EF3154">
        <w:rPr>
          <w:rFonts w:cs="Segoe UI"/>
          <w:szCs w:val="24"/>
        </w:rPr>
        <w:t xml:space="preserve"> Patients do not have a right to remain in hospital while awaiting a preferred care home placement where a suitable and safe alternative is available.</w:t>
      </w:r>
    </w:p>
    <w:p w14:paraId="48359C0A" w14:textId="77777777" w:rsidR="00B71EDF" w:rsidRPr="00EF3154" w:rsidRDefault="00B71EDF" w:rsidP="00EF3154">
      <w:pPr>
        <w:widowControl w:val="0"/>
        <w:numPr>
          <w:ilvl w:val="0"/>
          <w:numId w:val="20"/>
        </w:numPr>
        <w:tabs>
          <w:tab w:val="clear" w:pos="720"/>
        </w:tabs>
        <w:autoSpaceDE w:val="0"/>
        <w:autoSpaceDN w:val="0"/>
        <w:ind w:left="567" w:right="629" w:hanging="567"/>
        <w:rPr>
          <w:rFonts w:cs="Segoe UI"/>
          <w:szCs w:val="24"/>
        </w:rPr>
      </w:pPr>
      <w:r w:rsidRPr="00EF3154">
        <w:rPr>
          <w:rFonts w:cs="Segoe UI"/>
          <w:szCs w:val="24"/>
        </w:rPr>
        <w:t>Decisions regarding placements and funding must be fair, transparent and appropriately documented.</w:t>
      </w:r>
    </w:p>
    <w:p w14:paraId="4BAFFAFB" w14:textId="77777777" w:rsidR="00131E02" w:rsidRPr="00061A81" w:rsidRDefault="001043CF" w:rsidP="00EF3154">
      <w:pPr>
        <w:widowControl w:val="0"/>
        <w:numPr>
          <w:ilvl w:val="0"/>
          <w:numId w:val="20"/>
        </w:numPr>
        <w:tabs>
          <w:tab w:val="clear" w:pos="720"/>
        </w:tabs>
        <w:autoSpaceDE w:val="0"/>
        <w:autoSpaceDN w:val="0"/>
        <w:ind w:left="567" w:right="629" w:hanging="567"/>
        <w:rPr>
          <w:rFonts w:cs="Segoe UI"/>
          <w:szCs w:val="24"/>
        </w:rPr>
      </w:pPr>
      <w:r w:rsidRPr="00EF3154">
        <w:rPr>
          <w:rFonts w:eastAsia="Calibri" w:cs="Segoe UI"/>
          <w:szCs w:val="24"/>
        </w:rPr>
        <w:t xml:space="preserve">The time </w:t>
      </w:r>
      <w:r w:rsidR="002739AD" w:rsidRPr="00EF3154">
        <w:rPr>
          <w:rFonts w:eastAsia="Calibri" w:cs="Segoe UI"/>
          <w:szCs w:val="24"/>
        </w:rPr>
        <w:t xml:space="preserve">from decision for </w:t>
      </w:r>
      <w:r w:rsidR="00A339C8" w:rsidRPr="00EF3154">
        <w:rPr>
          <w:rFonts w:eastAsia="Calibri" w:cs="Segoe UI"/>
          <w:szCs w:val="24"/>
        </w:rPr>
        <w:t xml:space="preserve">new </w:t>
      </w:r>
      <w:r w:rsidR="008A3534" w:rsidRPr="00EF3154">
        <w:rPr>
          <w:rFonts w:eastAsia="Calibri" w:cs="Segoe UI"/>
          <w:szCs w:val="24"/>
        </w:rPr>
        <w:t>care home</w:t>
      </w:r>
      <w:r w:rsidR="00A339C8" w:rsidRPr="00EF3154">
        <w:rPr>
          <w:rFonts w:eastAsia="Calibri" w:cs="Segoe UI"/>
          <w:szCs w:val="24"/>
        </w:rPr>
        <w:t xml:space="preserve"> placement to discharge</w:t>
      </w:r>
      <w:r w:rsidR="008A3534" w:rsidRPr="00EF3154">
        <w:rPr>
          <w:rFonts w:eastAsia="Calibri" w:cs="Segoe UI"/>
          <w:szCs w:val="24"/>
        </w:rPr>
        <w:t xml:space="preserve"> should generally take no longer than </w:t>
      </w:r>
      <w:r w:rsidR="008A3534" w:rsidRPr="00EF3154">
        <w:rPr>
          <w:rFonts w:eastAsia="Calibri" w:cs="Segoe UI"/>
          <w:bCs/>
          <w:szCs w:val="24"/>
        </w:rPr>
        <w:t>3</w:t>
      </w:r>
      <w:r w:rsidR="008A3534" w:rsidRPr="00EF3154">
        <w:rPr>
          <w:rFonts w:eastAsia="Calibri" w:cs="Segoe UI"/>
          <w:szCs w:val="24"/>
        </w:rPr>
        <w:t xml:space="preserve"> weeks</w:t>
      </w:r>
      <w:r w:rsidR="00A339C8" w:rsidRPr="00EF3154">
        <w:rPr>
          <w:rFonts w:eastAsia="Calibri" w:cs="Segoe UI"/>
          <w:szCs w:val="24"/>
        </w:rPr>
        <w:t>.</w:t>
      </w:r>
    </w:p>
    <w:p w14:paraId="622CE236" w14:textId="37F7BB15" w:rsidR="00061A81" w:rsidRPr="00CA4BB9" w:rsidRDefault="00061A81" w:rsidP="00EF3154">
      <w:pPr>
        <w:widowControl w:val="0"/>
        <w:numPr>
          <w:ilvl w:val="0"/>
          <w:numId w:val="20"/>
        </w:numPr>
        <w:tabs>
          <w:tab w:val="clear" w:pos="720"/>
        </w:tabs>
        <w:autoSpaceDE w:val="0"/>
        <w:autoSpaceDN w:val="0"/>
        <w:ind w:left="567" w:right="629" w:hanging="567"/>
        <w:rPr>
          <w:rFonts w:cs="Segoe UI"/>
          <w:szCs w:val="24"/>
        </w:rPr>
      </w:pPr>
      <w:r w:rsidRPr="00CA4BB9">
        <w:rPr>
          <w:rFonts w:eastAsia="Calibri" w:cs="Segoe UI"/>
          <w:szCs w:val="24"/>
        </w:rPr>
        <w:t>Information for patient and carers can be found here</w:t>
      </w:r>
      <w:r w:rsidR="00CA4BB9">
        <w:rPr>
          <w:rFonts w:eastAsia="Calibri" w:cs="Segoe UI"/>
          <w:szCs w:val="24"/>
        </w:rPr>
        <w:t xml:space="preserve"> </w:t>
      </w:r>
      <w:hyperlink r:id="rId21" w:history="1">
        <w:r w:rsidR="00E82F87" w:rsidRPr="00E82F87">
          <w:rPr>
            <w:rStyle w:val="Hyperlink"/>
            <w:rFonts w:eastAsia="Calibri" w:cs="Segoe UI"/>
            <w:szCs w:val="24"/>
          </w:rPr>
          <w:t>Moving to a Care Home following a Hospital Stay - Care Home Choice Leaflet C.docx</w:t>
        </w:r>
      </w:hyperlink>
    </w:p>
    <w:p w14:paraId="35135160" w14:textId="77777777" w:rsidR="00EF3154" w:rsidRPr="00EF3154" w:rsidRDefault="00EF3154" w:rsidP="00EF3154">
      <w:pPr>
        <w:widowControl w:val="0"/>
        <w:tabs>
          <w:tab w:val="left" w:pos="1231"/>
        </w:tabs>
        <w:autoSpaceDE w:val="0"/>
        <w:autoSpaceDN w:val="0"/>
        <w:ind w:left="714" w:right="629"/>
        <w:rPr>
          <w:rFonts w:cs="Segoe UI"/>
          <w:szCs w:val="24"/>
        </w:rPr>
      </w:pPr>
    </w:p>
    <w:p w14:paraId="393C56BC" w14:textId="630425AF" w:rsidR="00B71EDF" w:rsidRPr="00EF3154" w:rsidRDefault="00B71EDF" w:rsidP="00EF3154">
      <w:pPr>
        <w:pStyle w:val="Heading2"/>
        <w:numPr>
          <w:ilvl w:val="1"/>
          <w:numId w:val="32"/>
        </w:numPr>
        <w:ind w:left="709" w:hanging="709"/>
        <w:rPr>
          <w:lang w:eastAsia="en-GB"/>
        </w:rPr>
      </w:pPr>
      <w:bookmarkStart w:id="28" w:name="_Toc238736116"/>
      <w:r w:rsidRPr="00EF3154">
        <w:rPr>
          <w:lang w:eastAsia="en-GB"/>
        </w:rPr>
        <w:t>Social Care Assessment</w:t>
      </w:r>
      <w:bookmarkEnd w:id="28"/>
    </w:p>
    <w:p w14:paraId="5AD8452F" w14:textId="09F7ED3E" w:rsidR="00B71EDF" w:rsidRPr="00EF3154" w:rsidRDefault="00B71EDF" w:rsidP="00EF3154">
      <w:pPr>
        <w:pStyle w:val="ListParagraph"/>
        <w:numPr>
          <w:ilvl w:val="2"/>
          <w:numId w:val="32"/>
        </w:numPr>
        <w:ind w:left="709"/>
        <w:rPr>
          <w:rFonts w:cs="Arial"/>
          <w:szCs w:val="24"/>
        </w:rPr>
      </w:pPr>
      <w:r w:rsidRPr="00EF3154">
        <w:rPr>
          <w:rFonts w:cs="Arial"/>
          <w:szCs w:val="24"/>
        </w:rPr>
        <w:t>Patients requiring a care home placement must undergo an assessment of care and support needs. This assessment will normally be completed by Local Authority social care staff, supported by hospital staff where appropriate.</w:t>
      </w:r>
    </w:p>
    <w:p w14:paraId="35E30294" w14:textId="77777777" w:rsidR="00B71EDF" w:rsidRDefault="00B71EDF" w:rsidP="00EF3154">
      <w:pPr>
        <w:pStyle w:val="ListParagraph"/>
        <w:numPr>
          <w:ilvl w:val="2"/>
          <w:numId w:val="32"/>
        </w:numPr>
        <w:ind w:left="709"/>
        <w:rPr>
          <w:rFonts w:cs="Arial"/>
          <w:szCs w:val="24"/>
        </w:rPr>
      </w:pPr>
      <w:r w:rsidRPr="00EF3154">
        <w:rPr>
          <w:rFonts w:cs="Arial"/>
          <w:szCs w:val="24"/>
        </w:rPr>
        <w:t>Patients and, where appropriate, their families, carers or representatives will be involved throughout the assessment process.</w:t>
      </w:r>
    </w:p>
    <w:p w14:paraId="7451D766" w14:textId="77777777" w:rsidR="00EF3154" w:rsidRPr="00EF3154" w:rsidRDefault="00EF3154" w:rsidP="00EF3154">
      <w:pPr>
        <w:pStyle w:val="ListParagraph"/>
        <w:ind w:left="709"/>
        <w:rPr>
          <w:rFonts w:cs="Arial"/>
          <w:szCs w:val="24"/>
        </w:rPr>
      </w:pPr>
    </w:p>
    <w:p w14:paraId="60E6ADD2" w14:textId="0F92BFB3" w:rsidR="00B71EDF" w:rsidRPr="00EF3154" w:rsidRDefault="00B71EDF" w:rsidP="00EF3154">
      <w:pPr>
        <w:pStyle w:val="Heading2"/>
        <w:numPr>
          <w:ilvl w:val="1"/>
          <w:numId w:val="32"/>
        </w:numPr>
        <w:ind w:left="709" w:hanging="709"/>
        <w:rPr>
          <w:lang w:eastAsia="en-GB"/>
        </w:rPr>
      </w:pPr>
      <w:bookmarkStart w:id="29" w:name="_Toc238736117"/>
      <w:r w:rsidRPr="00EF3154">
        <w:rPr>
          <w:lang w:eastAsia="en-GB"/>
        </w:rPr>
        <w:t>Financial Assessment</w:t>
      </w:r>
      <w:bookmarkEnd w:id="29"/>
    </w:p>
    <w:p w14:paraId="0CA74B20" w14:textId="77777777" w:rsidR="00B71EDF" w:rsidRDefault="00B71EDF" w:rsidP="00EF3154">
      <w:pPr>
        <w:pStyle w:val="ListParagraph"/>
        <w:numPr>
          <w:ilvl w:val="2"/>
          <w:numId w:val="32"/>
        </w:numPr>
        <w:ind w:left="709"/>
        <w:rPr>
          <w:rFonts w:cs="Arial"/>
          <w:szCs w:val="24"/>
        </w:rPr>
      </w:pPr>
      <w:r w:rsidRPr="00EF3154">
        <w:rPr>
          <w:rFonts w:cs="Arial"/>
          <w:szCs w:val="24"/>
        </w:rPr>
        <w:t xml:space="preserve">Where required, a financial assessment will be completed to determine whether the patient is responsible for meeting the cost of their care or is eligible for Local Authority </w:t>
      </w:r>
      <w:r w:rsidRPr="00EF3154">
        <w:rPr>
          <w:rFonts w:cs="Arial"/>
          <w:szCs w:val="24"/>
        </w:rPr>
        <w:lastRenderedPageBreak/>
        <w:t>financial support.</w:t>
      </w:r>
      <w:r w:rsidR="005A031E" w:rsidRPr="00EF3154">
        <w:rPr>
          <w:rFonts w:cs="Arial"/>
          <w:szCs w:val="24"/>
        </w:rPr>
        <w:t xml:space="preserve"> </w:t>
      </w:r>
      <w:r w:rsidRPr="00EF3154">
        <w:rPr>
          <w:rFonts w:cs="Arial"/>
          <w:szCs w:val="24"/>
        </w:rPr>
        <w:t>The outcome of the assessment will determine responsibility for arranging and funding the placement.</w:t>
      </w:r>
    </w:p>
    <w:p w14:paraId="4DD464E2" w14:textId="77777777" w:rsidR="00EF3154" w:rsidRPr="00EF3154" w:rsidRDefault="00EF3154" w:rsidP="00EF3154">
      <w:pPr>
        <w:pStyle w:val="ListParagraph"/>
        <w:ind w:left="709"/>
        <w:rPr>
          <w:rFonts w:cs="Arial"/>
          <w:szCs w:val="24"/>
        </w:rPr>
      </w:pPr>
    </w:p>
    <w:p w14:paraId="08F9CB71" w14:textId="2F3F4968" w:rsidR="00B71EDF" w:rsidRPr="00EF3154" w:rsidRDefault="00B71EDF" w:rsidP="00EF3154">
      <w:pPr>
        <w:pStyle w:val="Heading2"/>
        <w:numPr>
          <w:ilvl w:val="1"/>
          <w:numId w:val="32"/>
        </w:numPr>
        <w:ind w:left="709" w:hanging="709"/>
        <w:rPr>
          <w:lang w:eastAsia="en-GB"/>
        </w:rPr>
      </w:pPr>
      <w:bookmarkStart w:id="30" w:name="_Toc238736118"/>
      <w:r w:rsidRPr="00EF3154">
        <w:rPr>
          <w:lang w:eastAsia="en-GB"/>
        </w:rPr>
        <w:t>Expressing a Preference</w:t>
      </w:r>
      <w:bookmarkEnd w:id="30"/>
    </w:p>
    <w:p w14:paraId="71FE6618" w14:textId="77777777" w:rsidR="00B71EDF" w:rsidRPr="00EF3154" w:rsidRDefault="00B71EDF" w:rsidP="00EF3154">
      <w:pPr>
        <w:pStyle w:val="ListParagraph"/>
        <w:numPr>
          <w:ilvl w:val="2"/>
          <w:numId w:val="32"/>
        </w:numPr>
        <w:ind w:left="709"/>
        <w:rPr>
          <w:rFonts w:cs="Arial"/>
          <w:szCs w:val="24"/>
        </w:rPr>
      </w:pPr>
      <w:r w:rsidRPr="00EF3154">
        <w:rPr>
          <w:rFonts w:cs="Arial"/>
          <w:szCs w:val="24"/>
        </w:rPr>
        <w:t>Patients may express a preference for a particular care home.</w:t>
      </w:r>
    </w:p>
    <w:p w14:paraId="479FA1D3" w14:textId="77777777" w:rsidR="00B71EDF" w:rsidRPr="00EF3154" w:rsidRDefault="00B71EDF" w:rsidP="00EF3154">
      <w:pPr>
        <w:pStyle w:val="ListParagraph"/>
        <w:numPr>
          <w:ilvl w:val="2"/>
          <w:numId w:val="32"/>
        </w:numPr>
        <w:ind w:left="709"/>
        <w:rPr>
          <w:rFonts w:cs="Arial"/>
          <w:szCs w:val="24"/>
        </w:rPr>
      </w:pPr>
      <w:r w:rsidRPr="00EF3154">
        <w:rPr>
          <w:rFonts w:cs="Arial"/>
          <w:szCs w:val="24"/>
        </w:rPr>
        <w:t>Where the Local Authority is responsible for arranging the placement, it must ensure that genuine choice is available and that suitable options capable of meeting the patient's assessed needs are identified.</w:t>
      </w:r>
    </w:p>
    <w:p w14:paraId="52100646" w14:textId="77777777" w:rsidR="00B71EDF" w:rsidRPr="00EF3154" w:rsidRDefault="00B71EDF" w:rsidP="00EF3154">
      <w:pPr>
        <w:pStyle w:val="ListParagraph"/>
        <w:numPr>
          <w:ilvl w:val="2"/>
          <w:numId w:val="32"/>
        </w:numPr>
        <w:ind w:left="709"/>
        <w:rPr>
          <w:rFonts w:cs="Arial"/>
          <w:szCs w:val="24"/>
        </w:rPr>
      </w:pPr>
      <w:r w:rsidRPr="00EF3154">
        <w:rPr>
          <w:rFonts w:cs="Arial"/>
          <w:szCs w:val="24"/>
        </w:rPr>
        <w:t>A preferred placement may only be agreed where:</w:t>
      </w:r>
    </w:p>
    <w:p w14:paraId="4BCD977A" w14:textId="77777777" w:rsidR="00B71EDF" w:rsidRPr="00EF3154" w:rsidRDefault="00B71EDF" w:rsidP="00EF3154">
      <w:pPr>
        <w:widowControl w:val="0"/>
        <w:numPr>
          <w:ilvl w:val="0"/>
          <w:numId w:val="20"/>
        </w:numPr>
        <w:tabs>
          <w:tab w:val="clear" w:pos="720"/>
        </w:tabs>
        <w:autoSpaceDE w:val="0"/>
        <w:autoSpaceDN w:val="0"/>
        <w:ind w:left="1276" w:right="629" w:hanging="567"/>
        <w:rPr>
          <w:rFonts w:cs="Segoe UI"/>
          <w:szCs w:val="24"/>
        </w:rPr>
      </w:pPr>
      <w:r w:rsidRPr="00EF3154">
        <w:rPr>
          <w:rFonts w:cs="Segoe UI"/>
          <w:szCs w:val="24"/>
        </w:rPr>
        <w:t>The home can meet the patient's assessed needs;</w:t>
      </w:r>
    </w:p>
    <w:p w14:paraId="2938FA50" w14:textId="77777777" w:rsidR="00B71EDF" w:rsidRPr="00EF3154" w:rsidRDefault="00B71EDF" w:rsidP="00EF3154">
      <w:pPr>
        <w:widowControl w:val="0"/>
        <w:numPr>
          <w:ilvl w:val="0"/>
          <w:numId w:val="20"/>
        </w:numPr>
        <w:tabs>
          <w:tab w:val="clear" w:pos="720"/>
        </w:tabs>
        <w:autoSpaceDE w:val="0"/>
        <w:autoSpaceDN w:val="0"/>
        <w:ind w:left="1276" w:right="629" w:hanging="567"/>
        <w:rPr>
          <w:rFonts w:cs="Segoe UI"/>
          <w:szCs w:val="24"/>
        </w:rPr>
      </w:pPr>
      <w:r w:rsidRPr="00EF3154">
        <w:rPr>
          <w:rFonts w:cs="Segoe UI"/>
          <w:szCs w:val="24"/>
        </w:rPr>
        <w:t>A vacancy is available;</w:t>
      </w:r>
    </w:p>
    <w:p w14:paraId="09E7A47C" w14:textId="77777777" w:rsidR="00B71EDF" w:rsidRPr="00EF3154" w:rsidRDefault="00B71EDF" w:rsidP="00EF3154">
      <w:pPr>
        <w:widowControl w:val="0"/>
        <w:numPr>
          <w:ilvl w:val="0"/>
          <w:numId w:val="20"/>
        </w:numPr>
        <w:tabs>
          <w:tab w:val="clear" w:pos="720"/>
        </w:tabs>
        <w:autoSpaceDE w:val="0"/>
        <w:autoSpaceDN w:val="0"/>
        <w:ind w:left="1276" w:right="629" w:hanging="567"/>
        <w:rPr>
          <w:rFonts w:cs="Segoe UI"/>
          <w:szCs w:val="24"/>
        </w:rPr>
      </w:pPr>
      <w:r w:rsidRPr="00EF3154">
        <w:rPr>
          <w:rFonts w:cs="Segoe UI"/>
          <w:szCs w:val="24"/>
        </w:rPr>
        <w:t>The placement is appropriate and safe; and</w:t>
      </w:r>
    </w:p>
    <w:p w14:paraId="169DDF39" w14:textId="77777777" w:rsidR="00B71EDF" w:rsidRDefault="00B71EDF" w:rsidP="00EF3154">
      <w:pPr>
        <w:widowControl w:val="0"/>
        <w:numPr>
          <w:ilvl w:val="0"/>
          <w:numId w:val="20"/>
        </w:numPr>
        <w:tabs>
          <w:tab w:val="clear" w:pos="720"/>
        </w:tabs>
        <w:autoSpaceDE w:val="0"/>
        <w:autoSpaceDN w:val="0"/>
        <w:ind w:left="1276" w:right="629" w:hanging="567"/>
        <w:rPr>
          <w:rFonts w:cs="Segoe UI"/>
          <w:szCs w:val="24"/>
        </w:rPr>
      </w:pPr>
      <w:r w:rsidRPr="00EF3154">
        <w:rPr>
          <w:rFonts w:cs="Segoe UI"/>
          <w:szCs w:val="24"/>
        </w:rPr>
        <w:t>Funding arrangements can be agreed.</w:t>
      </w:r>
    </w:p>
    <w:p w14:paraId="3C755738" w14:textId="77777777" w:rsidR="00EF3154" w:rsidRPr="00EF3154" w:rsidRDefault="00EF3154" w:rsidP="00EF3154">
      <w:pPr>
        <w:widowControl w:val="0"/>
        <w:autoSpaceDE w:val="0"/>
        <w:autoSpaceDN w:val="0"/>
        <w:ind w:left="1276" w:right="629"/>
        <w:rPr>
          <w:rFonts w:cs="Segoe UI"/>
          <w:szCs w:val="24"/>
        </w:rPr>
      </w:pPr>
    </w:p>
    <w:p w14:paraId="41894DB2" w14:textId="30C3C79A" w:rsidR="00B71EDF" w:rsidRPr="00EF3154" w:rsidRDefault="00B71EDF" w:rsidP="00EF3154">
      <w:pPr>
        <w:pStyle w:val="Heading2"/>
        <w:numPr>
          <w:ilvl w:val="1"/>
          <w:numId w:val="32"/>
        </w:numPr>
        <w:ind w:left="709" w:hanging="709"/>
        <w:rPr>
          <w:lang w:eastAsia="en-GB"/>
        </w:rPr>
      </w:pPr>
      <w:bookmarkStart w:id="31" w:name="_Toc238736119"/>
      <w:r w:rsidRPr="00EF3154">
        <w:rPr>
          <w:lang w:eastAsia="en-GB"/>
        </w:rPr>
        <w:t>Visits and Decisions</w:t>
      </w:r>
      <w:bookmarkEnd w:id="31"/>
    </w:p>
    <w:p w14:paraId="4B768426" w14:textId="77777777" w:rsidR="00B71EDF" w:rsidRPr="00513AD6" w:rsidRDefault="00B71EDF" w:rsidP="00513AD6">
      <w:pPr>
        <w:widowControl w:val="0"/>
        <w:tabs>
          <w:tab w:val="left" w:pos="1231"/>
        </w:tabs>
        <w:autoSpaceDE w:val="0"/>
        <w:autoSpaceDN w:val="0"/>
        <w:ind w:right="631"/>
        <w:rPr>
          <w:rFonts w:cs="Arial"/>
          <w:szCs w:val="24"/>
        </w:rPr>
      </w:pPr>
      <w:r w:rsidRPr="00513AD6">
        <w:rPr>
          <w:rFonts w:cs="Arial"/>
          <w:szCs w:val="24"/>
        </w:rPr>
        <w:t>Patients, families or representatives are expected to:</w:t>
      </w:r>
    </w:p>
    <w:p w14:paraId="1CB88185"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 xml:space="preserve">Visit identified suitable homes within </w:t>
      </w:r>
      <w:r w:rsidRPr="00513AD6">
        <w:rPr>
          <w:rFonts w:cs="Arial"/>
          <w:b/>
          <w:bCs/>
          <w:szCs w:val="24"/>
        </w:rPr>
        <w:t>two working days</w:t>
      </w:r>
      <w:r w:rsidRPr="00513AD6">
        <w:rPr>
          <w:rFonts w:cs="Arial"/>
          <w:szCs w:val="24"/>
        </w:rPr>
        <w:t xml:space="preserve"> of receiving details; and</w:t>
      </w:r>
    </w:p>
    <w:p w14:paraId="6D4D8B61"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 xml:space="preserve">Confirm their preferred option within a </w:t>
      </w:r>
      <w:r w:rsidRPr="00513AD6">
        <w:rPr>
          <w:rFonts w:cs="Arial"/>
          <w:b/>
          <w:bCs/>
          <w:szCs w:val="24"/>
        </w:rPr>
        <w:t>further two</w:t>
      </w:r>
      <w:r w:rsidRPr="00513AD6">
        <w:rPr>
          <w:rFonts w:cs="Arial"/>
          <w:szCs w:val="24"/>
        </w:rPr>
        <w:t xml:space="preserve"> </w:t>
      </w:r>
      <w:r w:rsidRPr="00513AD6">
        <w:rPr>
          <w:rFonts w:cs="Arial"/>
          <w:b/>
          <w:bCs/>
          <w:szCs w:val="24"/>
        </w:rPr>
        <w:t>working days</w:t>
      </w:r>
      <w:r w:rsidRPr="00513AD6">
        <w:rPr>
          <w:rFonts w:cs="Arial"/>
          <w:szCs w:val="24"/>
        </w:rPr>
        <w:t>.</w:t>
      </w:r>
    </w:p>
    <w:p w14:paraId="52E8EDB1" w14:textId="77777777" w:rsidR="00B71EDF" w:rsidRPr="00513AD6" w:rsidRDefault="00B71EDF" w:rsidP="00513AD6">
      <w:pPr>
        <w:widowControl w:val="0"/>
        <w:tabs>
          <w:tab w:val="left" w:pos="1231"/>
        </w:tabs>
        <w:autoSpaceDE w:val="0"/>
        <w:autoSpaceDN w:val="0"/>
        <w:ind w:right="631"/>
        <w:rPr>
          <w:rFonts w:cs="Arial"/>
          <w:szCs w:val="24"/>
        </w:rPr>
      </w:pPr>
      <w:r w:rsidRPr="00513AD6">
        <w:rPr>
          <w:rFonts w:cs="Arial"/>
          <w:szCs w:val="24"/>
        </w:rPr>
        <w:t>Reasonable support will be provided where visits are not possible.</w:t>
      </w:r>
    </w:p>
    <w:p w14:paraId="3059B13B" w14:textId="77777777" w:rsidR="00513AD6" w:rsidRPr="00513AD6" w:rsidRDefault="00513AD6" w:rsidP="00513AD6">
      <w:pPr>
        <w:widowControl w:val="0"/>
        <w:tabs>
          <w:tab w:val="left" w:pos="1231"/>
        </w:tabs>
        <w:autoSpaceDE w:val="0"/>
        <w:autoSpaceDN w:val="0"/>
        <w:ind w:right="631"/>
        <w:rPr>
          <w:rFonts w:cs="Arial"/>
          <w:szCs w:val="24"/>
        </w:rPr>
      </w:pPr>
    </w:p>
    <w:p w14:paraId="4CF3770B" w14:textId="4BA13FC5" w:rsidR="00B71EDF" w:rsidRPr="00EF3154" w:rsidRDefault="00B71EDF" w:rsidP="00EF3154">
      <w:pPr>
        <w:pStyle w:val="Heading2"/>
        <w:numPr>
          <w:ilvl w:val="1"/>
          <w:numId w:val="32"/>
        </w:numPr>
        <w:ind w:left="709" w:hanging="709"/>
        <w:rPr>
          <w:lang w:eastAsia="en-GB"/>
        </w:rPr>
      </w:pPr>
      <w:bookmarkStart w:id="32" w:name="_Toc238736120"/>
      <w:r w:rsidRPr="00EF3154">
        <w:rPr>
          <w:lang w:eastAsia="en-GB"/>
        </w:rPr>
        <w:t>Additional Cost Payments</w:t>
      </w:r>
      <w:bookmarkEnd w:id="32"/>
    </w:p>
    <w:p w14:paraId="332AAF5F" w14:textId="77777777" w:rsidR="00B71EDF" w:rsidRDefault="00B71EDF" w:rsidP="00513AD6">
      <w:pPr>
        <w:pStyle w:val="ListParagraph"/>
        <w:numPr>
          <w:ilvl w:val="2"/>
          <w:numId w:val="32"/>
        </w:numPr>
        <w:ind w:left="709"/>
        <w:rPr>
          <w:rFonts w:cs="Arial"/>
          <w:szCs w:val="24"/>
        </w:rPr>
      </w:pPr>
      <w:r w:rsidRPr="00513AD6">
        <w:rPr>
          <w:rFonts w:cs="Arial"/>
          <w:szCs w:val="24"/>
        </w:rPr>
        <w:t>Where a preferred care home costs more than the usual rate agreed by the Local Authority, or additional services are requested, an Additional Cost Payment may be required.</w:t>
      </w:r>
      <w:r w:rsidR="005A031E" w:rsidRPr="00513AD6">
        <w:rPr>
          <w:rFonts w:cs="Arial"/>
          <w:szCs w:val="24"/>
        </w:rPr>
        <w:t xml:space="preserve"> </w:t>
      </w:r>
      <w:r w:rsidRPr="00513AD6">
        <w:rPr>
          <w:rFonts w:cs="Arial"/>
          <w:szCs w:val="24"/>
        </w:rPr>
        <w:t>Any such arrangement must comply with Local Authority policies and be agreed before placement.</w:t>
      </w:r>
    </w:p>
    <w:p w14:paraId="6526590C" w14:textId="77777777" w:rsidR="00513AD6" w:rsidRPr="00513AD6" w:rsidRDefault="00513AD6" w:rsidP="00513AD6">
      <w:pPr>
        <w:pStyle w:val="ListParagraph"/>
        <w:ind w:left="709"/>
        <w:rPr>
          <w:rFonts w:cs="Arial"/>
          <w:szCs w:val="24"/>
        </w:rPr>
      </w:pPr>
    </w:p>
    <w:p w14:paraId="0796A934" w14:textId="05D965B8" w:rsidR="00B71EDF" w:rsidRPr="00EF3154" w:rsidRDefault="00B71EDF" w:rsidP="00EF3154">
      <w:pPr>
        <w:pStyle w:val="Heading2"/>
        <w:numPr>
          <w:ilvl w:val="1"/>
          <w:numId w:val="32"/>
        </w:numPr>
        <w:ind w:left="709" w:hanging="709"/>
        <w:rPr>
          <w:lang w:eastAsia="en-GB"/>
        </w:rPr>
      </w:pPr>
      <w:bookmarkStart w:id="33" w:name="_Toc238736121"/>
      <w:r w:rsidRPr="00EF3154">
        <w:rPr>
          <w:lang w:eastAsia="en-GB"/>
        </w:rPr>
        <w:t>Interim Placements</w:t>
      </w:r>
      <w:bookmarkEnd w:id="33"/>
    </w:p>
    <w:p w14:paraId="39E5F3A0" w14:textId="77777777" w:rsidR="00B71EDF" w:rsidRPr="00513AD6" w:rsidRDefault="00B71EDF" w:rsidP="00513AD6">
      <w:pPr>
        <w:pStyle w:val="ListParagraph"/>
        <w:numPr>
          <w:ilvl w:val="2"/>
          <w:numId w:val="32"/>
        </w:numPr>
        <w:ind w:left="709"/>
        <w:rPr>
          <w:rFonts w:cs="Arial"/>
          <w:szCs w:val="24"/>
        </w:rPr>
      </w:pPr>
      <w:r w:rsidRPr="00513AD6">
        <w:rPr>
          <w:rFonts w:cs="Arial"/>
          <w:szCs w:val="24"/>
        </w:rPr>
        <w:t>Where a preferred care home is suitable but does not have a vacancy available, the patient may be offered an interim care home placement.</w:t>
      </w:r>
    </w:p>
    <w:p w14:paraId="45C022C2" w14:textId="77777777" w:rsidR="00B71EDF" w:rsidRPr="00513AD6" w:rsidRDefault="00B71EDF" w:rsidP="00513AD6">
      <w:pPr>
        <w:pStyle w:val="ListParagraph"/>
        <w:numPr>
          <w:ilvl w:val="2"/>
          <w:numId w:val="32"/>
        </w:numPr>
        <w:ind w:left="709"/>
        <w:rPr>
          <w:rFonts w:cs="Arial"/>
          <w:szCs w:val="24"/>
        </w:rPr>
      </w:pPr>
      <w:r w:rsidRPr="00513AD6">
        <w:rPr>
          <w:rFonts w:cs="Arial"/>
          <w:szCs w:val="24"/>
        </w:rPr>
        <w:t>Patients must not remain in hospital awaiting a future vacancy.</w:t>
      </w:r>
    </w:p>
    <w:p w14:paraId="770239F3" w14:textId="77777777" w:rsidR="00B71EDF" w:rsidRPr="00513AD6" w:rsidRDefault="00B71EDF" w:rsidP="00513AD6">
      <w:pPr>
        <w:pStyle w:val="ListParagraph"/>
        <w:numPr>
          <w:ilvl w:val="2"/>
          <w:numId w:val="32"/>
        </w:numPr>
        <w:ind w:left="709"/>
        <w:rPr>
          <w:rFonts w:cs="Arial"/>
          <w:szCs w:val="24"/>
        </w:rPr>
      </w:pPr>
      <w:r w:rsidRPr="00513AD6">
        <w:rPr>
          <w:rFonts w:cs="Arial"/>
          <w:szCs w:val="24"/>
        </w:rPr>
        <w:t>The Local Authority will ensure that:</w:t>
      </w:r>
    </w:p>
    <w:p w14:paraId="2B761870"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The interim placement meets the patient's assessed needs;</w:t>
      </w:r>
    </w:p>
    <w:p w14:paraId="6C944F96"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The patient's preference is recorded;</w:t>
      </w:r>
    </w:p>
    <w:p w14:paraId="10BE1199"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Waiting list arrangements are considered where appropriate; and</w:t>
      </w:r>
    </w:p>
    <w:p w14:paraId="66B5E7D5" w14:textId="77777777" w:rsidR="00B71EDF"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lastRenderedPageBreak/>
        <w:t>Patients are informed if a vacancy becomes available at their preferred home.</w:t>
      </w:r>
    </w:p>
    <w:p w14:paraId="26F96DB9" w14:textId="77777777" w:rsidR="00513AD6" w:rsidRPr="00513AD6" w:rsidRDefault="00513AD6" w:rsidP="00513AD6">
      <w:pPr>
        <w:widowControl w:val="0"/>
        <w:autoSpaceDE w:val="0"/>
        <w:autoSpaceDN w:val="0"/>
        <w:ind w:left="1276" w:right="629"/>
        <w:rPr>
          <w:rFonts w:cs="Arial"/>
          <w:szCs w:val="24"/>
        </w:rPr>
      </w:pPr>
    </w:p>
    <w:p w14:paraId="6B8BBAA1" w14:textId="033E98A5" w:rsidR="00B71EDF" w:rsidRPr="00EF3154" w:rsidRDefault="00B71EDF" w:rsidP="00EF3154">
      <w:pPr>
        <w:pStyle w:val="Heading2"/>
        <w:numPr>
          <w:ilvl w:val="1"/>
          <w:numId w:val="32"/>
        </w:numPr>
        <w:ind w:left="709" w:hanging="709"/>
        <w:rPr>
          <w:lang w:eastAsia="en-GB"/>
        </w:rPr>
      </w:pPr>
      <w:bookmarkStart w:id="34" w:name="_Toc238736122"/>
      <w:r w:rsidRPr="00EF3154">
        <w:rPr>
          <w:lang w:eastAsia="en-GB"/>
        </w:rPr>
        <w:t>Self-Funding Arrangements</w:t>
      </w:r>
      <w:bookmarkEnd w:id="34"/>
    </w:p>
    <w:p w14:paraId="6A83B409" w14:textId="77777777" w:rsidR="00B71EDF" w:rsidRPr="00513AD6" w:rsidRDefault="00B71EDF" w:rsidP="00513AD6">
      <w:pPr>
        <w:pStyle w:val="ListParagraph"/>
        <w:numPr>
          <w:ilvl w:val="2"/>
          <w:numId w:val="32"/>
        </w:numPr>
        <w:ind w:left="709"/>
        <w:rPr>
          <w:rFonts w:cs="Arial"/>
          <w:szCs w:val="24"/>
        </w:rPr>
      </w:pPr>
      <w:r w:rsidRPr="00513AD6">
        <w:rPr>
          <w:rFonts w:cs="Arial"/>
          <w:szCs w:val="24"/>
        </w:rPr>
        <w:t>Patients who are not eligible for Local Authority financial support may be responsible for meeting the full cost of their placement.</w:t>
      </w:r>
    </w:p>
    <w:p w14:paraId="599EBFB8" w14:textId="77777777" w:rsidR="00B71EDF" w:rsidRPr="00513AD6" w:rsidRDefault="00B71EDF" w:rsidP="00513AD6">
      <w:pPr>
        <w:pStyle w:val="ListParagraph"/>
        <w:numPr>
          <w:ilvl w:val="2"/>
          <w:numId w:val="32"/>
        </w:numPr>
        <w:ind w:left="709"/>
        <w:rPr>
          <w:rFonts w:cs="Arial"/>
          <w:szCs w:val="24"/>
        </w:rPr>
      </w:pPr>
      <w:r w:rsidRPr="00513AD6">
        <w:rPr>
          <w:rFonts w:cs="Arial"/>
          <w:szCs w:val="24"/>
        </w:rPr>
        <w:t>Where patients are self-funding:</w:t>
      </w:r>
    </w:p>
    <w:p w14:paraId="3A2DD8C0"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Advice and support must still be provided;</w:t>
      </w:r>
    </w:p>
    <w:p w14:paraId="0BE10E9A"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Suitable care home options should be identified based on assessed need;</w:t>
      </w:r>
    </w:p>
    <w:p w14:paraId="53F9DD0C"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The chosen provider must confirm it can meet the patient's needs; and</w:t>
      </w:r>
    </w:p>
    <w:p w14:paraId="33A1EA8E" w14:textId="77777777" w:rsidR="00B71EDF" w:rsidRPr="00513AD6" w:rsidRDefault="00B71EDF" w:rsidP="00513AD6">
      <w:pPr>
        <w:widowControl w:val="0"/>
        <w:numPr>
          <w:ilvl w:val="0"/>
          <w:numId w:val="20"/>
        </w:numPr>
        <w:tabs>
          <w:tab w:val="clear" w:pos="720"/>
        </w:tabs>
        <w:autoSpaceDE w:val="0"/>
        <w:autoSpaceDN w:val="0"/>
        <w:ind w:left="1276" w:right="629" w:hanging="567"/>
        <w:rPr>
          <w:rFonts w:cs="Arial"/>
          <w:szCs w:val="24"/>
        </w:rPr>
      </w:pPr>
      <w:r w:rsidRPr="00513AD6">
        <w:rPr>
          <w:rFonts w:cs="Arial"/>
          <w:szCs w:val="24"/>
        </w:rPr>
        <w:t>Patients may request that the Local Authority assists in arranging the placement on their behalf.</w:t>
      </w:r>
    </w:p>
    <w:p w14:paraId="65B01137" w14:textId="77777777" w:rsidR="00B71EDF" w:rsidRDefault="00B71EDF" w:rsidP="00513AD6">
      <w:pPr>
        <w:pStyle w:val="ListParagraph"/>
        <w:numPr>
          <w:ilvl w:val="2"/>
          <w:numId w:val="32"/>
        </w:numPr>
        <w:ind w:left="709"/>
        <w:rPr>
          <w:rFonts w:cs="Arial"/>
          <w:szCs w:val="24"/>
        </w:rPr>
      </w:pPr>
      <w:r w:rsidRPr="00513AD6">
        <w:rPr>
          <w:rFonts w:cs="Arial"/>
          <w:szCs w:val="24"/>
        </w:rPr>
        <w:t>Self-funding patients may also be required to accept an interim placement where their preferred home does not have an available vacancy.</w:t>
      </w:r>
    </w:p>
    <w:p w14:paraId="26C993A0" w14:textId="77777777" w:rsidR="00513AD6" w:rsidRPr="00513AD6" w:rsidRDefault="00513AD6" w:rsidP="00513AD6">
      <w:pPr>
        <w:pStyle w:val="ListParagraph"/>
        <w:ind w:left="709"/>
        <w:rPr>
          <w:rFonts w:cs="Arial"/>
          <w:szCs w:val="24"/>
        </w:rPr>
      </w:pPr>
    </w:p>
    <w:p w14:paraId="1BB1F376" w14:textId="60DBBB6F" w:rsidR="00D1408E" w:rsidRPr="00EF3154" w:rsidRDefault="001118AB" w:rsidP="00EF3154">
      <w:pPr>
        <w:pStyle w:val="Heading2"/>
        <w:numPr>
          <w:ilvl w:val="1"/>
          <w:numId w:val="32"/>
        </w:numPr>
        <w:ind w:left="709" w:hanging="709"/>
        <w:rPr>
          <w:lang w:eastAsia="en-GB"/>
        </w:rPr>
      </w:pPr>
      <w:bookmarkStart w:id="35" w:name="_Toc238736123"/>
      <w:r w:rsidRPr="00EF3154">
        <w:rPr>
          <w:lang w:eastAsia="en-GB"/>
        </w:rPr>
        <w:t>Continuing NHS Healthcare (CHC)</w:t>
      </w:r>
      <w:bookmarkEnd w:id="35"/>
      <w:r w:rsidRPr="00EF3154">
        <w:rPr>
          <w:lang w:eastAsia="en-GB"/>
        </w:rPr>
        <w:t xml:space="preserve"> </w:t>
      </w:r>
    </w:p>
    <w:p w14:paraId="14D5A706" w14:textId="77777777" w:rsidR="00F85BA3" w:rsidRDefault="00C514BB" w:rsidP="00513AD6">
      <w:pPr>
        <w:widowControl w:val="0"/>
        <w:tabs>
          <w:tab w:val="left" w:pos="1231"/>
        </w:tabs>
        <w:autoSpaceDE w:val="0"/>
        <w:autoSpaceDN w:val="0"/>
        <w:ind w:right="629"/>
        <w:rPr>
          <w:rFonts w:cs="Arial"/>
        </w:rPr>
      </w:pPr>
      <w:r w:rsidRPr="00513AD6">
        <w:rPr>
          <w:rFonts w:cs="Arial"/>
          <w:szCs w:val="24"/>
        </w:rPr>
        <w:t xml:space="preserve">CHC </w:t>
      </w:r>
      <w:r w:rsidR="001118AB" w:rsidRPr="00513AD6">
        <w:rPr>
          <w:rFonts w:cs="Arial"/>
          <w:szCs w:val="24"/>
        </w:rPr>
        <w:t>placement arrangements are set out in the National Framework</w:t>
      </w:r>
      <w:r w:rsidRPr="00513AD6">
        <w:rPr>
          <w:rFonts w:cs="Arial"/>
          <w:szCs w:val="24"/>
        </w:rPr>
        <w:t xml:space="preserve"> and</w:t>
      </w:r>
      <w:r w:rsidR="00C53094" w:rsidRPr="00513AD6">
        <w:rPr>
          <w:rFonts w:cs="Arial"/>
          <w:szCs w:val="24"/>
        </w:rPr>
        <w:t xml:space="preserve"> </w:t>
      </w:r>
      <w:r w:rsidR="001118AB" w:rsidRPr="00513AD6">
        <w:rPr>
          <w:rFonts w:cs="Arial"/>
          <w:szCs w:val="24"/>
        </w:rPr>
        <w:t xml:space="preserve">must be applied when CHC is to be provided in a care home. The Guidance can be found here: </w:t>
      </w:r>
      <w:hyperlink r:id="rId22" w:history="1">
        <w:r w:rsidRPr="00513AD6">
          <w:rPr>
            <w:rFonts w:cs="Arial"/>
            <w:szCs w:val="24"/>
            <w:u w:val="single"/>
          </w:rPr>
          <w:t>National framework for Continuing NHS Healthcare | GOV.WALES</w:t>
        </w:r>
      </w:hyperlink>
    </w:p>
    <w:p w14:paraId="5890C383" w14:textId="77777777" w:rsidR="00FC6F41" w:rsidRPr="00513AD6" w:rsidRDefault="00FC6F41" w:rsidP="00513AD6">
      <w:pPr>
        <w:widowControl w:val="0"/>
        <w:tabs>
          <w:tab w:val="left" w:pos="1231"/>
        </w:tabs>
        <w:autoSpaceDE w:val="0"/>
        <w:autoSpaceDN w:val="0"/>
        <w:ind w:right="629"/>
        <w:rPr>
          <w:rFonts w:cs="Arial"/>
          <w:szCs w:val="24"/>
        </w:rPr>
      </w:pPr>
    </w:p>
    <w:p w14:paraId="77F09408" w14:textId="0D178702" w:rsidR="00B115D8" w:rsidRPr="00C24556" w:rsidRDefault="00B115D8" w:rsidP="00EF3154">
      <w:pPr>
        <w:pStyle w:val="Heading1"/>
        <w:numPr>
          <w:ilvl w:val="0"/>
          <w:numId w:val="32"/>
        </w:numPr>
        <w:ind w:hanging="720"/>
      </w:pPr>
      <w:bookmarkStart w:id="36" w:name="_Toc238736124"/>
      <w:r w:rsidRPr="00C24556">
        <w:t>Managing Disagreement, Reluctant Discharge and Escalation</w:t>
      </w:r>
      <w:bookmarkEnd w:id="36"/>
    </w:p>
    <w:p w14:paraId="40B859D6" w14:textId="2CB08CA2" w:rsidR="009438C1" w:rsidRPr="00CA7AD6" w:rsidRDefault="00D14F37" w:rsidP="00CA7AD6">
      <w:pPr>
        <w:pStyle w:val="ListParagraph"/>
        <w:numPr>
          <w:ilvl w:val="1"/>
          <w:numId w:val="32"/>
        </w:numPr>
        <w:ind w:left="709" w:hanging="709"/>
        <w:rPr>
          <w:rFonts w:cs="Arial"/>
          <w:szCs w:val="24"/>
        </w:rPr>
      </w:pPr>
      <w:r w:rsidRPr="00953E7B">
        <w:t xml:space="preserve">The detailed </w:t>
      </w:r>
      <w:r w:rsidR="0051470D" w:rsidRPr="0051470D">
        <w:t>Reluctant Patient Discharge</w:t>
      </w:r>
      <w:r w:rsidR="0051470D">
        <w:t xml:space="preserve"> Standard Operating Procedure should be followed if there are any disagreements or escalations required</w:t>
      </w:r>
      <w:r>
        <w:t xml:space="preserve">.  </w:t>
      </w:r>
      <w:hyperlink r:id="rId23" w:history="1">
        <w:r w:rsidR="004059A0" w:rsidRPr="004059A0">
          <w:rPr>
            <w:rStyle w:val="Hyperlink"/>
          </w:rPr>
          <w:t>Standard Operating Procedure - Reluctant Patient Discharge.docx</w:t>
        </w:r>
      </w:hyperlink>
    </w:p>
    <w:sectPr w:rsidR="009438C1" w:rsidRPr="00CA7AD6" w:rsidSect="00C24556">
      <w:pgSz w:w="11905" w:h="14956"/>
      <w:pgMar w:top="851" w:right="851" w:bottom="851" w:left="851" w:header="284" w:footer="28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A96D5" w14:textId="77777777" w:rsidR="00845BE1" w:rsidRDefault="00845BE1" w:rsidP="00A40426">
      <w:pPr>
        <w:spacing w:after="0"/>
      </w:pPr>
      <w:r>
        <w:separator/>
      </w:r>
    </w:p>
  </w:endnote>
  <w:endnote w:type="continuationSeparator" w:id="0">
    <w:p w14:paraId="274FED4B" w14:textId="77777777" w:rsidR="00845BE1" w:rsidRDefault="00845BE1" w:rsidP="00A404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199731"/>
      <w:docPartObj>
        <w:docPartGallery w:val="Page Numbers (Bottom of Page)"/>
        <w:docPartUnique/>
      </w:docPartObj>
    </w:sdtPr>
    <w:sdtEndPr/>
    <w:sdtContent>
      <w:p w14:paraId="3BB50CE7" w14:textId="7462EF69" w:rsidR="00F3027F" w:rsidRDefault="000A0A98" w:rsidP="000A0A98">
        <w:pPr>
          <w:pStyle w:val="Footer"/>
          <w:tabs>
            <w:tab w:val="clear" w:pos="9026"/>
            <w:tab w:val="right" w:pos="10203"/>
          </w:tabs>
        </w:pPr>
        <w:r>
          <w:fldChar w:fldCharType="begin"/>
        </w:r>
        <w:r>
          <w:instrText>PAGE   \* MERGEFORMAT</w:instrText>
        </w:r>
        <w:r>
          <w:fldChar w:fldCharType="separate"/>
        </w:r>
        <w:r>
          <w:t>2</w:t>
        </w:r>
        <w:r>
          <w:fldChar w:fldCharType="end"/>
        </w:r>
        <w:r>
          <w:tab/>
        </w:r>
        <w:r>
          <w:tab/>
        </w:r>
        <w:fldSimple w:instr=" FILENAME \* MERGEFORMAT ">
          <w:r>
            <w:rPr>
              <w:noProof/>
            </w:rPr>
            <w:t>Choice Policy</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E8B09" w14:textId="77777777" w:rsidR="00845BE1" w:rsidRDefault="00845BE1" w:rsidP="00A40426">
      <w:pPr>
        <w:spacing w:after="0"/>
      </w:pPr>
      <w:r>
        <w:separator/>
      </w:r>
    </w:p>
  </w:footnote>
  <w:footnote w:type="continuationSeparator" w:id="0">
    <w:p w14:paraId="1BDB94D9" w14:textId="77777777" w:rsidR="00845BE1" w:rsidRDefault="00845BE1" w:rsidP="00A404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86230"/>
      <w:docPartObj>
        <w:docPartGallery w:val="Watermarks"/>
        <w:docPartUnique/>
      </w:docPartObj>
    </w:sdtPr>
    <w:sdtEndPr/>
    <w:sdtContent>
      <w:p w14:paraId="0DBB8DD4" w14:textId="77777777" w:rsidR="00F3027F" w:rsidRDefault="00845BE1">
        <w:pPr>
          <w:pStyle w:val="Header"/>
        </w:pPr>
        <w:r>
          <w:pict w14:anchorId="0EFDAE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160BCB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2789B7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EE0136"/>
    <w:multiLevelType w:val="multilevel"/>
    <w:tmpl w:val="3F68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51DE1"/>
    <w:multiLevelType w:val="multilevel"/>
    <w:tmpl w:val="D794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E4385"/>
    <w:multiLevelType w:val="hybridMultilevel"/>
    <w:tmpl w:val="51B60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92F24"/>
    <w:multiLevelType w:val="hybridMultilevel"/>
    <w:tmpl w:val="712ADC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9CF42F8"/>
    <w:multiLevelType w:val="multilevel"/>
    <w:tmpl w:val="06067238"/>
    <w:lvl w:ilvl="0">
      <w:start w:val="1"/>
      <w:numFmt w:val="decimal"/>
      <w:lvlText w:val="%1."/>
      <w:lvlJc w:val="left"/>
      <w:pPr>
        <w:ind w:left="720" w:hanging="360"/>
      </w:pPr>
      <w:rPr>
        <w:rFonts w:hint="default"/>
        <w:b/>
        <w:color w:val="0071C5"/>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880901"/>
    <w:multiLevelType w:val="multilevel"/>
    <w:tmpl w:val="76E6D4D8"/>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D68A0"/>
    <w:multiLevelType w:val="multilevel"/>
    <w:tmpl w:val="0F98A09A"/>
    <w:lvl w:ilvl="0">
      <w:start w:val="5"/>
      <w:numFmt w:val="decimal"/>
      <w:lvlText w:val="%1.0"/>
      <w:lvlJc w:val="left"/>
      <w:pPr>
        <w:ind w:left="72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1B890C4F"/>
    <w:multiLevelType w:val="multilevel"/>
    <w:tmpl w:val="EB5C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82D8A"/>
    <w:multiLevelType w:val="hybridMultilevel"/>
    <w:tmpl w:val="88BAB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EC3303"/>
    <w:multiLevelType w:val="multilevel"/>
    <w:tmpl w:val="63E000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59A3957"/>
    <w:multiLevelType w:val="multilevel"/>
    <w:tmpl w:val="D7F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4D6EB5"/>
    <w:multiLevelType w:val="hybridMultilevel"/>
    <w:tmpl w:val="B9CA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60F23"/>
    <w:multiLevelType w:val="hybridMultilevel"/>
    <w:tmpl w:val="BAF011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E2F78E7"/>
    <w:multiLevelType w:val="multilevel"/>
    <w:tmpl w:val="1756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B1002B"/>
    <w:multiLevelType w:val="multilevel"/>
    <w:tmpl w:val="58BA3E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3F2327"/>
    <w:multiLevelType w:val="multilevel"/>
    <w:tmpl w:val="3266C760"/>
    <w:lvl w:ilvl="0">
      <w:start w:val="1"/>
      <w:numFmt w:val="decimal"/>
      <w:lvlText w:val="%1."/>
      <w:lvlJc w:val="left"/>
      <w:pPr>
        <w:ind w:left="720" w:hanging="360"/>
      </w:pPr>
    </w:lvl>
    <w:lvl w:ilvl="1">
      <w:start w:val="1"/>
      <w:numFmt w:val="decimal"/>
      <w:isLgl/>
      <w:lvlText w:val="%1.%2"/>
      <w:lvlJc w:val="left"/>
      <w:pPr>
        <w:ind w:left="968" w:hanging="40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3572212B"/>
    <w:multiLevelType w:val="hybridMultilevel"/>
    <w:tmpl w:val="364A0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C20D72"/>
    <w:multiLevelType w:val="hybridMultilevel"/>
    <w:tmpl w:val="DFC2A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E8371D9"/>
    <w:multiLevelType w:val="multilevel"/>
    <w:tmpl w:val="E1342A5E"/>
    <w:lvl w:ilvl="0">
      <w:start w:val="7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5314D8"/>
    <w:multiLevelType w:val="hybridMultilevel"/>
    <w:tmpl w:val="884E9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4982DDA"/>
    <w:multiLevelType w:val="multilevel"/>
    <w:tmpl w:val="6000519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BF2402"/>
    <w:multiLevelType w:val="multilevel"/>
    <w:tmpl w:val="63E0006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59A2ECA"/>
    <w:multiLevelType w:val="multilevel"/>
    <w:tmpl w:val="4FAC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713E49"/>
    <w:multiLevelType w:val="hybridMultilevel"/>
    <w:tmpl w:val="923A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6A3D7D"/>
    <w:multiLevelType w:val="multilevel"/>
    <w:tmpl w:val="3F4A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27F7B"/>
    <w:multiLevelType w:val="multilevel"/>
    <w:tmpl w:val="E4CC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DD327B"/>
    <w:multiLevelType w:val="hybridMultilevel"/>
    <w:tmpl w:val="B58401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AE101AE"/>
    <w:multiLevelType w:val="hybridMultilevel"/>
    <w:tmpl w:val="27AA0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C35337"/>
    <w:multiLevelType w:val="multilevel"/>
    <w:tmpl w:val="7E888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AE7032"/>
    <w:multiLevelType w:val="hybridMultilevel"/>
    <w:tmpl w:val="066251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070C45"/>
    <w:multiLevelType w:val="hybridMultilevel"/>
    <w:tmpl w:val="D3C84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9B2D00"/>
    <w:multiLevelType w:val="hybridMultilevel"/>
    <w:tmpl w:val="91DE63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64488F"/>
    <w:multiLevelType w:val="hybridMultilevel"/>
    <w:tmpl w:val="A4EC5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5A1AE0"/>
    <w:multiLevelType w:val="multilevel"/>
    <w:tmpl w:val="866C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CD46E2"/>
    <w:multiLevelType w:val="multilevel"/>
    <w:tmpl w:val="3366309A"/>
    <w:lvl w:ilvl="0">
      <w:start w:val="8"/>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num w:numId="1" w16cid:durableId="357316657">
    <w:abstractNumId w:val="10"/>
  </w:num>
  <w:num w:numId="2" w16cid:durableId="1804083169">
    <w:abstractNumId w:val="5"/>
  </w:num>
  <w:num w:numId="3" w16cid:durableId="1527215511">
    <w:abstractNumId w:val="19"/>
  </w:num>
  <w:num w:numId="4" w16cid:durableId="268632496">
    <w:abstractNumId w:val="28"/>
  </w:num>
  <w:num w:numId="5" w16cid:durableId="2144346878">
    <w:abstractNumId w:val="21"/>
  </w:num>
  <w:num w:numId="6" w16cid:durableId="605698258">
    <w:abstractNumId w:val="14"/>
  </w:num>
  <w:num w:numId="7" w16cid:durableId="469127934">
    <w:abstractNumId w:val="33"/>
  </w:num>
  <w:num w:numId="8" w16cid:durableId="1362315156">
    <w:abstractNumId w:val="32"/>
  </w:num>
  <w:num w:numId="9" w16cid:durableId="1936358367">
    <w:abstractNumId w:val="16"/>
  </w:num>
  <w:num w:numId="10" w16cid:durableId="1099567189">
    <w:abstractNumId w:val="1"/>
  </w:num>
  <w:num w:numId="11" w16cid:durableId="1729642430">
    <w:abstractNumId w:val="0"/>
  </w:num>
  <w:num w:numId="12" w16cid:durableId="198782640">
    <w:abstractNumId w:val="25"/>
  </w:num>
  <w:num w:numId="13" w16cid:durableId="57554819">
    <w:abstractNumId w:val="8"/>
  </w:num>
  <w:num w:numId="14" w16cid:durableId="647054161">
    <w:abstractNumId w:val="11"/>
  </w:num>
  <w:num w:numId="15" w16cid:durableId="1993171083">
    <w:abstractNumId w:val="6"/>
  </w:num>
  <w:num w:numId="16" w16cid:durableId="84083697">
    <w:abstractNumId w:val="23"/>
  </w:num>
  <w:num w:numId="17" w16cid:durableId="549075889">
    <w:abstractNumId w:val="36"/>
  </w:num>
  <w:num w:numId="18" w16cid:durableId="1419249118">
    <w:abstractNumId w:val="22"/>
  </w:num>
  <w:num w:numId="19" w16cid:durableId="963804786">
    <w:abstractNumId w:val="12"/>
  </w:num>
  <w:num w:numId="20" w16cid:durableId="750660869">
    <w:abstractNumId w:val="7"/>
  </w:num>
  <w:num w:numId="21" w16cid:durableId="1785077470">
    <w:abstractNumId w:val="24"/>
  </w:num>
  <w:num w:numId="22" w16cid:durableId="885144488">
    <w:abstractNumId w:val="26"/>
  </w:num>
  <w:num w:numId="23" w16cid:durableId="1135417055">
    <w:abstractNumId w:val="15"/>
  </w:num>
  <w:num w:numId="24" w16cid:durableId="2008823405">
    <w:abstractNumId w:val="27"/>
  </w:num>
  <w:num w:numId="25" w16cid:durableId="213155075">
    <w:abstractNumId w:val="35"/>
  </w:num>
  <w:num w:numId="26" w16cid:durableId="194923449">
    <w:abstractNumId w:val="30"/>
  </w:num>
  <w:num w:numId="27" w16cid:durableId="1550876449">
    <w:abstractNumId w:val="9"/>
  </w:num>
  <w:num w:numId="28" w16cid:durableId="1931890845">
    <w:abstractNumId w:val="3"/>
  </w:num>
  <w:num w:numId="29" w16cid:durableId="503520615">
    <w:abstractNumId w:val="2"/>
  </w:num>
  <w:num w:numId="30" w16cid:durableId="2096854867">
    <w:abstractNumId w:val="29"/>
  </w:num>
  <w:num w:numId="31" w16cid:durableId="189151690">
    <w:abstractNumId w:val="4"/>
  </w:num>
  <w:num w:numId="32" w16cid:durableId="1794249833">
    <w:abstractNumId w:val="17"/>
  </w:num>
  <w:num w:numId="33" w16cid:durableId="1480071040">
    <w:abstractNumId w:val="20"/>
  </w:num>
  <w:num w:numId="34" w16cid:durableId="254361179">
    <w:abstractNumId w:val="34"/>
  </w:num>
  <w:num w:numId="35" w16cid:durableId="738098248">
    <w:abstractNumId w:val="13"/>
  </w:num>
  <w:num w:numId="36" w16cid:durableId="545679175">
    <w:abstractNumId w:val="31"/>
  </w:num>
  <w:num w:numId="37" w16cid:durableId="78376855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D1"/>
    <w:rsid w:val="000036F2"/>
    <w:rsid w:val="00003985"/>
    <w:rsid w:val="00021EBE"/>
    <w:rsid w:val="00026BC6"/>
    <w:rsid w:val="0003086C"/>
    <w:rsid w:val="000424A8"/>
    <w:rsid w:val="0006120F"/>
    <w:rsid w:val="00061A81"/>
    <w:rsid w:val="00062236"/>
    <w:rsid w:val="00081DAE"/>
    <w:rsid w:val="00082584"/>
    <w:rsid w:val="00090C42"/>
    <w:rsid w:val="00094D9B"/>
    <w:rsid w:val="000973AC"/>
    <w:rsid w:val="000A0578"/>
    <w:rsid w:val="000A0A98"/>
    <w:rsid w:val="000C03F6"/>
    <w:rsid w:val="000C1056"/>
    <w:rsid w:val="000C20F5"/>
    <w:rsid w:val="000C4461"/>
    <w:rsid w:val="000C61CF"/>
    <w:rsid w:val="000C772B"/>
    <w:rsid w:val="000D6662"/>
    <w:rsid w:val="000F745E"/>
    <w:rsid w:val="001043CF"/>
    <w:rsid w:val="001073D3"/>
    <w:rsid w:val="001118AB"/>
    <w:rsid w:val="00131E02"/>
    <w:rsid w:val="0013494D"/>
    <w:rsid w:val="00135EAB"/>
    <w:rsid w:val="001537DE"/>
    <w:rsid w:val="001652F7"/>
    <w:rsid w:val="00174D17"/>
    <w:rsid w:val="001765D3"/>
    <w:rsid w:val="00181084"/>
    <w:rsid w:val="00182ADE"/>
    <w:rsid w:val="00186CF1"/>
    <w:rsid w:val="00187B61"/>
    <w:rsid w:val="0019062B"/>
    <w:rsid w:val="001921E9"/>
    <w:rsid w:val="0019358D"/>
    <w:rsid w:val="00194B96"/>
    <w:rsid w:val="0019562A"/>
    <w:rsid w:val="00197D47"/>
    <w:rsid w:val="001A3FC7"/>
    <w:rsid w:val="001B0944"/>
    <w:rsid w:val="001C37E0"/>
    <w:rsid w:val="001E00AE"/>
    <w:rsid w:val="001F07C9"/>
    <w:rsid w:val="00202105"/>
    <w:rsid w:val="002232FA"/>
    <w:rsid w:val="00225CBE"/>
    <w:rsid w:val="00225F14"/>
    <w:rsid w:val="002372F5"/>
    <w:rsid w:val="00242A27"/>
    <w:rsid w:val="00244C2F"/>
    <w:rsid w:val="0025439C"/>
    <w:rsid w:val="00261B69"/>
    <w:rsid w:val="00267074"/>
    <w:rsid w:val="002739AD"/>
    <w:rsid w:val="00293ABB"/>
    <w:rsid w:val="002A0455"/>
    <w:rsid w:val="002A4494"/>
    <w:rsid w:val="002A5DD2"/>
    <w:rsid w:val="002A7E63"/>
    <w:rsid w:val="002B3300"/>
    <w:rsid w:val="002D3443"/>
    <w:rsid w:val="002D5E2B"/>
    <w:rsid w:val="002F0368"/>
    <w:rsid w:val="002F1580"/>
    <w:rsid w:val="00300642"/>
    <w:rsid w:val="00301107"/>
    <w:rsid w:val="00312D94"/>
    <w:rsid w:val="00313A8B"/>
    <w:rsid w:val="00327A5F"/>
    <w:rsid w:val="00332DF4"/>
    <w:rsid w:val="003417A8"/>
    <w:rsid w:val="00342189"/>
    <w:rsid w:val="003508B0"/>
    <w:rsid w:val="003579D1"/>
    <w:rsid w:val="00357AD0"/>
    <w:rsid w:val="00381DC5"/>
    <w:rsid w:val="00383D48"/>
    <w:rsid w:val="00393727"/>
    <w:rsid w:val="003A272D"/>
    <w:rsid w:val="003B3492"/>
    <w:rsid w:val="003B4182"/>
    <w:rsid w:val="003B6DF6"/>
    <w:rsid w:val="003D6A2F"/>
    <w:rsid w:val="003E554E"/>
    <w:rsid w:val="003F0A08"/>
    <w:rsid w:val="0040523C"/>
    <w:rsid w:val="0040543F"/>
    <w:rsid w:val="004059A0"/>
    <w:rsid w:val="0041624A"/>
    <w:rsid w:val="00420F9F"/>
    <w:rsid w:val="004211AB"/>
    <w:rsid w:val="00461E59"/>
    <w:rsid w:val="0047125C"/>
    <w:rsid w:val="004740E6"/>
    <w:rsid w:val="00483A32"/>
    <w:rsid w:val="00484705"/>
    <w:rsid w:val="004908BD"/>
    <w:rsid w:val="00496199"/>
    <w:rsid w:val="004A6FC6"/>
    <w:rsid w:val="004A7CC7"/>
    <w:rsid w:val="004B3511"/>
    <w:rsid w:val="004B4390"/>
    <w:rsid w:val="004B6364"/>
    <w:rsid w:val="004B659E"/>
    <w:rsid w:val="004D5C63"/>
    <w:rsid w:val="004D784C"/>
    <w:rsid w:val="004E5C31"/>
    <w:rsid w:val="004E704A"/>
    <w:rsid w:val="004E736B"/>
    <w:rsid w:val="004F2D15"/>
    <w:rsid w:val="004F5B9A"/>
    <w:rsid w:val="004F6789"/>
    <w:rsid w:val="0050460A"/>
    <w:rsid w:val="00506107"/>
    <w:rsid w:val="005061DF"/>
    <w:rsid w:val="005101E7"/>
    <w:rsid w:val="005126FE"/>
    <w:rsid w:val="0051281D"/>
    <w:rsid w:val="00513AD6"/>
    <w:rsid w:val="0051470D"/>
    <w:rsid w:val="00517012"/>
    <w:rsid w:val="0052258D"/>
    <w:rsid w:val="00522B57"/>
    <w:rsid w:val="00523988"/>
    <w:rsid w:val="0052780F"/>
    <w:rsid w:val="00530B52"/>
    <w:rsid w:val="00532269"/>
    <w:rsid w:val="00535F28"/>
    <w:rsid w:val="00540F50"/>
    <w:rsid w:val="00542591"/>
    <w:rsid w:val="005426B5"/>
    <w:rsid w:val="00547AC7"/>
    <w:rsid w:val="00556947"/>
    <w:rsid w:val="005575BF"/>
    <w:rsid w:val="00571EF2"/>
    <w:rsid w:val="00577CAD"/>
    <w:rsid w:val="00583B10"/>
    <w:rsid w:val="00584023"/>
    <w:rsid w:val="005869D7"/>
    <w:rsid w:val="005A031E"/>
    <w:rsid w:val="005A1A00"/>
    <w:rsid w:val="005A1B1D"/>
    <w:rsid w:val="005A6D0F"/>
    <w:rsid w:val="005A7D0B"/>
    <w:rsid w:val="005B45C6"/>
    <w:rsid w:val="005B682D"/>
    <w:rsid w:val="005D5496"/>
    <w:rsid w:val="005D7F39"/>
    <w:rsid w:val="005E6CE6"/>
    <w:rsid w:val="005F1775"/>
    <w:rsid w:val="005F3B5F"/>
    <w:rsid w:val="005F725D"/>
    <w:rsid w:val="006053F4"/>
    <w:rsid w:val="0061004C"/>
    <w:rsid w:val="00622F44"/>
    <w:rsid w:val="0062517B"/>
    <w:rsid w:val="0063227A"/>
    <w:rsid w:val="0063227C"/>
    <w:rsid w:val="00635148"/>
    <w:rsid w:val="00641F62"/>
    <w:rsid w:val="006456B9"/>
    <w:rsid w:val="006474E7"/>
    <w:rsid w:val="00651626"/>
    <w:rsid w:val="00653AEE"/>
    <w:rsid w:val="006562B6"/>
    <w:rsid w:val="00660F0A"/>
    <w:rsid w:val="00665B0A"/>
    <w:rsid w:val="006705DC"/>
    <w:rsid w:val="00680B84"/>
    <w:rsid w:val="00692038"/>
    <w:rsid w:val="006B7B60"/>
    <w:rsid w:val="006B7EF5"/>
    <w:rsid w:val="006C1DB1"/>
    <w:rsid w:val="006D4E53"/>
    <w:rsid w:val="006E1714"/>
    <w:rsid w:val="006E5C82"/>
    <w:rsid w:val="00701B58"/>
    <w:rsid w:val="00702CBD"/>
    <w:rsid w:val="007040A9"/>
    <w:rsid w:val="0071335C"/>
    <w:rsid w:val="00713BBF"/>
    <w:rsid w:val="0071561A"/>
    <w:rsid w:val="007201C5"/>
    <w:rsid w:val="00731A39"/>
    <w:rsid w:val="007365E6"/>
    <w:rsid w:val="00737F0B"/>
    <w:rsid w:val="00743458"/>
    <w:rsid w:val="00750E23"/>
    <w:rsid w:val="00752738"/>
    <w:rsid w:val="00752CEB"/>
    <w:rsid w:val="00770E92"/>
    <w:rsid w:val="00780F70"/>
    <w:rsid w:val="0078518B"/>
    <w:rsid w:val="007959DF"/>
    <w:rsid w:val="007A3FBD"/>
    <w:rsid w:val="007A6D2F"/>
    <w:rsid w:val="007A75E7"/>
    <w:rsid w:val="007A767A"/>
    <w:rsid w:val="007B0B65"/>
    <w:rsid w:val="007C69ED"/>
    <w:rsid w:val="007D07E6"/>
    <w:rsid w:val="007D4295"/>
    <w:rsid w:val="007E0A51"/>
    <w:rsid w:val="007E7246"/>
    <w:rsid w:val="007F1E80"/>
    <w:rsid w:val="00801DBE"/>
    <w:rsid w:val="00803147"/>
    <w:rsid w:val="008320B8"/>
    <w:rsid w:val="00840B0C"/>
    <w:rsid w:val="0084134A"/>
    <w:rsid w:val="00845BE1"/>
    <w:rsid w:val="00852C39"/>
    <w:rsid w:val="008750C5"/>
    <w:rsid w:val="00875BC9"/>
    <w:rsid w:val="008822FC"/>
    <w:rsid w:val="00891A23"/>
    <w:rsid w:val="00891C86"/>
    <w:rsid w:val="00892C2B"/>
    <w:rsid w:val="008A2DDC"/>
    <w:rsid w:val="008A3534"/>
    <w:rsid w:val="008A57EF"/>
    <w:rsid w:val="008B0EBC"/>
    <w:rsid w:val="008C41FA"/>
    <w:rsid w:val="008C496E"/>
    <w:rsid w:val="008D015A"/>
    <w:rsid w:val="008D5190"/>
    <w:rsid w:val="008E10B8"/>
    <w:rsid w:val="008E5CA3"/>
    <w:rsid w:val="008E6672"/>
    <w:rsid w:val="008F2312"/>
    <w:rsid w:val="008F58D2"/>
    <w:rsid w:val="00907286"/>
    <w:rsid w:val="00940A27"/>
    <w:rsid w:val="009438C1"/>
    <w:rsid w:val="00943AF1"/>
    <w:rsid w:val="009516EB"/>
    <w:rsid w:val="00951930"/>
    <w:rsid w:val="00952926"/>
    <w:rsid w:val="009647EB"/>
    <w:rsid w:val="0097122D"/>
    <w:rsid w:val="0097397E"/>
    <w:rsid w:val="00980C52"/>
    <w:rsid w:val="00981C68"/>
    <w:rsid w:val="00987A5D"/>
    <w:rsid w:val="00992AEC"/>
    <w:rsid w:val="00993933"/>
    <w:rsid w:val="00993F05"/>
    <w:rsid w:val="0099406E"/>
    <w:rsid w:val="009A2B5E"/>
    <w:rsid w:val="009B2712"/>
    <w:rsid w:val="009B51B1"/>
    <w:rsid w:val="009B7BDE"/>
    <w:rsid w:val="009C48B4"/>
    <w:rsid w:val="009D5546"/>
    <w:rsid w:val="009D6ACF"/>
    <w:rsid w:val="009E6431"/>
    <w:rsid w:val="00A009FD"/>
    <w:rsid w:val="00A06AE8"/>
    <w:rsid w:val="00A21E9D"/>
    <w:rsid w:val="00A32601"/>
    <w:rsid w:val="00A339C8"/>
    <w:rsid w:val="00A35A7E"/>
    <w:rsid w:val="00A40426"/>
    <w:rsid w:val="00A52E39"/>
    <w:rsid w:val="00A613F2"/>
    <w:rsid w:val="00A6165E"/>
    <w:rsid w:val="00A63549"/>
    <w:rsid w:val="00A65787"/>
    <w:rsid w:val="00A67517"/>
    <w:rsid w:val="00A721FB"/>
    <w:rsid w:val="00A809BA"/>
    <w:rsid w:val="00A80C51"/>
    <w:rsid w:val="00A80CF7"/>
    <w:rsid w:val="00A82831"/>
    <w:rsid w:val="00A84DF2"/>
    <w:rsid w:val="00A8622F"/>
    <w:rsid w:val="00A9084C"/>
    <w:rsid w:val="00AA262C"/>
    <w:rsid w:val="00AA316F"/>
    <w:rsid w:val="00AA65FC"/>
    <w:rsid w:val="00AB0AE8"/>
    <w:rsid w:val="00AB38E2"/>
    <w:rsid w:val="00AB699A"/>
    <w:rsid w:val="00AC1AC5"/>
    <w:rsid w:val="00AD0534"/>
    <w:rsid w:val="00AD26B5"/>
    <w:rsid w:val="00AE5759"/>
    <w:rsid w:val="00AE5D64"/>
    <w:rsid w:val="00B005A2"/>
    <w:rsid w:val="00B068AA"/>
    <w:rsid w:val="00B06B80"/>
    <w:rsid w:val="00B115D8"/>
    <w:rsid w:val="00B151DA"/>
    <w:rsid w:val="00B16471"/>
    <w:rsid w:val="00B2101B"/>
    <w:rsid w:val="00B312F9"/>
    <w:rsid w:val="00B33659"/>
    <w:rsid w:val="00B42A0A"/>
    <w:rsid w:val="00B4561B"/>
    <w:rsid w:val="00B5054D"/>
    <w:rsid w:val="00B52198"/>
    <w:rsid w:val="00B53124"/>
    <w:rsid w:val="00B6022D"/>
    <w:rsid w:val="00B651D3"/>
    <w:rsid w:val="00B67A05"/>
    <w:rsid w:val="00B71EDF"/>
    <w:rsid w:val="00B80676"/>
    <w:rsid w:val="00B818D6"/>
    <w:rsid w:val="00B83353"/>
    <w:rsid w:val="00B83552"/>
    <w:rsid w:val="00B85231"/>
    <w:rsid w:val="00B90030"/>
    <w:rsid w:val="00B92730"/>
    <w:rsid w:val="00BB489E"/>
    <w:rsid w:val="00BC4318"/>
    <w:rsid w:val="00BD420C"/>
    <w:rsid w:val="00BD72E9"/>
    <w:rsid w:val="00BD7F7E"/>
    <w:rsid w:val="00BE1A2A"/>
    <w:rsid w:val="00C147CB"/>
    <w:rsid w:val="00C23535"/>
    <w:rsid w:val="00C24556"/>
    <w:rsid w:val="00C32BB5"/>
    <w:rsid w:val="00C4346C"/>
    <w:rsid w:val="00C4436F"/>
    <w:rsid w:val="00C514BB"/>
    <w:rsid w:val="00C53094"/>
    <w:rsid w:val="00C535A8"/>
    <w:rsid w:val="00C634B8"/>
    <w:rsid w:val="00C6582B"/>
    <w:rsid w:val="00C709A6"/>
    <w:rsid w:val="00C73ABF"/>
    <w:rsid w:val="00C76647"/>
    <w:rsid w:val="00C8530E"/>
    <w:rsid w:val="00C912BE"/>
    <w:rsid w:val="00C9236B"/>
    <w:rsid w:val="00CA2232"/>
    <w:rsid w:val="00CA41A8"/>
    <w:rsid w:val="00CA4BB9"/>
    <w:rsid w:val="00CA7AD6"/>
    <w:rsid w:val="00CB5080"/>
    <w:rsid w:val="00CC4FBE"/>
    <w:rsid w:val="00CD6246"/>
    <w:rsid w:val="00CE02B0"/>
    <w:rsid w:val="00CE771F"/>
    <w:rsid w:val="00CF53CE"/>
    <w:rsid w:val="00CF7FD8"/>
    <w:rsid w:val="00D013D5"/>
    <w:rsid w:val="00D01EDA"/>
    <w:rsid w:val="00D100A0"/>
    <w:rsid w:val="00D1408E"/>
    <w:rsid w:val="00D14F37"/>
    <w:rsid w:val="00D34FA7"/>
    <w:rsid w:val="00D47FFE"/>
    <w:rsid w:val="00D53798"/>
    <w:rsid w:val="00D53F70"/>
    <w:rsid w:val="00D81FEF"/>
    <w:rsid w:val="00D926C0"/>
    <w:rsid w:val="00D94457"/>
    <w:rsid w:val="00DA5C81"/>
    <w:rsid w:val="00DA757B"/>
    <w:rsid w:val="00DB7DED"/>
    <w:rsid w:val="00DC4142"/>
    <w:rsid w:val="00DC4952"/>
    <w:rsid w:val="00DD21CD"/>
    <w:rsid w:val="00DD5F9F"/>
    <w:rsid w:val="00DD7EF4"/>
    <w:rsid w:val="00DF0E91"/>
    <w:rsid w:val="00E01397"/>
    <w:rsid w:val="00E27822"/>
    <w:rsid w:val="00E313BF"/>
    <w:rsid w:val="00E4035F"/>
    <w:rsid w:val="00E472FF"/>
    <w:rsid w:val="00E51FF4"/>
    <w:rsid w:val="00E54C5A"/>
    <w:rsid w:val="00E559B1"/>
    <w:rsid w:val="00E63449"/>
    <w:rsid w:val="00E64BBA"/>
    <w:rsid w:val="00E67D13"/>
    <w:rsid w:val="00E719C1"/>
    <w:rsid w:val="00E741EE"/>
    <w:rsid w:val="00E75FC9"/>
    <w:rsid w:val="00E82F87"/>
    <w:rsid w:val="00E83EB2"/>
    <w:rsid w:val="00E85DF4"/>
    <w:rsid w:val="00EA300A"/>
    <w:rsid w:val="00EB5AB5"/>
    <w:rsid w:val="00EC18F8"/>
    <w:rsid w:val="00ED426D"/>
    <w:rsid w:val="00EE01A3"/>
    <w:rsid w:val="00EE35CE"/>
    <w:rsid w:val="00EE4DA5"/>
    <w:rsid w:val="00EF11C6"/>
    <w:rsid w:val="00EF1FC1"/>
    <w:rsid w:val="00EF285E"/>
    <w:rsid w:val="00EF3154"/>
    <w:rsid w:val="00F075D6"/>
    <w:rsid w:val="00F15D6A"/>
    <w:rsid w:val="00F2604D"/>
    <w:rsid w:val="00F26D0D"/>
    <w:rsid w:val="00F3027F"/>
    <w:rsid w:val="00F4645F"/>
    <w:rsid w:val="00F52E04"/>
    <w:rsid w:val="00F661CA"/>
    <w:rsid w:val="00F85BA3"/>
    <w:rsid w:val="00F944E2"/>
    <w:rsid w:val="00FB4AD1"/>
    <w:rsid w:val="00FB67D9"/>
    <w:rsid w:val="00FC6F41"/>
    <w:rsid w:val="00FD75B9"/>
    <w:rsid w:val="00FE0C50"/>
    <w:rsid w:val="00FE42B9"/>
    <w:rsid w:val="00FF0B5D"/>
    <w:rsid w:val="00FF2D19"/>
    <w:rsid w:val="00FF7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CE2ED"/>
  <w15:chartTrackingRefBased/>
  <w15:docId w15:val="{7979CCAD-A2C2-4E07-9D57-2C362536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556"/>
    <w:pPr>
      <w:spacing w:before="120" w:after="120" w:line="240" w:lineRule="auto"/>
    </w:pPr>
    <w:rPr>
      <w:rFonts w:ascii="Arial" w:hAnsi="Arial"/>
      <w:sz w:val="24"/>
    </w:rPr>
  </w:style>
  <w:style w:type="paragraph" w:styleId="Heading1">
    <w:name w:val="heading 1"/>
    <w:basedOn w:val="Normal"/>
    <w:next w:val="Normal"/>
    <w:link w:val="Heading1Char"/>
    <w:uiPriority w:val="9"/>
    <w:qFormat/>
    <w:rsid w:val="00C24556"/>
    <w:pPr>
      <w:keepNext/>
      <w:keepLines/>
      <w:spacing w:before="240" w:after="240"/>
      <w:outlineLvl w:val="0"/>
    </w:pPr>
    <w:rPr>
      <w:rFonts w:eastAsiaTheme="majorEastAsia" w:cstheme="majorBidi"/>
      <w:b/>
      <w:color w:val="2F5496" w:themeColor="accent1" w:themeShade="BF"/>
      <w:sz w:val="32"/>
      <w:szCs w:val="32"/>
    </w:rPr>
  </w:style>
  <w:style w:type="paragraph" w:styleId="Heading2">
    <w:name w:val="heading 2"/>
    <w:basedOn w:val="Normal"/>
    <w:link w:val="Heading2Char"/>
    <w:uiPriority w:val="9"/>
    <w:unhideWhenUsed/>
    <w:qFormat/>
    <w:rsid w:val="00C24556"/>
    <w:pPr>
      <w:keepNext/>
      <w:outlineLvl w:val="1"/>
    </w:pPr>
    <w:rPr>
      <w:rFonts w:cs="Arial"/>
      <w:b/>
      <w:bCs/>
      <w:color w:val="2F5496"/>
      <w:sz w:val="28"/>
      <w:szCs w:val="26"/>
    </w:rPr>
  </w:style>
  <w:style w:type="paragraph" w:styleId="Heading3">
    <w:name w:val="heading 3"/>
    <w:basedOn w:val="Normal"/>
    <w:next w:val="Normal"/>
    <w:link w:val="Heading3Char"/>
    <w:uiPriority w:val="9"/>
    <w:semiHidden/>
    <w:unhideWhenUsed/>
    <w:qFormat/>
    <w:rsid w:val="0006120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6">
    <w:name w:val="heading 6"/>
    <w:basedOn w:val="Normal"/>
    <w:next w:val="Normal"/>
    <w:link w:val="Heading6Char"/>
    <w:uiPriority w:val="9"/>
    <w:semiHidden/>
    <w:unhideWhenUsed/>
    <w:qFormat/>
    <w:rsid w:val="006100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556"/>
    <w:rPr>
      <w:rFonts w:ascii="Arial" w:eastAsiaTheme="majorEastAsia" w:hAnsi="Arial" w:cstheme="majorBidi"/>
      <w:b/>
      <w:color w:val="2F5496" w:themeColor="accent1" w:themeShade="BF"/>
      <w:sz w:val="32"/>
      <w:szCs w:val="32"/>
    </w:rPr>
  </w:style>
  <w:style w:type="character" w:customStyle="1" w:styleId="Heading2Char">
    <w:name w:val="Heading 2 Char"/>
    <w:basedOn w:val="DefaultParagraphFont"/>
    <w:link w:val="Heading2"/>
    <w:uiPriority w:val="9"/>
    <w:rsid w:val="00C24556"/>
    <w:rPr>
      <w:rFonts w:ascii="Arial" w:hAnsi="Arial" w:cs="Arial"/>
      <w:b/>
      <w:bCs/>
      <w:color w:val="2F5496"/>
      <w:sz w:val="28"/>
      <w:szCs w:val="26"/>
    </w:rPr>
  </w:style>
  <w:style w:type="paragraph" w:styleId="ListParagraph">
    <w:name w:val="List Paragraph"/>
    <w:aliases w:val="List Paragraph12,L,Bullet Style,List Paragrap,Bullet Styl,No Spacing11,Bullet Poin,L1,L2,L3,NumberedList,MAIN CONTE,F5 List Paragraph,Dot pt,List Paragraph1,No Spacing1,List Paragraph Char Char Char,Indicator Text,Numbered Para 1,Bullet 1"/>
    <w:basedOn w:val="Normal"/>
    <w:uiPriority w:val="34"/>
    <w:qFormat/>
    <w:rsid w:val="00C24556"/>
    <w:pPr>
      <w:ind w:left="720"/>
    </w:pPr>
  </w:style>
  <w:style w:type="character" w:styleId="Hyperlink">
    <w:name w:val="Hyperlink"/>
    <w:basedOn w:val="DefaultParagraphFont"/>
    <w:uiPriority w:val="99"/>
    <w:unhideWhenUsed/>
    <w:rsid w:val="00FB4AD1"/>
    <w:rPr>
      <w:color w:val="0000FF"/>
      <w:u w:val="single"/>
    </w:rPr>
  </w:style>
  <w:style w:type="paragraph" w:styleId="NormalWeb">
    <w:name w:val="Normal (Web)"/>
    <w:basedOn w:val="Normal"/>
    <w:uiPriority w:val="99"/>
    <w:unhideWhenUsed/>
    <w:rsid w:val="00FB4AD1"/>
    <w:rPr>
      <w:rFonts w:ascii="Times New Roman" w:hAnsi="Times New Roman" w:cs="Times New Roman"/>
      <w:szCs w:val="24"/>
    </w:rPr>
  </w:style>
  <w:style w:type="paragraph" w:styleId="BodyText">
    <w:name w:val="Body Text"/>
    <w:basedOn w:val="Normal"/>
    <w:link w:val="BodyTextChar"/>
    <w:uiPriority w:val="1"/>
    <w:qFormat/>
    <w:rsid w:val="00FB4AD1"/>
    <w:pPr>
      <w:widowControl w:val="0"/>
      <w:autoSpaceDE w:val="0"/>
      <w:autoSpaceDN w:val="0"/>
      <w:spacing w:before="12" w:after="0"/>
      <w:ind w:left="20"/>
    </w:pPr>
    <w:rPr>
      <w:rFonts w:eastAsia="Arial" w:cs="Arial"/>
      <w:szCs w:val="24"/>
      <w:lang w:eastAsia="en-GB" w:bidi="en-GB"/>
    </w:rPr>
  </w:style>
  <w:style w:type="character" w:customStyle="1" w:styleId="BodyTextChar">
    <w:name w:val="Body Text Char"/>
    <w:basedOn w:val="DefaultParagraphFont"/>
    <w:link w:val="BodyText"/>
    <w:uiPriority w:val="1"/>
    <w:rsid w:val="00FB4AD1"/>
    <w:rPr>
      <w:rFonts w:ascii="Arial" w:eastAsia="Arial" w:hAnsi="Arial" w:cs="Arial"/>
      <w:sz w:val="24"/>
      <w:szCs w:val="24"/>
      <w:lang w:eastAsia="en-GB" w:bidi="en-GB"/>
    </w:rPr>
  </w:style>
  <w:style w:type="paragraph" w:styleId="EndnoteText">
    <w:name w:val="endnote text"/>
    <w:basedOn w:val="Normal"/>
    <w:link w:val="EndnoteTextChar"/>
    <w:uiPriority w:val="99"/>
    <w:semiHidden/>
    <w:unhideWhenUsed/>
    <w:rsid w:val="00A40426"/>
    <w:pPr>
      <w:spacing w:after="0"/>
    </w:pPr>
    <w:rPr>
      <w:sz w:val="20"/>
      <w:szCs w:val="20"/>
    </w:rPr>
  </w:style>
  <w:style w:type="character" w:customStyle="1" w:styleId="EndnoteTextChar">
    <w:name w:val="Endnote Text Char"/>
    <w:basedOn w:val="DefaultParagraphFont"/>
    <w:link w:val="EndnoteText"/>
    <w:uiPriority w:val="99"/>
    <w:semiHidden/>
    <w:rsid w:val="00A40426"/>
    <w:rPr>
      <w:sz w:val="20"/>
      <w:szCs w:val="20"/>
    </w:rPr>
  </w:style>
  <w:style w:type="character" w:styleId="EndnoteReference">
    <w:name w:val="endnote reference"/>
    <w:basedOn w:val="DefaultParagraphFont"/>
    <w:uiPriority w:val="99"/>
    <w:semiHidden/>
    <w:unhideWhenUsed/>
    <w:rsid w:val="00A40426"/>
    <w:rPr>
      <w:vertAlign w:val="superscript"/>
    </w:rPr>
  </w:style>
  <w:style w:type="character" w:styleId="FollowedHyperlink">
    <w:name w:val="FollowedHyperlink"/>
    <w:basedOn w:val="DefaultParagraphFont"/>
    <w:uiPriority w:val="99"/>
    <w:semiHidden/>
    <w:unhideWhenUsed/>
    <w:rsid w:val="00DD7EF4"/>
    <w:rPr>
      <w:color w:val="954F72" w:themeColor="followedHyperlink"/>
      <w:u w:val="single"/>
    </w:rPr>
  </w:style>
  <w:style w:type="paragraph" w:styleId="ListBullet">
    <w:name w:val="List Bullet"/>
    <w:basedOn w:val="Normal"/>
    <w:uiPriority w:val="99"/>
    <w:unhideWhenUsed/>
    <w:rsid w:val="006E1714"/>
    <w:pPr>
      <w:numPr>
        <w:numId w:val="10"/>
      </w:numPr>
      <w:spacing w:after="200" w:line="276" w:lineRule="auto"/>
      <w:contextualSpacing/>
    </w:pPr>
    <w:rPr>
      <w:rFonts w:eastAsiaTheme="minorEastAsia"/>
      <w:lang w:val="en-US"/>
    </w:rPr>
  </w:style>
  <w:style w:type="paragraph" w:styleId="ListNumber">
    <w:name w:val="List Number"/>
    <w:basedOn w:val="Normal"/>
    <w:uiPriority w:val="99"/>
    <w:unhideWhenUsed/>
    <w:rsid w:val="006E1714"/>
    <w:pPr>
      <w:numPr>
        <w:numId w:val="11"/>
      </w:numPr>
      <w:spacing w:after="200" w:line="276" w:lineRule="auto"/>
      <w:contextualSpacing/>
    </w:pPr>
    <w:rPr>
      <w:rFonts w:eastAsiaTheme="minorEastAsia"/>
      <w:lang w:val="en-US"/>
    </w:rPr>
  </w:style>
  <w:style w:type="character" w:styleId="CommentReference">
    <w:name w:val="annotation reference"/>
    <w:basedOn w:val="DefaultParagraphFont"/>
    <w:uiPriority w:val="99"/>
    <w:semiHidden/>
    <w:unhideWhenUsed/>
    <w:rsid w:val="00743458"/>
    <w:rPr>
      <w:sz w:val="16"/>
      <w:szCs w:val="16"/>
    </w:rPr>
  </w:style>
  <w:style w:type="paragraph" w:styleId="CommentText">
    <w:name w:val="annotation text"/>
    <w:basedOn w:val="Normal"/>
    <w:link w:val="CommentTextChar"/>
    <w:uiPriority w:val="99"/>
    <w:unhideWhenUsed/>
    <w:rsid w:val="00743458"/>
    <w:rPr>
      <w:sz w:val="20"/>
      <w:szCs w:val="20"/>
    </w:rPr>
  </w:style>
  <w:style w:type="character" w:customStyle="1" w:styleId="CommentTextChar">
    <w:name w:val="Comment Text Char"/>
    <w:basedOn w:val="DefaultParagraphFont"/>
    <w:link w:val="CommentText"/>
    <w:uiPriority w:val="99"/>
    <w:rsid w:val="00743458"/>
    <w:rPr>
      <w:sz w:val="20"/>
      <w:szCs w:val="20"/>
    </w:rPr>
  </w:style>
  <w:style w:type="paragraph" w:styleId="CommentSubject">
    <w:name w:val="annotation subject"/>
    <w:basedOn w:val="CommentText"/>
    <w:next w:val="CommentText"/>
    <w:link w:val="CommentSubjectChar"/>
    <w:uiPriority w:val="99"/>
    <w:semiHidden/>
    <w:unhideWhenUsed/>
    <w:rsid w:val="00743458"/>
    <w:rPr>
      <w:b/>
      <w:bCs/>
    </w:rPr>
  </w:style>
  <w:style w:type="character" w:customStyle="1" w:styleId="CommentSubjectChar">
    <w:name w:val="Comment Subject Char"/>
    <w:basedOn w:val="CommentTextChar"/>
    <w:link w:val="CommentSubject"/>
    <w:uiPriority w:val="99"/>
    <w:semiHidden/>
    <w:rsid w:val="00743458"/>
    <w:rPr>
      <w:b/>
      <w:bCs/>
      <w:sz w:val="20"/>
      <w:szCs w:val="20"/>
    </w:rPr>
  </w:style>
  <w:style w:type="character" w:styleId="UnresolvedMention">
    <w:name w:val="Unresolved Mention"/>
    <w:basedOn w:val="DefaultParagraphFont"/>
    <w:uiPriority w:val="99"/>
    <w:semiHidden/>
    <w:unhideWhenUsed/>
    <w:rsid w:val="00506107"/>
    <w:rPr>
      <w:color w:val="605E5C"/>
      <w:shd w:val="clear" w:color="auto" w:fill="E1DFDD"/>
    </w:rPr>
  </w:style>
  <w:style w:type="character" w:customStyle="1" w:styleId="Heading3Char">
    <w:name w:val="Heading 3 Char"/>
    <w:basedOn w:val="DefaultParagraphFont"/>
    <w:link w:val="Heading3"/>
    <w:uiPriority w:val="9"/>
    <w:semiHidden/>
    <w:rsid w:val="0006120F"/>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61004C"/>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D100A0"/>
    <w:pPr>
      <w:tabs>
        <w:tab w:val="center" w:pos="4513"/>
        <w:tab w:val="right" w:pos="9026"/>
      </w:tabs>
      <w:spacing w:after="0"/>
    </w:pPr>
  </w:style>
  <w:style w:type="character" w:customStyle="1" w:styleId="HeaderChar">
    <w:name w:val="Header Char"/>
    <w:basedOn w:val="DefaultParagraphFont"/>
    <w:link w:val="Header"/>
    <w:uiPriority w:val="99"/>
    <w:rsid w:val="00D100A0"/>
  </w:style>
  <w:style w:type="paragraph" w:styleId="Footer">
    <w:name w:val="footer"/>
    <w:basedOn w:val="Normal"/>
    <w:link w:val="FooterChar"/>
    <w:uiPriority w:val="99"/>
    <w:unhideWhenUsed/>
    <w:rsid w:val="00D100A0"/>
    <w:pPr>
      <w:tabs>
        <w:tab w:val="center" w:pos="4513"/>
        <w:tab w:val="right" w:pos="9026"/>
      </w:tabs>
      <w:spacing w:after="0"/>
    </w:pPr>
  </w:style>
  <w:style w:type="character" w:customStyle="1" w:styleId="FooterChar">
    <w:name w:val="Footer Char"/>
    <w:basedOn w:val="DefaultParagraphFont"/>
    <w:link w:val="Footer"/>
    <w:uiPriority w:val="99"/>
    <w:rsid w:val="00D100A0"/>
  </w:style>
  <w:style w:type="paragraph" w:styleId="TOCHeading">
    <w:name w:val="TOC Heading"/>
    <w:basedOn w:val="Heading1"/>
    <w:next w:val="Normal"/>
    <w:uiPriority w:val="39"/>
    <w:unhideWhenUsed/>
    <w:qFormat/>
    <w:rsid w:val="00701B58"/>
    <w:pPr>
      <w:outlineLvl w:val="9"/>
    </w:pPr>
    <w:rPr>
      <w:lang w:eastAsia="en-GB"/>
    </w:rPr>
  </w:style>
  <w:style w:type="paragraph" w:styleId="TOC1">
    <w:name w:val="toc 1"/>
    <w:basedOn w:val="Normal"/>
    <w:next w:val="Normal"/>
    <w:autoRedefine/>
    <w:uiPriority w:val="39"/>
    <w:unhideWhenUsed/>
    <w:rsid w:val="00C24556"/>
    <w:pPr>
      <w:tabs>
        <w:tab w:val="left" w:pos="440"/>
        <w:tab w:val="right" w:leader="dot" w:pos="10281"/>
      </w:tabs>
      <w:spacing w:after="100"/>
    </w:pPr>
  </w:style>
  <w:style w:type="paragraph" w:styleId="TOC3">
    <w:name w:val="toc 3"/>
    <w:basedOn w:val="Normal"/>
    <w:next w:val="Normal"/>
    <w:autoRedefine/>
    <w:uiPriority w:val="39"/>
    <w:unhideWhenUsed/>
    <w:rsid w:val="00701B58"/>
    <w:pPr>
      <w:spacing w:after="100"/>
      <w:ind w:left="440"/>
    </w:pPr>
  </w:style>
  <w:style w:type="paragraph" w:styleId="TOC2">
    <w:name w:val="toc 2"/>
    <w:basedOn w:val="Normal"/>
    <w:next w:val="Normal"/>
    <w:autoRedefine/>
    <w:uiPriority w:val="39"/>
    <w:unhideWhenUsed/>
    <w:rsid w:val="00701B5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3842">
      <w:bodyDiv w:val="1"/>
      <w:marLeft w:val="0"/>
      <w:marRight w:val="0"/>
      <w:marTop w:val="0"/>
      <w:marBottom w:val="0"/>
      <w:divBdr>
        <w:top w:val="none" w:sz="0" w:space="0" w:color="auto"/>
        <w:left w:val="none" w:sz="0" w:space="0" w:color="auto"/>
        <w:bottom w:val="none" w:sz="0" w:space="0" w:color="auto"/>
        <w:right w:val="none" w:sz="0" w:space="0" w:color="auto"/>
      </w:divBdr>
    </w:div>
    <w:div w:id="446511233">
      <w:bodyDiv w:val="1"/>
      <w:marLeft w:val="0"/>
      <w:marRight w:val="0"/>
      <w:marTop w:val="0"/>
      <w:marBottom w:val="0"/>
      <w:divBdr>
        <w:top w:val="none" w:sz="0" w:space="0" w:color="auto"/>
        <w:left w:val="none" w:sz="0" w:space="0" w:color="auto"/>
        <w:bottom w:val="none" w:sz="0" w:space="0" w:color="auto"/>
        <w:right w:val="none" w:sz="0" w:space="0" w:color="auto"/>
      </w:divBdr>
      <w:divsChild>
        <w:div w:id="292907336">
          <w:marLeft w:val="0"/>
          <w:marRight w:val="0"/>
          <w:marTop w:val="0"/>
          <w:marBottom w:val="0"/>
          <w:divBdr>
            <w:top w:val="none" w:sz="0" w:space="0" w:color="auto"/>
            <w:left w:val="none" w:sz="0" w:space="0" w:color="auto"/>
            <w:bottom w:val="none" w:sz="0" w:space="0" w:color="auto"/>
            <w:right w:val="none" w:sz="0" w:space="0" w:color="auto"/>
          </w:divBdr>
          <w:divsChild>
            <w:div w:id="450167299">
              <w:marLeft w:val="0"/>
              <w:marRight w:val="0"/>
              <w:marTop w:val="0"/>
              <w:marBottom w:val="0"/>
              <w:divBdr>
                <w:top w:val="none" w:sz="0" w:space="0" w:color="auto"/>
                <w:left w:val="none" w:sz="0" w:space="0" w:color="auto"/>
                <w:bottom w:val="none" w:sz="0" w:space="0" w:color="auto"/>
                <w:right w:val="none" w:sz="0" w:space="0" w:color="auto"/>
              </w:divBdr>
              <w:divsChild>
                <w:div w:id="1424298102">
                  <w:marLeft w:val="0"/>
                  <w:marRight w:val="0"/>
                  <w:marTop w:val="0"/>
                  <w:marBottom w:val="0"/>
                  <w:divBdr>
                    <w:top w:val="none" w:sz="0" w:space="0" w:color="auto"/>
                    <w:left w:val="none" w:sz="0" w:space="0" w:color="auto"/>
                    <w:bottom w:val="none" w:sz="0" w:space="0" w:color="auto"/>
                    <w:right w:val="none" w:sz="0" w:space="0" w:color="auto"/>
                  </w:divBdr>
                  <w:divsChild>
                    <w:div w:id="16320441">
                      <w:marLeft w:val="0"/>
                      <w:marRight w:val="0"/>
                      <w:marTop w:val="0"/>
                      <w:marBottom w:val="0"/>
                      <w:divBdr>
                        <w:top w:val="none" w:sz="0" w:space="0" w:color="auto"/>
                        <w:left w:val="none" w:sz="0" w:space="0" w:color="auto"/>
                        <w:bottom w:val="none" w:sz="0" w:space="0" w:color="auto"/>
                        <w:right w:val="none" w:sz="0" w:space="0" w:color="auto"/>
                      </w:divBdr>
                      <w:divsChild>
                        <w:div w:id="224872757">
                          <w:marLeft w:val="0"/>
                          <w:marRight w:val="0"/>
                          <w:marTop w:val="0"/>
                          <w:marBottom w:val="0"/>
                          <w:divBdr>
                            <w:top w:val="none" w:sz="0" w:space="0" w:color="auto"/>
                            <w:left w:val="none" w:sz="0" w:space="0" w:color="auto"/>
                            <w:bottom w:val="none" w:sz="0" w:space="0" w:color="auto"/>
                            <w:right w:val="none" w:sz="0" w:space="0" w:color="auto"/>
                          </w:divBdr>
                          <w:divsChild>
                            <w:div w:id="504054485">
                              <w:marLeft w:val="0"/>
                              <w:marRight w:val="0"/>
                              <w:marTop w:val="0"/>
                              <w:marBottom w:val="0"/>
                              <w:divBdr>
                                <w:top w:val="none" w:sz="0" w:space="0" w:color="auto"/>
                                <w:left w:val="none" w:sz="0" w:space="0" w:color="auto"/>
                                <w:bottom w:val="none" w:sz="0" w:space="0" w:color="auto"/>
                                <w:right w:val="none" w:sz="0" w:space="0" w:color="auto"/>
                              </w:divBdr>
                              <w:divsChild>
                                <w:div w:id="1154226515">
                                  <w:marLeft w:val="0"/>
                                  <w:marRight w:val="0"/>
                                  <w:marTop w:val="0"/>
                                  <w:marBottom w:val="0"/>
                                  <w:divBdr>
                                    <w:top w:val="none" w:sz="0" w:space="0" w:color="auto"/>
                                    <w:left w:val="none" w:sz="0" w:space="0" w:color="auto"/>
                                    <w:bottom w:val="none" w:sz="0" w:space="0" w:color="auto"/>
                                    <w:right w:val="none" w:sz="0" w:space="0" w:color="auto"/>
                                  </w:divBdr>
                                  <w:divsChild>
                                    <w:div w:id="1877157342">
                                      <w:marLeft w:val="0"/>
                                      <w:marRight w:val="0"/>
                                      <w:marTop w:val="0"/>
                                      <w:marBottom w:val="0"/>
                                      <w:divBdr>
                                        <w:top w:val="none" w:sz="0" w:space="0" w:color="auto"/>
                                        <w:left w:val="none" w:sz="0" w:space="0" w:color="auto"/>
                                        <w:bottom w:val="none" w:sz="0" w:space="0" w:color="auto"/>
                                        <w:right w:val="none" w:sz="0" w:space="0" w:color="auto"/>
                                      </w:divBdr>
                                      <w:divsChild>
                                        <w:div w:id="423964191">
                                          <w:marLeft w:val="0"/>
                                          <w:marRight w:val="0"/>
                                          <w:marTop w:val="0"/>
                                          <w:marBottom w:val="0"/>
                                          <w:divBdr>
                                            <w:top w:val="none" w:sz="0" w:space="0" w:color="auto"/>
                                            <w:left w:val="none" w:sz="0" w:space="0" w:color="auto"/>
                                            <w:bottom w:val="none" w:sz="0" w:space="0" w:color="auto"/>
                                            <w:right w:val="none" w:sz="0" w:space="0" w:color="auto"/>
                                          </w:divBdr>
                                          <w:divsChild>
                                            <w:div w:id="1017776483">
                                              <w:marLeft w:val="0"/>
                                              <w:marRight w:val="0"/>
                                              <w:marTop w:val="0"/>
                                              <w:marBottom w:val="0"/>
                                              <w:divBdr>
                                                <w:top w:val="none" w:sz="0" w:space="0" w:color="auto"/>
                                                <w:left w:val="none" w:sz="0" w:space="0" w:color="auto"/>
                                                <w:bottom w:val="none" w:sz="0" w:space="0" w:color="auto"/>
                                                <w:right w:val="none" w:sz="0" w:space="0" w:color="auto"/>
                                              </w:divBdr>
                                              <w:divsChild>
                                                <w:div w:id="797991377">
                                                  <w:marLeft w:val="0"/>
                                                  <w:marRight w:val="0"/>
                                                  <w:marTop w:val="0"/>
                                                  <w:marBottom w:val="0"/>
                                                  <w:divBdr>
                                                    <w:top w:val="none" w:sz="0" w:space="0" w:color="auto"/>
                                                    <w:left w:val="none" w:sz="0" w:space="0" w:color="auto"/>
                                                    <w:bottom w:val="none" w:sz="0" w:space="0" w:color="auto"/>
                                                    <w:right w:val="none" w:sz="0" w:space="0" w:color="auto"/>
                                                  </w:divBdr>
                                                  <w:divsChild>
                                                    <w:div w:id="772551371">
                                                      <w:marLeft w:val="0"/>
                                                      <w:marRight w:val="0"/>
                                                      <w:marTop w:val="0"/>
                                                      <w:marBottom w:val="0"/>
                                                      <w:divBdr>
                                                        <w:top w:val="none" w:sz="0" w:space="0" w:color="auto"/>
                                                        <w:left w:val="none" w:sz="0" w:space="0" w:color="auto"/>
                                                        <w:bottom w:val="none" w:sz="0" w:space="0" w:color="auto"/>
                                                        <w:right w:val="none" w:sz="0" w:space="0" w:color="auto"/>
                                                      </w:divBdr>
                                                      <w:divsChild>
                                                        <w:div w:id="1462963689">
                                                          <w:marLeft w:val="0"/>
                                                          <w:marRight w:val="0"/>
                                                          <w:marTop w:val="0"/>
                                                          <w:marBottom w:val="0"/>
                                                          <w:divBdr>
                                                            <w:top w:val="none" w:sz="0" w:space="0" w:color="auto"/>
                                                            <w:left w:val="none" w:sz="0" w:space="0" w:color="auto"/>
                                                            <w:bottom w:val="none" w:sz="0" w:space="0" w:color="auto"/>
                                                            <w:right w:val="none" w:sz="0" w:space="0" w:color="auto"/>
                                                          </w:divBdr>
                                                          <w:divsChild>
                                                            <w:div w:id="17178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0264128">
              <w:marLeft w:val="0"/>
              <w:marRight w:val="0"/>
              <w:marTop w:val="0"/>
              <w:marBottom w:val="0"/>
              <w:divBdr>
                <w:top w:val="none" w:sz="0" w:space="0" w:color="auto"/>
                <w:left w:val="none" w:sz="0" w:space="0" w:color="auto"/>
                <w:bottom w:val="none" w:sz="0" w:space="0" w:color="auto"/>
                <w:right w:val="none" w:sz="0" w:space="0" w:color="auto"/>
              </w:divBdr>
              <w:divsChild>
                <w:div w:id="229507715">
                  <w:marLeft w:val="0"/>
                  <w:marRight w:val="0"/>
                  <w:marTop w:val="0"/>
                  <w:marBottom w:val="0"/>
                  <w:divBdr>
                    <w:top w:val="none" w:sz="0" w:space="0" w:color="auto"/>
                    <w:left w:val="none" w:sz="0" w:space="0" w:color="auto"/>
                    <w:bottom w:val="none" w:sz="0" w:space="0" w:color="auto"/>
                    <w:right w:val="none" w:sz="0" w:space="0" w:color="auto"/>
                  </w:divBdr>
                  <w:divsChild>
                    <w:div w:id="917401988">
                      <w:marLeft w:val="0"/>
                      <w:marRight w:val="0"/>
                      <w:marTop w:val="0"/>
                      <w:marBottom w:val="0"/>
                      <w:divBdr>
                        <w:top w:val="none" w:sz="0" w:space="0" w:color="auto"/>
                        <w:left w:val="none" w:sz="0" w:space="0" w:color="auto"/>
                        <w:bottom w:val="none" w:sz="0" w:space="0" w:color="auto"/>
                        <w:right w:val="none" w:sz="0" w:space="0" w:color="auto"/>
                      </w:divBdr>
                      <w:divsChild>
                        <w:div w:id="1261335855">
                          <w:marLeft w:val="0"/>
                          <w:marRight w:val="0"/>
                          <w:marTop w:val="0"/>
                          <w:marBottom w:val="0"/>
                          <w:divBdr>
                            <w:top w:val="none" w:sz="0" w:space="0" w:color="auto"/>
                            <w:left w:val="none" w:sz="0" w:space="0" w:color="auto"/>
                            <w:bottom w:val="none" w:sz="0" w:space="0" w:color="auto"/>
                            <w:right w:val="none" w:sz="0" w:space="0" w:color="auto"/>
                          </w:divBdr>
                          <w:divsChild>
                            <w:div w:id="1749112680">
                              <w:marLeft w:val="0"/>
                              <w:marRight w:val="0"/>
                              <w:marTop w:val="0"/>
                              <w:marBottom w:val="0"/>
                              <w:divBdr>
                                <w:top w:val="none" w:sz="0" w:space="0" w:color="auto"/>
                                <w:left w:val="none" w:sz="0" w:space="0" w:color="auto"/>
                                <w:bottom w:val="none" w:sz="0" w:space="0" w:color="auto"/>
                                <w:right w:val="none" w:sz="0" w:space="0" w:color="auto"/>
                              </w:divBdr>
                              <w:divsChild>
                                <w:div w:id="83954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0329357">
      <w:bodyDiv w:val="1"/>
      <w:marLeft w:val="0"/>
      <w:marRight w:val="0"/>
      <w:marTop w:val="0"/>
      <w:marBottom w:val="0"/>
      <w:divBdr>
        <w:top w:val="none" w:sz="0" w:space="0" w:color="auto"/>
        <w:left w:val="none" w:sz="0" w:space="0" w:color="auto"/>
        <w:bottom w:val="none" w:sz="0" w:space="0" w:color="auto"/>
        <w:right w:val="none" w:sz="0" w:space="0" w:color="auto"/>
      </w:divBdr>
      <w:divsChild>
        <w:div w:id="1753044645">
          <w:marLeft w:val="0"/>
          <w:marRight w:val="0"/>
          <w:marTop w:val="0"/>
          <w:marBottom w:val="0"/>
          <w:divBdr>
            <w:top w:val="none" w:sz="0" w:space="0" w:color="auto"/>
            <w:left w:val="none" w:sz="0" w:space="0" w:color="auto"/>
            <w:bottom w:val="none" w:sz="0" w:space="0" w:color="auto"/>
            <w:right w:val="none" w:sz="0" w:space="0" w:color="auto"/>
          </w:divBdr>
        </w:div>
      </w:divsChild>
    </w:div>
    <w:div w:id="2038000678">
      <w:bodyDiv w:val="1"/>
      <w:marLeft w:val="0"/>
      <w:marRight w:val="0"/>
      <w:marTop w:val="0"/>
      <w:marBottom w:val="0"/>
      <w:divBdr>
        <w:top w:val="none" w:sz="0" w:space="0" w:color="auto"/>
        <w:left w:val="none" w:sz="0" w:space="0" w:color="auto"/>
        <w:bottom w:val="none" w:sz="0" w:space="0" w:color="auto"/>
        <w:right w:val="none" w:sz="0" w:space="0" w:color="auto"/>
      </w:divBdr>
      <w:divsChild>
        <w:div w:id="1311642341">
          <w:marLeft w:val="0"/>
          <w:marRight w:val="0"/>
          <w:marTop w:val="0"/>
          <w:marBottom w:val="0"/>
          <w:divBdr>
            <w:top w:val="none" w:sz="0" w:space="0" w:color="auto"/>
            <w:left w:val="none" w:sz="0" w:space="0" w:color="auto"/>
            <w:bottom w:val="none" w:sz="0" w:space="0" w:color="auto"/>
            <w:right w:val="none" w:sz="0" w:space="0" w:color="auto"/>
          </w:divBdr>
          <w:divsChild>
            <w:div w:id="1628315655">
              <w:marLeft w:val="0"/>
              <w:marRight w:val="0"/>
              <w:marTop w:val="0"/>
              <w:marBottom w:val="0"/>
              <w:divBdr>
                <w:top w:val="none" w:sz="0" w:space="0" w:color="auto"/>
                <w:left w:val="none" w:sz="0" w:space="0" w:color="auto"/>
                <w:bottom w:val="none" w:sz="0" w:space="0" w:color="auto"/>
                <w:right w:val="none" w:sz="0" w:space="0" w:color="auto"/>
              </w:divBdr>
              <w:divsChild>
                <w:div w:id="1510103279">
                  <w:marLeft w:val="0"/>
                  <w:marRight w:val="0"/>
                  <w:marTop w:val="0"/>
                  <w:marBottom w:val="0"/>
                  <w:divBdr>
                    <w:top w:val="none" w:sz="0" w:space="0" w:color="auto"/>
                    <w:left w:val="none" w:sz="0" w:space="0" w:color="auto"/>
                    <w:bottom w:val="none" w:sz="0" w:space="0" w:color="auto"/>
                    <w:right w:val="none" w:sz="0" w:space="0" w:color="auto"/>
                  </w:divBdr>
                  <w:divsChild>
                    <w:div w:id="1145196849">
                      <w:marLeft w:val="0"/>
                      <w:marRight w:val="0"/>
                      <w:marTop w:val="0"/>
                      <w:marBottom w:val="0"/>
                      <w:divBdr>
                        <w:top w:val="none" w:sz="0" w:space="0" w:color="auto"/>
                        <w:left w:val="none" w:sz="0" w:space="0" w:color="auto"/>
                        <w:bottom w:val="none" w:sz="0" w:space="0" w:color="auto"/>
                        <w:right w:val="none" w:sz="0" w:space="0" w:color="auto"/>
                      </w:divBdr>
                    </w:div>
                    <w:div w:id="2115977316">
                      <w:marLeft w:val="0"/>
                      <w:marRight w:val="0"/>
                      <w:marTop w:val="0"/>
                      <w:marBottom w:val="0"/>
                      <w:divBdr>
                        <w:top w:val="none" w:sz="0" w:space="0" w:color="auto"/>
                        <w:left w:val="none" w:sz="0" w:space="0" w:color="auto"/>
                        <w:bottom w:val="none" w:sz="0" w:space="0" w:color="auto"/>
                        <w:right w:val="none" w:sz="0" w:space="0" w:color="auto"/>
                      </w:divBdr>
                      <w:divsChild>
                        <w:div w:id="101070845">
                          <w:marLeft w:val="0"/>
                          <w:marRight w:val="0"/>
                          <w:marTop w:val="0"/>
                          <w:marBottom w:val="0"/>
                          <w:divBdr>
                            <w:top w:val="none" w:sz="0" w:space="0" w:color="auto"/>
                            <w:left w:val="none" w:sz="0" w:space="0" w:color="auto"/>
                            <w:bottom w:val="none" w:sz="0" w:space="0" w:color="auto"/>
                            <w:right w:val="none" w:sz="0" w:space="0" w:color="auto"/>
                          </w:divBdr>
                          <w:divsChild>
                            <w:div w:id="1910533758">
                              <w:marLeft w:val="0"/>
                              <w:marRight w:val="0"/>
                              <w:marTop w:val="0"/>
                              <w:marBottom w:val="0"/>
                              <w:divBdr>
                                <w:top w:val="none" w:sz="0" w:space="0" w:color="auto"/>
                                <w:left w:val="none" w:sz="0" w:space="0" w:color="auto"/>
                                <w:bottom w:val="none" w:sz="0" w:space="0" w:color="auto"/>
                                <w:right w:val="none" w:sz="0" w:space="0" w:color="auto"/>
                              </w:divBdr>
                              <w:divsChild>
                                <w:div w:id="2064058742">
                                  <w:marLeft w:val="0"/>
                                  <w:marRight w:val="0"/>
                                  <w:marTop w:val="0"/>
                                  <w:marBottom w:val="0"/>
                                  <w:divBdr>
                                    <w:top w:val="none" w:sz="0" w:space="0" w:color="auto"/>
                                    <w:left w:val="none" w:sz="0" w:space="0" w:color="auto"/>
                                    <w:bottom w:val="none" w:sz="0" w:space="0" w:color="auto"/>
                                    <w:right w:val="none" w:sz="0" w:space="0" w:color="auto"/>
                                  </w:divBdr>
                                  <w:divsChild>
                                    <w:div w:id="1901399401">
                                      <w:marLeft w:val="0"/>
                                      <w:marRight w:val="0"/>
                                      <w:marTop w:val="0"/>
                                      <w:marBottom w:val="0"/>
                                      <w:divBdr>
                                        <w:top w:val="none" w:sz="0" w:space="0" w:color="auto"/>
                                        <w:left w:val="none" w:sz="0" w:space="0" w:color="auto"/>
                                        <w:bottom w:val="none" w:sz="0" w:space="0" w:color="auto"/>
                                        <w:right w:val="none" w:sz="0" w:space="0" w:color="auto"/>
                                      </w:divBdr>
                                      <w:divsChild>
                                        <w:div w:id="518857036">
                                          <w:marLeft w:val="0"/>
                                          <w:marRight w:val="0"/>
                                          <w:marTop w:val="0"/>
                                          <w:marBottom w:val="0"/>
                                          <w:divBdr>
                                            <w:top w:val="none" w:sz="0" w:space="0" w:color="auto"/>
                                            <w:left w:val="none" w:sz="0" w:space="0" w:color="auto"/>
                                            <w:bottom w:val="none" w:sz="0" w:space="0" w:color="auto"/>
                                            <w:right w:val="none" w:sz="0" w:space="0" w:color="auto"/>
                                          </w:divBdr>
                                          <w:divsChild>
                                            <w:div w:id="69234556">
                                              <w:marLeft w:val="0"/>
                                              <w:marRight w:val="0"/>
                                              <w:marTop w:val="0"/>
                                              <w:marBottom w:val="0"/>
                                              <w:divBdr>
                                                <w:top w:val="none" w:sz="0" w:space="0" w:color="auto"/>
                                                <w:left w:val="none" w:sz="0" w:space="0" w:color="auto"/>
                                                <w:bottom w:val="none" w:sz="0" w:space="0" w:color="auto"/>
                                                <w:right w:val="none" w:sz="0" w:space="0" w:color="auto"/>
                                              </w:divBdr>
                                              <w:divsChild>
                                                <w:div w:id="391586755">
                                                  <w:marLeft w:val="0"/>
                                                  <w:marRight w:val="0"/>
                                                  <w:marTop w:val="0"/>
                                                  <w:marBottom w:val="0"/>
                                                  <w:divBdr>
                                                    <w:top w:val="none" w:sz="0" w:space="0" w:color="auto"/>
                                                    <w:left w:val="none" w:sz="0" w:space="0" w:color="auto"/>
                                                    <w:bottom w:val="none" w:sz="0" w:space="0" w:color="auto"/>
                                                    <w:right w:val="none" w:sz="0" w:space="0" w:color="auto"/>
                                                  </w:divBdr>
                                                  <w:divsChild>
                                                    <w:div w:id="1169296055">
                                                      <w:marLeft w:val="0"/>
                                                      <w:marRight w:val="0"/>
                                                      <w:marTop w:val="0"/>
                                                      <w:marBottom w:val="0"/>
                                                      <w:divBdr>
                                                        <w:top w:val="none" w:sz="0" w:space="0" w:color="auto"/>
                                                        <w:left w:val="none" w:sz="0" w:space="0" w:color="auto"/>
                                                        <w:bottom w:val="none" w:sz="0" w:space="0" w:color="auto"/>
                                                        <w:right w:val="none" w:sz="0" w:space="0" w:color="auto"/>
                                                      </w:divBdr>
                                                      <w:divsChild>
                                                        <w:div w:id="1701006016">
                                                          <w:marLeft w:val="0"/>
                                                          <w:marRight w:val="0"/>
                                                          <w:marTop w:val="0"/>
                                                          <w:marBottom w:val="0"/>
                                                          <w:divBdr>
                                                            <w:top w:val="none" w:sz="0" w:space="0" w:color="auto"/>
                                                            <w:left w:val="none" w:sz="0" w:space="0" w:color="auto"/>
                                                            <w:bottom w:val="none" w:sz="0" w:space="0" w:color="auto"/>
                                                            <w:right w:val="none" w:sz="0" w:space="0" w:color="auto"/>
                                                          </w:divBdr>
                                                          <w:divsChild>
                                                            <w:div w:id="1839955559">
                                                              <w:marLeft w:val="0"/>
                                                              <w:marRight w:val="0"/>
                                                              <w:marTop w:val="0"/>
                                                              <w:marBottom w:val="0"/>
                                                              <w:divBdr>
                                                                <w:top w:val="none" w:sz="0" w:space="0" w:color="auto"/>
                                                                <w:left w:val="none" w:sz="0" w:space="0" w:color="auto"/>
                                                                <w:bottom w:val="none" w:sz="0" w:space="0" w:color="auto"/>
                                                                <w:right w:val="none" w:sz="0" w:space="0" w:color="auto"/>
                                                              </w:divBdr>
                                                              <w:divsChild>
                                                                <w:div w:id="319620836">
                                                                  <w:marLeft w:val="0"/>
                                                                  <w:marRight w:val="0"/>
                                                                  <w:marTop w:val="0"/>
                                                                  <w:marBottom w:val="0"/>
                                                                  <w:divBdr>
                                                                    <w:top w:val="none" w:sz="0" w:space="0" w:color="auto"/>
                                                                    <w:left w:val="none" w:sz="0" w:space="0" w:color="auto"/>
                                                                    <w:bottom w:val="none" w:sz="0" w:space="0" w:color="auto"/>
                                                                    <w:right w:val="none" w:sz="0" w:space="0" w:color="auto"/>
                                                                  </w:divBdr>
                                                                  <w:divsChild>
                                                                    <w:div w:id="172405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6073005">
      <w:bodyDiv w:val="1"/>
      <w:marLeft w:val="0"/>
      <w:marRight w:val="0"/>
      <w:marTop w:val="0"/>
      <w:marBottom w:val="0"/>
      <w:divBdr>
        <w:top w:val="none" w:sz="0" w:space="0" w:color="auto"/>
        <w:left w:val="none" w:sz="0" w:space="0" w:color="auto"/>
        <w:bottom w:val="none" w:sz="0" w:space="0" w:color="auto"/>
        <w:right w:val="none" w:sz="0" w:space="0" w:color="auto"/>
      </w:divBdr>
      <w:divsChild>
        <w:div w:id="1815177960">
          <w:marLeft w:val="0"/>
          <w:marRight w:val="0"/>
          <w:marTop w:val="0"/>
          <w:marBottom w:val="0"/>
          <w:divBdr>
            <w:top w:val="none" w:sz="0" w:space="0" w:color="auto"/>
            <w:left w:val="none" w:sz="0" w:space="0" w:color="auto"/>
            <w:bottom w:val="none" w:sz="0" w:space="0" w:color="auto"/>
            <w:right w:val="none" w:sz="0" w:space="0" w:color="auto"/>
          </w:divBdr>
          <w:divsChild>
            <w:div w:id="428429444">
              <w:marLeft w:val="0"/>
              <w:marRight w:val="0"/>
              <w:marTop w:val="0"/>
              <w:marBottom w:val="0"/>
              <w:divBdr>
                <w:top w:val="none" w:sz="0" w:space="0" w:color="auto"/>
                <w:left w:val="none" w:sz="0" w:space="0" w:color="auto"/>
                <w:bottom w:val="none" w:sz="0" w:space="0" w:color="auto"/>
                <w:right w:val="none" w:sz="0" w:space="0" w:color="auto"/>
              </w:divBdr>
              <w:divsChild>
                <w:div w:id="218319931">
                  <w:marLeft w:val="0"/>
                  <w:marRight w:val="0"/>
                  <w:marTop w:val="0"/>
                  <w:marBottom w:val="0"/>
                  <w:divBdr>
                    <w:top w:val="none" w:sz="0" w:space="0" w:color="auto"/>
                    <w:left w:val="none" w:sz="0" w:space="0" w:color="auto"/>
                    <w:bottom w:val="none" w:sz="0" w:space="0" w:color="auto"/>
                    <w:right w:val="none" w:sz="0" w:space="0" w:color="auto"/>
                  </w:divBdr>
                  <w:divsChild>
                    <w:div w:id="824787219">
                      <w:marLeft w:val="0"/>
                      <w:marRight w:val="0"/>
                      <w:marTop w:val="0"/>
                      <w:marBottom w:val="0"/>
                      <w:divBdr>
                        <w:top w:val="none" w:sz="0" w:space="0" w:color="auto"/>
                        <w:left w:val="none" w:sz="0" w:space="0" w:color="auto"/>
                        <w:bottom w:val="none" w:sz="0" w:space="0" w:color="auto"/>
                        <w:right w:val="none" w:sz="0" w:space="0" w:color="auto"/>
                      </w:divBdr>
                      <w:divsChild>
                        <w:div w:id="629436258">
                          <w:marLeft w:val="0"/>
                          <w:marRight w:val="0"/>
                          <w:marTop w:val="0"/>
                          <w:marBottom w:val="0"/>
                          <w:divBdr>
                            <w:top w:val="none" w:sz="0" w:space="0" w:color="auto"/>
                            <w:left w:val="none" w:sz="0" w:space="0" w:color="auto"/>
                            <w:bottom w:val="none" w:sz="0" w:space="0" w:color="auto"/>
                            <w:right w:val="none" w:sz="0" w:space="0" w:color="auto"/>
                          </w:divBdr>
                          <w:divsChild>
                            <w:div w:id="1925645950">
                              <w:marLeft w:val="0"/>
                              <w:marRight w:val="0"/>
                              <w:marTop w:val="0"/>
                              <w:marBottom w:val="0"/>
                              <w:divBdr>
                                <w:top w:val="none" w:sz="0" w:space="0" w:color="auto"/>
                                <w:left w:val="none" w:sz="0" w:space="0" w:color="auto"/>
                                <w:bottom w:val="none" w:sz="0" w:space="0" w:color="auto"/>
                                <w:right w:val="none" w:sz="0" w:space="0" w:color="auto"/>
                              </w:divBdr>
                              <w:divsChild>
                                <w:div w:id="17120730">
                                  <w:marLeft w:val="0"/>
                                  <w:marRight w:val="0"/>
                                  <w:marTop w:val="0"/>
                                  <w:marBottom w:val="0"/>
                                  <w:divBdr>
                                    <w:top w:val="none" w:sz="0" w:space="0" w:color="auto"/>
                                    <w:left w:val="none" w:sz="0" w:space="0" w:color="auto"/>
                                    <w:bottom w:val="none" w:sz="0" w:space="0" w:color="auto"/>
                                    <w:right w:val="none" w:sz="0" w:space="0" w:color="auto"/>
                                  </w:divBdr>
                                  <w:divsChild>
                                    <w:div w:id="187068377">
                                      <w:marLeft w:val="0"/>
                                      <w:marRight w:val="0"/>
                                      <w:marTop w:val="0"/>
                                      <w:marBottom w:val="0"/>
                                      <w:divBdr>
                                        <w:top w:val="none" w:sz="0" w:space="0" w:color="auto"/>
                                        <w:left w:val="none" w:sz="0" w:space="0" w:color="auto"/>
                                        <w:bottom w:val="none" w:sz="0" w:space="0" w:color="auto"/>
                                        <w:right w:val="none" w:sz="0" w:space="0" w:color="auto"/>
                                      </w:divBdr>
                                      <w:divsChild>
                                        <w:div w:id="1206062852">
                                          <w:marLeft w:val="0"/>
                                          <w:marRight w:val="0"/>
                                          <w:marTop w:val="0"/>
                                          <w:marBottom w:val="0"/>
                                          <w:divBdr>
                                            <w:top w:val="none" w:sz="0" w:space="0" w:color="auto"/>
                                            <w:left w:val="none" w:sz="0" w:space="0" w:color="auto"/>
                                            <w:bottom w:val="none" w:sz="0" w:space="0" w:color="auto"/>
                                            <w:right w:val="none" w:sz="0" w:space="0" w:color="auto"/>
                                          </w:divBdr>
                                          <w:divsChild>
                                            <w:div w:id="608660312">
                                              <w:marLeft w:val="0"/>
                                              <w:marRight w:val="0"/>
                                              <w:marTop w:val="0"/>
                                              <w:marBottom w:val="0"/>
                                              <w:divBdr>
                                                <w:top w:val="none" w:sz="0" w:space="0" w:color="auto"/>
                                                <w:left w:val="none" w:sz="0" w:space="0" w:color="auto"/>
                                                <w:bottom w:val="none" w:sz="0" w:space="0" w:color="auto"/>
                                                <w:right w:val="none" w:sz="0" w:space="0" w:color="auto"/>
                                              </w:divBdr>
                                              <w:divsChild>
                                                <w:div w:id="127362329">
                                                  <w:marLeft w:val="0"/>
                                                  <w:marRight w:val="0"/>
                                                  <w:marTop w:val="0"/>
                                                  <w:marBottom w:val="0"/>
                                                  <w:divBdr>
                                                    <w:top w:val="none" w:sz="0" w:space="0" w:color="auto"/>
                                                    <w:left w:val="none" w:sz="0" w:space="0" w:color="auto"/>
                                                    <w:bottom w:val="none" w:sz="0" w:space="0" w:color="auto"/>
                                                    <w:right w:val="none" w:sz="0" w:space="0" w:color="auto"/>
                                                  </w:divBdr>
                                                  <w:divsChild>
                                                    <w:div w:id="1818106435">
                                                      <w:marLeft w:val="0"/>
                                                      <w:marRight w:val="0"/>
                                                      <w:marTop w:val="0"/>
                                                      <w:marBottom w:val="0"/>
                                                      <w:divBdr>
                                                        <w:top w:val="none" w:sz="0" w:space="0" w:color="auto"/>
                                                        <w:left w:val="none" w:sz="0" w:space="0" w:color="auto"/>
                                                        <w:bottom w:val="none" w:sz="0" w:space="0" w:color="auto"/>
                                                        <w:right w:val="none" w:sz="0" w:space="0" w:color="auto"/>
                                                      </w:divBdr>
                                                      <w:divsChild>
                                                        <w:div w:id="950862224">
                                                          <w:marLeft w:val="0"/>
                                                          <w:marRight w:val="0"/>
                                                          <w:marTop w:val="0"/>
                                                          <w:marBottom w:val="0"/>
                                                          <w:divBdr>
                                                            <w:top w:val="none" w:sz="0" w:space="0" w:color="auto"/>
                                                            <w:left w:val="none" w:sz="0" w:space="0" w:color="auto"/>
                                                            <w:bottom w:val="none" w:sz="0" w:space="0" w:color="auto"/>
                                                            <w:right w:val="none" w:sz="0" w:space="0" w:color="auto"/>
                                                          </w:divBdr>
                                                          <w:divsChild>
                                                            <w:div w:id="38090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0117905">
              <w:marLeft w:val="0"/>
              <w:marRight w:val="0"/>
              <w:marTop w:val="0"/>
              <w:marBottom w:val="0"/>
              <w:divBdr>
                <w:top w:val="none" w:sz="0" w:space="0" w:color="auto"/>
                <w:left w:val="none" w:sz="0" w:space="0" w:color="auto"/>
                <w:bottom w:val="none" w:sz="0" w:space="0" w:color="auto"/>
                <w:right w:val="none" w:sz="0" w:space="0" w:color="auto"/>
              </w:divBdr>
              <w:divsChild>
                <w:div w:id="324822101">
                  <w:marLeft w:val="0"/>
                  <w:marRight w:val="0"/>
                  <w:marTop w:val="0"/>
                  <w:marBottom w:val="0"/>
                  <w:divBdr>
                    <w:top w:val="none" w:sz="0" w:space="0" w:color="auto"/>
                    <w:left w:val="none" w:sz="0" w:space="0" w:color="auto"/>
                    <w:bottom w:val="none" w:sz="0" w:space="0" w:color="auto"/>
                    <w:right w:val="none" w:sz="0" w:space="0" w:color="auto"/>
                  </w:divBdr>
                  <w:divsChild>
                    <w:div w:id="1840852892">
                      <w:marLeft w:val="0"/>
                      <w:marRight w:val="0"/>
                      <w:marTop w:val="0"/>
                      <w:marBottom w:val="0"/>
                      <w:divBdr>
                        <w:top w:val="none" w:sz="0" w:space="0" w:color="auto"/>
                        <w:left w:val="none" w:sz="0" w:space="0" w:color="auto"/>
                        <w:bottom w:val="none" w:sz="0" w:space="0" w:color="auto"/>
                        <w:right w:val="none" w:sz="0" w:space="0" w:color="auto"/>
                      </w:divBdr>
                      <w:divsChild>
                        <w:div w:id="2086367249">
                          <w:marLeft w:val="0"/>
                          <w:marRight w:val="0"/>
                          <w:marTop w:val="0"/>
                          <w:marBottom w:val="0"/>
                          <w:divBdr>
                            <w:top w:val="none" w:sz="0" w:space="0" w:color="auto"/>
                            <w:left w:val="none" w:sz="0" w:space="0" w:color="auto"/>
                            <w:bottom w:val="none" w:sz="0" w:space="0" w:color="auto"/>
                            <w:right w:val="none" w:sz="0" w:space="0" w:color="auto"/>
                          </w:divBdr>
                          <w:divsChild>
                            <w:div w:id="2053263696">
                              <w:marLeft w:val="0"/>
                              <w:marRight w:val="0"/>
                              <w:marTop w:val="0"/>
                              <w:marBottom w:val="0"/>
                              <w:divBdr>
                                <w:top w:val="none" w:sz="0" w:space="0" w:color="auto"/>
                                <w:left w:val="none" w:sz="0" w:space="0" w:color="auto"/>
                                <w:bottom w:val="none" w:sz="0" w:space="0" w:color="auto"/>
                                <w:right w:val="none" w:sz="0" w:space="0" w:color="auto"/>
                              </w:divBdr>
                              <w:divsChild>
                                <w:div w:id="17917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iew.officeapps.live.com/op/view.aspx?src=https%3A%2F%2Fsbuhb.nhs.wales%2Ffiles%2Fdischarge-documents-august-2026%2Finformation-for-patients-and-carers-leaflet-welsh-docx%2F%3Fts%3D1788263565016&amp;wdOrigin=BROWSELINK" TargetMode="External"/><Relationship Id="rId3" Type="http://schemas.openxmlformats.org/officeDocument/2006/relationships/customXml" Target="../customXml/item3.xml"/><Relationship Id="rId21" Type="http://schemas.openxmlformats.org/officeDocument/2006/relationships/hyperlink" Target="https://view.officeapps.live.com/op/view.aspx?src=https%3A%2F%2Fsbuhb.nhs.wales%2Ffiles%2Fdischarge-documents-august-2026%2Fmoving-to-a-care-home-following-a-hospital-stay-care-home-choice-leaflet-c-docx%2F%3Fts%3D1788263650098&amp;wdOrigin=BROWSELINK"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view.officeapps.live.com/op/view.aspx?src=https%3A%2F%2Fsbuhb.nhs.wales%2Ffiles%2Fdischarge-documents-august-2026%2Finformation-for-patients-and-carers-leaflet-docx%2F%3Fts%3D1788263549521&amp;wdOrigin=BROWSELIN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ew.officeapps.live.com/op/view.aspx?src=https%3A%2F%2Fsbuhb.nhs.wales%2Ffiles%2Fdischarge-documents-august-2026%2Foverarching-discharge-policy-draft-v1-2-docx%2F%3Fts%3D1788263456363&amp;wdOrigin=BROWSELINK" TargetMode="External"/><Relationship Id="rId20" Type="http://schemas.openxmlformats.org/officeDocument/2006/relationships/hyperlink" Target="https://view.officeapps.live.com/op/view.aspx?src=https%3A%2F%2Fsbuhb.nhs.wales%2Ffiles%2Fdischarge-documents-august-2026%2Fstandard-operating-procedure-best-interest-decision-docx%2F%3Fts%3D1788263375251&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ew.officeapps.live.com/op/view.aspx?src=https%3A%2F%2Fsbuhb.nhs.wales%2Ffiles%2Fdischarge-documents-august-2026%2Fstandard-operating-procedure-best-interest-decision-docx%2F%3Fts%3D1788263375251&amp;wdOrigin=BROWSELINK" TargetMode="External"/><Relationship Id="rId23" Type="http://schemas.openxmlformats.org/officeDocument/2006/relationships/hyperlink" Target="https://view.officeapps.live.com/op/view.aspx?src=https%3A%2F%2Fsbuhb.nhs.wales%2Ffiles%2Fdischarge-documents-august-2026%2Fstandard-operating-procedure-reluctant-patient-discharge-docx%2F%3Fts%3D1788263695602&amp;wdOrigin=BROWSELINK" TargetMode="External"/><Relationship Id="rId10" Type="http://schemas.openxmlformats.org/officeDocument/2006/relationships/endnotes" Target="endnotes.xml"/><Relationship Id="rId19" Type="http://schemas.openxmlformats.org/officeDocument/2006/relationships/hyperlink" Target="https://view.officeapps.live.com/op/view.aspx?src=https%3A%2F%2Fsbuhb.nhs.wales%2Ffiles%2Fdischarge-documents-august-2026%2Fyour-hospital-discharge-going-home-leaflet-d-docx%2F%3Fts%3D1788263587720&amp;wdOrigin=BROWSE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wales/national-framework-continuing-nhs-health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ed2708-2df0-4e4c-b040-0525db79a988" xsi:nil="true"/>
    <Action_x002f_Decision xmlns="9fdf7563-49dc-4a0c-816a-bc95101aabf7" xsi:nil="true"/>
    <lcf76f155ced4ddcb4097134ff3c332f xmlns="9fdf7563-49dc-4a0c-816a-bc95101aab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D7415FFDB2EC4A9B6D063F10EDA402" ma:contentTypeVersion="17" ma:contentTypeDescription="Create a new document." ma:contentTypeScope="" ma:versionID="d6b15cf24536c763c3d3f11930e09d92">
  <xsd:schema xmlns:xsd="http://www.w3.org/2001/XMLSchema" xmlns:xs="http://www.w3.org/2001/XMLSchema" xmlns:p="http://schemas.microsoft.com/office/2006/metadata/properties" xmlns:ns2="9fdf7563-49dc-4a0c-816a-bc95101aabf7" xmlns:ns3="bced2708-2df0-4e4c-b040-0525db79a988" targetNamespace="http://schemas.microsoft.com/office/2006/metadata/properties" ma:root="true" ma:fieldsID="e7f819a0aa520c3f1300b2566297f548" ns2:_="" ns3:_="">
    <xsd:import namespace="9fdf7563-49dc-4a0c-816a-bc95101aabf7"/>
    <xsd:import namespace="bced2708-2df0-4e4c-b040-0525db79a9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Action_x002f_Dec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f7563-49dc-4a0c-816a-bc95101aa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0d5052-5391-4408-9f28-d1321f84a3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Action_x002f_Decision" ma:index="23" nillable="true" ma:displayName="Action/Decision" ma:format="Dropdown" ma:internalName="Action_x002f_Decision">
      <xsd:simpleType>
        <xsd:restriction base="dms:Choice">
          <xsd:enumeration value="Action"/>
          <xsd:enumeration value="Decision"/>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d2708-2df0-4e4c-b040-0525db79a98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46b93a-dcc6-4bc2-8f85-c942819364be}" ma:internalName="TaxCatchAll" ma:showField="CatchAllData" ma:web="bced2708-2df0-4e4c-b040-0525db79a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5C0C24-1378-463C-81E7-67AFE8385A60}">
  <ds:schemaRefs>
    <ds:schemaRef ds:uri="http://schemas.openxmlformats.org/officeDocument/2006/bibliography"/>
  </ds:schemaRefs>
</ds:datastoreItem>
</file>

<file path=customXml/itemProps2.xml><?xml version="1.0" encoding="utf-8"?>
<ds:datastoreItem xmlns:ds="http://schemas.openxmlformats.org/officeDocument/2006/customXml" ds:itemID="{E9B08F1C-3B60-4669-B083-10C82C3E4153}">
  <ds:schemaRefs>
    <ds:schemaRef ds:uri="http://schemas.microsoft.com/office/2006/metadata/properties"/>
    <ds:schemaRef ds:uri="http://schemas.microsoft.com/office/infopath/2007/PartnerControls"/>
    <ds:schemaRef ds:uri="bced2708-2df0-4e4c-b040-0525db79a988"/>
    <ds:schemaRef ds:uri="9fdf7563-49dc-4a0c-816a-bc95101aabf7"/>
  </ds:schemaRefs>
</ds:datastoreItem>
</file>

<file path=customXml/itemProps3.xml><?xml version="1.0" encoding="utf-8"?>
<ds:datastoreItem xmlns:ds="http://schemas.openxmlformats.org/officeDocument/2006/customXml" ds:itemID="{BC14A8D7-8823-4BD3-B3D7-BD4A33CF4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f7563-49dc-4a0c-816a-bc95101aabf7"/>
    <ds:schemaRef ds:uri="bced2708-2df0-4e4c-b040-0525db79a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F5C80B-945B-4804-8329-50BD138D2D25}">
  <ds:schemaRefs>
    <ds:schemaRef ds:uri="http://schemas.microsoft.com/sharepoint/v3/contenttype/forms"/>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42</TotalTime>
  <Pages>8</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Swansea Bay ULHB</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Morgan (Swansea Bay UHB - Hospital Operations )</dc:creator>
  <cp:keywords/>
  <dc:description/>
  <cp:lastModifiedBy>Abby Bolter (Swansea Bay UHB - Communications)</cp:lastModifiedBy>
  <cp:revision>43</cp:revision>
  <dcterms:created xsi:type="dcterms:W3CDTF">2026-08-25T08:33:00Z</dcterms:created>
  <dcterms:modified xsi:type="dcterms:W3CDTF">2026-09-01T11:55:00Z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0x01010076D7415FFDB2EC4A9B6D063F10EDA402</vt:lpwstr>
  </property>
  <property fmtid="{D5CDD505-2E9C-101B-9397-08002B2CF9AE}" pid="3" name="MediaServiceImageTags">
    <vt:lpwstr/>
  </property>
  <property fmtid="{D5CDD505-2E9C-101B-9397-08002B2CF9AE}" pid="4" name="docLang">
    <vt:lpwstr>en</vt:lpwstr>
  </property>
</Properties>
</file>