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781D01" w14:textId="77777777" w:rsidR="00187F0E" w:rsidRPr="00187F0E" w:rsidRDefault="00187F0E" w:rsidP="00187F0E">
      <w:pPr>
        <w:spacing w:after="0" w:line="240" w:lineRule="auto"/>
        <w:rPr>
          <w:rFonts w:ascii="Aptos" w:hAnsi="Aptos"/>
          <w:sz w:val="10"/>
          <w:szCs w:val="10"/>
        </w:rPr>
      </w:pPr>
    </w:p>
    <w:tbl>
      <w:tblPr>
        <w:tblStyle w:val="TableGrid"/>
        <w:tblW w:w="10206" w:type="dxa"/>
        <w:tblInd w:w="-572" w:type="dxa"/>
        <w:tblLook w:val="04A0" w:firstRow="1" w:lastRow="0" w:firstColumn="1" w:lastColumn="0" w:noHBand="0" w:noVBand="1"/>
      </w:tblPr>
      <w:tblGrid>
        <w:gridCol w:w="10206"/>
      </w:tblGrid>
      <w:tr w:rsidR="00D15910" w:rsidRPr="00937D06" w14:paraId="3D977610" w14:textId="77777777" w:rsidTr="007E484E">
        <w:trPr>
          <w:trHeight w:val="1152"/>
        </w:trPr>
        <w:tc>
          <w:tcPr>
            <w:tcW w:w="10206" w:type="dxa"/>
            <w:vAlign w:val="center"/>
          </w:tcPr>
          <w:p w14:paraId="457F3EC2" w14:textId="69BE8B7F" w:rsidR="00D15910" w:rsidRPr="00A75CFA" w:rsidRDefault="00B64CDC" w:rsidP="00A75CFA">
            <w:pPr>
              <w:jc w:val="center"/>
            </w:pPr>
            <w:r w:rsidRPr="00937D06">
              <w:rPr>
                <w:rFonts w:ascii="Aptos" w:hAnsi="Aptos" w:cs="Times New Roman"/>
                <w:noProof/>
                <w:sz w:val="24"/>
                <w:szCs w:val="24"/>
              </w:rPr>
              <w:drawing>
                <wp:inline distT="0" distB="0" distL="0" distR="0" wp14:anchorId="3DE8E7E6" wp14:editId="385B836C">
                  <wp:extent cx="2429301" cy="577326"/>
                  <wp:effectExtent l="0" t="0" r="0" b="0"/>
                  <wp:docPr id="778953558" name="Picture 3" descr="Swansea Bay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wansea Bay University Health Board"/>
                          <pic:cNvPicPr>
                            <a:picLocks noChangeAspect="1" noChangeArrowheads="1"/>
                          </pic:cNvPicPr>
                        </pic:nvPicPr>
                        <pic:blipFill>
                          <a:blip r:embed="rId7">
                            <a:extLst>
                              <a:ext uri="{28A0092B-C50C-407E-A947-70E740481C1C}">
                                <a14:useLocalDpi xmlns:a14="http://schemas.microsoft.com/office/drawing/2010/main" val="0"/>
                              </a:ext>
                            </a:extLst>
                          </a:blip>
                          <a:srcRect t="1137" r="3583"/>
                          <a:stretch>
                            <a:fillRect/>
                          </a:stretch>
                        </pic:blipFill>
                        <pic:spPr bwMode="auto">
                          <a:xfrm>
                            <a:off x="0" y="0"/>
                            <a:ext cx="2430522" cy="577616"/>
                          </a:xfrm>
                          <a:prstGeom prst="rect">
                            <a:avLst/>
                          </a:prstGeom>
                          <a:noFill/>
                        </pic:spPr>
                      </pic:pic>
                    </a:graphicData>
                  </a:graphic>
                </wp:inline>
              </w:drawing>
            </w:r>
            <w:r>
              <w:t xml:space="preserve">                             </w:t>
            </w:r>
            <w:r w:rsidR="00A75CFA">
              <w:t xml:space="preserve">        </w:t>
            </w:r>
            <w:r>
              <w:t xml:space="preserve">     </w:t>
            </w:r>
            <w:r w:rsidR="00051810">
              <w:t xml:space="preserve">     </w:t>
            </w:r>
            <w:r>
              <w:t xml:space="preserve"> </w:t>
            </w:r>
            <w:r w:rsidR="00051810">
              <w:t xml:space="preserve">                              </w:t>
            </w:r>
            <w:r w:rsidR="00EB6AD1">
              <w:t xml:space="preserve"> </w:t>
            </w:r>
            <w:r w:rsidR="00051810">
              <w:t>NEATH</w:t>
            </w:r>
            <w:r w:rsidR="005448CD">
              <w:t xml:space="preserve"> </w:t>
            </w:r>
            <w:r>
              <w:t xml:space="preserve">CLUSTER </w:t>
            </w:r>
            <w:r w:rsidR="00051810">
              <w:object w:dxaOrig="2085" w:dyaOrig="2625" w14:anchorId="48CA15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luster Logo" style="width:45pt;height:54.75pt" o:ole="">
                  <v:imagedata r:id="rId8" o:title=""/>
                </v:shape>
                <o:OLEObject Type="Embed" ProgID="PBrush" ShapeID="_x0000_i1025" DrawAspect="Content" ObjectID="_1797060254" r:id="rId9"/>
              </w:object>
            </w:r>
          </w:p>
        </w:tc>
      </w:tr>
      <w:tr w:rsidR="00B64CDC" w:rsidRPr="00937D06" w14:paraId="319791A9" w14:textId="77777777" w:rsidTr="00187F0E">
        <w:trPr>
          <w:trHeight w:val="308"/>
          <w:tblHeader/>
        </w:trPr>
        <w:tc>
          <w:tcPr>
            <w:tcW w:w="10206" w:type="dxa"/>
            <w:vAlign w:val="center"/>
          </w:tcPr>
          <w:p w14:paraId="4C1736A1" w14:textId="159D2BC0" w:rsidR="00B64CDC" w:rsidRPr="00937D06" w:rsidRDefault="00B64CDC" w:rsidP="00E24280">
            <w:pPr>
              <w:jc w:val="center"/>
              <w:rPr>
                <w:rFonts w:ascii="Aptos" w:hAnsi="Aptos"/>
                <w:b/>
                <w:bCs/>
                <w:sz w:val="28"/>
                <w:szCs w:val="28"/>
              </w:rPr>
            </w:pPr>
            <w:r w:rsidRPr="00937D06">
              <w:rPr>
                <w:rFonts w:ascii="Aptos" w:hAnsi="Aptos"/>
                <w:b/>
                <w:bCs/>
                <w:sz w:val="28"/>
                <w:szCs w:val="28"/>
              </w:rPr>
              <w:t>ANNUAL DELIVERY REPORT 2023-24</w:t>
            </w:r>
          </w:p>
        </w:tc>
      </w:tr>
      <w:tr w:rsidR="004F61E7" w:rsidRPr="00937D06" w14:paraId="39EDDA15" w14:textId="77777777" w:rsidTr="00E24280">
        <w:trPr>
          <w:trHeight w:val="4909"/>
        </w:trPr>
        <w:tc>
          <w:tcPr>
            <w:tcW w:w="10206" w:type="dxa"/>
          </w:tcPr>
          <w:p w14:paraId="6FB864CB" w14:textId="77777777" w:rsidR="004F61E7" w:rsidRPr="00E726B9" w:rsidRDefault="004F61E7" w:rsidP="004F61E7">
            <w:pPr>
              <w:spacing w:after="60"/>
              <w:jc w:val="center"/>
              <w:rPr>
                <w:rFonts w:ascii="Aptos" w:hAnsi="Aptos"/>
                <w:b/>
                <w:bCs/>
                <w:sz w:val="24"/>
                <w:szCs w:val="24"/>
                <w:u w:val="single"/>
              </w:rPr>
            </w:pPr>
            <w:r w:rsidRPr="00E726B9">
              <w:rPr>
                <w:rFonts w:ascii="Aptos" w:hAnsi="Aptos"/>
                <w:b/>
                <w:bCs/>
                <w:sz w:val="24"/>
                <w:szCs w:val="24"/>
                <w:u w:val="single"/>
              </w:rPr>
              <w:t>A year in Reflection</w:t>
            </w:r>
          </w:p>
          <w:p w14:paraId="0FFFC5B9" w14:textId="77777777" w:rsidR="004F61E7" w:rsidRPr="00E726B9" w:rsidRDefault="004F61E7" w:rsidP="004F61E7">
            <w:pPr>
              <w:rPr>
                <w:rFonts w:ascii="Aptos" w:hAnsi="Aptos"/>
                <w:sz w:val="24"/>
                <w:szCs w:val="24"/>
              </w:rPr>
            </w:pPr>
            <w:r w:rsidRPr="00E726B9">
              <w:rPr>
                <w:rFonts w:ascii="Aptos" w:hAnsi="Aptos"/>
                <w:sz w:val="24"/>
                <w:szCs w:val="24"/>
              </w:rPr>
              <w:t>The year 2023-24 has carried forward the challenges and rewards from the previous year. Notably, Neath has witnessed a complete team of collaborative leaders for the first time since the inception of ACD. This unity is crucial, providing a shared vision to guide decisions and actions, and clarifying roles and responsibilities. Engaging all sectors will significantly enhance cluster work in the upcoming planning year, as collaborative efforts focus on understanding each service and patients’ needs and collectively contributing to a healthier Cluster.</w:t>
            </w:r>
          </w:p>
          <w:p w14:paraId="6250F4FD" w14:textId="77777777" w:rsidR="004F61E7" w:rsidRPr="00E726B9" w:rsidRDefault="004F61E7" w:rsidP="004F61E7">
            <w:pPr>
              <w:rPr>
                <w:rFonts w:ascii="Aptos" w:hAnsi="Aptos"/>
                <w:sz w:val="24"/>
                <w:szCs w:val="24"/>
              </w:rPr>
            </w:pPr>
            <w:r w:rsidRPr="00E726B9">
              <w:rPr>
                <w:rFonts w:ascii="Aptos" w:hAnsi="Aptos"/>
                <w:sz w:val="24"/>
                <w:szCs w:val="24"/>
              </w:rPr>
              <w:t>Despite progress, our MDT staff has faced pressures. Valued cluster-supported secondments have been redirected to address service demands, including our Mental Health Link Worker and Specialist Health Visitor. Additionally, after a successful start and the recruitment of a Community Clinician (resulting in 500 patients receiving home support with only one admission), the post remained vacant due to challenges in finding a GMS host while operational systems where being put in place.</w:t>
            </w:r>
          </w:p>
          <w:p w14:paraId="70D1C134" w14:textId="56D3833F" w:rsidR="004F61E7" w:rsidRPr="00937D06" w:rsidRDefault="004F61E7" w:rsidP="004F61E7">
            <w:pPr>
              <w:rPr>
                <w:rFonts w:ascii="Aptos" w:hAnsi="Aptos"/>
                <w:sz w:val="24"/>
                <w:szCs w:val="24"/>
              </w:rPr>
            </w:pPr>
            <w:r w:rsidRPr="00E726B9">
              <w:rPr>
                <w:rFonts w:ascii="Aptos" w:hAnsi="Aptos"/>
                <w:sz w:val="24"/>
                <w:szCs w:val="24"/>
              </w:rPr>
              <w:t xml:space="preserve">Our Mental Health team at the Dyfed Road Hub has continued to support vulnerable patients. Their role ensures that individuals with low-level mental health concerns receive prompt attention from the appropriate services. Despite ongoing challenges, I consider it a privilege to collaborate with our Cluster team, believing that our joint efforts will lead to future success as we mature together. </w:t>
            </w:r>
          </w:p>
        </w:tc>
      </w:tr>
      <w:tr w:rsidR="004F61E7" w:rsidRPr="00937D06" w14:paraId="582EEE4D" w14:textId="77777777" w:rsidTr="00E24280">
        <w:trPr>
          <w:trHeight w:val="2951"/>
        </w:trPr>
        <w:tc>
          <w:tcPr>
            <w:tcW w:w="10206" w:type="dxa"/>
          </w:tcPr>
          <w:p w14:paraId="0B5EF2F6" w14:textId="77777777" w:rsidR="004F61E7" w:rsidRPr="00E726B9" w:rsidRDefault="004F61E7" w:rsidP="004F61E7">
            <w:pPr>
              <w:spacing w:after="60"/>
              <w:jc w:val="center"/>
              <w:rPr>
                <w:rFonts w:ascii="Aptos" w:hAnsi="Aptos"/>
                <w:b/>
                <w:bCs/>
                <w:sz w:val="24"/>
                <w:szCs w:val="24"/>
                <w:u w:val="single"/>
              </w:rPr>
            </w:pPr>
            <w:r w:rsidRPr="00E726B9">
              <w:rPr>
                <w:rFonts w:ascii="Aptos" w:hAnsi="Aptos"/>
                <w:b/>
                <w:bCs/>
                <w:sz w:val="24"/>
                <w:szCs w:val="24"/>
                <w:u w:val="single"/>
              </w:rPr>
              <w:t>Pharmacy Services</w:t>
            </w:r>
          </w:p>
          <w:p w14:paraId="549B907F" w14:textId="77777777" w:rsidR="004F61E7" w:rsidRDefault="004F61E7" w:rsidP="004F61E7">
            <w:pPr>
              <w:spacing w:after="60"/>
              <w:rPr>
                <w:rFonts w:ascii="Aptos" w:hAnsi="Aptos"/>
                <w:sz w:val="24"/>
                <w:szCs w:val="24"/>
              </w:rPr>
            </w:pPr>
            <w:r w:rsidRPr="00E726B9">
              <w:rPr>
                <w:rFonts w:ascii="Aptos" w:hAnsi="Aptos"/>
                <w:sz w:val="24"/>
                <w:szCs w:val="24"/>
              </w:rPr>
              <w:t xml:space="preserve">Towards the end of 2023, GMS, Community Pharmacy and SBUHB Medicines Management implemented changes to repeat ordering. Patients capable of managing their own orders were informed to reorder their repeat prescriptions through their GP practices. </w:t>
            </w:r>
          </w:p>
          <w:p w14:paraId="6F033CC3" w14:textId="77777777" w:rsidR="004F61E7" w:rsidRPr="00E726B9" w:rsidRDefault="004F61E7" w:rsidP="004F61E7">
            <w:pPr>
              <w:spacing w:after="60"/>
              <w:rPr>
                <w:rFonts w:ascii="Aptos" w:hAnsi="Aptos"/>
                <w:sz w:val="24"/>
                <w:szCs w:val="24"/>
              </w:rPr>
            </w:pPr>
            <w:r w:rsidRPr="00E726B9">
              <w:rPr>
                <w:rFonts w:ascii="Aptos" w:hAnsi="Aptos"/>
                <w:sz w:val="24"/>
                <w:szCs w:val="24"/>
              </w:rPr>
              <w:t xml:space="preserve">This streamlines turnaround, enhances accuracy, and ensures patient safety while minimising polypharmacy, over ordering, and our carbon footprint as a Cluster. The positive impact of these changes will continue into the future.  </w:t>
            </w:r>
          </w:p>
          <w:p w14:paraId="6A3F02DE" w14:textId="77777777" w:rsidR="004F61E7" w:rsidRDefault="004F61E7" w:rsidP="004F61E7">
            <w:pPr>
              <w:spacing w:after="60"/>
              <w:rPr>
                <w:rFonts w:ascii="Aptos" w:hAnsi="Aptos"/>
                <w:sz w:val="24"/>
                <w:szCs w:val="24"/>
              </w:rPr>
            </w:pPr>
            <w:r w:rsidRPr="00E726B9">
              <w:rPr>
                <w:rFonts w:ascii="Aptos" w:hAnsi="Aptos"/>
                <w:sz w:val="24"/>
                <w:szCs w:val="24"/>
              </w:rPr>
              <w:t xml:space="preserve">Neath cluster continues to employ two Pharmacists to ensure cost-effective and safe medication use. These invaluable experts handle a substantial volume of medication-related tasks, freeing up GPs to focus on other clinical work. </w:t>
            </w:r>
          </w:p>
          <w:p w14:paraId="0E5DEC92" w14:textId="77777777" w:rsidR="004F61E7" w:rsidRPr="00E726B9" w:rsidRDefault="004F61E7" w:rsidP="004F61E7">
            <w:pPr>
              <w:spacing w:after="60"/>
              <w:rPr>
                <w:rFonts w:ascii="Aptos" w:hAnsi="Aptos"/>
                <w:sz w:val="24"/>
                <w:szCs w:val="24"/>
              </w:rPr>
            </w:pPr>
            <w:r w:rsidRPr="00E726B9">
              <w:rPr>
                <w:rFonts w:ascii="Aptos" w:hAnsi="Aptos"/>
                <w:sz w:val="24"/>
                <w:szCs w:val="24"/>
              </w:rPr>
              <w:t>Working closely with a cluster Pharmacy Technician and GP Practice staff, they run chronic conditions clinics, conduct medication reviews, address queries and requests, handle hospital discharge summaries, and prioritise patient safety.</w:t>
            </w:r>
          </w:p>
          <w:p w14:paraId="4449626C" w14:textId="77777777" w:rsidR="004F61E7" w:rsidRPr="00E726B9" w:rsidRDefault="004F61E7" w:rsidP="004F61E7">
            <w:pPr>
              <w:spacing w:after="60"/>
              <w:rPr>
                <w:rFonts w:ascii="Aptos" w:hAnsi="Aptos"/>
                <w:sz w:val="24"/>
                <w:szCs w:val="24"/>
              </w:rPr>
            </w:pPr>
            <w:r w:rsidRPr="00E726B9">
              <w:rPr>
                <w:rFonts w:ascii="Aptos" w:hAnsi="Aptos"/>
                <w:sz w:val="24"/>
                <w:szCs w:val="24"/>
              </w:rPr>
              <w:t>During 2023-4, they collectively engaged in 6,946 interactions with patients, significantly improving care and safety. These interactions included:</w:t>
            </w:r>
          </w:p>
          <w:p w14:paraId="4E51AAB7"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329 medication reviews/changes</w:t>
            </w:r>
          </w:p>
          <w:p w14:paraId="2E0F1462"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293 patient safety reviews</w:t>
            </w:r>
          </w:p>
          <w:p w14:paraId="138DCEA4"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1,530 anti-coagulation/DOAC reviews</w:t>
            </w:r>
          </w:p>
          <w:p w14:paraId="423D37A7"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1,232 medication reconciliations</w:t>
            </w:r>
          </w:p>
          <w:p w14:paraId="418CE5D9"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69 COPD/asthma reviews</w:t>
            </w:r>
          </w:p>
          <w:p w14:paraId="555A8A0D"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515 telephone encounters/repeat prescribing orders</w:t>
            </w:r>
          </w:p>
          <w:p w14:paraId="0D6EF4DC"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1,530 anti-coagulation/DOAC reviews</w:t>
            </w:r>
          </w:p>
          <w:p w14:paraId="74B4511E"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1,232 medication reconciliations</w:t>
            </w:r>
          </w:p>
          <w:p w14:paraId="4498EAC1" w14:textId="77777777" w:rsidR="004F61E7" w:rsidRPr="005A2CD5"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COPD/asthma reviews</w:t>
            </w:r>
          </w:p>
          <w:p w14:paraId="3972B585" w14:textId="77777777" w:rsidR="004F61E7" w:rsidRDefault="004F61E7" w:rsidP="004F61E7">
            <w:pPr>
              <w:pStyle w:val="ListParagraph"/>
              <w:numPr>
                <w:ilvl w:val="0"/>
                <w:numId w:val="2"/>
              </w:numPr>
              <w:spacing w:after="60"/>
              <w:ind w:left="310" w:hanging="310"/>
              <w:rPr>
                <w:rFonts w:ascii="Aptos" w:hAnsi="Aptos"/>
                <w:sz w:val="24"/>
                <w:szCs w:val="24"/>
              </w:rPr>
            </w:pPr>
            <w:r w:rsidRPr="005A2CD5">
              <w:rPr>
                <w:rFonts w:ascii="Aptos" w:hAnsi="Aptos"/>
                <w:sz w:val="24"/>
                <w:szCs w:val="24"/>
              </w:rPr>
              <w:t>515 telephone encounters/repeat prescribing orders</w:t>
            </w:r>
          </w:p>
          <w:p w14:paraId="0A72262B" w14:textId="66C701A1" w:rsidR="004F61E7" w:rsidRPr="00937D06" w:rsidRDefault="004F61E7" w:rsidP="004F61E7">
            <w:pPr>
              <w:rPr>
                <w:rFonts w:ascii="Aptos" w:hAnsi="Aptos"/>
                <w:sz w:val="24"/>
                <w:szCs w:val="24"/>
              </w:rPr>
            </w:pPr>
          </w:p>
        </w:tc>
      </w:tr>
      <w:tr w:rsidR="004F61E7" w:rsidRPr="00937D06" w14:paraId="738A761C" w14:textId="77777777" w:rsidTr="00E24280">
        <w:trPr>
          <w:trHeight w:val="2589"/>
        </w:trPr>
        <w:tc>
          <w:tcPr>
            <w:tcW w:w="10206" w:type="dxa"/>
          </w:tcPr>
          <w:p w14:paraId="6F66CB72" w14:textId="77777777" w:rsidR="004F61E7" w:rsidRPr="00E726B9" w:rsidRDefault="004F61E7" w:rsidP="004F61E7">
            <w:pPr>
              <w:spacing w:after="60"/>
              <w:jc w:val="center"/>
              <w:rPr>
                <w:rFonts w:ascii="Aptos" w:hAnsi="Aptos"/>
                <w:b/>
                <w:bCs/>
                <w:sz w:val="24"/>
                <w:szCs w:val="24"/>
                <w:u w:val="single"/>
              </w:rPr>
            </w:pPr>
            <w:r w:rsidRPr="00E726B9">
              <w:rPr>
                <w:rFonts w:ascii="Aptos" w:hAnsi="Aptos"/>
                <w:b/>
                <w:bCs/>
                <w:sz w:val="24"/>
                <w:szCs w:val="24"/>
                <w:u w:val="single"/>
              </w:rPr>
              <w:lastRenderedPageBreak/>
              <w:t>Audiology / Wax Services</w:t>
            </w:r>
          </w:p>
          <w:p w14:paraId="5597B585" w14:textId="77777777" w:rsidR="004F61E7" w:rsidRPr="005A2CD5" w:rsidRDefault="004F61E7" w:rsidP="004F61E7">
            <w:pPr>
              <w:spacing w:after="60"/>
              <w:rPr>
                <w:rFonts w:ascii="Aptos" w:hAnsi="Aptos"/>
                <w:sz w:val="24"/>
                <w:szCs w:val="24"/>
              </w:rPr>
            </w:pPr>
            <w:r w:rsidRPr="00E726B9">
              <w:rPr>
                <w:rFonts w:ascii="Aptos" w:hAnsi="Aptos"/>
                <w:sz w:val="24"/>
                <w:szCs w:val="24"/>
              </w:rPr>
              <w:t xml:space="preserve">Neath Cluster collectively contributes to Primary Care audiology services where clinicians are able to identify and assess hearing, imbalances and their associated disorders. </w:t>
            </w:r>
          </w:p>
          <w:p w14:paraId="381B98BE" w14:textId="428C40B4" w:rsidR="004F61E7" w:rsidRPr="005A2CD5" w:rsidRDefault="004F61E7" w:rsidP="004F61E7">
            <w:pPr>
              <w:spacing w:after="60"/>
              <w:rPr>
                <w:rFonts w:ascii="Aptos" w:hAnsi="Aptos"/>
                <w:sz w:val="24"/>
                <w:szCs w:val="24"/>
              </w:rPr>
            </w:pPr>
            <w:r w:rsidRPr="00E726B9">
              <w:rPr>
                <w:rFonts w:ascii="Aptos" w:hAnsi="Aptos"/>
                <w:sz w:val="24"/>
                <w:szCs w:val="24"/>
              </w:rPr>
              <w:t>They also provide micro suction for wax build up. Booked via a joint appointment system, it means patients do not have to endure lengthy waiting lists and can access these service</w:t>
            </w:r>
            <w:r w:rsidR="00CC7AE0">
              <w:rPr>
                <w:rFonts w:ascii="Aptos" w:hAnsi="Aptos"/>
                <w:sz w:val="24"/>
                <w:szCs w:val="24"/>
              </w:rPr>
              <w:t>s</w:t>
            </w:r>
            <w:r w:rsidRPr="00E726B9">
              <w:rPr>
                <w:rFonts w:ascii="Aptos" w:hAnsi="Aptos"/>
                <w:sz w:val="24"/>
                <w:szCs w:val="24"/>
              </w:rPr>
              <w:t xml:space="preserve"> at the </w:t>
            </w:r>
            <w:r w:rsidR="00CC7AE0" w:rsidRPr="00E726B9">
              <w:rPr>
                <w:rFonts w:ascii="Aptos" w:hAnsi="Aptos"/>
                <w:sz w:val="24"/>
                <w:szCs w:val="24"/>
              </w:rPr>
              <w:t>community-based</w:t>
            </w:r>
            <w:r w:rsidRPr="00E726B9">
              <w:rPr>
                <w:rFonts w:ascii="Aptos" w:hAnsi="Aptos"/>
                <w:sz w:val="24"/>
                <w:szCs w:val="24"/>
              </w:rPr>
              <w:t xml:space="preserve"> Hub in Dyfed Road. In 2023-4, 576 or 644 patients benefitted. </w:t>
            </w:r>
          </w:p>
          <w:p w14:paraId="07376781" w14:textId="15BF7A4E" w:rsidR="004F61E7" w:rsidRPr="00937D06" w:rsidRDefault="004F61E7" w:rsidP="004F61E7">
            <w:pPr>
              <w:rPr>
                <w:rFonts w:ascii="Aptos" w:hAnsi="Aptos"/>
                <w:sz w:val="24"/>
                <w:szCs w:val="24"/>
              </w:rPr>
            </w:pPr>
            <w:r w:rsidRPr="00E726B9">
              <w:rPr>
                <w:rFonts w:ascii="Aptos" w:hAnsi="Aptos"/>
                <w:sz w:val="24"/>
                <w:szCs w:val="24"/>
              </w:rPr>
              <w:t xml:space="preserve">This is a highly valued service, which allows better links into secondary care ENT services, and helps reduce the need for GP services. </w:t>
            </w:r>
          </w:p>
        </w:tc>
      </w:tr>
      <w:tr w:rsidR="004F61E7" w:rsidRPr="00937D06" w14:paraId="4AAA046B" w14:textId="77777777" w:rsidTr="004F61E7">
        <w:trPr>
          <w:trHeight w:val="1819"/>
        </w:trPr>
        <w:tc>
          <w:tcPr>
            <w:tcW w:w="10206" w:type="dxa"/>
          </w:tcPr>
          <w:p w14:paraId="6DC3CE89" w14:textId="77777777" w:rsidR="004F61E7" w:rsidRPr="00E726B9" w:rsidRDefault="004F61E7" w:rsidP="004F61E7">
            <w:pPr>
              <w:spacing w:after="60"/>
              <w:jc w:val="center"/>
              <w:rPr>
                <w:rFonts w:ascii="Aptos" w:hAnsi="Aptos"/>
                <w:b/>
                <w:bCs/>
                <w:sz w:val="24"/>
                <w:szCs w:val="24"/>
                <w:u w:val="single"/>
              </w:rPr>
            </w:pPr>
            <w:r w:rsidRPr="00E726B9">
              <w:rPr>
                <w:rFonts w:ascii="Aptos" w:hAnsi="Aptos"/>
                <w:b/>
                <w:bCs/>
                <w:sz w:val="24"/>
                <w:szCs w:val="24"/>
                <w:u w:val="single"/>
              </w:rPr>
              <w:t>Consultant Connect</w:t>
            </w:r>
          </w:p>
          <w:p w14:paraId="0BD7538F" w14:textId="6EE43418" w:rsidR="004F61E7" w:rsidRPr="005A2CD5" w:rsidRDefault="004F61E7" w:rsidP="004F61E7">
            <w:pPr>
              <w:spacing w:after="60"/>
              <w:rPr>
                <w:rFonts w:ascii="Aptos" w:hAnsi="Aptos"/>
                <w:sz w:val="24"/>
                <w:szCs w:val="24"/>
              </w:rPr>
            </w:pPr>
            <w:r w:rsidRPr="00E726B9">
              <w:rPr>
                <w:rFonts w:ascii="Aptos" w:hAnsi="Aptos"/>
                <w:sz w:val="24"/>
                <w:szCs w:val="24"/>
              </w:rPr>
              <w:t xml:space="preserve">Consultant Connect continues to provide specialist consultant advice to </w:t>
            </w:r>
            <w:r w:rsidR="00CC7AE0" w:rsidRPr="00E726B9">
              <w:rPr>
                <w:rFonts w:ascii="Aptos" w:hAnsi="Aptos"/>
                <w:sz w:val="24"/>
                <w:szCs w:val="24"/>
              </w:rPr>
              <w:t>community-based</w:t>
            </w:r>
            <w:r w:rsidRPr="00E726B9">
              <w:rPr>
                <w:rFonts w:ascii="Aptos" w:hAnsi="Aptos"/>
                <w:sz w:val="24"/>
                <w:szCs w:val="24"/>
              </w:rPr>
              <w:t xml:space="preserve"> clinicians to improve patient care, accelerate diagnosis and treatment. </w:t>
            </w:r>
          </w:p>
          <w:p w14:paraId="60BCEBAC" w14:textId="5EAD5D1B" w:rsidR="004F61E7" w:rsidRPr="00937D06" w:rsidRDefault="004F61E7" w:rsidP="004F61E7">
            <w:pPr>
              <w:rPr>
                <w:rFonts w:ascii="Aptos" w:hAnsi="Aptos"/>
                <w:sz w:val="24"/>
                <w:szCs w:val="24"/>
              </w:rPr>
            </w:pPr>
            <w:r w:rsidRPr="00E726B9">
              <w:rPr>
                <w:rFonts w:ascii="Aptos" w:hAnsi="Aptos"/>
                <w:sz w:val="24"/>
                <w:szCs w:val="24"/>
              </w:rPr>
              <w:t>During 2023-4 the service received 381 phone calls, 812 photo messages and 29 general messages.</w:t>
            </w:r>
          </w:p>
        </w:tc>
      </w:tr>
      <w:tr w:rsidR="004F61E7" w:rsidRPr="00937D06" w14:paraId="19743B6D" w14:textId="77777777" w:rsidTr="00187F0E">
        <w:trPr>
          <w:trHeight w:val="2718"/>
        </w:trPr>
        <w:tc>
          <w:tcPr>
            <w:tcW w:w="10206" w:type="dxa"/>
          </w:tcPr>
          <w:p w14:paraId="41003AC9" w14:textId="77777777" w:rsidR="004F61E7" w:rsidRPr="00E726B9" w:rsidRDefault="004F61E7" w:rsidP="004F61E7">
            <w:pPr>
              <w:spacing w:after="60"/>
              <w:jc w:val="center"/>
              <w:rPr>
                <w:rFonts w:ascii="Aptos" w:hAnsi="Aptos"/>
                <w:b/>
                <w:bCs/>
                <w:sz w:val="24"/>
                <w:szCs w:val="24"/>
                <w:u w:val="single"/>
              </w:rPr>
            </w:pPr>
            <w:r w:rsidRPr="00E726B9">
              <w:rPr>
                <w:rFonts w:ascii="Aptos" w:hAnsi="Aptos"/>
                <w:b/>
                <w:bCs/>
                <w:sz w:val="24"/>
                <w:szCs w:val="24"/>
                <w:u w:val="single"/>
              </w:rPr>
              <w:t>Virtual Wards</w:t>
            </w:r>
          </w:p>
          <w:p w14:paraId="40DC06BD" w14:textId="77777777" w:rsidR="004F61E7" w:rsidRPr="005A2CD5" w:rsidRDefault="004F61E7" w:rsidP="004F61E7">
            <w:pPr>
              <w:spacing w:after="60"/>
              <w:rPr>
                <w:rFonts w:ascii="Aptos" w:hAnsi="Aptos"/>
                <w:sz w:val="24"/>
                <w:szCs w:val="24"/>
              </w:rPr>
            </w:pPr>
            <w:r w:rsidRPr="00E726B9">
              <w:rPr>
                <w:rFonts w:ascii="Aptos" w:hAnsi="Aptos"/>
                <w:sz w:val="24"/>
                <w:szCs w:val="24"/>
              </w:rPr>
              <w:t xml:space="preserve">Neath Cluster was instrumental in the piloting of Virtual Wards before they were mainstreamed and rolled out across the Health Board. In Neath there were 587 patients supported in 2023-4. </w:t>
            </w:r>
          </w:p>
          <w:p w14:paraId="53FB69B5" w14:textId="77777777" w:rsidR="004F61E7" w:rsidRPr="005A2CD5" w:rsidRDefault="004F61E7" w:rsidP="004F61E7">
            <w:pPr>
              <w:spacing w:after="60"/>
              <w:rPr>
                <w:rFonts w:ascii="Aptos" w:hAnsi="Aptos"/>
                <w:sz w:val="24"/>
                <w:szCs w:val="24"/>
              </w:rPr>
            </w:pPr>
            <w:r w:rsidRPr="00E726B9">
              <w:rPr>
                <w:rFonts w:ascii="Aptos" w:hAnsi="Aptos"/>
                <w:sz w:val="24"/>
                <w:szCs w:val="24"/>
              </w:rPr>
              <w:t xml:space="preserve">The Ward has had a significant impact on saving bed days and has enabled admission avoidance through cluster partners supporting patients to manage their care in their own homes.  </w:t>
            </w:r>
          </w:p>
          <w:p w14:paraId="50A65E15" w14:textId="6F1337EB" w:rsidR="004F61E7" w:rsidRPr="00937D06" w:rsidRDefault="004F61E7" w:rsidP="004F61E7">
            <w:pPr>
              <w:rPr>
                <w:rFonts w:ascii="Aptos" w:hAnsi="Aptos"/>
                <w:sz w:val="24"/>
                <w:szCs w:val="24"/>
              </w:rPr>
            </w:pPr>
            <w:r w:rsidRPr="00E726B9">
              <w:rPr>
                <w:rFonts w:ascii="Aptos" w:hAnsi="Aptos"/>
                <w:sz w:val="24"/>
                <w:szCs w:val="24"/>
              </w:rPr>
              <w:t>With over 243 admissions avoided and over 5095 bed days saved in Neath, the Virtual Ward teams remain critical to improving the way people access health and care in the area.</w:t>
            </w:r>
          </w:p>
        </w:tc>
      </w:tr>
      <w:tr w:rsidR="004F61E7" w:rsidRPr="00937D06" w14:paraId="60BE97BB" w14:textId="77777777" w:rsidTr="004F61E7">
        <w:trPr>
          <w:trHeight w:val="477"/>
        </w:trPr>
        <w:tc>
          <w:tcPr>
            <w:tcW w:w="10206" w:type="dxa"/>
            <w:vAlign w:val="center"/>
          </w:tcPr>
          <w:p w14:paraId="24F832B9" w14:textId="4F55132E" w:rsidR="004F61E7" w:rsidRPr="00937D06" w:rsidRDefault="004F61E7" w:rsidP="004F61E7">
            <w:pPr>
              <w:jc w:val="center"/>
              <w:rPr>
                <w:rFonts w:ascii="Aptos" w:hAnsi="Aptos"/>
                <w:sz w:val="24"/>
                <w:szCs w:val="24"/>
              </w:rPr>
            </w:pPr>
            <w:r w:rsidRPr="00E726B9">
              <w:rPr>
                <w:rFonts w:ascii="Aptos" w:hAnsi="Aptos"/>
                <w:b/>
                <w:bCs/>
                <w:sz w:val="24"/>
                <w:szCs w:val="24"/>
                <w:u w:val="single"/>
              </w:rPr>
              <w:t>In addition let’s not forget some of the other achievements</w:t>
            </w:r>
          </w:p>
        </w:tc>
      </w:tr>
      <w:tr w:rsidR="004F61E7" w:rsidRPr="00937D06" w14:paraId="33FFA1B5" w14:textId="77777777" w:rsidTr="004F61E7">
        <w:trPr>
          <w:trHeight w:val="2979"/>
        </w:trPr>
        <w:tc>
          <w:tcPr>
            <w:tcW w:w="10206" w:type="dxa"/>
          </w:tcPr>
          <w:p w14:paraId="2D63F640" w14:textId="199B88BB" w:rsidR="004F61E7" w:rsidRDefault="004F61E7" w:rsidP="004F61E7">
            <w:pPr>
              <w:rPr>
                <w:rFonts w:ascii="Aptos" w:hAnsi="Aptos"/>
                <w:b/>
                <w:bCs/>
                <w:sz w:val="24"/>
                <w:szCs w:val="24"/>
              </w:rPr>
            </w:pPr>
            <w:r>
              <w:rPr>
                <w:rFonts w:ascii="Aptos" w:hAnsi="Aptos"/>
                <w:b/>
                <w:bCs/>
                <w:sz w:val="24"/>
                <w:szCs w:val="24"/>
              </w:rPr>
              <w:t xml:space="preserve">                                    </w:t>
            </w:r>
            <w:r w:rsidRPr="00E726B9">
              <w:rPr>
                <w:rFonts w:ascii="Aptos" w:hAnsi="Aptos"/>
                <w:b/>
                <w:bCs/>
                <w:sz w:val="24"/>
                <w:szCs w:val="24"/>
              </w:rPr>
              <w:t>Medicines management: Addressing the responsible use of antibiotics and</w:t>
            </w:r>
          </w:p>
          <w:p w14:paraId="6EEACAD1" w14:textId="77777777" w:rsidR="004F61E7" w:rsidRPr="005A2CD5" w:rsidRDefault="004F61E7" w:rsidP="004F61E7">
            <w:pPr>
              <w:rPr>
                <w:rFonts w:ascii="Aptos" w:hAnsi="Aptos"/>
                <w:b/>
                <w:bCs/>
                <w:sz w:val="24"/>
                <w:szCs w:val="24"/>
              </w:rPr>
            </w:pPr>
            <w:r>
              <w:rPr>
                <w:rFonts w:ascii="Aptos" w:hAnsi="Aptos"/>
                <w:b/>
                <w:bCs/>
                <w:sz w:val="24"/>
                <w:szCs w:val="24"/>
              </w:rPr>
              <w:t xml:space="preserve">                                                                                              </w:t>
            </w:r>
            <w:r w:rsidRPr="00E726B9">
              <w:rPr>
                <w:rFonts w:ascii="Aptos" w:hAnsi="Aptos"/>
                <w:b/>
                <w:bCs/>
                <w:sz w:val="24"/>
                <w:szCs w:val="24"/>
              </w:rPr>
              <w:t>Painkiller Reliance</w:t>
            </w:r>
            <w:r w:rsidRPr="005A2CD5">
              <w:rPr>
                <w:rFonts w:ascii="Aptos" w:hAnsi="Aptos"/>
                <w:b/>
                <w:bCs/>
                <w:sz w:val="24"/>
                <w:szCs w:val="24"/>
              </w:rPr>
              <w:t xml:space="preserve">. </w:t>
            </w:r>
          </w:p>
          <w:p w14:paraId="40739E66" w14:textId="7ED93B1B" w:rsidR="004F61E7" w:rsidRPr="005A2CD5" w:rsidRDefault="004F61E7" w:rsidP="004F61E7">
            <w:pPr>
              <w:shd w:val="clear" w:color="auto" w:fill="F2F2F2" w:themeFill="background1" w:themeFillShade="F2"/>
              <w:rPr>
                <w:rFonts w:ascii="Aptos" w:hAnsi="Aptos"/>
                <w:sz w:val="24"/>
                <w:szCs w:val="24"/>
              </w:rPr>
            </w:pPr>
            <w:r>
              <w:rPr>
                <w:rFonts w:ascii="Aptos" w:hAnsi="Aptos"/>
                <w:sz w:val="24"/>
                <w:szCs w:val="24"/>
              </w:rPr>
              <w:t xml:space="preserve">                                                              </w:t>
            </w:r>
            <w:r w:rsidRPr="00E726B9">
              <w:rPr>
                <w:rFonts w:ascii="Aptos" w:hAnsi="Aptos"/>
                <w:sz w:val="24"/>
                <w:szCs w:val="24"/>
              </w:rPr>
              <w:t>Help Me Quit: Promoting smoking cessation.</w:t>
            </w:r>
          </w:p>
          <w:p w14:paraId="2E908D3E" w14:textId="6EBD7E75" w:rsidR="004F61E7" w:rsidRPr="005A2CD5" w:rsidRDefault="004F61E7" w:rsidP="004F61E7">
            <w:pPr>
              <w:rPr>
                <w:rFonts w:ascii="Aptos" w:hAnsi="Aptos"/>
                <w:b/>
                <w:bCs/>
                <w:sz w:val="24"/>
                <w:szCs w:val="24"/>
              </w:rPr>
            </w:pPr>
            <w:r>
              <w:rPr>
                <w:rFonts w:ascii="Aptos" w:hAnsi="Aptos"/>
                <w:b/>
                <w:bCs/>
                <w:sz w:val="24"/>
                <w:szCs w:val="24"/>
              </w:rPr>
              <w:t xml:space="preserve">     </w:t>
            </w:r>
            <w:r w:rsidRPr="00E726B9">
              <w:rPr>
                <w:rFonts w:ascii="Aptos" w:hAnsi="Aptos"/>
                <w:b/>
                <w:bCs/>
                <w:sz w:val="24"/>
                <w:szCs w:val="24"/>
              </w:rPr>
              <w:t>Pharmacy Common Ailments Scheme:</w:t>
            </w:r>
            <w:r w:rsidRPr="005A2CD5">
              <w:rPr>
                <w:rFonts w:ascii="Aptos" w:hAnsi="Aptos"/>
                <w:b/>
                <w:bCs/>
                <w:sz w:val="24"/>
                <w:szCs w:val="24"/>
              </w:rPr>
              <w:t xml:space="preserve"> </w:t>
            </w:r>
            <w:r w:rsidRPr="00E726B9">
              <w:rPr>
                <w:rFonts w:ascii="Aptos" w:hAnsi="Aptos"/>
                <w:b/>
                <w:bCs/>
                <w:sz w:val="24"/>
                <w:szCs w:val="24"/>
              </w:rPr>
              <w:t>Guiding patients to appropriate care.</w:t>
            </w:r>
          </w:p>
          <w:p w14:paraId="7A87435C" w14:textId="76A92DE2" w:rsidR="004F61E7" w:rsidRPr="005A2CD5" w:rsidRDefault="004F61E7" w:rsidP="004F61E7">
            <w:pPr>
              <w:shd w:val="clear" w:color="auto" w:fill="F2F2F2" w:themeFill="background1" w:themeFillShade="F2"/>
              <w:rPr>
                <w:rFonts w:ascii="Aptos" w:hAnsi="Aptos"/>
                <w:sz w:val="24"/>
                <w:szCs w:val="24"/>
              </w:rPr>
            </w:pPr>
            <w:r>
              <w:rPr>
                <w:rFonts w:ascii="Aptos" w:hAnsi="Aptos"/>
                <w:sz w:val="24"/>
                <w:szCs w:val="24"/>
              </w:rPr>
              <w:t xml:space="preserve">                                 </w:t>
            </w:r>
            <w:r w:rsidRPr="00E726B9">
              <w:rPr>
                <w:rFonts w:ascii="Aptos" w:hAnsi="Aptos"/>
                <w:sz w:val="24"/>
                <w:szCs w:val="24"/>
              </w:rPr>
              <w:t>MSK Physiotherapy Access: Facilitating community access.</w:t>
            </w:r>
          </w:p>
          <w:p w14:paraId="32301756" w14:textId="53524025" w:rsidR="004F61E7" w:rsidRPr="005A2CD5" w:rsidRDefault="004F61E7" w:rsidP="004F61E7">
            <w:pPr>
              <w:rPr>
                <w:rFonts w:ascii="Aptos" w:hAnsi="Aptos"/>
                <w:b/>
                <w:bCs/>
                <w:sz w:val="24"/>
                <w:szCs w:val="24"/>
              </w:rPr>
            </w:pPr>
            <w:r>
              <w:rPr>
                <w:rFonts w:ascii="Aptos" w:hAnsi="Aptos"/>
                <w:b/>
                <w:bCs/>
                <w:sz w:val="24"/>
                <w:szCs w:val="24"/>
              </w:rPr>
              <w:t xml:space="preserve">                </w:t>
            </w:r>
            <w:r w:rsidRPr="00E726B9">
              <w:rPr>
                <w:rFonts w:ascii="Aptos" w:hAnsi="Aptos"/>
                <w:b/>
                <w:bCs/>
                <w:sz w:val="24"/>
                <w:szCs w:val="24"/>
              </w:rPr>
              <w:t>Specialist Health Visitor Services: Safeguarding vulnerable children.</w:t>
            </w:r>
          </w:p>
          <w:p w14:paraId="79FBFBE8" w14:textId="1573ADD3" w:rsidR="004F61E7" w:rsidRPr="005A2CD5" w:rsidRDefault="004F61E7" w:rsidP="004F61E7">
            <w:pPr>
              <w:shd w:val="clear" w:color="auto" w:fill="F2F2F2" w:themeFill="background1" w:themeFillShade="F2"/>
              <w:rPr>
                <w:rFonts w:ascii="Aptos" w:hAnsi="Aptos"/>
                <w:sz w:val="24"/>
                <w:szCs w:val="24"/>
              </w:rPr>
            </w:pPr>
            <w:r>
              <w:rPr>
                <w:rFonts w:ascii="Aptos" w:hAnsi="Aptos"/>
                <w:sz w:val="24"/>
                <w:szCs w:val="24"/>
              </w:rPr>
              <w:t xml:space="preserve">                                                                </w:t>
            </w:r>
            <w:r w:rsidRPr="00E726B9">
              <w:rPr>
                <w:rFonts w:ascii="Aptos" w:hAnsi="Aptos"/>
                <w:sz w:val="24"/>
                <w:szCs w:val="24"/>
              </w:rPr>
              <w:t>IRIS Training: Supporting domestic violence victims.</w:t>
            </w:r>
          </w:p>
          <w:p w14:paraId="52FBDFED" w14:textId="11E03E17" w:rsidR="004F61E7" w:rsidRPr="005A2CD5" w:rsidRDefault="004F61E7" w:rsidP="004F61E7">
            <w:pPr>
              <w:rPr>
                <w:rFonts w:ascii="Aptos" w:hAnsi="Aptos"/>
                <w:b/>
                <w:bCs/>
                <w:sz w:val="24"/>
                <w:szCs w:val="24"/>
              </w:rPr>
            </w:pPr>
            <w:r>
              <w:rPr>
                <w:rFonts w:ascii="Aptos" w:hAnsi="Aptos"/>
                <w:b/>
                <w:bCs/>
                <w:sz w:val="24"/>
                <w:szCs w:val="24"/>
              </w:rPr>
              <w:t xml:space="preserve">                                             </w:t>
            </w:r>
            <w:r w:rsidRPr="00E726B9">
              <w:rPr>
                <w:rFonts w:ascii="Aptos" w:hAnsi="Aptos"/>
                <w:b/>
                <w:bCs/>
                <w:sz w:val="24"/>
                <w:szCs w:val="24"/>
              </w:rPr>
              <w:t>Annual Flu Vaccines: Ensuring community health.</w:t>
            </w:r>
          </w:p>
          <w:p w14:paraId="3CB983BC" w14:textId="65244F53" w:rsidR="004F61E7" w:rsidRPr="00937D06" w:rsidRDefault="004F61E7" w:rsidP="004F61E7">
            <w:pPr>
              <w:rPr>
                <w:rFonts w:ascii="Aptos" w:hAnsi="Aptos"/>
                <w:sz w:val="24"/>
                <w:szCs w:val="24"/>
              </w:rPr>
            </w:pPr>
            <w:r>
              <w:rPr>
                <w:rFonts w:ascii="Aptos" w:hAnsi="Aptos"/>
                <w:sz w:val="24"/>
                <w:szCs w:val="24"/>
              </w:rPr>
              <w:t xml:space="preserve">                                           </w:t>
            </w:r>
            <w:r w:rsidRPr="00E726B9">
              <w:rPr>
                <w:rFonts w:ascii="Aptos" w:hAnsi="Aptos"/>
                <w:sz w:val="24"/>
                <w:szCs w:val="24"/>
              </w:rPr>
              <w:t>Pre-Diabetes Program</w:t>
            </w:r>
            <w:r w:rsidR="000D6568">
              <w:rPr>
                <w:rFonts w:ascii="Aptos" w:hAnsi="Aptos"/>
                <w:sz w:val="24"/>
                <w:szCs w:val="24"/>
              </w:rPr>
              <w:t>:</w:t>
            </w:r>
            <w:r w:rsidRPr="00E726B9">
              <w:rPr>
                <w:rFonts w:ascii="Aptos" w:hAnsi="Aptos"/>
                <w:sz w:val="24"/>
                <w:szCs w:val="24"/>
              </w:rPr>
              <w:t xml:space="preserve"> Identifying and supporting at-risk individuals.</w:t>
            </w:r>
          </w:p>
        </w:tc>
      </w:tr>
      <w:tr w:rsidR="004F61E7" w:rsidRPr="00937D06" w14:paraId="5134FA4E" w14:textId="77777777" w:rsidTr="004F61E7">
        <w:trPr>
          <w:trHeight w:val="3517"/>
        </w:trPr>
        <w:tc>
          <w:tcPr>
            <w:tcW w:w="10206" w:type="dxa"/>
          </w:tcPr>
          <w:p w14:paraId="3B700D3A" w14:textId="77777777" w:rsidR="004F61E7" w:rsidRPr="00E726B9" w:rsidRDefault="004F61E7" w:rsidP="004F61E7">
            <w:pPr>
              <w:spacing w:after="60"/>
              <w:jc w:val="center"/>
              <w:rPr>
                <w:rFonts w:ascii="Aptos" w:hAnsi="Aptos"/>
                <w:b/>
                <w:bCs/>
                <w:sz w:val="24"/>
                <w:szCs w:val="24"/>
                <w:u w:val="single"/>
              </w:rPr>
            </w:pPr>
            <w:r w:rsidRPr="00E726B9">
              <w:rPr>
                <w:rFonts w:ascii="Aptos" w:hAnsi="Aptos"/>
                <w:b/>
                <w:bCs/>
                <w:sz w:val="24"/>
                <w:szCs w:val="24"/>
                <w:u w:val="single"/>
              </w:rPr>
              <w:t>What’s Next?...</w:t>
            </w:r>
          </w:p>
          <w:p w14:paraId="54B8500C" w14:textId="77777777" w:rsidR="004F61E7" w:rsidRDefault="004F61E7" w:rsidP="004F61E7">
            <w:pPr>
              <w:rPr>
                <w:rFonts w:ascii="Aptos" w:hAnsi="Aptos"/>
                <w:b/>
                <w:bCs/>
                <w:sz w:val="24"/>
                <w:szCs w:val="24"/>
              </w:rPr>
            </w:pPr>
          </w:p>
          <w:p w14:paraId="3DE3BE5E" w14:textId="77777777" w:rsidR="004F61E7" w:rsidRPr="00E726B9" w:rsidRDefault="004F61E7" w:rsidP="004F61E7">
            <w:pPr>
              <w:rPr>
                <w:rFonts w:ascii="Aptos" w:hAnsi="Aptos"/>
                <w:sz w:val="24"/>
                <w:szCs w:val="24"/>
              </w:rPr>
            </w:pPr>
            <w:r w:rsidRPr="00E726B9">
              <w:rPr>
                <w:rFonts w:ascii="Aptos" w:hAnsi="Aptos"/>
                <w:b/>
                <w:bCs/>
                <w:sz w:val="24"/>
                <w:szCs w:val="24"/>
              </w:rPr>
              <w:t>Self-Referral Pilot for CAMHS</w:t>
            </w:r>
            <w:r w:rsidRPr="00E726B9">
              <w:rPr>
                <w:rFonts w:ascii="Aptos" w:hAnsi="Aptos"/>
                <w:sz w:val="24"/>
                <w:szCs w:val="24"/>
              </w:rPr>
              <w:t>: Neath aims to establish a self-referral pilot for CAMHS, overcoming hurdles to accessing this valuable service.</w:t>
            </w:r>
          </w:p>
          <w:p w14:paraId="650AE61A" w14:textId="77777777" w:rsidR="004F61E7" w:rsidRPr="005A2CD5" w:rsidRDefault="004F61E7" w:rsidP="004F61E7">
            <w:pPr>
              <w:rPr>
                <w:rFonts w:ascii="Aptos" w:hAnsi="Aptos"/>
                <w:b/>
                <w:bCs/>
                <w:sz w:val="24"/>
                <w:szCs w:val="24"/>
              </w:rPr>
            </w:pPr>
          </w:p>
          <w:p w14:paraId="6E2A57FF" w14:textId="77777777" w:rsidR="004F61E7" w:rsidRPr="00E726B9" w:rsidRDefault="004F61E7" w:rsidP="004F61E7">
            <w:pPr>
              <w:rPr>
                <w:rFonts w:ascii="Aptos" w:hAnsi="Aptos"/>
                <w:sz w:val="24"/>
                <w:szCs w:val="24"/>
              </w:rPr>
            </w:pPr>
            <w:r w:rsidRPr="00E726B9">
              <w:rPr>
                <w:rFonts w:ascii="Aptos" w:hAnsi="Aptos"/>
                <w:b/>
                <w:bCs/>
                <w:sz w:val="24"/>
                <w:szCs w:val="24"/>
              </w:rPr>
              <w:t>New Community Clinician</w:t>
            </w:r>
            <w:r w:rsidRPr="00E726B9">
              <w:rPr>
                <w:rFonts w:ascii="Aptos" w:hAnsi="Aptos"/>
                <w:sz w:val="24"/>
                <w:szCs w:val="24"/>
              </w:rPr>
              <w:t>: The appointment process is underway, ensuring the service aligns with population needs and supports General Practices promptly.</w:t>
            </w:r>
          </w:p>
          <w:p w14:paraId="697EC8B2" w14:textId="77777777" w:rsidR="004F61E7" w:rsidRPr="005A2CD5" w:rsidRDefault="004F61E7" w:rsidP="004F61E7">
            <w:pPr>
              <w:rPr>
                <w:rFonts w:ascii="Aptos" w:hAnsi="Aptos"/>
                <w:b/>
                <w:bCs/>
                <w:sz w:val="24"/>
                <w:szCs w:val="24"/>
              </w:rPr>
            </w:pPr>
          </w:p>
          <w:p w14:paraId="061AE7A3" w14:textId="3FE646A1" w:rsidR="004F61E7" w:rsidRPr="00937D06" w:rsidRDefault="004F61E7" w:rsidP="004F61E7">
            <w:pPr>
              <w:rPr>
                <w:rFonts w:ascii="Aptos" w:hAnsi="Aptos"/>
                <w:sz w:val="24"/>
                <w:szCs w:val="24"/>
              </w:rPr>
            </w:pPr>
            <w:r w:rsidRPr="00E726B9">
              <w:rPr>
                <w:rFonts w:ascii="Aptos" w:hAnsi="Aptos"/>
                <w:b/>
                <w:bCs/>
                <w:sz w:val="24"/>
                <w:szCs w:val="24"/>
              </w:rPr>
              <w:t>Collaborative working:</w:t>
            </w:r>
            <w:r w:rsidRPr="00E726B9">
              <w:rPr>
                <w:rFonts w:ascii="Aptos" w:hAnsi="Aptos"/>
                <w:sz w:val="24"/>
                <w:szCs w:val="24"/>
              </w:rPr>
              <w:t xml:space="preserve"> Welcoming the new Community Pharmacy and GMS Collaborative Leads. Working with a full complement of collaborative leaders provides exciting opportunities for the Cluster.</w:t>
            </w:r>
          </w:p>
        </w:tc>
      </w:tr>
    </w:tbl>
    <w:p w14:paraId="51F3260A" w14:textId="77777777" w:rsidR="00D15910" w:rsidRPr="00187F0E" w:rsidRDefault="00D15910" w:rsidP="00794F97">
      <w:pPr>
        <w:rPr>
          <w:rFonts w:ascii="Aptos" w:hAnsi="Aptos"/>
          <w:sz w:val="10"/>
          <w:szCs w:val="10"/>
        </w:rPr>
      </w:pPr>
    </w:p>
    <w:sectPr w:rsidR="00D15910" w:rsidRPr="00187F0E" w:rsidSect="00B64CDC">
      <w:pgSz w:w="11906" w:h="16838"/>
      <w:pgMar w:top="142" w:right="849" w:bottom="0" w:left="1440"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82BE51" w14:textId="77777777" w:rsidR="00D15910" w:rsidRDefault="00D15910" w:rsidP="00D15910">
      <w:pPr>
        <w:spacing w:after="0" w:line="240" w:lineRule="auto"/>
      </w:pPr>
      <w:r>
        <w:separator/>
      </w:r>
    </w:p>
  </w:endnote>
  <w:endnote w:type="continuationSeparator" w:id="0">
    <w:p w14:paraId="227AC9CB" w14:textId="77777777" w:rsidR="00D15910" w:rsidRDefault="00D15910" w:rsidP="00D159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1A8802" w14:textId="77777777" w:rsidR="00D15910" w:rsidRDefault="00D15910" w:rsidP="00D15910">
      <w:pPr>
        <w:spacing w:after="0" w:line="240" w:lineRule="auto"/>
      </w:pPr>
      <w:r>
        <w:separator/>
      </w:r>
    </w:p>
  </w:footnote>
  <w:footnote w:type="continuationSeparator" w:id="0">
    <w:p w14:paraId="33F6EB54" w14:textId="77777777" w:rsidR="00D15910" w:rsidRDefault="00D15910" w:rsidP="00D159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D37317E"/>
    <w:multiLevelType w:val="hybridMultilevel"/>
    <w:tmpl w:val="B1906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03C2626"/>
    <w:multiLevelType w:val="hybridMultilevel"/>
    <w:tmpl w:val="796C9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5396751">
    <w:abstractNumId w:val="1"/>
  </w:num>
  <w:num w:numId="2" w16cid:durableId="8989043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06"/>
    <w:rsid w:val="00051810"/>
    <w:rsid w:val="00063017"/>
    <w:rsid w:val="000A4E4F"/>
    <w:rsid w:val="000D6568"/>
    <w:rsid w:val="001375D9"/>
    <w:rsid w:val="00187F0E"/>
    <w:rsid w:val="001C2B4B"/>
    <w:rsid w:val="001F7360"/>
    <w:rsid w:val="00227894"/>
    <w:rsid w:val="00270475"/>
    <w:rsid w:val="003405E6"/>
    <w:rsid w:val="0044310D"/>
    <w:rsid w:val="00451052"/>
    <w:rsid w:val="004F34DB"/>
    <w:rsid w:val="004F4758"/>
    <w:rsid w:val="004F61E7"/>
    <w:rsid w:val="005448CD"/>
    <w:rsid w:val="006279CD"/>
    <w:rsid w:val="00641EDA"/>
    <w:rsid w:val="00665B81"/>
    <w:rsid w:val="00712092"/>
    <w:rsid w:val="0075291F"/>
    <w:rsid w:val="00794F97"/>
    <w:rsid w:val="007A4B03"/>
    <w:rsid w:val="007E484E"/>
    <w:rsid w:val="00855073"/>
    <w:rsid w:val="00937D06"/>
    <w:rsid w:val="009E22D7"/>
    <w:rsid w:val="00A67C54"/>
    <w:rsid w:val="00A730E4"/>
    <w:rsid w:val="00A75CFA"/>
    <w:rsid w:val="00A84DEA"/>
    <w:rsid w:val="00A97BD0"/>
    <w:rsid w:val="00B64CDC"/>
    <w:rsid w:val="00BD7DD7"/>
    <w:rsid w:val="00BF7210"/>
    <w:rsid w:val="00C15B9B"/>
    <w:rsid w:val="00CC7AE0"/>
    <w:rsid w:val="00D15910"/>
    <w:rsid w:val="00D20202"/>
    <w:rsid w:val="00D55A4E"/>
    <w:rsid w:val="00E2066F"/>
    <w:rsid w:val="00E271CA"/>
    <w:rsid w:val="00EB6AD1"/>
    <w:rsid w:val="00F70C85"/>
    <w:rsid w:val="00FB18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E56A68E"/>
  <w15:chartTrackingRefBased/>
  <w15:docId w15:val="{2E34FA4A-0362-4456-977F-FF6FC66A4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7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7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7D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7D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7D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7D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7D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7D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7D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7D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7D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7D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7D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7D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7D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7D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7D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7D06"/>
    <w:rPr>
      <w:rFonts w:eastAsiaTheme="majorEastAsia" w:cstheme="majorBidi"/>
      <w:color w:val="272727" w:themeColor="text1" w:themeTint="D8"/>
    </w:rPr>
  </w:style>
  <w:style w:type="paragraph" w:styleId="Title">
    <w:name w:val="Title"/>
    <w:basedOn w:val="Normal"/>
    <w:next w:val="Normal"/>
    <w:link w:val="TitleChar"/>
    <w:uiPriority w:val="10"/>
    <w:qFormat/>
    <w:rsid w:val="00937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7D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7D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7D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7D06"/>
    <w:pPr>
      <w:spacing w:before="160"/>
      <w:jc w:val="center"/>
    </w:pPr>
    <w:rPr>
      <w:i/>
      <w:iCs/>
      <w:color w:val="404040" w:themeColor="text1" w:themeTint="BF"/>
    </w:rPr>
  </w:style>
  <w:style w:type="character" w:customStyle="1" w:styleId="QuoteChar">
    <w:name w:val="Quote Char"/>
    <w:basedOn w:val="DefaultParagraphFont"/>
    <w:link w:val="Quote"/>
    <w:uiPriority w:val="29"/>
    <w:rsid w:val="00937D06"/>
    <w:rPr>
      <w:i/>
      <w:iCs/>
      <w:color w:val="404040" w:themeColor="text1" w:themeTint="BF"/>
    </w:rPr>
  </w:style>
  <w:style w:type="paragraph" w:styleId="ListParagraph">
    <w:name w:val="List Paragraph"/>
    <w:basedOn w:val="Normal"/>
    <w:uiPriority w:val="34"/>
    <w:qFormat/>
    <w:rsid w:val="00937D06"/>
    <w:pPr>
      <w:ind w:left="720"/>
      <w:contextualSpacing/>
    </w:pPr>
  </w:style>
  <w:style w:type="character" w:styleId="IntenseEmphasis">
    <w:name w:val="Intense Emphasis"/>
    <w:basedOn w:val="DefaultParagraphFont"/>
    <w:uiPriority w:val="21"/>
    <w:qFormat/>
    <w:rsid w:val="00937D06"/>
    <w:rPr>
      <w:i/>
      <w:iCs/>
      <w:color w:val="0F4761" w:themeColor="accent1" w:themeShade="BF"/>
    </w:rPr>
  </w:style>
  <w:style w:type="paragraph" w:styleId="IntenseQuote">
    <w:name w:val="Intense Quote"/>
    <w:basedOn w:val="Normal"/>
    <w:next w:val="Normal"/>
    <w:link w:val="IntenseQuoteChar"/>
    <w:uiPriority w:val="30"/>
    <w:qFormat/>
    <w:rsid w:val="00937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7D06"/>
    <w:rPr>
      <w:i/>
      <w:iCs/>
      <w:color w:val="0F4761" w:themeColor="accent1" w:themeShade="BF"/>
    </w:rPr>
  </w:style>
  <w:style w:type="character" w:styleId="IntenseReference">
    <w:name w:val="Intense Reference"/>
    <w:basedOn w:val="DefaultParagraphFont"/>
    <w:uiPriority w:val="32"/>
    <w:qFormat/>
    <w:rsid w:val="00937D06"/>
    <w:rPr>
      <w:b/>
      <w:bCs/>
      <w:smallCaps/>
      <w:color w:val="0F4761" w:themeColor="accent1" w:themeShade="BF"/>
      <w:spacing w:val="5"/>
    </w:rPr>
  </w:style>
  <w:style w:type="table" w:styleId="TableGrid">
    <w:name w:val="Table Grid"/>
    <w:basedOn w:val="TableNormal"/>
    <w:uiPriority w:val="39"/>
    <w:rsid w:val="00937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159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910"/>
  </w:style>
  <w:style w:type="paragraph" w:styleId="Footer">
    <w:name w:val="footer"/>
    <w:basedOn w:val="Normal"/>
    <w:link w:val="FooterChar"/>
    <w:uiPriority w:val="99"/>
    <w:unhideWhenUsed/>
    <w:rsid w:val="00D159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00805">
      <w:bodyDiv w:val="1"/>
      <w:marLeft w:val="0"/>
      <w:marRight w:val="0"/>
      <w:marTop w:val="0"/>
      <w:marBottom w:val="0"/>
      <w:divBdr>
        <w:top w:val="none" w:sz="0" w:space="0" w:color="auto"/>
        <w:left w:val="none" w:sz="0" w:space="0" w:color="auto"/>
        <w:bottom w:val="none" w:sz="0" w:space="0" w:color="auto"/>
        <w:right w:val="none" w:sz="0" w:space="0" w:color="auto"/>
      </w:divBdr>
    </w:div>
    <w:div w:id="7877099">
      <w:bodyDiv w:val="1"/>
      <w:marLeft w:val="0"/>
      <w:marRight w:val="0"/>
      <w:marTop w:val="0"/>
      <w:marBottom w:val="0"/>
      <w:divBdr>
        <w:top w:val="none" w:sz="0" w:space="0" w:color="auto"/>
        <w:left w:val="none" w:sz="0" w:space="0" w:color="auto"/>
        <w:bottom w:val="none" w:sz="0" w:space="0" w:color="auto"/>
        <w:right w:val="none" w:sz="0" w:space="0" w:color="auto"/>
      </w:divBdr>
    </w:div>
    <w:div w:id="24451969">
      <w:bodyDiv w:val="1"/>
      <w:marLeft w:val="0"/>
      <w:marRight w:val="0"/>
      <w:marTop w:val="0"/>
      <w:marBottom w:val="0"/>
      <w:divBdr>
        <w:top w:val="none" w:sz="0" w:space="0" w:color="auto"/>
        <w:left w:val="none" w:sz="0" w:space="0" w:color="auto"/>
        <w:bottom w:val="none" w:sz="0" w:space="0" w:color="auto"/>
        <w:right w:val="none" w:sz="0" w:space="0" w:color="auto"/>
      </w:divBdr>
    </w:div>
    <w:div w:id="94518918">
      <w:bodyDiv w:val="1"/>
      <w:marLeft w:val="0"/>
      <w:marRight w:val="0"/>
      <w:marTop w:val="0"/>
      <w:marBottom w:val="0"/>
      <w:divBdr>
        <w:top w:val="none" w:sz="0" w:space="0" w:color="auto"/>
        <w:left w:val="none" w:sz="0" w:space="0" w:color="auto"/>
        <w:bottom w:val="none" w:sz="0" w:space="0" w:color="auto"/>
        <w:right w:val="none" w:sz="0" w:space="0" w:color="auto"/>
      </w:divBdr>
    </w:div>
    <w:div w:id="114519166">
      <w:bodyDiv w:val="1"/>
      <w:marLeft w:val="0"/>
      <w:marRight w:val="0"/>
      <w:marTop w:val="0"/>
      <w:marBottom w:val="0"/>
      <w:divBdr>
        <w:top w:val="none" w:sz="0" w:space="0" w:color="auto"/>
        <w:left w:val="none" w:sz="0" w:space="0" w:color="auto"/>
        <w:bottom w:val="none" w:sz="0" w:space="0" w:color="auto"/>
        <w:right w:val="none" w:sz="0" w:space="0" w:color="auto"/>
      </w:divBdr>
    </w:div>
    <w:div w:id="213467294">
      <w:bodyDiv w:val="1"/>
      <w:marLeft w:val="0"/>
      <w:marRight w:val="0"/>
      <w:marTop w:val="0"/>
      <w:marBottom w:val="0"/>
      <w:divBdr>
        <w:top w:val="none" w:sz="0" w:space="0" w:color="auto"/>
        <w:left w:val="none" w:sz="0" w:space="0" w:color="auto"/>
        <w:bottom w:val="none" w:sz="0" w:space="0" w:color="auto"/>
        <w:right w:val="none" w:sz="0" w:space="0" w:color="auto"/>
      </w:divBdr>
    </w:div>
    <w:div w:id="225337229">
      <w:bodyDiv w:val="1"/>
      <w:marLeft w:val="0"/>
      <w:marRight w:val="0"/>
      <w:marTop w:val="0"/>
      <w:marBottom w:val="0"/>
      <w:divBdr>
        <w:top w:val="none" w:sz="0" w:space="0" w:color="auto"/>
        <w:left w:val="none" w:sz="0" w:space="0" w:color="auto"/>
        <w:bottom w:val="none" w:sz="0" w:space="0" w:color="auto"/>
        <w:right w:val="none" w:sz="0" w:space="0" w:color="auto"/>
      </w:divBdr>
    </w:div>
    <w:div w:id="521553693">
      <w:bodyDiv w:val="1"/>
      <w:marLeft w:val="0"/>
      <w:marRight w:val="0"/>
      <w:marTop w:val="0"/>
      <w:marBottom w:val="0"/>
      <w:divBdr>
        <w:top w:val="none" w:sz="0" w:space="0" w:color="auto"/>
        <w:left w:val="none" w:sz="0" w:space="0" w:color="auto"/>
        <w:bottom w:val="none" w:sz="0" w:space="0" w:color="auto"/>
        <w:right w:val="none" w:sz="0" w:space="0" w:color="auto"/>
      </w:divBdr>
    </w:div>
    <w:div w:id="597258223">
      <w:bodyDiv w:val="1"/>
      <w:marLeft w:val="0"/>
      <w:marRight w:val="0"/>
      <w:marTop w:val="0"/>
      <w:marBottom w:val="0"/>
      <w:divBdr>
        <w:top w:val="none" w:sz="0" w:space="0" w:color="auto"/>
        <w:left w:val="none" w:sz="0" w:space="0" w:color="auto"/>
        <w:bottom w:val="none" w:sz="0" w:space="0" w:color="auto"/>
        <w:right w:val="none" w:sz="0" w:space="0" w:color="auto"/>
      </w:divBdr>
    </w:div>
    <w:div w:id="785661422">
      <w:bodyDiv w:val="1"/>
      <w:marLeft w:val="0"/>
      <w:marRight w:val="0"/>
      <w:marTop w:val="0"/>
      <w:marBottom w:val="0"/>
      <w:divBdr>
        <w:top w:val="none" w:sz="0" w:space="0" w:color="auto"/>
        <w:left w:val="none" w:sz="0" w:space="0" w:color="auto"/>
        <w:bottom w:val="none" w:sz="0" w:space="0" w:color="auto"/>
        <w:right w:val="none" w:sz="0" w:space="0" w:color="auto"/>
      </w:divBdr>
    </w:div>
    <w:div w:id="927276039">
      <w:bodyDiv w:val="1"/>
      <w:marLeft w:val="0"/>
      <w:marRight w:val="0"/>
      <w:marTop w:val="0"/>
      <w:marBottom w:val="0"/>
      <w:divBdr>
        <w:top w:val="none" w:sz="0" w:space="0" w:color="auto"/>
        <w:left w:val="none" w:sz="0" w:space="0" w:color="auto"/>
        <w:bottom w:val="none" w:sz="0" w:space="0" w:color="auto"/>
        <w:right w:val="none" w:sz="0" w:space="0" w:color="auto"/>
      </w:divBdr>
    </w:div>
    <w:div w:id="1062555398">
      <w:bodyDiv w:val="1"/>
      <w:marLeft w:val="0"/>
      <w:marRight w:val="0"/>
      <w:marTop w:val="0"/>
      <w:marBottom w:val="0"/>
      <w:divBdr>
        <w:top w:val="none" w:sz="0" w:space="0" w:color="auto"/>
        <w:left w:val="none" w:sz="0" w:space="0" w:color="auto"/>
        <w:bottom w:val="none" w:sz="0" w:space="0" w:color="auto"/>
        <w:right w:val="none" w:sz="0" w:space="0" w:color="auto"/>
      </w:divBdr>
    </w:div>
    <w:div w:id="1258518648">
      <w:bodyDiv w:val="1"/>
      <w:marLeft w:val="0"/>
      <w:marRight w:val="0"/>
      <w:marTop w:val="0"/>
      <w:marBottom w:val="0"/>
      <w:divBdr>
        <w:top w:val="none" w:sz="0" w:space="0" w:color="auto"/>
        <w:left w:val="none" w:sz="0" w:space="0" w:color="auto"/>
        <w:bottom w:val="none" w:sz="0" w:space="0" w:color="auto"/>
        <w:right w:val="none" w:sz="0" w:space="0" w:color="auto"/>
      </w:divBdr>
    </w:div>
    <w:div w:id="1300960368">
      <w:bodyDiv w:val="1"/>
      <w:marLeft w:val="0"/>
      <w:marRight w:val="0"/>
      <w:marTop w:val="0"/>
      <w:marBottom w:val="0"/>
      <w:divBdr>
        <w:top w:val="none" w:sz="0" w:space="0" w:color="auto"/>
        <w:left w:val="none" w:sz="0" w:space="0" w:color="auto"/>
        <w:bottom w:val="none" w:sz="0" w:space="0" w:color="auto"/>
        <w:right w:val="none" w:sz="0" w:space="0" w:color="auto"/>
      </w:divBdr>
    </w:div>
    <w:div w:id="1319307460">
      <w:bodyDiv w:val="1"/>
      <w:marLeft w:val="0"/>
      <w:marRight w:val="0"/>
      <w:marTop w:val="0"/>
      <w:marBottom w:val="0"/>
      <w:divBdr>
        <w:top w:val="none" w:sz="0" w:space="0" w:color="auto"/>
        <w:left w:val="none" w:sz="0" w:space="0" w:color="auto"/>
        <w:bottom w:val="none" w:sz="0" w:space="0" w:color="auto"/>
        <w:right w:val="none" w:sz="0" w:space="0" w:color="auto"/>
      </w:divBdr>
    </w:div>
    <w:div w:id="1585410888">
      <w:bodyDiv w:val="1"/>
      <w:marLeft w:val="0"/>
      <w:marRight w:val="0"/>
      <w:marTop w:val="0"/>
      <w:marBottom w:val="0"/>
      <w:divBdr>
        <w:top w:val="none" w:sz="0" w:space="0" w:color="auto"/>
        <w:left w:val="none" w:sz="0" w:space="0" w:color="auto"/>
        <w:bottom w:val="none" w:sz="0" w:space="0" w:color="auto"/>
        <w:right w:val="none" w:sz="0" w:space="0" w:color="auto"/>
      </w:divBdr>
    </w:div>
    <w:div w:id="1636328127">
      <w:bodyDiv w:val="1"/>
      <w:marLeft w:val="0"/>
      <w:marRight w:val="0"/>
      <w:marTop w:val="0"/>
      <w:marBottom w:val="0"/>
      <w:divBdr>
        <w:top w:val="none" w:sz="0" w:space="0" w:color="auto"/>
        <w:left w:val="none" w:sz="0" w:space="0" w:color="auto"/>
        <w:bottom w:val="none" w:sz="0" w:space="0" w:color="auto"/>
        <w:right w:val="none" w:sz="0" w:space="0" w:color="auto"/>
      </w:divBdr>
    </w:div>
    <w:div w:id="1959793898">
      <w:bodyDiv w:val="1"/>
      <w:marLeft w:val="0"/>
      <w:marRight w:val="0"/>
      <w:marTop w:val="0"/>
      <w:marBottom w:val="0"/>
      <w:divBdr>
        <w:top w:val="none" w:sz="0" w:space="0" w:color="auto"/>
        <w:left w:val="none" w:sz="0" w:space="0" w:color="auto"/>
        <w:bottom w:val="none" w:sz="0" w:space="0" w:color="auto"/>
        <w:right w:val="none" w:sz="0" w:space="0" w:color="auto"/>
      </w:divBdr>
    </w:div>
    <w:div w:id="1972058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893</Words>
  <Characters>5091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5973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Bastone (Swansea Bay UHB - Cluster Development &amp; Planning)</dc:creator>
  <cp:keywords/>
  <dc:description/>
  <cp:lastModifiedBy>Christie Bannon (Swansea Bay UHB - Communications)</cp:lastModifiedBy>
  <cp:revision>9</cp:revision>
  <dcterms:created xsi:type="dcterms:W3CDTF">2024-11-28T14:11:00Z</dcterms:created>
  <dcterms:modified xsi:type="dcterms:W3CDTF">2024-12-30T10:38:00Z</dcterms:modified>
</cp:coreProperties>
</file>