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6615EA8">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rPr>
            <w:alias w:val="Insert Meeting Date"/>
            <w:tag w:val="Insert Meeting Date"/>
            <w:id w:val="-1199389736"/>
            <w:lock w:val="sdtLocked"/>
            <w:placeholder>
              <w:docPart w:val="CE3795E89F6B48CE9FEFED8F7EA4BA20"/>
            </w:placeholder>
            <w15:color w:val="000000"/>
            <w:date w:fullDate="2026-10-22T00:00:00Z">
              <w:dateFormat w:val="dd MMMM yyyy"/>
              <w:lid w:val="en-GB"/>
              <w:storeMappedDataAs w:val="dateTime"/>
              <w:calendar w:val="gregorian"/>
            </w:date>
          </w:sdtPr>
          <w:sdtEndPr>
            <w:rPr>
              <w:rStyle w:val="DefaultParagraphFont"/>
            </w:rPr>
          </w:sdtEndPr>
          <w:sdtContent>
            <w:tc>
              <w:tcPr>
                <w:tcW w:w="2835" w:type="dxa"/>
              </w:tcPr>
              <w:p w14:paraId="6D2903DF" w14:textId="590819F3" w:rsidR="00F5082D" w:rsidRPr="00B105BD" w:rsidRDefault="00184B94" w:rsidP="00FA0CA9">
                <w:pPr>
                  <w:rPr>
                    <w:b/>
                    <w:bCs/>
                  </w:rPr>
                </w:pPr>
                <w:r w:rsidRPr="00D82CFB">
                  <w:rPr>
                    <w:rStyle w:val="Style1"/>
                  </w:rPr>
                  <w:t>22 October 202</w:t>
                </w:r>
                <w:r w:rsidR="00D82CFB">
                  <w:rPr>
                    <w:rStyle w:val="Style1"/>
                  </w:rPr>
                  <w:t>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4EB4DE1A" w:rsidR="00F5082D" w:rsidRPr="001920D5" w:rsidRDefault="001920D5" w:rsidP="00FA0CA9">
            <w:pPr>
              <w:rPr>
                <w:bCs/>
              </w:rPr>
            </w:pPr>
            <w:r w:rsidRPr="001920D5">
              <w:rPr>
                <w:bCs/>
              </w:rPr>
              <w:t>3.5</w:t>
            </w:r>
          </w:p>
        </w:tc>
      </w:tr>
      <w:tr w:rsidR="00B0479E" w:rsidRPr="00F8567E" w14:paraId="1EEB45B2" w14:textId="77777777" w:rsidTr="66615EA8">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60960E3D" w:rsidR="00B0479E" w:rsidRPr="00EC7151" w:rsidRDefault="00174BDB" w:rsidP="00FA0CA9">
                <w:pPr>
                  <w:rPr>
                    <w:b/>
                    <w:bCs/>
                  </w:rPr>
                </w:pPr>
                <w:r w:rsidRPr="00D82CFB">
                  <w:rPr>
                    <w:rStyle w:val="CorporateFont"/>
                  </w:rPr>
                  <w:t>Workforce and Organisational Development Committee</w:t>
                </w:r>
              </w:p>
            </w:tc>
          </w:sdtContent>
        </w:sdt>
      </w:tr>
      <w:tr w:rsidR="00083FC0" w:rsidRPr="00F8567E" w14:paraId="6D2903E5" w14:textId="77777777" w:rsidTr="66615EA8">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0DCE922B" w14:textId="77777777" w:rsidR="00184B94" w:rsidRPr="00D82CFB" w:rsidRDefault="00C71A37" w:rsidP="00184B94">
            <w:pPr>
              <w:rPr>
                <w:rFonts w:ascii="Times New Roman" w:eastAsia="Times New Roman" w:hAnsi="Times New Roman" w:cs="Times New Roman"/>
                <w:lang w:eastAsia="en-GB"/>
              </w:rPr>
            </w:pPr>
            <w:r w:rsidRPr="00D82CFB">
              <w:t xml:space="preserve">Enhanced, Advanced and Consultant </w:t>
            </w:r>
            <w:r w:rsidR="00315EBE" w:rsidRPr="00D82CFB">
              <w:t>P</w:t>
            </w:r>
            <w:r w:rsidR="00044930" w:rsidRPr="00D82CFB">
              <w:t xml:space="preserve">ractice Governance Group </w:t>
            </w:r>
            <w:r w:rsidR="00184B94" w:rsidRPr="00D82CFB">
              <w:rPr>
                <w:rFonts w:eastAsia="Times New Roman" w:cs="Times New Roman"/>
                <w:lang w:eastAsia="en-GB"/>
              </w:rPr>
              <w:t>(Multi-Professional Workforce Excluding Medical Staff)</w:t>
            </w:r>
          </w:p>
          <w:p w14:paraId="6D2903E4" w14:textId="48CA3A69" w:rsidR="00034194" w:rsidRPr="00EC7151" w:rsidRDefault="00034194" w:rsidP="00FA0CA9">
            <w:pPr>
              <w:rPr>
                <w:b/>
                <w:bCs/>
              </w:rPr>
            </w:pPr>
          </w:p>
        </w:tc>
      </w:tr>
      <w:tr w:rsidR="00083FC0" w:rsidRPr="00F8567E" w14:paraId="6D2903E8" w14:textId="77777777" w:rsidTr="66615EA8">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568F3140" w:rsidR="00034194" w:rsidRPr="00F8567E" w:rsidRDefault="00044930" w:rsidP="00FA0CA9">
            <w:r>
              <w:t xml:space="preserve">Debora Harry Deputy </w:t>
            </w:r>
            <w:r w:rsidR="00174BDB">
              <w:t>Head of Nursing and Midwifery Academy</w:t>
            </w:r>
          </w:p>
        </w:tc>
      </w:tr>
      <w:tr w:rsidR="00762BBE" w:rsidRPr="00F8567E" w14:paraId="6D2903EB" w14:textId="77777777" w:rsidTr="66615EA8">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51122BD5" w:rsidR="00762BBE" w:rsidRPr="00F8567E" w:rsidRDefault="00766F15" w:rsidP="00762BBE">
                <w:r>
                  <w:rPr>
                    <w:rStyle w:val="Style1"/>
                  </w:rPr>
                  <w:t>Executive Director of Nursing and Patient Experience</w:t>
                </w:r>
              </w:p>
            </w:tc>
          </w:sdtContent>
        </w:sdt>
      </w:tr>
      <w:tr w:rsidR="00762BBE" w:rsidRPr="00F8567E" w14:paraId="6D2903EE" w14:textId="77777777" w:rsidTr="66615EA8">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33815035" w:rsidR="00762BBE" w:rsidRPr="00F8567E" w:rsidRDefault="00417932" w:rsidP="00762BBE">
            <w:r>
              <w:t xml:space="preserve">Elizabeth Rix </w:t>
            </w:r>
            <w:r w:rsidR="00586985">
              <w:t>Executive Nurse Director of Nursing and Patient Experience</w:t>
            </w:r>
          </w:p>
        </w:tc>
      </w:tr>
      <w:tr w:rsidR="00653AEC" w:rsidRPr="00F8567E" w14:paraId="6D2903F1" w14:textId="77777777" w:rsidTr="66615EA8">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5FFEBA2A" w:rsidR="00850C29" w:rsidRPr="00F618CD" w:rsidRDefault="00174BDB" w:rsidP="004222DD">
                <w:r>
                  <w:rPr>
                    <w:rStyle w:val="Style1"/>
                  </w:rPr>
                  <w:t>Open</w:t>
                </w:r>
              </w:p>
            </w:sdtContent>
          </w:sdt>
        </w:tc>
      </w:tr>
      <w:tr w:rsidR="00041CF6" w:rsidRPr="00F8567E" w14:paraId="3533518D" w14:textId="77777777" w:rsidTr="66615EA8">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6615EA8">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6615EA8">
        <w:tc>
          <w:tcPr>
            <w:tcW w:w="5812" w:type="dxa"/>
            <w:gridSpan w:val="2"/>
          </w:tcPr>
          <w:p w14:paraId="078FAAE6" w14:textId="450BEA21" w:rsidR="00D82CFB" w:rsidRPr="00D82CFB" w:rsidRDefault="00D82CFB" w:rsidP="00D82CFB">
            <w:pPr>
              <w:spacing w:line="300" w:lineRule="atLeast"/>
              <w:rPr>
                <w:rFonts w:eastAsia="Times New Roman" w:cs="Segoe UI"/>
                <w:lang w:eastAsia="en-GB"/>
              </w:rPr>
            </w:pPr>
            <w:r w:rsidRPr="00D82CFB">
              <w:rPr>
                <w:rFonts w:eastAsia="Times New Roman" w:cs="Segoe UI"/>
                <w:lang w:eastAsia="en-GB"/>
              </w:rPr>
              <w:t xml:space="preserve">No negative impacts have been identified. The Governance Group will provide oversight, stakeholder engagement, and regular performance monitoring. Ongoing review of workforce and equality data will support informed decision-making and continuous improvement. Assurance reporting will be provided through established governance structures. Overall, the </w:t>
            </w:r>
            <w:r w:rsidR="00233FEC">
              <w:rPr>
                <w:rFonts w:eastAsia="Times New Roman" w:cs="Segoe UI"/>
                <w:lang w:eastAsia="en-GB"/>
              </w:rPr>
              <w:t>establishment of the Governance Group</w:t>
            </w:r>
            <w:r w:rsidRPr="00D82CFB">
              <w:rPr>
                <w:rFonts w:eastAsia="Times New Roman" w:cs="Segoe UI"/>
                <w:lang w:eastAsia="en-GB"/>
              </w:rPr>
              <w:t xml:space="preserve"> is expected to positively impact workforce development, quality, safety, and organisational assurance.</w:t>
            </w:r>
          </w:p>
          <w:p w14:paraId="5E84E502" w14:textId="34CABEB8" w:rsidR="00A35122" w:rsidRPr="00737883" w:rsidRDefault="00A35122" w:rsidP="00D82CFB">
            <w:pPr>
              <w:spacing w:line="300" w:lineRule="atLeast"/>
              <w:rPr>
                <w:b/>
                <w:color w:val="FF0000"/>
              </w:rPr>
            </w:pPr>
          </w:p>
        </w:tc>
        <w:sdt>
          <w:sdtPr>
            <w:rPr>
              <w:bCs/>
            </w:rPr>
            <w:alias w:val="Insert IA completion date"/>
            <w:tag w:val="Insert IA Completion date"/>
            <w:id w:val="-1846939928"/>
            <w:placeholder>
              <w:docPart w:val="453E1E0B8AFF4D1F99289921CB762A2D"/>
            </w:placeholder>
            <w15:color w:val="000000"/>
            <w:date w:fullDate="2026-10-06T00:00:00Z">
              <w:dateFormat w:val="dd MMMM yyyy"/>
              <w:lid w:val="en-GB"/>
              <w:storeMappedDataAs w:val="dateTime"/>
              <w:calendar w:val="gregorian"/>
            </w:date>
          </w:sdtPr>
          <w:sdtContent>
            <w:tc>
              <w:tcPr>
                <w:tcW w:w="3209" w:type="dxa"/>
                <w:gridSpan w:val="2"/>
              </w:tcPr>
              <w:p w14:paraId="6CF9C42A" w14:textId="64C398C7" w:rsidR="00860674" w:rsidRPr="000203BD" w:rsidRDefault="00184B94" w:rsidP="00110100">
                <w:pPr>
                  <w:rPr>
                    <w:bCs/>
                  </w:rPr>
                </w:pPr>
                <w:r>
                  <w:rPr>
                    <w:bCs/>
                  </w:rPr>
                  <w:t>06 October 2026</w:t>
                </w:r>
              </w:p>
            </w:tc>
          </w:sdtContent>
        </w:sdt>
      </w:tr>
      <w:tr w:rsidR="00EA4667" w:rsidRPr="005F4E71" w14:paraId="2BABD8F1" w14:textId="77777777" w:rsidTr="66615EA8">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626156A1" w:rsidR="00EA4667" w:rsidRPr="005F4E71" w:rsidRDefault="00C03B15">
                <w:pPr>
                  <w:ind w:right="96"/>
                </w:pPr>
                <w:r>
                  <w:rPr>
                    <w:rStyle w:val="Style1"/>
                  </w:rPr>
                  <w:t>For Assurance</w:t>
                </w:r>
              </w:p>
            </w:tc>
          </w:sdtContent>
        </w:sdt>
      </w:tr>
      <w:tr w:rsidR="00110100" w:rsidRPr="00F8567E" w14:paraId="2607A37D" w14:textId="77777777" w:rsidTr="66615EA8">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6615EA8">
        <w:tc>
          <w:tcPr>
            <w:tcW w:w="9021" w:type="dxa"/>
            <w:gridSpan w:val="4"/>
          </w:tcPr>
          <w:p w14:paraId="1D3D3E5B" w14:textId="5DA275DA" w:rsidR="001E79F8" w:rsidRPr="001E79F8" w:rsidRDefault="001E79F8" w:rsidP="001E79F8">
            <w:pPr>
              <w:spacing w:line="300" w:lineRule="atLeast"/>
              <w:rPr>
                <w:rFonts w:eastAsia="Times New Roman" w:cs="Segoe UI"/>
                <w:lang w:eastAsia="en-GB"/>
              </w:rPr>
            </w:pPr>
            <w:r w:rsidRPr="001E79F8">
              <w:rPr>
                <w:rFonts w:eastAsia="Times New Roman" w:cs="Segoe UI"/>
                <w:lang w:eastAsia="en-GB"/>
              </w:rPr>
              <w:t xml:space="preserve">To </w:t>
            </w:r>
            <w:r w:rsidR="00C03B15">
              <w:rPr>
                <w:rFonts w:eastAsia="Times New Roman" w:cs="Segoe UI"/>
                <w:lang w:eastAsia="en-GB"/>
              </w:rPr>
              <w:t xml:space="preserve">provide assurance </w:t>
            </w:r>
            <w:r w:rsidR="00284893">
              <w:rPr>
                <w:rFonts w:eastAsia="Times New Roman" w:cs="Segoe UI"/>
                <w:lang w:eastAsia="en-GB"/>
              </w:rPr>
              <w:t xml:space="preserve">of </w:t>
            </w:r>
            <w:r w:rsidRPr="001E79F8">
              <w:rPr>
                <w:rFonts w:eastAsia="Times New Roman" w:cs="Segoe UI"/>
                <w:lang w:eastAsia="en-GB"/>
              </w:rPr>
              <w:t xml:space="preserve">the establishment of an Enhanced, Advanced and Consultant Practice Governance Group (Multi-Professional Workforce Excluding Medical Staff), including its Terms of Reference and reporting arrangements, to strengthen oversight, assurance and governance of </w:t>
            </w:r>
            <w:r w:rsidR="003F6878" w:rsidRPr="00D82CFB">
              <w:rPr>
                <w:rFonts w:cs="Segoe UI"/>
              </w:rPr>
              <w:t xml:space="preserve">Enhanced, Advanced and Consultant Practice </w:t>
            </w:r>
            <w:r w:rsidR="003F6878">
              <w:rPr>
                <w:rFonts w:cs="Segoe UI"/>
              </w:rPr>
              <w:t>(</w:t>
            </w:r>
            <w:r w:rsidRPr="001E79F8">
              <w:rPr>
                <w:rFonts w:eastAsia="Times New Roman" w:cs="Segoe UI"/>
                <w:lang w:eastAsia="en-GB"/>
              </w:rPr>
              <w:t>EACP</w:t>
            </w:r>
            <w:r w:rsidR="003F6878">
              <w:rPr>
                <w:rFonts w:eastAsia="Times New Roman" w:cs="Segoe UI"/>
                <w:lang w:eastAsia="en-GB"/>
              </w:rPr>
              <w:t>)</w:t>
            </w:r>
            <w:r w:rsidRPr="001E79F8">
              <w:rPr>
                <w:rFonts w:eastAsia="Times New Roman" w:cs="Segoe UI"/>
                <w:lang w:eastAsia="en-GB"/>
              </w:rPr>
              <w:t xml:space="preserve"> roles across the Health Board.</w:t>
            </w:r>
          </w:p>
          <w:p w14:paraId="6D2903F7" w14:textId="592709FA" w:rsidR="00110100" w:rsidRPr="00737883" w:rsidRDefault="00110100" w:rsidP="001E79F8">
            <w:pPr>
              <w:spacing w:line="300" w:lineRule="atLeast"/>
              <w:rPr>
                <w:b/>
                <w:color w:val="FF0000"/>
              </w:rPr>
            </w:pPr>
          </w:p>
        </w:tc>
      </w:tr>
      <w:tr w:rsidR="00110100" w:rsidRPr="00F8567E" w14:paraId="70491417" w14:textId="77777777" w:rsidTr="66615EA8">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6615EA8">
        <w:tc>
          <w:tcPr>
            <w:tcW w:w="9021" w:type="dxa"/>
            <w:gridSpan w:val="4"/>
          </w:tcPr>
          <w:p w14:paraId="6D290401" w14:textId="0C77FC3A" w:rsidR="00110100" w:rsidRPr="00D82CFB" w:rsidRDefault="00D82CFB" w:rsidP="00D82CFB">
            <w:pPr>
              <w:pStyle w:val="NormalWeb"/>
              <w:spacing w:line="300" w:lineRule="atLeast"/>
              <w:rPr>
                <w:rFonts w:ascii="Verdana" w:hAnsi="Verdana" w:cs="Segoe UI"/>
              </w:rPr>
            </w:pPr>
            <w:r w:rsidRPr="00D82CFB">
              <w:rPr>
                <w:rFonts w:ascii="Verdana" w:hAnsi="Verdana" w:cs="Segoe UI"/>
              </w:rPr>
              <w:t>The continued growth of EACP</w:t>
            </w:r>
            <w:r w:rsidR="003F6878">
              <w:rPr>
                <w:rFonts w:ascii="Verdana" w:hAnsi="Verdana" w:cs="Segoe UI"/>
              </w:rPr>
              <w:t xml:space="preserve"> </w:t>
            </w:r>
            <w:r w:rsidRPr="00D82CFB">
              <w:rPr>
                <w:rFonts w:ascii="Verdana" w:hAnsi="Verdana" w:cs="Segoe UI"/>
              </w:rPr>
              <w:t xml:space="preserve">roles across the Health Board requires a robust and consistent governance framework. The Governance Group will provide strategic oversight, assurance and coordination of EACP roles, supporting compliance with national standards, workforce </w:t>
            </w:r>
            <w:r w:rsidRPr="00D82CFB">
              <w:rPr>
                <w:rFonts w:ascii="Verdana" w:hAnsi="Verdana" w:cs="Segoe UI"/>
              </w:rPr>
              <w:lastRenderedPageBreak/>
              <w:t xml:space="preserve">planning and organisational priorities. </w:t>
            </w:r>
            <w:r w:rsidR="000C216D">
              <w:rPr>
                <w:rFonts w:ascii="Verdana" w:hAnsi="Verdana" w:cs="Segoe UI"/>
              </w:rPr>
              <w:t>T</w:t>
            </w:r>
            <w:r w:rsidRPr="00D82CFB">
              <w:rPr>
                <w:rFonts w:ascii="Verdana" w:hAnsi="Verdana" w:cs="Segoe UI"/>
              </w:rPr>
              <w:t>he Group will strengthen organisational assurance and promote a standardised approach to role development, while failure to do so may result in variation in governance arrangements, reduced assurance and increased risk of non-compliance.</w:t>
            </w:r>
          </w:p>
        </w:tc>
      </w:tr>
      <w:tr w:rsidR="00B22CF9" w:rsidRPr="00F8567E" w14:paraId="78C95897" w14:textId="77777777" w:rsidTr="66615EA8">
        <w:tc>
          <w:tcPr>
            <w:tcW w:w="2977" w:type="dxa"/>
            <w:shd w:val="clear" w:color="auto" w:fill="C1A775"/>
          </w:tcPr>
          <w:p w14:paraId="1B78D4FE" w14:textId="54876F52" w:rsidR="00B22CF9" w:rsidRPr="00F8567E" w:rsidRDefault="00B22CF9">
            <w:pPr>
              <w:rPr>
                <w:b/>
                <w:bCs/>
              </w:rPr>
            </w:pPr>
            <w:r w:rsidRPr="6FC5F940">
              <w:rPr>
                <w:b/>
                <w:bCs/>
              </w:rPr>
              <w:lastRenderedPageBreak/>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1A1CDF88" w:rsidR="00B22CF9" w:rsidRPr="00F8567E" w:rsidRDefault="00BF578D">
                <w:pPr>
                  <w:rPr>
                    <w:b/>
                  </w:rPr>
                </w:pPr>
                <w:r>
                  <w:rPr>
                    <w:rStyle w:val="Style1"/>
                  </w:rPr>
                  <w:t>Yes, Impact Assessment included</w:t>
                </w:r>
              </w:p>
            </w:sdtContent>
          </w:sdt>
        </w:tc>
      </w:tr>
      <w:tr w:rsidR="00110100" w:rsidRPr="00F8567E" w14:paraId="4682E8B7" w14:textId="77777777" w:rsidTr="66615EA8">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6615EA8">
        <w:tc>
          <w:tcPr>
            <w:tcW w:w="9021" w:type="dxa"/>
            <w:gridSpan w:val="4"/>
          </w:tcPr>
          <w:p w14:paraId="193BA053" w14:textId="77777777" w:rsidR="001849A5" w:rsidRDefault="000B37BB" w:rsidP="001849A5">
            <w:pPr>
              <w:spacing w:line="300" w:lineRule="atLeast"/>
              <w:rPr>
                <w:rFonts w:eastAsia="Times New Roman" w:cs="Segoe UI"/>
                <w:lang w:eastAsia="en-GB"/>
              </w:rPr>
            </w:pPr>
            <w:r w:rsidRPr="000C2280">
              <w:rPr>
                <w:rFonts w:eastAsia="Times New Roman" w:cs="Segoe UI"/>
                <w:lang w:eastAsia="en-GB"/>
              </w:rPr>
              <w:t xml:space="preserve">The </w:t>
            </w:r>
            <w:r w:rsidR="00942F5A">
              <w:rPr>
                <w:rFonts w:eastAsia="Times New Roman" w:cs="Segoe UI"/>
                <w:lang w:eastAsia="en-GB"/>
              </w:rPr>
              <w:t>Committee</w:t>
            </w:r>
            <w:r w:rsidRPr="000C2280">
              <w:rPr>
                <w:rFonts w:eastAsia="Times New Roman" w:cs="Segoe UI"/>
                <w:lang w:eastAsia="en-GB"/>
              </w:rPr>
              <w:t xml:space="preserve"> is asked to</w:t>
            </w:r>
            <w:r>
              <w:rPr>
                <w:rFonts w:eastAsia="Times New Roman" w:cs="Segoe UI"/>
                <w:lang w:eastAsia="en-GB"/>
              </w:rPr>
              <w:t xml:space="preserve">: </w:t>
            </w:r>
            <w:r w:rsidRPr="000C2280">
              <w:rPr>
                <w:rFonts w:eastAsia="Times New Roman" w:cs="Segoe UI"/>
                <w:lang w:eastAsia="en-GB"/>
              </w:rPr>
              <w:t xml:space="preserve"> </w:t>
            </w:r>
          </w:p>
          <w:p w14:paraId="5BBABF4E" w14:textId="133CA967" w:rsidR="000B37BB" w:rsidRPr="001849A5" w:rsidRDefault="7E14011C" w:rsidP="001849A5">
            <w:pPr>
              <w:spacing w:line="300" w:lineRule="atLeast"/>
              <w:rPr>
                <w:rFonts w:eastAsia="Times New Roman" w:cs="Segoe UI"/>
                <w:lang w:eastAsia="en-GB"/>
              </w:rPr>
            </w:pPr>
            <w:r w:rsidRPr="001849A5">
              <w:rPr>
                <w:rStyle w:val="Strong"/>
                <w:rFonts w:cs="Segoe UI"/>
              </w:rPr>
              <w:t>Acknowledge</w:t>
            </w:r>
            <w:r w:rsidR="000B37BB" w:rsidRPr="66615EA8">
              <w:rPr>
                <w:rStyle w:val="Strong"/>
                <w:rFonts w:cs="Segoe UI"/>
                <w:b w:val="0"/>
                <w:bCs w:val="0"/>
              </w:rPr>
              <w:t xml:space="preserve"> the establishment of an Enhanced, Advanced and Consultant Practice Governance Group</w:t>
            </w:r>
            <w:r w:rsidR="000B37BB" w:rsidRPr="66615EA8">
              <w:rPr>
                <w:rFonts w:cs="Segoe UI"/>
              </w:rPr>
              <w:t xml:space="preserve"> to provide strategic oversight, assurance and coordination of Enhanced, Advanced and Consultant Practice roles across the Health Board.</w:t>
            </w:r>
          </w:p>
          <w:p w14:paraId="5308DAB5" w14:textId="3E76F921" w:rsidR="001E3149" w:rsidRDefault="27D77FF5" w:rsidP="001849A5">
            <w:pPr>
              <w:pStyle w:val="NormalWeb"/>
              <w:spacing w:line="300" w:lineRule="atLeast"/>
              <w:rPr>
                <w:rFonts w:ascii="Verdana" w:hAnsi="Verdana" w:cs="Segoe UI"/>
              </w:rPr>
            </w:pPr>
            <w:r w:rsidRPr="001849A5">
              <w:rPr>
                <w:rStyle w:val="Strong"/>
                <w:rFonts w:ascii="Verdana" w:hAnsi="Verdana" w:cs="Segoe UI"/>
              </w:rPr>
              <w:t>Acknowledge</w:t>
            </w:r>
            <w:r w:rsidR="000B37BB" w:rsidRPr="66615EA8">
              <w:rPr>
                <w:rStyle w:val="Strong"/>
                <w:rFonts w:ascii="Verdana" w:hAnsi="Verdana" w:cs="Segoe UI"/>
                <w:b w:val="0"/>
                <w:bCs w:val="0"/>
              </w:rPr>
              <w:t xml:space="preserve"> the proposed Terms of Reference and reporting arrangements</w:t>
            </w:r>
            <w:r w:rsidR="000B37BB" w:rsidRPr="66615EA8">
              <w:rPr>
                <w:rFonts w:ascii="Verdana" w:hAnsi="Verdana" w:cs="Segoe UI"/>
              </w:rPr>
              <w:t xml:space="preserve"> for the Governance Group, ensuring clear accountability and alignment with existing governance structure</w:t>
            </w:r>
            <w:r w:rsidR="001E3149" w:rsidRPr="66615EA8">
              <w:rPr>
                <w:rFonts w:ascii="Verdana" w:hAnsi="Verdana" w:cs="Segoe UI"/>
              </w:rPr>
              <w:t>.</w:t>
            </w:r>
          </w:p>
          <w:p w14:paraId="22D0223E" w14:textId="3B38E58A" w:rsidR="00874CD2" w:rsidRPr="001E3149" w:rsidRDefault="005D67C5" w:rsidP="001849A5">
            <w:pPr>
              <w:pStyle w:val="NormalWeb"/>
              <w:spacing w:line="300" w:lineRule="atLeast"/>
              <w:rPr>
                <w:rFonts w:ascii="Verdana" w:hAnsi="Verdana" w:cs="Segoe UI"/>
              </w:rPr>
            </w:pPr>
            <w:r w:rsidRPr="001849A5">
              <w:rPr>
                <w:rFonts w:ascii="Verdana" w:hAnsi="Verdana" w:cs="Segoe UI"/>
                <w:b/>
                <w:bCs/>
              </w:rPr>
              <w:t>Receive</w:t>
            </w:r>
            <w:r w:rsidR="00642176">
              <w:rPr>
                <w:rFonts w:ascii="Verdana" w:hAnsi="Verdana" w:cs="Segoe UI"/>
              </w:rPr>
              <w:t xml:space="preserve"> </w:t>
            </w:r>
            <w:r>
              <w:rPr>
                <w:rFonts w:ascii="Verdana" w:hAnsi="Verdana" w:cs="Segoe UI"/>
              </w:rPr>
              <w:t xml:space="preserve">six-monthly </w:t>
            </w:r>
            <w:r w:rsidR="001E79F8" w:rsidRPr="001E79F8">
              <w:rPr>
                <w:rFonts w:ascii="Verdana" w:hAnsi="Verdana" w:cs="Segoe UI"/>
              </w:rPr>
              <w:t>assurance</w:t>
            </w:r>
            <w:r w:rsidR="001E79F8">
              <w:rPr>
                <w:rFonts w:cs="Segoe UI"/>
              </w:rPr>
              <w:t xml:space="preserve"> </w:t>
            </w:r>
            <w:r w:rsidR="00874CD2" w:rsidRPr="001E3149">
              <w:rPr>
                <w:rFonts w:ascii="Verdana" w:hAnsi="Verdana" w:cs="Segoe UI"/>
              </w:rPr>
              <w:t>report</w:t>
            </w:r>
            <w:r w:rsidR="001E79F8">
              <w:rPr>
                <w:rFonts w:ascii="Verdana" w:hAnsi="Verdana" w:cs="Segoe UI"/>
              </w:rPr>
              <w:t xml:space="preserve">s </w:t>
            </w:r>
            <w:r>
              <w:rPr>
                <w:rFonts w:ascii="Verdana" w:hAnsi="Verdana" w:cs="Segoe UI"/>
              </w:rPr>
              <w:t>from the Governance Group regarding workforce development</w:t>
            </w:r>
            <w:r w:rsidR="00B27C47">
              <w:rPr>
                <w:rFonts w:ascii="Verdana" w:hAnsi="Verdana" w:cs="Segoe UI"/>
              </w:rPr>
              <w:t>, governance compliance, service impact and associated risks.</w:t>
            </w:r>
          </w:p>
          <w:p w14:paraId="6D290414" w14:textId="02318F37" w:rsidR="00110100" w:rsidRPr="001849A5" w:rsidRDefault="777A05A7" w:rsidP="001849A5">
            <w:pPr>
              <w:spacing w:line="300" w:lineRule="atLeast"/>
              <w:rPr>
                <w:rFonts w:eastAsia="Times New Roman" w:cs="Segoe UI"/>
                <w:lang w:eastAsia="en-GB"/>
              </w:rPr>
            </w:pPr>
            <w:r w:rsidRPr="001849A5">
              <w:rPr>
                <w:rStyle w:val="Strong"/>
                <w:rFonts w:cs="Segoe UI"/>
              </w:rPr>
              <w:t>Acknowledge</w:t>
            </w:r>
            <w:r w:rsidR="006B1804" w:rsidRPr="001849A5">
              <w:rPr>
                <w:rFonts w:eastAsia="Times New Roman" w:cs="Segoe UI"/>
                <w:lang w:eastAsia="en-GB"/>
              </w:rPr>
              <w:t xml:space="preserve"> that failure to establish the Governance Group may result in variation in governance arrangements, reduced organisational assurance, and potential non-compliance with national standards and professional requirements.</w:t>
            </w:r>
          </w:p>
          <w:p w14:paraId="6D290417" w14:textId="77777777" w:rsidR="00110100" w:rsidRPr="00F8567E" w:rsidRDefault="00110100" w:rsidP="00903E24">
            <w:pPr>
              <w:ind w:right="96"/>
            </w:pPr>
          </w:p>
        </w:tc>
      </w:tr>
    </w:tbl>
    <w:p w14:paraId="6D29041A" w14:textId="0D66CD64" w:rsidR="00653AEC" w:rsidRPr="00F8567E" w:rsidRDefault="0020539A" w:rsidP="112DB425">
      <w:pPr>
        <w:spacing w:after="0" w:line="240" w:lineRule="auto"/>
        <w:jc w:val="center"/>
        <w:rPr>
          <w:b/>
          <w:bCs/>
        </w:rPr>
      </w:pPr>
      <w:r>
        <w:br w:type="page"/>
      </w:r>
      <w:r w:rsidR="00076192" w:rsidRPr="112DB425">
        <w:rPr>
          <w:b/>
          <w:bCs/>
        </w:rPr>
        <w:lastRenderedPageBreak/>
        <w:t xml:space="preserve">Enhanced, Advanced and Consultant </w:t>
      </w:r>
      <w:r w:rsidR="00315EBE" w:rsidRPr="112DB425">
        <w:rPr>
          <w:b/>
          <w:bCs/>
        </w:rPr>
        <w:t>P</w:t>
      </w:r>
      <w:r w:rsidR="00076192" w:rsidRPr="112DB425">
        <w:rPr>
          <w:b/>
          <w:bCs/>
        </w:rPr>
        <w:t xml:space="preserve">ractice </w:t>
      </w:r>
      <w:r w:rsidR="0EFBC7B9" w:rsidRPr="112DB425">
        <w:rPr>
          <w:b/>
          <w:bCs/>
        </w:rPr>
        <w:t xml:space="preserve">(EACP) </w:t>
      </w:r>
      <w:r w:rsidR="00076192" w:rsidRPr="112DB425">
        <w:rPr>
          <w:b/>
          <w:bCs/>
        </w:rPr>
        <w:t>Governance Group</w:t>
      </w:r>
      <w:r w:rsidR="6089AD3B" w:rsidRPr="112DB425">
        <w:rPr>
          <w:b/>
          <w:bCs/>
        </w:rPr>
        <w:t xml:space="preserve"> </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3C3E8D4A" w14:textId="12BF68F6" w:rsidR="00311899" w:rsidRPr="00311899" w:rsidRDefault="00311899" w:rsidP="00311899">
      <w:pPr>
        <w:pStyle w:val="NormalWeb"/>
        <w:spacing w:line="300" w:lineRule="atLeast"/>
        <w:rPr>
          <w:rFonts w:ascii="Verdana" w:hAnsi="Verdana" w:cs="Segoe UI"/>
        </w:rPr>
      </w:pPr>
      <w:r w:rsidRPr="00311899">
        <w:rPr>
          <w:rFonts w:ascii="Verdana" w:hAnsi="Verdana" w:cs="Segoe UI"/>
        </w:rPr>
        <w:t>EACP</w:t>
      </w:r>
      <w:r w:rsidR="00B479E3">
        <w:rPr>
          <w:rFonts w:ascii="Verdana" w:hAnsi="Verdana" w:cs="Segoe UI"/>
        </w:rPr>
        <w:t xml:space="preserve"> </w:t>
      </w:r>
      <w:r w:rsidRPr="00311899">
        <w:rPr>
          <w:rFonts w:ascii="Verdana" w:hAnsi="Verdana" w:cs="Segoe UI"/>
        </w:rPr>
        <w:t>roles are integral to service delivery, workforce sustainability and improved patient outcomes across the Health Board. As these roles continue to develop, the establishment of an EACP Governance Group will provide strategic oversight and assurance to ensure consistency, quality, accountability and compliance with national frameworks, regulatory requirements and organisational priorities.</w:t>
      </w:r>
    </w:p>
    <w:p w14:paraId="46BF23CD" w14:textId="77777777" w:rsidR="00311899" w:rsidRPr="00311899" w:rsidRDefault="00311899" w:rsidP="00311899">
      <w:pPr>
        <w:pStyle w:val="NormalWeb"/>
        <w:spacing w:line="300" w:lineRule="atLeast"/>
        <w:rPr>
          <w:rFonts w:ascii="Verdana" w:hAnsi="Verdana" w:cs="Segoe UI"/>
        </w:rPr>
      </w:pPr>
      <w:r w:rsidRPr="00311899">
        <w:rPr>
          <w:rFonts w:ascii="Verdana" w:hAnsi="Verdana" w:cs="Segoe UI"/>
        </w:rPr>
        <w:t>The Group will oversee the development, implementation and evaluation of EACP roles across nursing, midwifery, allied health professions, healthcare science and other non-medical professional groups. It will promote standardised approaches to role approval, education, supervision, credentialing, workforce planning and outcome measurement, while supporting practitioners to work safely and effectively at the full scope of their practice.</w:t>
      </w:r>
    </w:p>
    <w:p w14:paraId="4882F00F" w14:textId="35E64AC3" w:rsidR="00BF517B" w:rsidRPr="00816E93" w:rsidRDefault="00311899" w:rsidP="3E7970DE">
      <w:pPr>
        <w:pStyle w:val="NormalWeb"/>
        <w:spacing w:after="0" w:line="300" w:lineRule="atLeast"/>
        <w:rPr>
          <w:rFonts w:ascii="Verdana" w:hAnsi="Verdana" w:cs="Segoe UI"/>
        </w:rPr>
      </w:pPr>
      <w:r w:rsidRPr="3E7970DE">
        <w:rPr>
          <w:rFonts w:ascii="Verdana" w:hAnsi="Verdana" w:cs="Segoe UI"/>
        </w:rPr>
        <w:t>Through strengthened governance and collaboration across clinical, educational and operational teams, the Group will support sustainable workforce development, enhance service improvement and ensure EACP roles continue to deliver measurable benefits for patients, staff and the organisation.</w:t>
      </w: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6FCA6A39" w14:textId="7A73B9B9" w:rsidR="00BE1AE8" w:rsidRPr="00BE1AE8" w:rsidRDefault="00BE1AE8" w:rsidP="00BE1AE8">
      <w:pPr>
        <w:pStyle w:val="NormalWeb"/>
        <w:spacing w:line="300" w:lineRule="atLeast"/>
        <w:rPr>
          <w:rFonts w:ascii="Verdana" w:hAnsi="Verdana" w:cs="Segoe UI"/>
        </w:rPr>
      </w:pPr>
      <w:r w:rsidRPr="00BE1AE8">
        <w:rPr>
          <w:rFonts w:ascii="Verdana" w:hAnsi="Verdana" w:cs="Segoe UI"/>
        </w:rPr>
        <w:t xml:space="preserve">Over recent years, there has been a significant increase in the development and deployment of </w:t>
      </w:r>
      <w:r w:rsidR="008003C7">
        <w:rPr>
          <w:rFonts w:ascii="Verdana" w:hAnsi="Verdana" w:cs="Segoe UI"/>
        </w:rPr>
        <w:t xml:space="preserve">EACP </w:t>
      </w:r>
      <w:r w:rsidRPr="00BE1AE8">
        <w:rPr>
          <w:rFonts w:ascii="Verdana" w:hAnsi="Verdana" w:cs="Segoe UI"/>
        </w:rPr>
        <w:t>roles across healthcare services. These roles have become integral to delivering high-quality, patient-centred care, supporting service transformation, improving access to care, and addressing workforce challenges. Practitioners working at these levels make a substantial contribution to clinical leadership, education, research, service improvement and the delivery of complex care across a wide range of settings.</w:t>
      </w:r>
    </w:p>
    <w:p w14:paraId="4359F8AE" w14:textId="1FAD2F00" w:rsidR="00BE1AE8" w:rsidRPr="004A694E" w:rsidRDefault="004A694E" w:rsidP="004A694E">
      <w:pPr>
        <w:spacing w:after="0" w:line="300" w:lineRule="atLeast"/>
        <w:rPr>
          <w:rFonts w:eastAsia="Times New Roman" w:cs="Segoe UI"/>
          <w:lang w:eastAsia="en-GB"/>
        </w:rPr>
      </w:pPr>
      <w:r w:rsidRPr="004A694E">
        <w:rPr>
          <w:rFonts w:eastAsia="Times New Roman" w:cs="Segoe UI"/>
          <w:lang w:eastAsia="en-GB"/>
        </w:rPr>
        <w:t>HEIW Advanced Practice Framework</w:t>
      </w:r>
      <w:r>
        <w:rPr>
          <w:rFonts w:eastAsia="Times New Roman" w:cs="Segoe UI"/>
          <w:lang w:eastAsia="en-GB"/>
        </w:rPr>
        <w:t xml:space="preserve"> </w:t>
      </w:r>
      <w:r w:rsidR="00BE1AE8" w:rsidRPr="00BE1AE8">
        <w:rPr>
          <w:rFonts w:cs="Segoe UI"/>
        </w:rPr>
        <w:t>ha</w:t>
      </w:r>
      <w:r w:rsidR="00095A44">
        <w:rPr>
          <w:rFonts w:cs="Segoe UI"/>
        </w:rPr>
        <w:t>s</w:t>
      </w:r>
      <w:r w:rsidR="00BE1AE8" w:rsidRPr="00BE1AE8">
        <w:rPr>
          <w:rFonts w:cs="Segoe UI"/>
        </w:rPr>
        <w:t xml:space="preserve"> </w:t>
      </w:r>
      <w:r w:rsidR="003F0545">
        <w:rPr>
          <w:rFonts w:cs="Segoe UI"/>
        </w:rPr>
        <w:t>emphasised</w:t>
      </w:r>
      <w:r w:rsidR="001E79F8">
        <w:rPr>
          <w:rFonts w:cs="Segoe UI"/>
        </w:rPr>
        <w:t xml:space="preserve"> </w:t>
      </w:r>
      <w:r w:rsidR="00BE1AE8" w:rsidRPr="00BE1AE8">
        <w:rPr>
          <w:rFonts w:cs="Segoe UI"/>
        </w:rPr>
        <w:t>the need for clear governance arrangements to support the safe and effective development of E</w:t>
      </w:r>
      <w:r w:rsidR="008003C7">
        <w:rPr>
          <w:rFonts w:cs="Segoe UI"/>
        </w:rPr>
        <w:t>ACP</w:t>
      </w:r>
      <w:r w:rsidR="00BE1AE8" w:rsidRPr="00BE1AE8">
        <w:rPr>
          <w:rFonts w:cs="Segoe UI"/>
        </w:rPr>
        <w:t>. Robust governance is essential to ensure consistency in role development, educational preparation, supervision, competency assessment, credentialing and ongoing professional development. It also provides assurance that roles are aligned to organisational priorities, workforce requirements and regulatory standards.</w:t>
      </w:r>
    </w:p>
    <w:p w14:paraId="794D84E8" w14:textId="7A77430B" w:rsidR="00D764E9" w:rsidRPr="008C04FC" w:rsidRDefault="00BE1AE8" w:rsidP="008C04FC">
      <w:pPr>
        <w:pStyle w:val="NormalWeb"/>
        <w:spacing w:line="300" w:lineRule="atLeast"/>
        <w:rPr>
          <w:rFonts w:ascii="Verdana" w:hAnsi="Verdana" w:cs="Segoe UI"/>
        </w:rPr>
      </w:pPr>
      <w:r w:rsidRPr="00BE1AE8">
        <w:rPr>
          <w:rFonts w:ascii="Verdana" w:hAnsi="Verdana" w:cs="Segoe UI"/>
        </w:rPr>
        <w:lastRenderedPageBreak/>
        <w:t xml:space="preserve">As the number and diversity of these roles continue to grow, there is a need for a coordinated approach to oversight and quality assurance across all professions. Variations in governance processes, role implementation and evaluation can create challenges in demonstrating impact, ensuring standardisation and supporting workforce planning. </w:t>
      </w:r>
      <w:r w:rsidR="00B44CC6">
        <w:rPr>
          <w:rFonts w:ascii="Verdana" w:hAnsi="Verdana" w:cs="Segoe UI"/>
        </w:rPr>
        <w:t>A</w:t>
      </w:r>
      <w:r w:rsidRPr="00BE1AE8">
        <w:rPr>
          <w:rFonts w:ascii="Verdana" w:hAnsi="Verdana" w:cs="Segoe UI"/>
        </w:rPr>
        <w:t xml:space="preserve"> dedicated governance group will provide the strategic leadership and oversight required to strengthen assurance processes, promote best practice and support the sustainable development of </w:t>
      </w:r>
      <w:r w:rsidR="008003C7">
        <w:rPr>
          <w:rFonts w:ascii="Verdana" w:hAnsi="Verdana" w:cs="Segoe UI"/>
        </w:rPr>
        <w:t xml:space="preserve">EACP </w:t>
      </w:r>
      <w:r w:rsidRPr="00BE1AE8">
        <w:rPr>
          <w:rFonts w:ascii="Verdana" w:hAnsi="Verdana" w:cs="Segoe UI"/>
        </w:rPr>
        <w:t>across the organisation.</w:t>
      </w:r>
    </w:p>
    <w:p w14:paraId="7658CF9A" w14:textId="77777777" w:rsidR="00D764E9" w:rsidRPr="00816E93" w:rsidRDefault="00D764E9" w:rsidP="00816E93">
      <w:pPr>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388842E2" w14:textId="77777777" w:rsidR="00417C26" w:rsidRDefault="00417C26" w:rsidP="00417C26">
      <w:pPr>
        <w:spacing w:after="0" w:line="240" w:lineRule="auto"/>
        <w:rPr>
          <w:b/>
        </w:rPr>
      </w:pPr>
    </w:p>
    <w:p w14:paraId="2BC0C721" w14:textId="77777777" w:rsidR="00227A0B" w:rsidRPr="00227A0B" w:rsidRDefault="00227A0B" w:rsidP="00227A0B">
      <w:pPr>
        <w:spacing w:after="0" w:line="300" w:lineRule="atLeast"/>
        <w:rPr>
          <w:rFonts w:eastAsia="Times New Roman" w:cs="Segoe UI"/>
          <w:lang w:eastAsia="en-GB"/>
        </w:rPr>
      </w:pPr>
      <w:r w:rsidRPr="00227A0B">
        <w:rPr>
          <w:rFonts w:eastAsia="Times New Roman" w:cs="Segoe UI"/>
          <w:lang w:eastAsia="en-GB"/>
        </w:rPr>
        <w:t>The establishment of a formal governance framework for EACP roles will provide organisational assurance that these roles are developed, implemented and monitored consistently, safely and effectively. As EACP roles continue to expand across the Health Board, robust governance arrangements are required to ensure alignment with national frameworks, professional standards and organisational priorities.</w:t>
      </w:r>
    </w:p>
    <w:p w14:paraId="59BF5749" w14:textId="77777777" w:rsidR="00B525DB" w:rsidRDefault="00B525DB" w:rsidP="005C2D5E">
      <w:pPr>
        <w:spacing w:after="0" w:line="300" w:lineRule="atLeast"/>
        <w:rPr>
          <w:rFonts w:eastAsia="Times New Roman" w:cs="Segoe UI"/>
          <w:lang w:eastAsia="en-GB"/>
        </w:rPr>
      </w:pPr>
    </w:p>
    <w:p w14:paraId="1488D243" w14:textId="77777777" w:rsidR="00F818BA" w:rsidRDefault="0098555E" w:rsidP="00F818BA">
      <w:pPr>
        <w:spacing w:after="0" w:line="300" w:lineRule="atLeast"/>
        <w:rPr>
          <w:rFonts w:eastAsia="Times New Roman" w:cs="Segoe UI"/>
          <w:lang w:eastAsia="en-GB"/>
        </w:rPr>
      </w:pPr>
      <w:r w:rsidRPr="0098555E">
        <w:rPr>
          <w:rFonts w:eastAsia="Times New Roman" w:cs="Segoe UI"/>
          <w:lang w:eastAsia="en-GB"/>
        </w:rPr>
        <w:t>The Governance Group will provide organisational assurance regarding role implementation, competency development, supervision, credentialing and workforce planning, reducing variation and strengthening accountability.</w:t>
      </w:r>
      <w:r w:rsidR="00F818BA">
        <w:rPr>
          <w:rFonts w:eastAsia="Times New Roman" w:cs="Segoe UI"/>
          <w:lang w:eastAsia="en-GB"/>
        </w:rPr>
        <w:t xml:space="preserve"> This is set out in the Terms of Reference (Appendix 1).</w:t>
      </w:r>
    </w:p>
    <w:p w14:paraId="5746142F" w14:textId="5FF70A83" w:rsidR="0098555E" w:rsidRPr="0098555E" w:rsidRDefault="0098555E" w:rsidP="0098555E">
      <w:pPr>
        <w:spacing w:after="0" w:line="300" w:lineRule="atLeast"/>
        <w:rPr>
          <w:rFonts w:eastAsia="Times New Roman" w:cs="Segoe UI"/>
          <w:lang w:eastAsia="en-GB"/>
        </w:rPr>
      </w:pPr>
    </w:p>
    <w:p w14:paraId="3AA285E9" w14:textId="660C1420" w:rsidR="00F201A6" w:rsidRDefault="00F201A6" w:rsidP="00F201A6">
      <w:pPr>
        <w:spacing w:after="0" w:line="300" w:lineRule="atLeast"/>
        <w:rPr>
          <w:rFonts w:eastAsia="Times New Roman" w:cs="Segoe UI"/>
          <w:lang w:eastAsia="en-GB"/>
        </w:rPr>
      </w:pPr>
      <w:r w:rsidRPr="00F201A6">
        <w:rPr>
          <w:rFonts w:eastAsia="Times New Roman" w:cs="Segoe UI"/>
          <w:lang w:eastAsia="en-GB"/>
        </w:rPr>
        <w:t xml:space="preserve">Without a formal </w:t>
      </w:r>
      <w:r w:rsidR="00D51109">
        <w:rPr>
          <w:rFonts w:eastAsia="Times New Roman" w:cs="Segoe UI"/>
          <w:lang w:eastAsia="en-GB"/>
        </w:rPr>
        <w:t xml:space="preserve">EACP </w:t>
      </w:r>
      <w:r w:rsidRPr="00F201A6">
        <w:rPr>
          <w:rFonts w:eastAsia="Times New Roman" w:cs="Segoe UI"/>
          <w:lang w:eastAsia="en-GB"/>
        </w:rPr>
        <w:t xml:space="preserve">Governance Group, there is a risk that practice development, role implementation, competency assurance and workforce planning will be undertaken inconsistently across the organisation. This may result in variation in standards of practice, reduced patient safety assurance, regulatory non-compliance, ineffective utilisation of the workforce and an inability to demonstrate the impact and value of </w:t>
      </w:r>
      <w:r w:rsidR="00D51109">
        <w:rPr>
          <w:rFonts w:eastAsia="Times New Roman" w:cs="Segoe UI"/>
          <w:lang w:eastAsia="en-GB"/>
        </w:rPr>
        <w:t xml:space="preserve">EACP </w:t>
      </w:r>
      <w:r w:rsidRPr="00F201A6">
        <w:rPr>
          <w:rFonts w:eastAsia="Times New Roman" w:cs="Segoe UI"/>
          <w:lang w:eastAsia="en-GB"/>
        </w:rPr>
        <w:t>roles on service delivery and patient outcomes.</w:t>
      </w:r>
    </w:p>
    <w:p w14:paraId="0E2AD064" w14:textId="77777777" w:rsidR="009F1CC1" w:rsidRDefault="009F1CC1" w:rsidP="00F201A6">
      <w:pPr>
        <w:spacing w:after="0" w:line="300" w:lineRule="atLeast"/>
        <w:rPr>
          <w:rFonts w:eastAsia="Times New Roman" w:cs="Segoe UI"/>
          <w:lang w:eastAsia="en-GB"/>
        </w:rPr>
      </w:pPr>
    </w:p>
    <w:p w14:paraId="1B9B2E77" w14:textId="77777777" w:rsidR="00527C17" w:rsidRPr="00527C17" w:rsidRDefault="009F1CC1" w:rsidP="00527C17">
      <w:pPr>
        <w:spacing w:line="300" w:lineRule="atLeast"/>
        <w:rPr>
          <w:rFonts w:ascii="Segoe UI" w:eastAsia="Times New Roman" w:hAnsi="Segoe UI" w:cs="Segoe UI"/>
          <w:sz w:val="21"/>
          <w:szCs w:val="21"/>
          <w:lang w:eastAsia="en-GB"/>
        </w:rPr>
      </w:pPr>
      <w:r w:rsidRPr="009F1CC1">
        <w:rPr>
          <w:rFonts w:eastAsia="Times New Roman" w:cs="Segoe UI"/>
          <w:lang w:eastAsia="en-GB"/>
        </w:rPr>
        <w:t>The Governance Group will provide six-monthly assurance reports through the Workforce and Organisational Development Committee, enabling oversight of workforce development, governance compliance, service impact and associated risks.</w:t>
      </w:r>
      <w:r w:rsidR="00527C17">
        <w:rPr>
          <w:rFonts w:eastAsia="Times New Roman" w:cs="Segoe UI"/>
          <w:lang w:eastAsia="en-GB"/>
        </w:rPr>
        <w:t xml:space="preserve"> </w:t>
      </w:r>
      <w:r w:rsidR="00527C17" w:rsidRPr="00527C17">
        <w:rPr>
          <w:rFonts w:eastAsia="Times New Roman" w:cs="Segoe UI"/>
          <w:lang w:eastAsia="en-GB"/>
        </w:rPr>
        <w:t>Significant risks, exceptions or areas of concern identified through the Governance Group will be escalated through established governance arrangements as required.</w:t>
      </w:r>
    </w:p>
    <w:p w14:paraId="2B95364C" w14:textId="2B524B72" w:rsidR="009F1CC1" w:rsidRPr="009F1CC1" w:rsidRDefault="009F1CC1" w:rsidP="009F1CC1">
      <w:pPr>
        <w:spacing w:after="0" w:line="300" w:lineRule="atLeast"/>
        <w:rPr>
          <w:rFonts w:eastAsia="Times New Roman" w:cs="Segoe UI"/>
          <w:lang w:eastAsia="en-GB"/>
        </w:rPr>
      </w:pPr>
    </w:p>
    <w:p w14:paraId="7D08207E" w14:textId="77777777" w:rsidR="009F1CC1" w:rsidRDefault="009F1CC1" w:rsidP="00F201A6">
      <w:pPr>
        <w:spacing w:after="0" w:line="300" w:lineRule="atLeast"/>
        <w:rPr>
          <w:rFonts w:eastAsia="Times New Roman" w:cs="Segoe UI"/>
          <w:lang w:eastAsia="en-GB"/>
        </w:rPr>
      </w:pPr>
    </w:p>
    <w:p w14:paraId="4DEBB646" w14:textId="77777777" w:rsidR="008C04FC" w:rsidRDefault="008C04FC" w:rsidP="00F201A6">
      <w:pPr>
        <w:spacing w:after="0" w:line="300" w:lineRule="atLeast"/>
        <w:rPr>
          <w:rFonts w:eastAsia="Times New Roman" w:cs="Segoe UI"/>
          <w:lang w:eastAsia="en-GB"/>
        </w:rPr>
      </w:pPr>
    </w:p>
    <w:p w14:paraId="6A3BA396" w14:textId="77777777" w:rsidR="008C04FC" w:rsidRPr="00F201A6" w:rsidRDefault="008C04FC" w:rsidP="00F201A6">
      <w:pPr>
        <w:spacing w:after="0" w:line="300" w:lineRule="atLeast"/>
        <w:rPr>
          <w:rFonts w:eastAsia="Times New Roman" w:cs="Segoe UI"/>
          <w:lang w:eastAsia="en-GB"/>
        </w:rPr>
      </w:pPr>
    </w:p>
    <w:p w14:paraId="4D4E6BC7" w14:textId="77777777" w:rsidR="00BE289C" w:rsidRPr="00417C26" w:rsidRDefault="00BE289C" w:rsidP="00417C26">
      <w:pPr>
        <w:spacing w:after="0" w:line="240" w:lineRule="auto"/>
        <w:rPr>
          <w:b/>
        </w:rPr>
      </w:pPr>
    </w:p>
    <w:p w14:paraId="7D6248A7" w14:textId="03FA6B07" w:rsidR="00B50ABC" w:rsidRPr="00B50ABC" w:rsidRDefault="00653AEC" w:rsidP="00653AEC">
      <w:pPr>
        <w:pStyle w:val="ListParagraph"/>
        <w:numPr>
          <w:ilvl w:val="0"/>
          <w:numId w:val="1"/>
        </w:numPr>
        <w:spacing w:after="0" w:line="240" w:lineRule="auto"/>
        <w:rPr>
          <w:b/>
        </w:rPr>
      </w:pPr>
      <w:r w:rsidRPr="00F8567E">
        <w:rPr>
          <w:b/>
        </w:rPr>
        <w:lastRenderedPageBreak/>
        <w:t xml:space="preserve"> </w:t>
      </w:r>
      <w:r w:rsidR="00B50ABC" w:rsidRPr="6FC5F940">
        <w:rPr>
          <w:b/>
          <w:bCs/>
        </w:rPr>
        <w:t xml:space="preserve">OPEN AUDIT RECOMMENDATIONS </w:t>
      </w:r>
    </w:p>
    <w:p w14:paraId="2E68798D" w14:textId="194FFBD2" w:rsidR="00B50ABC" w:rsidRPr="008E4134" w:rsidRDefault="008E4134" w:rsidP="00B50ABC">
      <w:pPr>
        <w:spacing w:after="0" w:line="240" w:lineRule="auto"/>
      </w:pPr>
      <w:r>
        <w:t>Not applicable</w:t>
      </w:r>
      <w:r w:rsidR="3C45DFE4">
        <w:t>.</w:t>
      </w:r>
    </w:p>
    <w:p w14:paraId="3397D841" w14:textId="77777777" w:rsidR="008E4134" w:rsidRPr="00B50ABC" w:rsidRDefault="008E4134" w:rsidP="00B50ABC">
      <w:pPr>
        <w:spacing w:after="0" w:line="240" w:lineRule="auto"/>
        <w:rPr>
          <w:b/>
        </w:rPr>
      </w:pPr>
    </w:p>
    <w:p w14:paraId="6D290427" w14:textId="5AD01FD6" w:rsidR="00653AEC" w:rsidRDefault="00653AEC" w:rsidP="00653AEC">
      <w:pPr>
        <w:pStyle w:val="ListParagraph"/>
        <w:numPr>
          <w:ilvl w:val="0"/>
          <w:numId w:val="1"/>
        </w:numPr>
        <w:spacing w:after="0" w:line="240" w:lineRule="auto"/>
        <w:rPr>
          <w:b/>
        </w:rPr>
      </w:pPr>
      <w:r w:rsidRPr="00F8567E">
        <w:rPr>
          <w:b/>
        </w:rPr>
        <w:t>FINANCIAL IMPLICATIONS</w:t>
      </w:r>
    </w:p>
    <w:p w14:paraId="3D73F2C4" w14:textId="77777777" w:rsidR="003D04A8" w:rsidRPr="00F8567E" w:rsidRDefault="003D04A8" w:rsidP="00E763B1">
      <w:pPr>
        <w:pStyle w:val="ListParagraph"/>
        <w:spacing w:after="0" w:line="240" w:lineRule="auto"/>
        <w:rPr>
          <w:b/>
        </w:rPr>
      </w:pPr>
    </w:p>
    <w:p w14:paraId="2B960F81" w14:textId="699ACC74" w:rsidR="00D078DC" w:rsidRPr="00A17EED" w:rsidRDefault="003D04A8" w:rsidP="00A17EED">
      <w:pPr>
        <w:spacing w:after="0" w:line="300" w:lineRule="atLeast"/>
        <w:rPr>
          <w:rFonts w:eastAsia="Times New Roman" w:cs="Segoe UI"/>
          <w:lang w:eastAsia="en-GB"/>
        </w:rPr>
      </w:pPr>
      <w:r w:rsidRPr="003D04A8">
        <w:rPr>
          <w:rFonts w:eastAsia="Times New Roman" w:cs="Segoe UI"/>
          <w:lang w:eastAsia="en-GB"/>
        </w:rPr>
        <w:t>There are no significant direct financial implications associated with establishing the Governance Group. The Group will operate through existing governance arrangements and resources. Improved oversight of EACP roles will support effective workforce planning, maximise educational investment and reduce the risk of governance, quality and regulatory issues.</w:t>
      </w:r>
    </w:p>
    <w:p w14:paraId="4E31CF00" w14:textId="77777777" w:rsidR="00F82362" w:rsidRPr="004F1193" w:rsidRDefault="00F82362" w:rsidP="004F1193">
      <w:pPr>
        <w:spacing w:after="0" w:line="240" w:lineRule="auto"/>
        <w:rPr>
          <w:b/>
        </w:rPr>
      </w:pPr>
    </w:p>
    <w:p w14:paraId="6D29042A" w14:textId="77777777" w:rsidR="00653AEC" w:rsidRDefault="00653AEC" w:rsidP="00653AEC">
      <w:pPr>
        <w:pStyle w:val="ListParagraph"/>
        <w:numPr>
          <w:ilvl w:val="0"/>
          <w:numId w:val="1"/>
        </w:numPr>
        <w:spacing w:after="0" w:line="240" w:lineRule="auto"/>
        <w:rPr>
          <w:b/>
        </w:rPr>
      </w:pPr>
      <w:r w:rsidRPr="00F8567E">
        <w:rPr>
          <w:b/>
        </w:rPr>
        <w:t>RECOMMENDATION</w:t>
      </w:r>
    </w:p>
    <w:p w14:paraId="58E37BF4" w14:textId="77777777" w:rsidR="001E79F8" w:rsidRDefault="001E79F8" w:rsidP="000C2280">
      <w:pPr>
        <w:spacing w:after="0" w:line="240" w:lineRule="auto"/>
        <w:rPr>
          <w:b/>
        </w:rPr>
      </w:pPr>
    </w:p>
    <w:p w14:paraId="493353BB" w14:textId="77777777" w:rsidR="00BB1C21" w:rsidRPr="00BB1C21" w:rsidRDefault="00BB1C21" w:rsidP="00BB1C21">
      <w:pPr>
        <w:spacing w:after="0" w:line="300" w:lineRule="atLeast"/>
        <w:rPr>
          <w:rFonts w:eastAsia="Times New Roman" w:cs="Segoe UI"/>
          <w:lang w:eastAsia="en-GB"/>
        </w:rPr>
      </w:pPr>
      <w:r w:rsidRPr="00BB1C21">
        <w:rPr>
          <w:rFonts w:eastAsia="Times New Roman" w:cs="Segoe UI"/>
          <w:lang w:eastAsia="en-GB"/>
        </w:rPr>
        <w:t>The establishment of the EACP Governance Group represents a significant step in strengthening organisational oversight and assurance of enhanced, advanced and consultant practice roles. It will support consistent governance, workforce sustainability, regulatory compliance and service improvement, while providing assurance to the Committee on the effective development and impact of these roles across the Health Board.</w:t>
      </w:r>
    </w:p>
    <w:p w14:paraId="59EBA051" w14:textId="77777777" w:rsidR="00BB1C21" w:rsidRDefault="00BB1C21" w:rsidP="000C2280">
      <w:pPr>
        <w:spacing w:after="0" w:line="240" w:lineRule="auto"/>
        <w:rPr>
          <w:b/>
        </w:rPr>
      </w:pPr>
    </w:p>
    <w:p w14:paraId="093E9BEF" w14:textId="77777777" w:rsidR="00782BA4" w:rsidRDefault="000C2280" w:rsidP="00782BA4">
      <w:pPr>
        <w:spacing w:after="0" w:line="300" w:lineRule="atLeast"/>
        <w:rPr>
          <w:rFonts w:eastAsia="Times New Roman" w:cs="Segoe UI"/>
          <w:lang w:eastAsia="en-GB"/>
        </w:rPr>
      </w:pPr>
      <w:r w:rsidRPr="000C2280">
        <w:rPr>
          <w:rFonts w:eastAsia="Times New Roman" w:cs="Segoe UI"/>
          <w:lang w:eastAsia="en-GB"/>
        </w:rPr>
        <w:t xml:space="preserve">The </w:t>
      </w:r>
      <w:r w:rsidR="006F0AC0">
        <w:rPr>
          <w:rFonts w:eastAsia="Times New Roman" w:cs="Segoe UI"/>
          <w:lang w:eastAsia="en-GB"/>
        </w:rPr>
        <w:t>Committee</w:t>
      </w:r>
      <w:r w:rsidRPr="000C2280">
        <w:rPr>
          <w:rFonts w:eastAsia="Times New Roman" w:cs="Segoe UI"/>
          <w:lang w:eastAsia="en-GB"/>
        </w:rPr>
        <w:t xml:space="preserve"> is asked to</w:t>
      </w:r>
      <w:r w:rsidR="007967DB">
        <w:rPr>
          <w:rFonts w:eastAsia="Times New Roman" w:cs="Segoe UI"/>
          <w:lang w:eastAsia="en-GB"/>
        </w:rPr>
        <w:t xml:space="preserve">: </w:t>
      </w:r>
      <w:r w:rsidRPr="000C2280">
        <w:rPr>
          <w:rFonts w:eastAsia="Times New Roman" w:cs="Segoe UI"/>
          <w:lang w:eastAsia="en-GB"/>
        </w:rPr>
        <w:t xml:space="preserve"> </w:t>
      </w:r>
    </w:p>
    <w:p w14:paraId="404E1D83" w14:textId="292EF375" w:rsidR="007967DB" w:rsidRPr="007967DB" w:rsidRDefault="00782BA4" w:rsidP="00782BA4">
      <w:pPr>
        <w:spacing w:after="0" w:line="300" w:lineRule="atLeast"/>
        <w:rPr>
          <w:rFonts w:cs="Segoe UI"/>
        </w:rPr>
      </w:pPr>
      <w:r w:rsidRPr="00782BA4">
        <w:rPr>
          <w:rStyle w:val="Strong"/>
          <w:rFonts w:cs="Segoe UI"/>
        </w:rPr>
        <w:t>Acknowledge</w:t>
      </w:r>
      <w:r>
        <w:rPr>
          <w:rStyle w:val="Strong"/>
          <w:rFonts w:cs="Segoe UI"/>
          <w:b w:val="0"/>
          <w:bCs w:val="0"/>
        </w:rPr>
        <w:t xml:space="preserve"> </w:t>
      </w:r>
      <w:r w:rsidR="007967DB" w:rsidRPr="007967DB">
        <w:rPr>
          <w:rStyle w:val="Strong"/>
          <w:rFonts w:cs="Segoe UI"/>
          <w:b w:val="0"/>
          <w:bCs w:val="0"/>
        </w:rPr>
        <w:t>the establishment of an Enhanced, Advanced and Consultant Practice Governance Group</w:t>
      </w:r>
      <w:r w:rsidR="007967DB" w:rsidRPr="007967DB">
        <w:rPr>
          <w:rFonts w:cs="Segoe UI"/>
        </w:rPr>
        <w:t xml:space="preserve"> to provide strategic oversight, assurance and coordination of </w:t>
      </w:r>
      <w:r w:rsidR="00A26863">
        <w:rPr>
          <w:rFonts w:cs="Segoe UI"/>
        </w:rPr>
        <w:t xml:space="preserve">EACP </w:t>
      </w:r>
      <w:r w:rsidR="007967DB" w:rsidRPr="007967DB">
        <w:rPr>
          <w:rFonts w:cs="Segoe UI"/>
        </w:rPr>
        <w:t>roles across the Health Board.</w:t>
      </w:r>
    </w:p>
    <w:p w14:paraId="0FCEF6B8" w14:textId="0AE6CF87" w:rsidR="007967DB" w:rsidRPr="007967DB" w:rsidRDefault="00782BA4" w:rsidP="00782BA4">
      <w:pPr>
        <w:pStyle w:val="NormalWeb"/>
        <w:spacing w:line="300" w:lineRule="atLeast"/>
        <w:rPr>
          <w:rFonts w:ascii="Verdana" w:hAnsi="Verdana" w:cs="Segoe UI"/>
        </w:rPr>
      </w:pPr>
      <w:r w:rsidRPr="00782BA4">
        <w:rPr>
          <w:rStyle w:val="Strong"/>
          <w:rFonts w:ascii="Verdana" w:hAnsi="Verdana" w:cs="Segoe UI"/>
        </w:rPr>
        <w:t>Acknowledge</w:t>
      </w:r>
      <w:r w:rsidR="007967DB" w:rsidRPr="007967DB">
        <w:rPr>
          <w:rStyle w:val="Strong"/>
          <w:rFonts w:ascii="Verdana" w:hAnsi="Verdana" w:cs="Segoe UI"/>
          <w:b w:val="0"/>
          <w:bCs w:val="0"/>
        </w:rPr>
        <w:t xml:space="preserve"> the proposed Terms of Reference and reporting arrangements</w:t>
      </w:r>
      <w:r w:rsidR="007967DB" w:rsidRPr="007967DB">
        <w:rPr>
          <w:rFonts w:ascii="Verdana" w:hAnsi="Verdana" w:cs="Segoe UI"/>
        </w:rPr>
        <w:t xml:space="preserve"> for the Governance Group, ensuring clear accountability and alignment with existing governance structures.</w:t>
      </w:r>
    </w:p>
    <w:p w14:paraId="5394C6B2" w14:textId="77777777" w:rsidR="00B27C47" w:rsidRPr="001E3149" w:rsidRDefault="00B27C47" w:rsidP="00782BA4">
      <w:pPr>
        <w:pStyle w:val="NormalWeb"/>
        <w:spacing w:line="300" w:lineRule="atLeast"/>
        <w:rPr>
          <w:rFonts w:ascii="Verdana" w:hAnsi="Verdana" w:cs="Segoe UI"/>
        </w:rPr>
      </w:pPr>
      <w:r w:rsidRPr="00782BA4">
        <w:rPr>
          <w:rFonts w:ascii="Verdana" w:hAnsi="Verdana" w:cs="Segoe UI"/>
          <w:b/>
          <w:bCs/>
        </w:rPr>
        <w:t>Receive</w:t>
      </w:r>
      <w:r>
        <w:rPr>
          <w:rFonts w:ascii="Verdana" w:hAnsi="Verdana" w:cs="Segoe UI"/>
        </w:rPr>
        <w:t xml:space="preserve"> six-monthly </w:t>
      </w:r>
      <w:r w:rsidRPr="001E79F8">
        <w:rPr>
          <w:rFonts w:ascii="Verdana" w:hAnsi="Verdana" w:cs="Segoe UI"/>
        </w:rPr>
        <w:t>assurance</w:t>
      </w:r>
      <w:r>
        <w:rPr>
          <w:rFonts w:cs="Segoe UI"/>
        </w:rPr>
        <w:t xml:space="preserve"> </w:t>
      </w:r>
      <w:r w:rsidRPr="001E3149">
        <w:rPr>
          <w:rFonts w:ascii="Verdana" w:hAnsi="Verdana" w:cs="Segoe UI"/>
        </w:rPr>
        <w:t>report</w:t>
      </w:r>
      <w:r>
        <w:rPr>
          <w:rFonts w:ascii="Verdana" w:hAnsi="Verdana" w:cs="Segoe UI"/>
        </w:rPr>
        <w:t>s from the Governance Group regarding workforce development, governance compliance, service impact and associated risks.</w:t>
      </w:r>
    </w:p>
    <w:p w14:paraId="6EF824B5" w14:textId="781A0426" w:rsidR="006B1804" w:rsidRPr="00782BA4" w:rsidRDefault="00782BA4" w:rsidP="00782BA4">
      <w:pPr>
        <w:spacing w:after="0" w:line="300" w:lineRule="atLeast"/>
        <w:rPr>
          <w:rFonts w:eastAsia="Times New Roman" w:cs="Segoe UI"/>
          <w:lang w:eastAsia="en-GB"/>
        </w:rPr>
      </w:pPr>
      <w:r w:rsidRPr="00782BA4">
        <w:rPr>
          <w:rStyle w:val="Strong"/>
          <w:rFonts w:cs="Segoe UI"/>
        </w:rPr>
        <w:t>Acknowledge</w:t>
      </w:r>
      <w:r w:rsidRPr="00782BA4">
        <w:rPr>
          <w:rFonts w:eastAsia="Times New Roman" w:cs="Segoe UI"/>
          <w:lang w:eastAsia="en-GB"/>
        </w:rPr>
        <w:t xml:space="preserve"> </w:t>
      </w:r>
      <w:r w:rsidR="006B1804" w:rsidRPr="00782BA4">
        <w:rPr>
          <w:rFonts w:eastAsia="Times New Roman" w:cs="Segoe UI"/>
          <w:lang w:eastAsia="en-GB"/>
        </w:rPr>
        <w:t>that failure to establish the Governance Group may result in variation in governance arrangements, reduced organisational assurance, and potential non-compliance with national standards and professional requirements.</w:t>
      </w:r>
    </w:p>
    <w:p w14:paraId="180E9F4E" w14:textId="77777777" w:rsidR="006B1804" w:rsidRPr="007967DB" w:rsidRDefault="006B1804" w:rsidP="006B1804">
      <w:pPr>
        <w:pStyle w:val="NormalWeb"/>
        <w:spacing w:line="300" w:lineRule="atLeast"/>
        <w:ind w:left="720"/>
        <w:rPr>
          <w:rFonts w:ascii="Verdana" w:hAnsi="Verdana" w:cs="Segoe UI"/>
        </w:rPr>
      </w:pPr>
    </w:p>
    <w:p w14:paraId="0B334B1B" w14:textId="77777777" w:rsidR="00EC4C80" w:rsidRPr="007967DB" w:rsidRDefault="00EC4C80" w:rsidP="007967DB">
      <w:pPr>
        <w:spacing w:after="0" w:line="240" w:lineRule="auto"/>
        <w:ind w:right="96"/>
        <w:rPr>
          <w:b/>
        </w:rPr>
      </w:pP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Content>
            <w:tc>
              <w:tcPr>
                <w:tcW w:w="1624" w:type="dxa"/>
              </w:tcPr>
              <w:p w14:paraId="6D290441"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14:paraId="6D29044C" w14:textId="256CCC82" w:rsidR="00F5324A" w:rsidRPr="00F8567E" w:rsidRDefault="00946C83"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13B4D5FC" w:rsidR="00C43F7B" w:rsidRPr="00F8567E" w:rsidRDefault="00946C83"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Content>
            <w:tc>
              <w:tcPr>
                <w:tcW w:w="1624" w:type="dxa"/>
              </w:tcPr>
              <w:p w14:paraId="15982273" w14:textId="25F9A9F6" w:rsidR="00925DA1" w:rsidRDefault="00946C83"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7BFB7FEA" w:rsidR="00925DA1" w:rsidRPr="00C91E24" w:rsidRDefault="00C91E24" w:rsidP="00C91E24">
            <w:pPr>
              <w:spacing w:line="300" w:lineRule="atLeast"/>
              <w:rPr>
                <w:rFonts w:eastAsia="Times New Roman" w:cs="Segoe UI"/>
                <w:lang w:eastAsia="en-GB"/>
              </w:rPr>
            </w:pPr>
            <w:r w:rsidRPr="00C91E24">
              <w:rPr>
                <w:rFonts w:eastAsia="Times New Roman" w:cs="Segoe UI"/>
                <w:lang w:eastAsia="en-GB"/>
              </w:rPr>
              <w:t>The establishment of the Governance Group will strengthen assurance that Enhanced, Advanced and Consultant Practice roles are developed and deployed safely and consistently. Improved oversight of competency, supervision, credentialing and outcome evaluation will support high-quality patient care, reduce variation in practice and contribute to improved patient experience and clinical outcomes</w:t>
            </w:r>
            <w:r>
              <w:rPr>
                <w:rFonts w:eastAsia="Times New Roman" w:cs="Segoe UI"/>
                <w:lang w:eastAsia="en-GB"/>
              </w:rPr>
              <w:t>.</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413E7F15" w14:textId="77777777" w:rsidR="00B1681F" w:rsidRPr="00D078DC" w:rsidRDefault="000A66EE" w:rsidP="00B1681F">
            <w:pPr>
              <w:spacing w:line="300" w:lineRule="atLeast"/>
              <w:rPr>
                <w:rFonts w:eastAsia="Times New Roman" w:cs="Segoe UI"/>
                <w:lang w:eastAsia="en-GB"/>
              </w:rPr>
            </w:pPr>
            <w:r w:rsidRPr="000A66EE">
              <w:rPr>
                <w:color w:val="000000"/>
              </w:rPr>
              <w:t>This proposal is cost neutral.</w:t>
            </w:r>
            <w:r w:rsidR="00B1681F">
              <w:rPr>
                <w:color w:val="000000"/>
              </w:rPr>
              <w:t xml:space="preserve"> </w:t>
            </w:r>
            <w:r w:rsidR="00B1681F" w:rsidRPr="00D078DC">
              <w:rPr>
                <w:rFonts w:eastAsia="Times New Roman" w:cs="Segoe UI"/>
                <w:lang w:eastAsia="en-GB"/>
              </w:rPr>
              <w:t>Any administrative support requirements will be met through existing resources and governance arrangements.</w:t>
            </w:r>
          </w:p>
          <w:p w14:paraId="6D290484" w14:textId="159E2A7D" w:rsidR="00925DA1" w:rsidRPr="000A66EE" w:rsidRDefault="00925DA1" w:rsidP="00925DA1">
            <w:pPr>
              <w:ind w:right="96"/>
              <w:rPr>
                <w:color w:val="FF0000"/>
              </w:rPr>
            </w:pPr>
          </w:p>
          <w:p w14:paraId="6D290486" w14:textId="77777777" w:rsidR="00925DA1" w:rsidRPr="00F8567E" w:rsidRDefault="00925DA1" w:rsidP="000A66EE">
            <w:pPr>
              <w:ind w:right="96"/>
              <w:rPr>
                <w:color w:val="FF0000"/>
              </w:rPr>
            </w:pP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54AB0CBE" w:rsidR="00925DA1" w:rsidRPr="008C04FC" w:rsidRDefault="000A66EE" w:rsidP="008C04FC">
            <w:pPr>
              <w:pStyle w:val="NormalWeb"/>
              <w:rPr>
                <w:rFonts w:ascii="Verdana" w:hAnsi="Verdana"/>
                <w:color w:val="000000"/>
              </w:rPr>
            </w:pPr>
            <w:r w:rsidRPr="000A66EE">
              <w:rPr>
                <w:rFonts w:ascii="Verdana" w:hAnsi="Verdana"/>
                <w:color w:val="000000"/>
              </w:rPr>
              <w:t>Legal implications including equality and diversity to be discussed in</w:t>
            </w:r>
            <w:r>
              <w:rPr>
                <w:rFonts w:ascii="Verdana" w:hAnsi="Verdana"/>
                <w:color w:val="000000"/>
              </w:rPr>
              <w:t xml:space="preserve"> </w:t>
            </w:r>
            <w:r w:rsidRPr="000A66EE">
              <w:rPr>
                <w:rFonts w:ascii="Verdana" w:hAnsi="Verdana"/>
                <w:color w:val="000000"/>
              </w:rPr>
              <w:t>relevant boards/committees where appropriate.</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lastRenderedPageBreak/>
              <w:t>Staffing Implications</w:t>
            </w:r>
          </w:p>
        </w:tc>
      </w:tr>
      <w:tr w:rsidR="00925DA1" w:rsidRPr="00F8567E" w14:paraId="6D290491" w14:textId="77777777" w:rsidTr="007B683C">
        <w:tc>
          <w:tcPr>
            <w:tcW w:w="9245" w:type="dxa"/>
            <w:gridSpan w:val="3"/>
          </w:tcPr>
          <w:p w14:paraId="6B73E64D" w14:textId="5E3E05D8" w:rsidR="00995628" w:rsidRPr="00995628" w:rsidRDefault="00995628" w:rsidP="00995628">
            <w:pPr>
              <w:pStyle w:val="NormalWeb"/>
              <w:spacing w:line="300" w:lineRule="atLeast"/>
              <w:rPr>
                <w:rFonts w:ascii="Verdana" w:hAnsi="Verdana" w:cs="Segoe UI"/>
              </w:rPr>
            </w:pPr>
            <w:r w:rsidRPr="00995628">
              <w:rPr>
                <w:rFonts w:ascii="Verdana" w:hAnsi="Verdana" w:cs="Segoe UI"/>
              </w:rPr>
              <w:t xml:space="preserve">The establishment of the </w:t>
            </w:r>
            <w:r>
              <w:rPr>
                <w:rFonts w:ascii="Verdana" w:hAnsi="Verdana" w:cs="Segoe UI"/>
              </w:rPr>
              <w:t xml:space="preserve">EACP </w:t>
            </w:r>
            <w:r w:rsidRPr="00995628">
              <w:rPr>
                <w:rFonts w:ascii="Verdana" w:hAnsi="Verdana" w:cs="Segoe UI"/>
              </w:rPr>
              <w:t xml:space="preserve">Governance Group is expected to have a positive impact on workforce development, planning and professional practice across the Health Board. The Group will provide strategic oversight of </w:t>
            </w:r>
            <w:r w:rsidR="00A16A5B">
              <w:rPr>
                <w:rFonts w:ascii="Verdana" w:hAnsi="Verdana" w:cs="Segoe UI"/>
              </w:rPr>
              <w:t xml:space="preserve">EACP </w:t>
            </w:r>
            <w:r w:rsidRPr="00995628">
              <w:rPr>
                <w:rFonts w:ascii="Verdana" w:hAnsi="Verdana" w:cs="Segoe UI"/>
              </w:rPr>
              <w:t>roles, supporting a consistent approach to role development, educational preparation, supervision, competency assessment, credentialing and career progression.</w:t>
            </w:r>
          </w:p>
          <w:p w14:paraId="5856FA94" w14:textId="6DF47EB9" w:rsidR="00995628" w:rsidRPr="00995628" w:rsidRDefault="00995628" w:rsidP="00995628">
            <w:pPr>
              <w:pStyle w:val="NormalWeb"/>
              <w:spacing w:line="300" w:lineRule="atLeast"/>
              <w:rPr>
                <w:rFonts w:ascii="Verdana" w:hAnsi="Verdana" w:cs="Segoe UI"/>
              </w:rPr>
            </w:pPr>
            <w:r w:rsidRPr="00995628">
              <w:rPr>
                <w:rFonts w:ascii="Verdana" w:hAnsi="Verdana" w:cs="Segoe UI"/>
              </w:rPr>
              <w:t xml:space="preserve">The Governance Group will strengthen workforce assurance by improving the visibility and oversight of </w:t>
            </w:r>
            <w:r w:rsidR="00A16A5B">
              <w:rPr>
                <w:rFonts w:ascii="Verdana" w:hAnsi="Verdana" w:cs="Segoe UI"/>
              </w:rPr>
              <w:t xml:space="preserve">EACP </w:t>
            </w:r>
            <w:r w:rsidRPr="00995628">
              <w:rPr>
                <w:rFonts w:ascii="Verdana" w:hAnsi="Verdana" w:cs="Segoe UI"/>
              </w:rPr>
              <w:t>roles across all professional groups. This will support succession planning, workforce sustainability and the development of clear career pathways, helping to attract, retain and develop highly skilled practitioners.</w:t>
            </w:r>
          </w:p>
          <w:p w14:paraId="1BD7DB1B" w14:textId="77777777" w:rsidR="00995628" w:rsidRPr="00995628" w:rsidRDefault="00995628" w:rsidP="00995628">
            <w:pPr>
              <w:pStyle w:val="NormalWeb"/>
              <w:spacing w:line="300" w:lineRule="atLeast"/>
              <w:rPr>
                <w:rFonts w:ascii="Verdana" w:hAnsi="Verdana" w:cs="Segoe UI"/>
              </w:rPr>
            </w:pPr>
            <w:r w:rsidRPr="00995628">
              <w:rPr>
                <w:rFonts w:ascii="Verdana" w:hAnsi="Verdana" w:cs="Segoe UI"/>
              </w:rPr>
              <w:t>There are no additional staffing resource requirements associated with the establishment of the Governance Group. Membership and administrative support will be provided through existing structures and resources. Any time commitment required from members will be incorporated within existing professional and managerial responsibilities.</w:t>
            </w:r>
          </w:p>
          <w:p w14:paraId="6D290490" w14:textId="39D6FCE2" w:rsidR="00925DA1" w:rsidRPr="008C04FC" w:rsidRDefault="00995628" w:rsidP="008C04FC">
            <w:pPr>
              <w:pStyle w:val="NormalWeb"/>
              <w:spacing w:line="300" w:lineRule="atLeast"/>
              <w:rPr>
                <w:rFonts w:ascii="Verdana" w:hAnsi="Verdana" w:cs="Segoe UI"/>
              </w:rPr>
            </w:pPr>
            <w:r w:rsidRPr="00995628">
              <w:rPr>
                <w:rFonts w:ascii="Verdana" w:hAnsi="Verdana" w:cs="Segoe UI"/>
              </w:rPr>
              <w:t>The Group will also support compliance with national workforce frameworks and professional standards, ensuring practitioners are appropriately prepared, supported and enabled to work to the full scope of their practice, thereby contributing to improved service delivery, workforce effectiveness and patient outcomes.</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1E265B62" w:rsidR="00925DA1" w:rsidRPr="008C04FC" w:rsidRDefault="00B525DB" w:rsidP="008C04FC">
            <w:pPr>
              <w:spacing w:line="300" w:lineRule="atLeast"/>
              <w:rPr>
                <w:rFonts w:eastAsia="Times New Roman" w:cs="Segoe UI"/>
                <w:lang w:eastAsia="en-GB"/>
              </w:rPr>
            </w:pPr>
            <w:r w:rsidRPr="00B525DB">
              <w:rPr>
                <w:rFonts w:eastAsia="Times New Roman" w:cs="Segoe UI"/>
                <w:lang w:eastAsia="en-GB"/>
              </w:rPr>
              <w:t xml:space="preserve">The establishment of an </w:t>
            </w:r>
            <w:r w:rsidR="00A26863">
              <w:rPr>
                <w:rFonts w:eastAsia="Times New Roman" w:cs="Segoe UI"/>
                <w:lang w:eastAsia="en-GB"/>
              </w:rPr>
              <w:t xml:space="preserve">EACP </w:t>
            </w:r>
            <w:r w:rsidRPr="00B525DB">
              <w:rPr>
                <w:rFonts w:eastAsia="Times New Roman" w:cs="Segoe UI"/>
                <w:lang w:eastAsia="en-GB"/>
              </w:rPr>
              <w:t>Governance Group will support the Health Board's long-term workforce sustainability, service transformation and quality improvement objectives. By providing strategic oversight of the development, implementation and evaluation of Enhanced, Advanced and Consultant Practice roles, the Group will ensure that the workforce is equipped with the skills, capabilities and leadership required to meet current and future healthcare demands.</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1C562EFD" w:rsidR="00925DA1" w:rsidRPr="00F8567E" w:rsidRDefault="00873783" w:rsidP="00873783">
            <w:pPr>
              <w:ind w:right="96"/>
              <w:rPr>
                <w:color w:val="FF0000"/>
              </w:rPr>
            </w:pPr>
            <w:r w:rsidRPr="00873783">
              <w:t>Not Applicable</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E" w14:textId="0226BBB1" w:rsidR="00925DA1" w:rsidRPr="00F8567E" w:rsidRDefault="00616299" w:rsidP="00925DA1">
            <w:pPr>
              <w:ind w:right="96"/>
              <w:rPr>
                <w:color w:val="FF0000"/>
              </w:rPr>
            </w:pPr>
            <w:r>
              <w:t>Appendix 1 –</w:t>
            </w:r>
            <w:r w:rsidR="00A26863">
              <w:t xml:space="preserve">EACP </w:t>
            </w:r>
            <w:r w:rsidR="00FF1AFC">
              <w:t xml:space="preserve">Governance Group </w:t>
            </w:r>
            <w:r>
              <w:t xml:space="preserve">Terms of Reference </w:t>
            </w: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18208" w14:textId="77777777" w:rsidR="008410E9" w:rsidRDefault="008410E9" w:rsidP="00C107F2">
      <w:pPr>
        <w:spacing w:after="0" w:line="240" w:lineRule="auto"/>
      </w:pPr>
      <w:r>
        <w:separator/>
      </w:r>
    </w:p>
  </w:endnote>
  <w:endnote w:type="continuationSeparator" w:id="0">
    <w:p w14:paraId="0462351B" w14:textId="77777777" w:rsidR="008410E9" w:rsidRDefault="008410E9"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42E1F510" w:rsidR="0032747D" w:rsidRPr="0031077C" w:rsidRDefault="00646AAE">
    <w:pPr>
      <w:pStyle w:val="Footer"/>
      <w:jc w:val="right"/>
      <w:rPr>
        <w:sz w:val="20"/>
        <w:szCs w:val="20"/>
      </w:rPr>
    </w:pPr>
    <w:r w:rsidRPr="004C7750">
      <w:rPr>
        <w:noProof/>
      </w:rPr>
      <w:drawing>
        <wp:anchor distT="0" distB="0" distL="114300" distR="114300" simplePos="0" relativeHeight="251657728" behindDoc="0" locked="0" layoutInCell="1" allowOverlap="0" wp14:anchorId="2BC556AF" wp14:editId="1FB24972">
          <wp:simplePos x="0" y="0"/>
          <wp:positionH relativeFrom="column">
            <wp:posOffset>-752475</wp:posOffset>
          </wp:positionH>
          <wp:positionV relativeFrom="paragraph">
            <wp:posOffset>-26035</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E763B1">
          <w:rPr>
            <w:sz w:val="20"/>
            <w:szCs w:val="20"/>
          </w:rPr>
          <w:t>8</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p w14:paraId="6D2904A9" w14:textId="5F867497" w:rsidR="003324CB" w:rsidRDefault="00E06118" w:rsidP="0031077C">
        <w:pPr>
          <w:pStyle w:val="Footer"/>
          <w:jc w:val="right"/>
          <w:rPr>
            <w:rStyle w:val="CorporateStyle2"/>
          </w:rPr>
        </w:pPr>
        <w:r>
          <w:rPr>
            <w:rStyle w:val="CorporateStyle2"/>
          </w:rPr>
          <w:t>Workforce and Organisational Development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2T00:00:00Z">
        <w:dateFormat w:val="dddd, dd MMMM yyyy"/>
        <w:lid w:val="en-GB"/>
        <w:storeMappedDataAs w:val="dateTime"/>
        <w:calendar w:val="gregorian"/>
      </w:date>
    </w:sdtPr>
    <w:sdtEndPr>
      <w:rPr>
        <w:rStyle w:val="DefaultParagraphFont"/>
        <w:sz w:val="24"/>
        <w:szCs w:val="20"/>
      </w:rPr>
    </w:sdtEndPr>
    <w:sdtContent>
      <w:p w14:paraId="6DC782A8" w14:textId="34C969B3" w:rsidR="0031077C" w:rsidRPr="0031077C" w:rsidRDefault="001E79F8" w:rsidP="0031077C">
        <w:pPr>
          <w:pStyle w:val="Footer"/>
          <w:jc w:val="right"/>
          <w:rPr>
            <w:sz w:val="20"/>
            <w:szCs w:val="20"/>
          </w:rPr>
        </w:pPr>
        <w:r>
          <w:rPr>
            <w:rStyle w:val="CorporateStyle2"/>
          </w:rPr>
          <w:t>Thursday, 22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E79E1" w14:textId="77777777" w:rsidR="008410E9" w:rsidRDefault="008410E9" w:rsidP="00C107F2">
      <w:pPr>
        <w:spacing w:after="0" w:line="240" w:lineRule="auto"/>
      </w:pPr>
      <w:r>
        <w:separator/>
      </w:r>
    </w:p>
  </w:footnote>
  <w:footnote w:type="continuationSeparator" w:id="0">
    <w:p w14:paraId="1AD8F30F" w14:textId="77777777" w:rsidR="008410E9" w:rsidRDefault="008410E9"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76FC5C1C" w:rsidR="00767E3E" w:rsidRDefault="00CA6D65">
    <w:pPr>
      <w:pStyle w:val="Header"/>
    </w:pPr>
    <w:r>
      <w:rPr>
        <w:noProof/>
        <w:lang w:eastAsia="en-GB"/>
      </w:rPr>
      <w:drawing>
        <wp:anchor distT="0" distB="0" distL="114300" distR="114300" simplePos="0" relativeHeight="251656704"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77E4"/>
    <w:multiLevelType w:val="hybridMultilevel"/>
    <w:tmpl w:val="F8FEDEA8"/>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896D3F"/>
    <w:multiLevelType w:val="hybridMultilevel"/>
    <w:tmpl w:val="1E3AF9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3B0B92"/>
    <w:multiLevelType w:val="hybridMultilevel"/>
    <w:tmpl w:val="22D6A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516FA6"/>
    <w:multiLevelType w:val="hybridMultilevel"/>
    <w:tmpl w:val="BDBAF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31E01A22"/>
    <w:multiLevelType w:val="hybridMultilevel"/>
    <w:tmpl w:val="4F106F72"/>
    <w:lvl w:ilvl="0" w:tplc="0809000F">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574F7B"/>
    <w:multiLevelType w:val="hybridMultilevel"/>
    <w:tmpl w:val="B712A2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3C55590D"/>
    <w:multiLevelType w:val="hybridMultilevel"/>
    <w:tmpl w:val="E144A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115D53"/>
    <w:multiLevelType w:val="hybridMultilevel"/>
    <w:tmpl w:val="CEB20E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69D34F5"/>
    <w:multiLevelType w:val="hybridMultilevel"/>
    <w:tmpl w:val="61323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181C80"/>
    <w:multiLevelType w:val="hybridMultilevel"/>
    <w:tmpl w:val="665AFC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AEB3824"/>
    <w:multiLevelType w:val="hybridMultilevel"/>
    <w:tmpl w:val="B712CD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6"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E0452F9"/>
    <w:multiLevelType w:val="hybridMultilevel"/>
    <w:tmpl w:val="5EE0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550B65"/>
    <w:multiLevelType w:val="hybridMultilevel"/>
    <w:tmpl w:val="665A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BC29F8"/>
    <w:multiLevelType w:val="hybridMultilevel"/>
    <w:tmpl w:val="798EB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12"/>
  </w:num>
  <w:num w:numId="3" w16cid:durableId="358313792">
    <w:abstractNumId w:val="11"/>
  </w:num>
  <w:num w:numId="4" w16cid:durableId="1144618638">
    <w:abstractNumId w:val="7"/>
  </w:num>
  <w:num w:numId="5" w16cid:durableId="211239042">
    <w:abstractNumId w:val="4"/>
  </w:num>
  <w:num w:numId="6" w16cid:durableId="1874800944">
    <w:abstractNumId w:val="20"/>
  </w:num>
  <w:num w:numId="7" w16cid:durableId="263198079">
    <w:abstractNumId w:val="21"/>
  </w:num>
  <w:num w:numId="8" w16cid:durableId="1535070366">
    <w:abstractNumId w:val="15"/>
  </w:num>
  <w:num w:numId="9" w16cid:durableId="1823614381">
    <w:abstractNumId w:val="16"/>
  </w:num>
  <w:num w:numId="10" w16cid:durableId="875429971">
    <w:abstractNumId w:val="19"/>
  </w:num>
  <w:num w:numId="11" w16cid:durableId="1861621855">
    <w:abstractNumId w:val="3"/>
  </w:num>
  <w:num w:numId="12" w16cid:durableId="1340040660">
    <w:abstractNumId w:val="8"/>
  </w:num>
  <w:num w:numId="13" w16cid:durableId="1143234551">
    <w:abstractNumId w:val="10"/>
  </w:num>
  <w:num w:numId="14" w16cid:durableId="138233824">
    <w:abstractNumId w:val="18"/>
  </w:num>
  <w:num w:numId="15" w16cid:durableId="553002597">
    <w:abstractNumId w:val="13"/>
  </w:num>
  <w:num w:numId="16" w16cid:durableId="1720474750">
    <w:abstractNumId w:val="1"/>
  </w:num>
  <w:num w:numId="17" w16cid:durableId="1830440312">
    <w:abstractNumId w:val="9"/>
  </w:num>
  <w:num w:numId="18" w16cid:durableId="1727216732">
    <w:abstractNumId w:val="14"/>
  </w:num>
  <w:num w:numId="19" w16cid:durableId="1430353714">
    <w:abstractNumId w:val="0"/>
  </w:num>
  <w:num w:numId="20" w16cid:durableId="1424648885">
    <w:abstractNumId w:val="17"/>
  </w:num>
  <w:num w:numId="21" w16cid:durableId="1392735155">
    <w:abstractNumId w:val="5"/>
  </w:num>
  <w:num w:numId="22" w16cid:durableId="11825531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27AC"/>
    <w:rsid w:val="00003757"/>
    <w:rsid w:val="00003CA6"/>
    <w:rsid w:val="00007CA7"/>
    <w:rsid w:val="00015859"/>
    <w:rsid w:val="00017807"/>
    <w:rsid w:val="000203BD"/>
    <w:rsid w:val="00021C60"/>
    <w:rsid w:val="00027FF7"/>
    <w:rsid w:val="00034194"/>
    <w:rsid w:val="00041CF6"/>
    <w:rsid w:val="0004211A"/>
    <w:rsid w:val="00044930"/>
    <w:rsid w:val="000456D9"/>
    <w:rsid w:val="00052D01"/>
    <w:rsid w:val="00054F8C"/>
    <w:rsid w:val="00055CA0"/>
    <w:rsid w:val="00061E86"/>
    <w:rsid w:val="00065531"/>
    <w:rsid w:val="00072D3B"/>
    <w:rsid w:val="00076192"/>
    <w:rsid w:val="00083FC0"/>
    <w:rsid w:val="000940E7"/>
    <w:rsid w:val="00095A44"/>
    <w:rsid w:val="000A0751"/>
    <w:rsid w:val="000A5E56"/>
    <w:rsid w:val="000A66EE"/>
    <w:rsid w:val="000B37BB"/>
    <w:rsid w:val="000C216D"/>
    <w:rsid w:val="000C2280"/>
    <w:rsid w:val="000C3280"/>
    <w:rsid w:val="000D597C"/>
    <w:rsid w:val="000E379E"/>
    <w:rsid w:val="000E63A0"/>
    <w:rsid w:val="000F361B"/>
    <w:rsid w:val="00101503"/>
    <w:rsid w:val="00101F50"/>
    <w:rsid w:val="00110100"/>
    <w:rsid w:val="00133EA1"/>
    <w:rsid w:val="00141C9D"/>
    <w:rsid w:val="00143AAB"/>
    <w:rsid w:val="00147434"/>
    <w:rsid w:val="0016096B"/>
    <w:rsid w:val="001707C4"/>
    <w:rsid w:val="00174BDB"/>
    <w:rsid w:val="00177430"/>
    <w:rsid w:val="0018209C"/>
    <w:rsid w:val="00182C00"/>
    <w:rsid w:val="001849A5"/>
    <w:rsid w:val="00184B94"/>
    <w:rsid w:val="00184E18"/>
    <w:rsid w:val="001920D5"/>
    <w:rsid w:val="001A37A3"/>
    <w:rsid w:val="001A4E1B"/>
    <w:rsid w:val="001A7440"/>
    <w:rsid w:val="001B3120"/>
    <w:rsid w:val="001C06A8"/>
    <w:rsid w:val="001C3FA6"/>
    <w:rsid w:val="001C6C4F"/>
    <w:rsid w:val="001E2BE0"/>
    <w:rsid w:val="001E3149"/>
    <w:rsid w:val="001E53B5"/>
    <w:rsid w:val="001E6F3B"/>
    <w:rsid w:val="001E79F8"/>
    <w:rsid w:val="001F2857"/>
    <w:rsid w:val="001F48BE"/>
    <w:rsid w:val="0020043C"/>
    <w:rsid w:val="002010FE"/>
    <w:rsid w:val="00203F67"/>
    <w:rsid w:val="0020539A"/>
    <w:rsid w:val="002207F1"/>
    <w:rsid w:val="00227A0B"/>
    <w:rsid w:val="00233330"/>
    <w:rsid w:val="00233D58"/>
    <w:rsid w:val="00233FEC"/>
    <w:rsid w:val="00234AC2"/>
    <w:rsid w:val="00240F00"/>
    <w:rsid w:val="00241662"/>
    <w:rsid w:val="002432C6"/>
    <w:rsid w:val="002518B7"/>
    <w:rsid w:val="00270897"/>
    <w:rsid w:val="002724BD"/>
    <w:rsid w:val="00272BD5"/>
    <w:rsid w:val="00284893"/>
    <w:rsid w:val="00294ABC"/>
    <w:rsid w:val="002950FF"/>
    <w:rsid w:val="00296CD9"/>
    <w:rsid w:val="002A706E"/>
    <w:rsid w:val="002A74A6"/>
    <w:rsid w:val="002B04E4"/>
    <w:rsid w:val="002B4E0D"/>
    <w:rsid w:val="002B7C9A"/>
    <w:rsid w:val="002C3DD6"/>
    <w:rsid w:val="002D77FE"/>
    <w:rsid w:val="002E71B0"/>
    <w:rsid w:val="0030739E"/>
    <w:rsid w:val="0031077C"/>
    <w:rsid w:val="00311899"/>
    <w:rsid w:val="00315EBE"/>
    <w:rsid w:val="003261FD"/>
    <w:rsid w:val="0032729A"/>
    <w:rsid w:val="00327324"/>
    <w:rsid w:val="0032747D"/>
    <w:rsid w:val="003324CB"/>
    <w:rsid w:val="00341A71"/>
    <w:rsid w:val="00345CA7"/>
    <w:rsid w:val="003464BA"/>
    <w:rsid w:val="00353C90"/>
    <w:rsid w:val="00365ABE"/>
    <w:rsid w:val="00366FDD"/>
    <w:rsid w:val="0036784A"/>
    <w:rsid w:val="00375605"/>
    <w:rsid w:val="00387A41"/>
    <w:rsid w:val="00393E0E"/>
    <w:rsid w:val="003B31B1"/>
    <w:rsid w:val="003C0FF8"/>
    <w:rsid w:val="003D04A8"/>
    <w:rsid w:val="003F0545"/>
    <w:rsid w:val="003F6878"/>
    <w:rsid w:val="0040753F"/>
    <w:rsid w:val="004140C9"/>
    <w:rsid w:val="00414894"/>
    <w:rsid w:val="00417932"/>
    <w:rsid w:val="00417C26"/>
    <w:rsid w:val="004221DC"/>
    <w:rsid w:val="004222DD"/>
    <w:rsid w:val="0042635B"/>
    <w:rsid w:val="00445C91"/>
    <w:rsid w:val="00461835"/>
    <w:rsid w:val="00466612"/>
    <w:rsid w:val="00466F20"/>
    <w:rsid w:val="004671D2"/>
    <w:rsid w:val="004754FC"/>
    <w:rsid w:val="004937D3"/>
    <w:rsid w:val="004A694E"/>
    <w:rsid w:val="004D2AA2"/>
    <w:rsid w:val="004D77F6"/>
    <w:rsid w:val="004E109D"/>
    <w:rsid w:val="004F1193"/>
    <w:rsid w:val="0052297E"/>
    <w:rsid w:val="00524839"/>
    <w:rsid w:val="00527C17"/>
    <w:rsid w:val="0053076A"/>
    <w:rsid w:val="005404F4"/>
    <w:rsid w:val="00540821"/>
    <w:rsid w:val="00544410"/>
    <w:rsid w:val="005506AE"/>
    <w:rsid w:val="00551B86"/>
    <w:rsid w:val="00556711"/>
    <w:rsid w:val="00574BCF"/>
    <w:rsid w:val="00576395"/>
    <w:rsid w:val="005835C5"/>
    <w:rsid w:val="00585277"/>
    <w:rsid w:val="00586985"/>
    <w:rsid w:val="00593D79"/>
    <w:rsid w:val="00594E39"/>
    <w:rsid w:val="005B45F6"/>
    <w:rsid w:val="005B6E57"/>
    <w:rsid w:val="005C0A53"/>
    <w:rsid w:val="005C2D5E"/>
    <w:rsid w:val="005D1652"/>
    <w:rsid w:val="005D2C4A"/>
    <w:rsid w:val="005D3DF1"/>
    <w:rsid w:val="005D5AFA"/>
    <w:rsid w:val="005D5E16"/>
    <w:rsid w:val="005D67C5"/>
    <w:rsid w:val="005D6EAF"/>
    <w:rsid w:val="005E6797"/>
    <w:rsid w:val="005F38A1"/>
    <w:rsid w:val="005F4E71"/>
    <w:rsid w:val="005F63D1"/>
    <w:rsid w:val="00616299"/>
    <w:rsid w:val="006201D0"/>
    <w:rsid w:val="00626A11"/>
    <w:rsid w:val="00635538"/>
    <w:rsid w:val="0063677D"/>
    <w:rsid w:val="0064147E"/>
    <w:rsid w:val="00641883"/>
    <w:rsid w:val="00642176"/>
    <w:rsid w:val="006438BA"/>
    <w:rsid w:val="00646AAE"/>
    <w:rsid w:val="00653AEC"/>
    <w:rsid w:val="00655190"/>
    <w:rsid w:val="00656183"/>
    <w:rsid w:val="00656759"/>
    <w:rsid w:val="00662218"/>
    <w:rsid w:val="006715A4"/>
    <w:rsid w:val="006729DA"/>
    <w:rsid w:val="00672A4C"/>
    <w:rsid w:val="00672EDC"/>
    <w:rsid w:val="006763ED"/>
    <w:rsid w:val="00685AE0"/>
    <w:rsid w:val="00687037"/>
    <w:rsid w:val="006B1804"/>
    <w:rsid w:val="006B33D7"/>
    <w:rsid w:val="006B56D7"/>
    <w:rsid w:val="006C3D62"/>
    <w:rsid w:val="006D0E46"/>
    <w:rsid w:val="006D1998"/>
    <w:rsid w:val="006F02B9"/>
    <w:rsid w:val="006F0AC0"/>
    <w:rsid w:val="006F20E0"/>
    <w:rsid w:val="006F549F"/>
    <w:rsid w:val="00702830"/>
    <w:rsid w:val="00703D77"/>
    <w:rsid w:val="00707FAD"/>
    <w:rsid w:val="00711095"/>
    <w:rsid w:val="0072604C"/>
    <w:rsid w:val="007277B5"/>
    <w:rsid w:val="00737883"/>
    <w:rsid w:val="00740D06"/>
    <w:rsid w:val="0075502E"/>
    <w:rsid w:val="00762BBE"/>
    <w:rsid w:val="0076681D"/>
    <w:rsid w:val="00766F15"/>
    <w:rsid w:val="00767C7B"/>
    <w:rsid w:val="00767E3E"/>
    <w:rsid w:val="00771192"/>
    <w:rsid w:val="00780D7C"/>
    <w:rsid w:val="00782BA4"/>
    <w:rsid w:val="0079672B"/>
    <w:rsid w:val="007967DB"/>
    <w:rsid w:val="007A496A"/>
    <w:rsid w:val="007B683C"/>
    <w:rsid w:val="007C7EBC"/>
    <w:rsid w:val="007D313C"/>
    <w:rsid w:val="007D3BA5"/>
    <w:rsid w:val="007E59B7"/>
    <w:rsid w:val="007E5BB1"/>
    <w:rsid w:val="007F125F"/>
    <w:rsid w:val="008003C7"/>
    <w:rsid w:val="00801BA5"/>
    <w:rsid w:val="00804324"/>
    <w:rsid w:val="008139A0"/>
    <w:rsid w:val="00816E93"/>
    <w:rsid w:val="00820546"/>
    <w:rsid w:val="008267FB"/>
    <w:rsid w:val="00833EA5"/>
    <w:rsid w:val="008410E9"/>
    <w:rsid w:val="00850C29"/>
    <w:rsid w:val="00850E38"/>
    <w:rsid w:val="0085244F"/>
    <w:rsid w:val="00857D93"/>
    <w:rsid w:val="00860674"/>
    <w:rsid w:val="008668E9"/>
    <w:rsid w:val="00873783"/>
    <w:rsid w:val="00874CD2"/>
    <w:rsid w:val="00885CE9"/>
    <w:rsid w:val="00891BA2"/>
    <w:rsid w:val="008A62B7"/>
    <w:rsid w:val="008A709C"/>
    <w:rsid w:val="008B5CFE"/>
    <w:rsid w:val="008C04FC"/>
    <w:rsid w:val="008C15D9"/>
    <w:rsid w:val="008C50D5"/>
    <w:rsid w:val="008D0747"/>
    <w:rsid w:val="008E13D1"/>
    <w:rsid w:val="008E4134"/>
    <w:rsid w:val="008F442A"/>
    <w:rsid w:val="0090051B"/>
    <w:rsid w:val="00903E24"/>
    <w:rsid w:val="00910C0A"/>
    <w:rsid w:val="009112DC"/>
    <w:rsid w:val="009221F5"/>
    <w:rsid w:val="00925DA1"/>
    <w:rsid w:val="00931E6B"/>
    <w:rsid w:val="009331F3"/>
    <w:rsid w:val="00942F5A"/>
    <w:rsid w:val="00946C83"/>
    <w:rsid w:val="009659DE"/>
    <w:rsid w:val="009660E4"/>
    <w:rsid w:val="009802F9"/>
    <w:rsid w:val="00982988"/>
    <w:rsid w:val="00983F5E"/>
    <w:rsid w:val="0098555E"/>
    <w:rsid w:val="009911F2"/>
    <w:rsid w:val="00994BFF"/>
    <w:rsid w:val="00995628"/>
    <w:rsid w:val="00996159"/>
    <w:rsid w:val="00996D65"/>
    <w:rsid w:val="009A2BAC"/>
    <w:rsid w:val="009B0C9B"/>
    <w:rsid w:val="009B52E7"/>
    <w:rsid w:val="009B7B40"/>
    <w:rsid w:val="009C2A0D"/>
    <w:rsid w:val="009C4C0F"/>
    <w:rsid w:val="009C6D90"/>
    <w:rsid w:val="009E14BB"/>
    <w:rsid w:val="009E53B8"/>
    <w:rsid w:val="009E7AF7"/>
    <w:rsid w:val="009F1CC1"/>
    <w:rsid w:val="009F3A2F"/>
    <w:rsid w:val="009F7421"/>
    <w:rsid w:val="00A1429B"/>
    <w:rsid w:val="00A14440"/>
    <w:rsid w:val="00A16A5B"/>
    <w:rsid w:val="00A17EED"/>
    <w:rsid w:val="00A2260C"/>
    <w:rsid w:val="00A26863"/>
    <w:rsid w:val="00A35122"/>
    <w:rsid w:val="00A671E8"/>
    <w:rsid w:val="00A6732D"/>
    <w:rsid w:val="00A83E54"/>
    <w:rsid w:val="00A84941"/>
    <w:rsid w:val="00A92699"/>
    <w:rsid w:val="00A94002"/>
    <w:rsid w:val="00A97D23"/>
    <w:rsid w:val="00AA2AE1"/>
    <w:rsid w:val="00AA4753"/>
    <w:rsid w:val="00AB4B93"/>
    <w:rsid w:val="00AC325A"/>
    <w:rsid w:val="00AC4AD4"/>
    <w:rsid w:val="00AD064D"/>
    <w:rsid w:val="00AD40B8"/>
    <w:rsid w:val="00AD486E"/>
    <w:rsid w:val="00AD71BC"/>
    <w:rsid w:val="00AE17AC"/>
    <w:rsid w:val="00AF1978"/>
    <w:rsid w:val="00AF66FE"/>
    <w:rsid w:val="00B0479E"/>
    <w:rsid w:val="00B0564E"/>
    <w:rsid w:val="00B105BD"/>
    <w:rsid w:val="00B14EAE"/>
    <w:rsid w:val="00B1681F"/>
    <w:rsid w:val="00B21EDC"/>
    <w:rsid w:val="00B224D7"/>
    <w:rsid w:val="00B22CF9"/>
    <w:rsid w:val="00B25C58"/>
    <w:rsid w:val="00B27C47"/>
    <w:rsid w:val="00B3430C"/>
    <w:rsid w:val="00B35ECC"/>
    <w:rsid w:val="00B3683A"/>
    <w:rsid w:val="00B43FAB"/>
    <w:rsid w:val="00B44CC6"/>
    <w:rsid w:val="00B479E3"/>
    <w:rsid w:val="00B50ABC"/>
    <w:rsid w:val="00B525DB"/>
    <w:rsid w:val="00B52C22"/>
    <w:rsid w:val="00B571F5"/>
    <w:rsid w:val="00B6292E"/>
    <w:rsid w:val="00B6601D"/>
    <w:rsid w:val="00B70ED7"/>
    <w:rsid w:val="00B84D7C"/>
    <w:rsid w:val="00B8607F"/>
    <w:rsid w:val="00B86BD3"/>
    <w:rsid w:val="00B904E5"/>
    <w:rsid w:val="00BA2270"/>
    <w:rsid w:val="00BA2507"/>
    <w:rsid w:val="00BA5EB1"/>
    <w:rsid w:val="00BA6FC4"/>
    <w:rsid w:val="00BB1C21"/>
    <w:rsid w:val="00BB483F"/>
    <w:rsid w:val="00BB764F"/>
    <w:rsid w:val="00BC1144"/>
    <w:rsid w:val="00BC241D"/>
    <w:rsid w:val="00BD0413"/>
    <w:rsid w:val="00BE1AE8"/>
    <w:rsid w:val="00BE289C"/>
    <w:rsid w:val="00BF0938"/>
    <w:rsid w:val="00BF44EA"/>
    <w:rsid w:val="00BF517B"/>
    <w:rsid w:val="00BF578D"/>
    <w:rsid w:val="00C002C1"/>
    <w:rsid w:val="00C03B15"/>
    <w:rsid w:val="00C06DBD"/>
    <w:rsid w:val="00C107F2"/>
    <w:rsid w:val="00C11835"/>
    <w:rsid w:val="00C2143D"/>
    <w:rsid w:val="00C33A04"/>
    <w:rsid w:val="00C40206"/>
    <w:rsid w:val="00C43F7B"/>
    <w:rsid w:val="00C55C8E"/>
    <w:rsid w:val="00C56152"/>
    <w:rsid w:val="00C61658"/>
    <w:rsid w:val="00C648BC"/>
    <w:rsid w:val="00C71A37"/>
    <w:rsid w:val="00C74B0D"/>
    <w:rsid w:val="00C77B23"/>
    <w:rsid w:val="00C91E24"/>
    <w:rsid w:val="00C933BE"/>
    <w:rsid w:val="00C9570A"/>
    <w:rsid w:val="00C95B3C"/>
    <w:rsid w:val="00CA1009"/>
    <w:rsid w:val="00CA6D65"/>
    <w:rsid w:val="00CB1C7D"/>
    <w:rsid w:val="00CB314F"/>
    <w:rsid w:val="00CC048E"/>
    <w:rsid w:val="00CC2EF5"/>
    <w:rsid w:val="00CC381D"/>
    <w:rsid w:val="00CD7AA5"/>
    <w:rsid w:val="00D078DC"/>
    <w:rsid w:val="00D11351"/>
    <w:rsid w:val="00D1630F"/>
    <w:rsid w:val="00D16C84"/>
    <w:rsid w:val="00D34382"/>
    <w:rsid w:val="00D40B91"/>
    <w:rsid w:val="00D45B01"/>
    <w:rsid w:val="00D51109"/>
    <w:rsid w:val="00D53020"/>
    <w:rsid w:val="00D6215B"/>
    <w:rsid w:val="00D6744E"/>
    <w:rsid w:val="00D764E9"/>
    <w:rsid w:val="00D82CFB"/>
    <w:rsid w:val="00D90614"/>
    <w:rsid w:val="00D914F2"/>
    <w:rsid w:val="00D94083"/>
    <w:rsid w:val="00D97BB9"/>
    <w:rsid w:val="00DA0F82"/>
    <w:rsid w:val="00DA51E0"/>
    <w:rsid w:val="00DA76AD"/>
    <w:rsid w:val="00DB308E"/>
    <w:rsid w:val="00DB4061"/>
    <w:rsid w:val="00DB4C6D"/>
    <w:rsid w:val="00DB73D4"/>
    <w:rsid w:val="00DB76B3"/>
    <w:rsid w:val="00DC09F3"/>
    <w:rsid w:val="00DC6D73"/>
    <w:rsid w:val="00DD41FA"/>
    <w:rsid w:val="00DF3645"/>
    <w:rsid w:val="00E06118"/>
    <w:rsid w:val="00E06294"/>
    <w:rsid w:val="00E10124"/>
    <w:rsid w:val="00E242E5"/>
    <w:rsid w:val="00E257E0"/>
    <w:rsid w:val="00E25C4E"/>
    <w:rsid w:val="00E31442"/>
    <w:rsid w:val="00E3794C"/>
    <w:rsid w:val="00E46217"/>
    <w:rsid w:val="00E503B3"/>
    <w:rsid w:val="00E52C94"/>
    <w:rsid w:val="00E5468F"/>
    <w:rsid w:val="00E575AE"/>
    <w:rsid w:val="00E729AC"/>
    <w:rsid w:val="00E763B1"/>
    <w:rsid w:val="00E8325D"/>
    <w:rsid w:val="00E87B30"/>
    <w:rsid w:val="00EA436A"/>
    <w:rsid w:val="00EA4667"/>
    <w:rsid w:val="00EC231A"/>
    <w:rsid w:val="00EC4C80"/>
    <w:rsid w:val="00EC7151"/>
    <w:rsid w:val="00ED754B"/>
    <w:rsid w:val="00EE3DD3"/>
    <w:rsid w:val="00EF2430"/>
    <w:rsid w:val="00EF31AD"/>
    <w:rsid w:val="00F06D6F"/>
    <w:rsid w:val="00F11CD2"/>
    <w:rsid w:val="00F1387A"/>
    <w:rsid w:val="00F17EB4"/>
    <w:rsid w:val="00F201A6"/>
    <w:rsid w:val="00F204CE"/>
    <w:rsid w:val="00F23510"/>
    <w:rsid w:val="00F31EBA"/>
    <w:rsid w:val="00F42FB7"/>
    <w:rsid w:val="00F458B2"/>
    <w:rsid w:val="00F460D6"/>
    <w:rsid w:val="00F5082D"/>
    <w:rsid w:val="00F531BD"/>
    <w:rsid w:val="00F5324A"/>
    <w:rsid w:val="00F55629"/>
    <w:rsid w:val="00F57042"/>
    <w:rsid w:val="00F57C68"/>
    <w:rsid w:val="00F618CD"/>
    <w:rsid w:val="00F7169E"/>
    <w:rsid w:val="00F7288F"/>
    <w:rsid w:val="00F818BA"/>
    <w:rsid w:val="00F82362"/>
    <w:rsid w:val="00F82EA6"/>
    <w:rsid w:val="00F850B9"/>
    <w:rsid w:val="00F8567E"/>
    <w:rsid w:val="00F86656"/>
    <w:rsid w:val="00F91B06"/>
    <w:rsid w:val="00F97C38"/>
    <w:rsid w:val="00FA066A"/>
    <w:rsid w:val="00FA0CA9"/>
    <w:rsid w:val="00FA46FA"/>
    <w:rsid w:val="00FA4762"/>
    <w:rsid w:val="00FA5DEC"/>
    <w:rsid w:val="00FA6991"/>
    <w:rsid w:val="00FB0B82"/>
    <w:rsid w:val="00FB3EFD"/>
    <w:rsid w:val="00FB4669"/>
    <w:rsid w:val="00FC21DB"/>
    <w:rsid w:val="00FC75FE"/>
    <w:rsid w:val="00FD0326"/>
    <w:rsid w:val="00FE25CB"/>
    <w:rsid w:val="00FE2FAA"/>
    <w:rsid w:val="00FE5A9A"/>
    <w:rsid w:val="00FE7070"/>
    <w:rsid w:val="00FE7723"/>
    <w:rsid w:val="00FF05D0"/>
    <w:rsid w:val="00FF1AFC"/>
    <w:rsid w:val="0EFBC7B9"/>
    <w:rsid w:val="112DB425"/>
    <w:rsid w:val="12413FBE"/>
    <w:rsid w:val="24D01AD7"/>
    <w:rsid w:val="27D77FF5"/>
    <w:rsid w:val="2A31D359"/>
    <w:rsid w:val="3C45DFE4"/>
    <w:rsid w:val="3E7970DE"/>
    <w:rsid w:val="417E2099"/>
    <w:rsid w:val="4EAB618B"/>
    <w:rsid w:val="556B38F9"/>
    <w:rsid w:val="6089AD3B"/>
    <w:rsid w:val="6163AAFF"/>
    <w:rsid w:val="66615EA8"/>
    <w:rsid w:val="6FC5F940"/>
    <w:rsid w:val="777A05A7"/>
    <w:rsid w:val="7C078191"/>
    <w:rsid w:val="7E1401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3153C"/>
    <w:rsid w:val="00066004"/>
    <w:rsid w:val="000F6DD0"/>
    <w:rsid w:val="00186BD0"/>
    <w:rsid w:val="001B0EEF"/>
    <w:rsid w:val="001B3EFE"/>
    <w:rsid w:val="001C6C4F"/>
    <w:rsid w:val="00240F00"/>
    <w:rsid w:val="002B4E0D"/>
    <w:rsid w:val="002D7989"/>
    <w:rsid w:val="00312247"/>
    <w:rsid w:val="003122C9"/>
    <w:rsid w:val="003261FD"/>
    <w:rsid w:val="00327324"/>
    <w:rsid w:val="00387A41"/>
    <w:rsid w:val="0040753F"/>
    <w:rsid w:val="004140C9"/>
    <w:rsid w:val="00452091"/>
    <w:rsid w:val="00467E8C"/>
    <w:rsid w:val="00500DD2"/>
    <w:rsid w:val="00524839"/>
    <w:rsid w:val="00551B86"/>
    <w:rsid w:val="00591655"/>
    <w:rsid w:val="00641883"/>
    <w:rsid w:val="006559FF"/>
    <w:rsid w:val="00672A4C"/>
    <w:rsid w:val="006B2C9F"/>
    <w:rsid w:val="006B33D7"/>
    <w:rsid w:val="006D0E46"/>
    <w:rsid w:val="006F549F"/>
    <w:rsid w:val="00702830"/>
    <w:rsid w:val="00721C46"/>
    <w:rsid w:val="0076681D"/>
    <w:rsid w:val="00780D7C"/>
    <w:rsid w:val="007B104B"/>
    <w:rsid w:val="007D313C"/>
    <w:rsid w:val="00803283"/>
    <w:rsid w:val="00921669"/>
    <w:rsid w:val="00994BFF"/>
    <w:rsid w:val="009E14BB"/>
    <w:rsid w:val="00A1429B"/>
    <w:rsid w:val="00A14440"/>
    <w:rsid w:val="00AB42C4"/>
    <w:rsid w:val="00AD486E"/>
    <w:rsid w:val="00B06ACB"/>
    <w:rsid w:val="00B84D7C"/>
    <w:rsid w:val="00B904E5"/>
    <w:rsid w:val="00C07C90"/>
    <w:rsid w:val="00C3159D"/>
    <w:rsid w:val="00CB2F21"/>
    <w:rsid w:val="00CC048E"/>
    <w:rsid w:val="00D577BC"/>
    <w:rsid w:val="00D914F2"/>
    <w:rsid w:val="00DC09F3"/>
    <w:rsid w:val="00E10124"/>
    <w:rsid w:val="00E62F67"/>
    <w:rsid w:val="00ED754B"/>
    <w:rsid w:val="00F460D6"/>
    <w:rsid w:val="00F850B9"/>
    <w:rsid w:val="00F937B7"/>
    <w:rsid w:val="00F97C38"/>
    <w:rsid w:val="00FA46FA"/>
    <w:rsid w:val="00FB29FD"/>
    <w:rsid w:val="00FE77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1688</Words>
  <Characters>11181</Characters>
  <Application>Microsoft Office Word</Application>
  <DocSecurity>0</DocSecurity>
  <Lines>338</Lines>
  <Paragraphs>139</Paragraphs>
  <ScaleCrop>false</ScaleCrop>
  <Company>ABM LHB</Company>
  <LinksUpToDate>false</LinksUpToDate>
  <CharactersWithSpaces>12730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Amelia Cole (Swansea Bay UHB - Corporate)</cp:lastModifiedBy>
  <cp:revision>35</cp:revision>
  <dcterms:created xsi:type="dcterms:W3CDTF">2026-10-06T10:11:00Z</dcterms:created>
  <dcterms:modified xsi:type="dcterms:W3CDTF">2026-10-14T11:54:00Z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