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40781" w14:textId="21C07C37" w:rsidR="003F3446" w:rsidRPr="003F3446" w:rsidRDefault="00946F47" w:rsidP="003F344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GB" w:eastAsia="en-GB"/>
        </w:rPr>
      </w:pPr>
      <w:r>
        <w:rPr>
          <w:noProof/>
          <w14:ligatures w14:val="standardContextual"/>
        </w:rPr>
        <w:drawing>
          <wp:inline distT="0" distB="0" distL="0" distR="0" wp14:anchorId="706A0C3F" wp14:editId="768AFD87">
            <wp:extent cx="5731510" cy="2185670"/>
            <wp:effectExtent l="0" t="0" r="2540" b="5080"/>
            <wp:docPr id="17474153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41535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8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2667B" w14:textId="53C10B58" w:rsidR="003F3446" w:rsidRPr="00A529E1" w:rsidRDefault="00A529E1" w:rsidP="003F3446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 w:rsidRPr="00A529E1">
        <w:rPr>
          <w:rFonts w:eastAsia="Times New Roman" w:cs="Arial"/>
          <w:i/>
          <w:iCs/>
          <w:szCs w:val="24"/>
          <w:lang w:val="en-GB" w:eastAsia="en-GB"/>
        </w:rPr>
        <w:t>Figure</w:t>
      </w:r>
      <w:r w:rsidR="00C0453D" w:rsidRPr="00A529E1">
        <w:rPr>
          <w:rFonts w:eastAsia="Times New Roman" w:cs="Arial"/>
          <w:i/>
          <w:iCs/>
          <w:szCs w:val="24"/>
          <w:lang w:val="en-GB" w:eastAsia="en-GB"/>
        </w:rPr>
        <w:t xml:space="preserve"> 1: Health Board Total </w:t>
      </w:r>
      <w:r w:rsidR="0039665B" w:rsidRPr="00A529E1">
        <w:rPr>
          <w:rFonts w:eastAsia="Times New Roman" w:cs="Arial"/>
          <w:i/>
          <w:iCs/>
          <w:szCs w:val="24"/>
          <w:lang w:val="en-GB" w:eastAsia="en-GB"/>
        </w:rPr>
        <w:t xml:space="preserve">Deployed </w:t>
      </w:r>
      <w:r w:rsidR="00C0453D" w:rsidRPr="00A529E1">
        <w:rPr>
          <w:rFonts w:eastAsia="Times New Roman" w:cs="Arial"/>
          <w:i/>
          <w:iCs/>
          <w:szCs w:val="24"/>
          <w:lang w:val="en-GB" w:eastAsia="en-GB"/>
        </w:rPr>
        <w:t>Workforce Reductions (%) Compared to March 2026 Baseline</w:t>
      </w:r>
    </w:p>
    <w:p w14:paraId="02CD5424" w14:textId="77777777" w:rsidR="0039665B" w:rsidRPr="003F3446" w:rsidRDefault="0039665B" w:rsidP="003F344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GB" w:eastAsia="en-GB"/>
        </w:rPr>
      </w:pPr>
    </w:p>
    <w:p w14:paraId="328DDE81" w14:textId="77777777" w:rsidR="00D8015F" w:rsidRDefault="00D8015F">
      <w:pPr>
        <w:rPr>
          <w:szCs w:val="24"/>
          <w:lang w:eastAsia="en-GB"/>
        </w:rPr>
      </w:pPr>
      <w:r>
        <w:rPr>
          <w:noProof/>
        </w:rPr>
        <w:drawing>
          <wp:inline distT="0" distB="0" distL="0" distR="0" wp14:anchorId="079DB696" wp14:editId="2337B0CD">
            <wp:extent cx="5731510" cy="3821007"/>
            <wp:effectExtent l="0" t="0" r="2540" b="8255"/>
            <wp:docPr id="1577005384" name="Picture 1577005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F47D3" w14:textId="4D37A3EA" w:rsidR="00D8015F" w:rsidRPr="00A529E1" w:rsidRDefault="00D8015F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 w:rsidRPr="00A529E1">
        <w:rPr>
          <w:rFonts w:eastAsia="Times New Roman" w:cs="Arial"/>
          <w:i/>
          <w:iCs/>
          <w:szCs w:val="24"/>
          <w:lang w:val="en-GB" w:eastAsia="en-GB"/>
        </w:rPr>
        <w:t xml:space="preserve">Figure </w:t>
      </w:r>
      <w:r w:rsidR="00A529E1" w:rsidRPr="00A529E1">
        <w:rPr>
          <w:rFonts w:eastAsia="Times New Roman" w:cs="Arial"/>
          <w:i/>
          <w:iCs/>
          <w:szCs w:val="24"/>
          <w:lang w:val="en-GB" w:eastAsia="en-GB"/>
        </w:rPr>
        <w:t>2</w:t>
      </w:r>
      <w:r w:rsidRPr="00A529E1">
        <w:rPr>
          <w:rFonts w:eastAsia="Times New Roman" w:cs="Arial"/>
          <w:i/>
          <w:iCs/>
          <w:szCs w:val="24"/>
          <w:lang w:val="en-GB" w:eastAsia="en-GB"/>
        </w:rPr>
        <w:t>. Health Board total deployed workforce: Month 5 actual versus full-year target trajectory</w:t>
      </w:r>
      <w:r w:rsidR="0039665B" w:rsidRPr="00A529E1">
        <w:rPr>
          <w:rFonts w:eastAsia="Times New Roman" w:cs="Arial"/>
          <w:i/>
          <w:iCs/>
          <w:szCs w:val="24"/>
          <w:lang w:val="en-GB" w:eastAsia="en-GB"/>
        </w:rPr>
        <w:t xml:space="preserve"> in FTEs</w:t>
      </w:r>
    </w:p>
    <w:p w14:paraId="45254BB7" w14:textId="77777777" w:rsidR="00D8015F" w:rsidRDefault="00D8015F">
      <w:pPr>
        <w:rPr>
          <w:szCs w:val="24"/>
          <w:lang w:eastAsia="en-GB"/>
        </w:rPr>
      </w:pPr>
      <w:r>
        <w:rPr>
          <w:noProof/>
        </w:rPr>
        <w:lastRenderedPageBreak/>
        <w:drawing>
          <wp:inline distT="0" distB="0" distL="0" distR="0" wp14:anchorId="42D68E29" wp14:editId="3F39B092">
            <wp:extent cx="5731510" cy="3821007"/>
            <wp:effectExtent l="0" t="0" r="2540" b="8255"/>
            <wp:docPr id="787117783" name="Picture 787117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9712D" w14:textId="6A5CE7BC" w:rsidR="00D8015F" w:rsidRDefault="00D8015F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 w:rsidRPr="00A529E1">
        <w:rPr>
          <w:rFonts w:eastAsia="Times New Roman" w:cs="Arial"/>
          <w:i/>
          <w:iCs/>
          <w:szCs w:val="24"/>
          <w:lang w:val="en-GB" w:eastAsia="en-GB"/>
        </w:rPr>
        <w:t xml:space="preserve">Figure </w:t>
      </w:r>
      <w:r w:rsidR="00A529E1" w:rsidRPr="00A529E1">
        <w:rPr>
          <w:rFonts w:eastAsia="Times New Roman" w:cs="Arial"/>
          <w:i/>
          <w:iCs/>
          <w:szCs w:val="24"/>
          <w:lang w:val="en-GB" w:eastAsia="en-GB"/>
        </w:rPr>
        <w:t>3</w:t>
      </w:r>
      <w:r w:rsidRPr="00A529E1">
        <w:rPr>
          <w:rFonts w:eastAsia="Times New Roman" w:cs="Arial"/>
          <w:i/>
          <w:iCs/>
          <w:szCs w:val="24"/>
          <w:lang w:val="en-GB" w:eastAsia="en-GB"/>
        </w:rPr>
        <w:t>. Month 5 percentage change from the March 2026 baseline by staff group, compared with target.</w:t>
      </w:r>
    </w:p>
    <w:p w14:paraId="30C18461" w14:textId="77777777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7D7D6555" w14:textId="77777777" w:rsidR="00723FB1" w:rsidRDefault="00723FB1" w:rsidP="00723FB1">
      <w:pPr>
        <w:spacing w:after="0" w:line="240" w:lineRule="auto"/>
        <w:rPr>
          <w:rFonts w:eastAsia="Times New Roman" w:cs="Arial"/>
          <w:i/>
          <w:iCs/>
          <w:szCs w:val="24"/>
          <w:lang w:val="pt-BR" w:eastAsia="en-GB"/>
        </w:rPr>
      </w:pPr>
    </w:p>
    <w:p w14:paraId="366D6852" w14:textId="4321A9D7" w:rsidR="00723FB1" w:rsidRPr="00723FB1" w:rsidRDefault="00723FB1" w:rsidP="00723FB1">
      <w:pPr>
        <w:spacing w:after="0" w:line="240" w:lineRule="auto"/>
        <w:rPr>
          <w:rFonts w:eastAsia="Times New Roman" w:cs="Arial"/>
          <w:b/>
          <w:bCs/>
          <w:i/>
          <w:iCs/>
          <w:szCs w:val="24"/>
          <w:lang w:val="en-GB" w:eastAsia="en-GB"/>
        </w:rPr>
      </w:pPr>
      <w:r w:rsidRPr="00723FB1">
        <w:rPr>
          <w:rFonts w:eastAsia="Times New Roman" w:cs="Arial"/>
          <w:b/>
          <w:bCs/>
          <w:i/>
          <w:iCs/>
          <w:szCs w:val="24"/>
          <w:lang w:val="pt-BR" w:eastAsia="en-GB"/>
        </w:rPr>
        <w:t>Bank &amp; Agency Usage – WTE trend – Health Board Wide</w:t>
      </w:r>
    </w:p>
    <w:p w14:paraId="5424EC37" w14:textId="77777777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6787CD66" w14:textId="77777777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23DEEA2A" w14:textId="77777777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15995D53" w14:textId="35E057A6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 w:rsidRPr="00723FB1">
        <w:rPr>
          <w:rFonts w:eastAsia="Times New Roman" w:cs="Arial"/>
          <w:i/>
          <w:iCs/>
          <w:szCs w:val="24"/>
          <w:lang w:eastAsia="en-GB"/>
        </w:rPr>
        <w:drawing>
          <wp:inline distT="0" distB="0" distL="0" distR="0" wp14:anchorId="7A8F4ED9" wp14:editId="3B0ED4D8">
            <wp:extent cx="5731510" cy="2661920"/>
            <wp:effectExtent l="0" t="0" r="2540" b="508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7B1A78DF-8031-CD1A-2658-1A4E8C162D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7B1A78DF-8031-CD1A-2658-1A4E8C162D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266A7" w14:textId="77777777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6E7E7E71" w14:textId="77777777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0C06B8F4" w14:textId="6C869D6B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 w:rsidRPr="00723FB1">
        <w:rPr>
          <w:rFonts w:eastAsia="Times New Roman" w:cs="Arial"/>
          <w:i/>
          <w:iCs/>
          <w:szCs w:val="24"/>
          <w:lang w:eastAsia="en-GB"/>
        </w:rPr>
        <w:lastRenderedPageBreak/>
        <w:drawing>
          <wp:inline distT="0" distB="0" distL="0" distR="0" wp14:anchorId="035203D7" wp14:editId="1E49A18E">
            <wp:extent cx="5731510" cy="1394460"/>
            <wp:effectExtent l="0" t="0" r="2540" b="0"/>
            <wp:docPr id="1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38E1228D-B9BA-2958-CB69-5E1181466A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38E1228D-B9BA-2958-CB69-5E1181466A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16784" w14:textId="77777777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7447C8B8" w14:textId="6E75013F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>
        <w:rPr>
          <w:rFonts w:eastAsia="Times New Roman" w:cs="Arial"/>
          <w:i/>
          <w:iCs/>
          <w:szCs w:val="24"/>
          <w:lang w:val="en-GB" w:eastAsia="en-GB"/>
        </w:rPr>
        <w:t>Figure 4. WTE trend for bank and agency usage.</w:t>
      </w:r>
    </w:p>
    <w:p w14:paraId="32759036" w14:textId="77777777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015A306B" w14:textId="1948B1FD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 w:rsidRPr="00723FB1">
        <w:rPr>
          <w:rFonts w:eastAsia="Times New Roman" w:cs="Arial"/>
          <w:i/>
          <w:iCs/>
          <w:szCs w:val="24"/>
          <w:lang w:eastAsia="en-GB"/>
        </w:rPr>
        <w:drawing>
          <wp:inline distT="0" distB="0" distL="0" distR="0" wp14:anchorId="14E0E5F8" wp14:editId="2A815EF1">
            <wp:extent cx="5731510" cy="3088005"/>
            <wp:effectExtent l="0" t="0" r="254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CCFDBAC3-E092-D763-FDE1-4A4A7917D6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CCFDBAC3-E092-D763-FDE1-4A4A7917D6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8B179" w14:textId="77777777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7248AB4D" w14:textId="734FDABA" w:rsidR="00723FB1" w:rsidRDefault="00723FB1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>
        <w:rPr>
          <w:rFonts w:eastAsia="Times New Roman" w:cs="Arial"/>
          <w:i/>
          <w:iCs/>
          <w:szCs w:val="24"/>
          <w:lang w:val="en-GB" w:eastAsia="en-GB"/>
        </w:rPr>
        <w:t>Figure 5. WTE bank/agency WTE split by reason</w:t>
      </w:r>
    </w:p>
    <w:p w14:paraId="5E6A4D6C" w14:textId="77777777" w:rsidR="001E5E92" w:rsidRDefault="001E5E92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56550123" w14:textId="56525195" w:rsidR="001E5E92" w:rsidRDefault="001E5E92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 w:rsidRPr="001E5E92">
        <w:rPr>
          <w:rFonts w:eastAsia="Times New Roman" w:cs="Arial"/>
          <w:i/>
          <w:iCs/>
          <w:szCs w:val="24"/>
          <w:lang w:eastAsia="en-GB"/>
        </w:rPr>
        <w:lastRenderedPageBreak/>
        <w:drawing>
          <wp:inline distT="0" distB="0" distL="0" distR="0" wp14:anchorId="2F10B438" wp14:editId="521ABD51">
            <wp:extent cx="5731510" cy="3199765"/>
            <wp:effectExtent l="0" t="0" r="2540" b="635"/>
            <wp:docPr id="34886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4C201E0D-2E56-E33E-5D61-436503F044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4C201E0D-2E56-E33E-5D61-436503F044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7A548" w14:textId="77777777" w:rsidR="001E5E92" w:rsidRDefault="001E5E92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32D3BFD2" w14:textId="47B32AF2" w:rsidR="001E5E92" w:rsidRDefault="001E5E92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>
        <w:rPr>
          <w:rFonts w:eastAsia="Times New Roman" w:cs="Arial"/>
          <w:i/>
          <w:iCs/>
          <w:szCs w:val="24"/>
          <w:lang w:val="en-GB" w:eastAsia="en-GB"/>
        </w:rPr>
        <w:t>Figure 6. Medical and dental additional duty hours</w:t>
      </w:r>
    </w:p>
    <w:p w14:paraId="7EEF86DE" w14:textId="77777777" w:rsidR="0018233C" w:rsidRDefault="0018233C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5154DAE9" w14:textId="4430AC5C" w:rsidR="0018233C" w:rsidRDefault="0018233C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 w:rsidRPr="0018233C">
        <w:rPr>
          <w:rFonts w:eastAsia="Times New Roman" w:cs="Arial"/>
          <w:i/>
          <w:iCs/>
          <w:szCs w:val="24"/>
          <w:lang w:val="en-GB" w:eastAsia="en-GB"/>
        </w:rPr>
        <w:drawing>
          <wp:inline distT="0" distB="0" distL="0" distR="0" wp14:anchorId="1A510C9B" wp14:editId="325D5F37">
            <wp:extent cx="5054860" cy="2635385"/>
            <wp:effectExtent l="0" t="0" r="0" b="0"/>
            <wp:docPr id="1172089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08993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54860" cy="263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E2D6B" w14:textId="77777777" w:rsidR="0018233C" w:rsidRDefault="0018233C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</w:p>
    <w:p w14:paraId="247E067B" w14:textId="16A75C30" w:rsidR="0018233C" w:rsidRPr="00A529E1" w:rsidRDefault="0018233C" w:rsidP="00A529E1">
      <w:pPr>
        <w:spacing w:after="0" w:line="240" w:lineRule="auto"/>
        <w:rPr>
          <w:rFonts w:eastAsia="Times New Roman" w:cs="Arial"/>
          <w:i/>
          <w:iCs/>
          <w:szCs w:val="24"/>
          <w:lang w:val="en-GB" w:eastAsia="en-GB"/>
        </w:rPr>
      </w:pPr>
      <w:r>
        <w:rPr>
          <w:rFonts w:eastAsia="Times New Roman" w:cs="Arial"/>
          <w:i/>
          <w:iCs/>
          <w:szCs w:val="24"/>
          <w:lang w:val="en-GB" w:eastAsia="en-GB"/>
        </w:rPr>
        <w:t>Figure 6. Medical and dental</w:t>
      </w:r>
      <w:r w:rsidR="00925A19">
        <w:rPr>
          <w:rFonts w:eastAsia="Times New Roman" w:cs="Arial"/>
          <w:i/>
          <w:iCs/>
          <w:szCs w:val="24"/>
          <w:lang w:val="en-GB" w:eastAsia="en-GB"/>
        </w:rPr>
        <w:t xml:space="preserve"> usage breakdown for June, July &amp; August 2026</w:t>
      </w:r>
    </w:p>
    <w:sectPr w:rsidR="0018233C" w:rsidRPr="00A529E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0E151" w14:textId="77777777" w:rsidR="001B4DE6" w:rsidRDefault="001B4DE6" w:rsidP="003F3446">
      <w:pPr>
        <w:spacing w:after="0" w:line="240" w:lineRule="auto"/>
      </w:pPr>
      <w:r>
        <w:separator/>
      </w:r>
    </w:p>
  </w:endnote>
  <w:endnote w:type="continuationSeparator" w:id="0">
    <w:p w14:paraId="30B0A30C" w14:textId="77777777" w:rsidR="001B4DE6" w:rsidRDefault="001B4DE6" w:rsidP="003F3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6074" w14:textId="77777777" w:rsidR="00C3386C" w:rsidRDefault="00C338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C4640" w14:textId="77777777" w:rsidR="00C3386C" w:rsidRDefault="00C338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0A71" w14:textId="77777777" w:rsidR="00C3386C" w:rsidRDefault="00C338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53AA8" w14:textId="77777777" w:rsidR="001B4DE6" w:rsidRDefault="001B4DE6" w:rsidP="003F3446">
      <w:pPr>
        <w:spacing w:after="0" w:line="240" w:lineRule="auto"/>
      </w:pPr>
      <w:r>
        <w:separator/>
      </w:r>
    </w:p>
  </w:footnote>
  <w:footnote w:type="continuationSeparator" w:id="0">
    <w:p w14:paraId="57F9D26D" w14:textId="77777777" w:rsidR="001B4DE6" w:rsidRDefault="001B4DE6" w:rsidP="003F3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6B424" w14:textId="77777777" w:rsidR="00C3386C" w:rsidRDefault="00C338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204F7" w14:textId="77777777" w:rsidR="00D8015F" w:rsidRDefault="00D8015F">
    <w:pPr>
      <w:ind w:right="96"/>
      <w:rPr>
        <w:szCs w:val="24"/>
      </w:rPr>
    </w:pPr>
    <w:r>
      <w:rPr>
        <w:b/>
        <w:bCs/>
        <w:color w:val="000000"/>
      </w:rPr>
      <w:t>Appendix 1: Month 5 workforce reduction trajectory graphs and staff group target versus actual analysis.</w:t>
    </w:r>
  </w:p>
  <w:p w14:paraId="35952909" w14:textId="77777777" w:rsidR="00D8015F" w:rsidRDefault="00D8015F">
    <w:pPr>
      <w:pStyle w:val="Header"/>
    </w:pPr>
    <w:r>
      <w:t> </w:t>
    </w:r>
  </w:p>
  <w:p w14:paraId="63DA77CA" w14:textId="365405AD" w:rsidR="003F3446" w:rsidRDefault="00D8015F">
    <w:pPr>
      <w:pStyle w:val="Header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396B1" w14:textId="77777777" w:rsidR="00C3386C" w:rsidRDefault="00C338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46"/>
    <w:rsid w:val="00002034"/>
    <w:rsid w:val="00011DFF"/>
    <w:rsid w:val="00013C7B"/>
    <w:rsid w:val="0004371F"/>
    <w:rsid w:val="0005290B"/>
    <w:rsid w:val="000535DE"/>
    <w:rsid w:val="00065D3A"/>
    <w:rsid w:val="00087E7A"/>
    <w:rsid w:val="000931F1"/>
    <w:rsid w:val="000A00F4"/>
    <w:rsid w:val="000A204B"/>
    <w:rsid w:val="000B1255"/>
    <w:rsid w:val="000C54AD"/>
    <w:rsid w:val="000E2675"/>
    <w:rsid w:val="000E2BAF"/>
    <w:rsid w:val="000E49C7"/>
    <w:rsid w:val="000F2C25"/>
    <w:rsid w:val="00104EAE"/>
    <w:rsid w:val="001062DF"/>
    <w:rsid w:val="0011632E"/>
    <w:rsid w:val="0012417C"/>
    <w:rsid w:val="00163D8F"/>
    <w:rsid w:val="0018233C"/>
    <w:rsid w:val="00183E49"/>
    <w:rsid w:val="00187F12"/>
    <w:rsid w:val="001B4DE6"/>
    <w:rsid w:val="001C0E6A"/>
    <w:rsid w:val="001C7D6D"/>
    <w:rsid w:val="001D6A78"/>
    <w:rsid w:val="001D779B"/>
    <w:rsid w:val="001E287C"/>
    <w:rsid w:val="001E5E92"/>
    <w:rsid w:val="00210AC5"/>
    <w:rsid w:val="00225E3F"/>
    <w:rsid w:val="002419E0"/>
    <w:rsid w:val="002558C9"/>
    <w:rsid w:val="00260811"/>
    <w:rsid w:val="00265BA1"/>
    <w:rsid w:val="00274034"/>
    <w:rsid w:val="002802A1"/>
    <w:rsid w:val="00295C4F"/>
    <w:rsid w:val="002962C6"/>
    <w:rsid w:val="002A6C50"/>
    <w:rsid w:val="002A7855"/>
    <w:rsid w:val="002C0E26"/>
    <w:rsid w:val="002C7C69"/>
    <w:rsid w:val="002D65ED"/>
    <w:rsid w:val="00300F0C"/>
    <w:rsid w:val="00305D6C"/>
    <w:rsid w:val="0035099E"/>
    <w:rsid w:val="00353417"/>
    <w:rsid w:val="0035687D"/>
    <w:rsid w:val="003778B7"/>
    <w:rsid w:val="00387DEF"/>
    <w:rsid w:val="0039665B"/>
    <w:rsid w:val="003972AB"/>
    <w:rsid w:val="003A3A6B"/>
    <w:rsid w:val="003B5008"/>
    <w:rsid w:val="003C189B"/>
    <w:rsid w:val="003D5FBE"/>
    <w:rsid w:val="003D7599"/>
    <w:rsid w:val="003F3446"/>
    <w:rsid w:val="00405CCD"/>
    <w:rsid w:val="00441D09"/>
    <w:rsid w:val="004523DA"/>
    <w:rsid w:val="004625CA"/>
    <w:rsid w:val="00476B6E"/>
    <w:rsid w:val="004914CC"/>
    <w:rsid w:val="004C46F3"/>
    <w:rsid w:val="004E0398"/>
    <w:rsid w:val="004E05F3"/>
    <w:rsid w:val="004E376A"/>
    <w:rsid w:val="004E6D46"/>
    <w:rsid w:val="004F2FF6"/>
    <w:rsid w:val="004F36E3"/>
    <w:rsid w:val="00523F79"/>
    <w:rsid w:val="005422C3"/>
    <w:rsid w:val="00553C2B"/>
    <w:rsid w:val="00554E62"/>
    <w:rsid w:val="00557BCD"/>
    <w:rsid w:val="00576433"/>
    <w:rsid w:val="005A4D4A"/>
    <w:rsid w:val="005E45C3"/>
    <w:rsid w:val="005F7341"/>
    <w:rsid w:val="00616F38"/>
    <w:rsid w:val="00640997"/>
    <w:rsid w:val="00654559"/>
    <w:rsid w:val="00655EE4"/>
    <w:rsid w:val="00665451"/>
    <w:rsid w:val="00667B66"/>
    <w:rsid w:val="006A2DE6"/>
    <w:rsid w:val="006A4BBB"/>
    <w:rsid w:val="006E0EC4"/>
    <w:rsid w:val="006E36C3"/>
    <w:rsid w:val="006F69CE"/>
    <w:rsid w:val="00711FC7"/>
    <w:rsid w:val="00723FB1"/>
    <w:rsid w:val="00733D71"/>
    <w:rsid w:val="007502DB"/>
    <w:rsid w:val="00794104"/>
    <w:rsid w:val="007978E0"/>
    <w:rsid w:val="007A0BB4"/>
    <w:rsid w:val="007B1F97"/>
    <w:rsid w:val="007C26BC"/>
    <w:rsid w:val="007F15E8"/>
    <w:rsid w:val="008134C9"/>
    <w:rsid w:val="00831866"/>
    <w:rsid w:val="00844C77"/>
    <w:rsid w:val="0085562C"/>
    <w:rsid w:val="00861B56"/>
    <w:rsid w:val="00862E08"/>
    <w:rsid w:val="008756AD"/>
    <w:rsid w:val="00880F62"/>
    <w:rsid w:val="008820D6"/>
    <w:rsid w:val="008864C0"/>
    <w:rsid w:val="00887675"/>
    <w:rsid w:val="00891A23"/>
    <w:rsid w:val="008A2CCA"/>
    <w:rsid w:val="008D527D"/>
    <w:rsid w:val="008E533E"/>
    <w:rsid w:val="008E7ADE"/>
    <w:rsid w:val="008F0F4E"/>
    <w:rsid w:val="009029EA"/>
    <w:rsid w:val="0092005B"/>
    <w:rsid w:val="00925A19"/>
    <w:rsid w:val="00925B95"/>
    <w:rsid w:val="00931E6D"/>
    <w:rsid w:val="00946F47"/>
    <w:rsid w:val="00950EC8"/>
    <w:rsid w:val="009513E1"/>
    <w:rsid w:val="00986482"/>
    <w:rsid w:val="00987073"/>
    <w:rsid w:val="0099209A"/>
    <w:rsid w:val="009E04B9"/>
    <w:rsid w:val="00A124FD"/>
    <w:rsid w:val="00A14014"/>
    <w:rsid w:val="00A211C3"/>
    <w:rsid w:val="00A24982"/>
    <w:rsid w:val="00A33973"/>
    <w:rsid w:val="00A33BC9"/>
    <w:rsid w:val="00A3456F"/>
    <w:rsid w:val="00A529E1"/>
    <w:rsid w:val="00A93F78"/>
    <w:rsid w:val="00AC7512"/>
    <w:rsid w:val="00AD0182"/>
    <w:rsid w:val="00AD38ED"/>
    <w:rsid w:val="00AE57E9"/>
    <w:rsid w:val="00B01B7B"/>
    <w:rsid w:val="00B04060"/>
    <w:rsid w:val="00B075BC"/>
    <w:rsid w:val="00B1623E"/>
    <w:rsid w:val="00B17E00"/>
    <w:rsid w:val="00B3511E"/>
    <w:rsid w:val="00B40FAF"/>
    <w:rsid w:val="00B45115"/>
    <w:rsid w:val="00B5452E"/>
    <w:rsid w:val="00B54FA7"/>
    <w:rsid w:val="00B55CB1"/>
    <w:rsid w:val="00B55F9E"/>
    <w:rsid w:val="00B60852"/>
    <w:rsid w:val="00B77D87"/>
    <w:rsid w:val="00B946D4"/>
    <w:rsid w:val="00B96476"/>
    <w:rsid w:val="00B975F4"/>
    <w:rsid w:val="00BD2ED5"/>
    <w:rsid w:val="00BD7B86"/>
    <w:rsid w:val="00BE2619"/>
    <w:rsid w:val="00C0453D"/>
    <w:rsid w:val="00C052F9"/>
    <w:rsid w:val="00C3386C"/>
    <w:rsid w:val="00C4016D"/>
    <w:rsid w:val="00C52A09"/>
    <w:rsid w:val="00C57980"/>
    <w:rsid w:val="00C703CA"/>
    <w:rsid w:val="00C819D7"/>
    <w:rsid w:val="00C85B17"/>
    <w:rsid w:val="00C87743"/>
    <w:rsid w:val="00CE50D1"/>
    <w:rsid w:val="00CE51B9"/>
    <w:rsid w:val="00CF3E91"/>
    <w:rsid w:val="00CF5EB2"/>
    <w:rsid w:val="00D0046A"/>
    <w:rsid w:val="00D00F98"/>
    <w:rsid w:val="00D015D3"/>
    <w:rsid w:val="00D224FE"/>
    <w:rsid w:val="00D22FEF"/>
    <w:rsid w:val="00D411FA"/>
    <w:rsid w:val="00D47480"/>
    <w:rsid w:val="00D5016A"/>
    <w:rsid w:val="00D57A2D"/>
    <w:rsid w:val="00D8015F"/>
    <w:rsid w:val="00DB08E5"/>
    <w:rsid w:val="00DB614F"/>
    <w:rsid w:val="00DD6EDE"/>
    <w:rsid w:val="00DF4B92"/>
    <w:rsid w:val="00E408D5"/>
    <w:rsid w:val="00E44882"/>
    <w:rsid w:val="00E508CE"/>
    <w:rsid w:val="00E67B50"/>
    <w:rsid w:val="00E70ECE"/>
    <w:rsid w:val="00E82BBC"/>
    <w:rsid w:val="00E84944"/>
    <w:rsid w:val="00E84F0F"/>
    <w:rsid w:val="00E85BEC"/>
    <w:rsid w:val="00EB38F7"/>
    <w:rsid w:val="00EE1753"/>
    <w:rsid w:val="00F02E24"/>
    <w:rsid w:val="00F0335A"/>
    <w:rsid w:val="00F1260D"/>
    <w:rsid w:val="00F1397D"/>
    <w:rsid w:val="00F13DD3"/>
    <w:rsid w:val="00F17F44"/>
    <w:rsid w:val="00F23DCB"/>
    <w:rsid w:val="00F33E60"/>
    <w:rsid w:val="00F42AE2"/>
    <w:rsid w:val="00F47E82"/>
    <w:rsid w:val="00F856AE"/>
    <w:rsid w:val="00F90628"/>
    <w:rsid w:val="00F916E6"/>
    <w:rsid w:val="00F91919"/>
    <w:rsid w:val="00F962CB"/>
    <w:rsid w:val="00FA2507"/>
    <w:rsid w:val="00FA5811"/>
    <w:rsid w:val="00FA7080"/>
    <w:rsid w:val="00FD7843"/>
    <w:rsid w:val="00FF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14199"/>
  <w15:chartTrackingRefBased/>
  <w15:docId w15:val="{94315153-A4B8-46D6-BCB4-FB789DF6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6E6"/>
    <w:pPr>
      <w:spacing w:after="200" w:line="276" w:lineRule="auto"/>
    </w:pPr>
    <w:rPr>
      <w:rFonts w:ascii="Arial" w:eastAsiaTheme="minorEastAsia" w:hAnsi="Arial"/>
      <w:kern w:val="0"/>
      <w:sz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4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4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4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44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4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4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4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ialbody">
    <w:name w:val="Arial body"/>
    <w:basedOn w:val="Normal"/>
    <w:link w:val="ArialbodyChar"/>
    <w:qFormat/>
    <w:rsid w:val="00C52A09"/>
    <w:pPr>
      <w:spacing w:after="0" w:line="300" w:lineRule="atLeast"/>
      <w:outlineLvl w:val="2"/>
    </w:pPr>
    <w:rPr>
      <w:rFonts w:eastAsia="Times New Roman" w:cs="Arial"/>
      <w:bCs/>
      <w:kern w:val="2"/>
      <w:szCs w:val="24"/>
      <w:lang w:val="en-GB" w:eastAsia="en-GB"/>
      <w14:ligatures w14:val="standardContextual"/>
    </w:rPr>
  </w:style>
  <w:style w:type="character" w:customStyle="1" w:styleId="ArialbodyChar">
    <w:name w:val="Arial body Char"/>
    <w:basedOn w:val="DefaultParagraphFont"/>
    <w:link w:val="Arialbody"/>
    <w:rsid w:val="00C52A09"/>
    <w:rPr>
      <w:rFonts w:ascii="Arial" w:eastAsia="Times New Roman" w:hAnsi="Arial" w:cs="Arial"/>
      <w:bCs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F344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44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446"/>
    <w:rPr>
      <w:rFonts w:eastAsiaTheme="majorEastAsia" w:cstheme="majorBidi"/>
      <w:color w:val="0F4761" w:themeColor="accent1" w:themeShade="BF"/>
      <w:kern w:val="0"/>
      <w:sz w:val="28"/>
      <w:szCs w:val="28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446"/>
    <w:rPr>
      <w:rFonts w:eastAsiaTheme="majorEastAsia" w:cstheme="majorBidi"/>
      <w:i/>
      <w:iCs/>
      <w:color w:val="0F4761" w:themeColor="accent1" w:themeShade="BF"/>
      <w:kern w:val="0"/>
      <w:sz w:val="24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446"/>
    <w:rPr>
      <w:rFonts w:eastAsiaTheme="majorEastAsia" w:cstheme="majorBidi"/>
      <w:color w:val="0F4761" w:themeColor="accent1" w:themeShade="BF"/>
      <w:kern w:val="0"/>
      <w:sz w:val="24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446"/>
    <w:rPr>
      <w:rFonts w:eastAsiaTheme="majorEastAsia" w:cstheme="majorBidi"/>
      <w:i/>
      <w:iCs/>
      <w:color w:val="595959" w:themeColor="text1" w:themeTint="A6"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446"/>
    <w:rPr>
      <w:rFonts w:eastAsiaTheme="majorEastAsia" w:cstheme="majorBidi"/>
      <w:color w:val="595959" w:themeColor="text1" w:themeTint="A6"/>
      <w:kern w:val="0"/>
      <w:sz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446"/>
    <w:rPr>
      <w:rFonts w:eastAsiaTheme="majorEastAsia" w:cstheme="majorBidi"/>
      <w:i/>
      <w:iCs/>
      <w:color w:val="272727" w:themeColor="text1" w:themeTint="D8"/>
      <w:kern w:val="0"/>
      <w:sz w:val="24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446"/>
    <w:rPr>
      <w:rFonts w:eastAsiaTheme="majorEastAsia" w:cstheme="majorBidi"/>
      <w:color w:val="272727" w:themeColor="text1" w:themeTint="D8"/>
      <w:kern w:val="0"/>
      <w:sz w:val="24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F3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44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44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44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F34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446"/>
    <w:rPr>
      <w:rFonts w:ascii="Arial" w:eastAsiaTheme="minorEastAsia" w:hAnsi="Arial"/>
      <w:i/>
      <w:iCs/>
      <w:color w:val="404040" w:themeColor="text1" w:themeTint="BF"/>
      <w:kern w:val="0"/>
      <w:sz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3F3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446"/>
    <w:rPr>
      <w:rFonts w:ascii="Arial" w:eastAsiaTheme="minorEastAsia" w:hAnsi="Arial"/>
      <w:i/>
      <w:iCs/>
      <w:color w:val="0F4761" w:themeColor="accent1" w:themeShade="BF"/>
      <w:kern w:val="0"/>
      <w:sz w:val="24"/>
      <w:lang w:val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F344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4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446"/>
    <w:rPr>
      <w:rFonts w:ascii="Arial" w:eastAsiaTheme="minorEastAsia" w:hAnsi="Arial"/>
      <w:kern w:val="0"/>
      <w:sz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34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446"/>
    <w:rPr>
      <w:rFonts w:ascii="Arial" w:eastAsiaTheme="minorEastAsia" w:hAnsi="Arial"/>
      <w:kern w:val="0"/>
      <w:sz w:val="24"/>
      <w:lang w:val="en-US"/>
      <w14:ligatures w14:val="none"/>
    </w:rPr>
  </w:style>
  <w:style w:type="character" w:styleId="BookTitle">
    <w:name w:val="Book Title"/>
    <w:basedOn w:val="DefaultParagraphFont"/>
    <w:uiPriority w:val="33"/>
    <w:qFormat/>
    <w:rsid w:val="00C3386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3386C"/>
    <w:pPr>
      <w:spacing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3386C"/>
    <w:rPr>
      <w:i/>
      <w:iCs/>
    </w:rPr>
  </w:style>
  <w:style w:type="paragraph" w:styleId="NoSpacing">
    <w:name w:val="No Spacing"/>
    <w:uiPriority w:val="1"/>
    <w:qFormat/>
    <w:rsid w:val="00C3386C"/>
    <w:pPr>
      <w:spacing w:after="0" w:line="240" w:lineRule="auto"/>
    </w:pPr>
    <w:rPr>
      <w:rFonts w:ascii="Arial" w:eastAsiaTheme="minorEastAsia" w:hAnsi="Arial"/>
      <w:kern w:val="0"/>
      <w:sz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C3386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3386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3386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3386C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8015F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kern w:val="2"/>
      <w:szCs w:val="24"/>
      <w:lang w:val="en-GB" w:eastAsia="en-GB"/>
      <w14:ligatures w14:val="standardContextual"/>
    </w:rPr>
  </w:style>
  <w:style w:type="table" w:styleId="GridTable4-Accent1">
    <w:name w:val="Grid Table 4 Accent 1"/>
    <w:basedOn w:val="TableNormal"/>
    <w:uiPriority w:val="49"/>
    <w:rsid w:val="00D8015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svg"/><Relationship Id="rId12" Type="http://schemas.openxmlformats.org/officeDocument/2006/relationships/image" Target="media/image7.emf"/><Relationship Id="rId17" Type="http://schemas.openxmlformats.org/officeDocument/2006/relationships/footer" Target="footer1.xml"/><Relationship Id="rId25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24" Type="http://schemas.openxmlformats.org/officeDocument/2006/relationships/customXml" Target="../customXml/item2.xm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customXml" Target="../customXml/item1.xml"/><Relationship Id="rId10" Type="http://schemas.openxmlformats.org/officeDocument/2006/relationships/image" Target="media/image5.emf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A81A509D-428E-48AE-A190-B80CEC6702B7}"/>
</file>

<file path=customXml/itemProps2.xml><?xml version="1.0" encoding="utf-8"?>
<ds:datastoreItem xmlns:ds="http://schemas.openxmlformats.org/officeDocument/2006/customXml" ds:itemID="{7E311599-B272-4660-96DF-E5C5B1757077}"/>
</file>

<file path=customXml/itemProps3.xml><?xml version="1.0" encoding="utf-8"?>
<ds:datastoreItem xmlns:ds="http://schemas.openxmlformats.org/officeDocument/2006/customXml" ds:itemID="{E35683EB-53E8-456B-8D11-FC3A1A4A87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92</Words>
  <Characters>514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Houlbrooke (Swansea Bay UHB - Workforce and OD)</dc:creator>
  <cp:keywords/>
  <dc:description/>
  <cp:lastModifiedBy>Emma Owen (Swansea Bay UHB - Workforce Development)</cp:lastModifiedBy>
  <cp:revision>6</cp:revision>
  <dcterms:created xsi:type="dcterms:W3CDTF">2026-10-01T12:35:00Z</dcterms:created>
  <dcterms:modified xsi:type="dcterms:W3CDTF">2026-10-01T14:52:00Z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</Properties>
</file>