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A90DB3" w14:textId="219E3C8F" w:rsidR="0082514C" w:rsidRDefault="6942CEA7" w:rsidP="3B6D706C">
      <w:pPr>
        <w:pStyle w:val="Heading2"/>
        <w:spacing w:before="261" w:after="261" w:line="300" w:lineRule="auto"/>
        <w:rPr>
          <w:rFonts w:ascii="Arial" w:eastAsia="Arial" w:hAnsi="Arial" w:cs="Arial"/>
          <w:b/>
          <w:bCs/>
        </w:rPr>
      </w:pPr>
      <w:r w:rsidRPr="3B6D706C">
        <w:rPr>
          <w:rFonts w:ascii="Arial" w:eastAsia="Arial" w:hAnsi="Arial" w:cs="Arial"/>
          <w:b/>
          <w:bCs/>
        </w:rPr>
        <w:t>Mental Health &amp; Learning Disabilities Service Group</w:t>
      </w:r>
      <w:r w:rsidR="64A5AA55" w:rsidRPr="3B6D706C">
        <w:rPr>
          <w:rFonts w:ascii="Arial" w:eastAsia="Arial" w:hAnsi="Arial" w:cs="Arial"/>
          <w:b/>
          <w:bCs/>
        </w:rPr>
        <w:t xml:space="preserve"> Staff Wellbeing Plan 2026</w:t>
      </w:r>
    </w:p>
    <w:p w14:paraId="4E815676" w14:textId="67E88F27" w:rsidR="0082514C" w:rsidRDefault="6942CEA7" w:rsidP="3B6D706C">
      <w:pPr>
        <w:pStyle w:val="Heading1"/>
        <w:spacing w:before="281" w:after="281" w:line="300" w:lineRule="auto"/>
        <w:rPr>
          <w:rFonts w:ascii="Arial" w:eastAsia="Arial" w:hAnsi="Arial" w:cs="Arial"/>
          <w:b/>
          <w:bCs/>
          <w:sz w:val="24"/>
          <w:szCs w:val="24"/>
        </w:rPr>
      </w:pPr>
      <w:r w:rsidRPr="3B6D706C">
        <w:rPr>
          <w:rFonts w:ascii="Arial" w:eastAsia="Arial" w:hAnsi="Arial" w:cs="Arial"/>
          <w:b/>
          <w:bCs/>
          <w:sz w:val="24"/>
          <w:szCs w:val="24"/>
        </w:rPr>
        <w:t>Executive Summary</w:t>
      </w:r>
    </w:p>
    <w:p w14:paraId="757679F9" w14:textId="1599BB81" w:rsidR="0082514C" w:rsidRDefault="6942CEA7" w:rsidP="00890A74">
      <w:pPr>
        <w:spacing w:before="210" w:after="210" w:line="300" w:lineRule="auto"/>
        <w:jc w:val="both"/>
        <w:rPr>
          <w:rFonts w:ascii="Arial" w:eastAsia="Arial" w:hAnsi="Arial" w:cs="Arial"/>
        </w:rPr>
      </w:pPr>
      <w:r w:rsidRPr="3B6D706C">
        <w:rPr>
          <w:rFonts w:ascii="Arial" w:eastAsia="Arial" w:hAnsi="Arial" w:cs="Arial"/>
        </w:rPr>
        <w:t>The Mental Health &amp; Learning Disabilities Service Group continues to face workforce challenges associated with sickness absence, staff wellbeing, retention, recruitment pressures and increasing demand for services.</w:t>
      </w:r>
    </w:p>
    <w:p w14:paraId="581D4942" w14:textId="547D9871" w:rsidR="0082514C" w:rsidRDefault="6942CEA7" w:rsidP="00890A74">
      <w:pPr>
        <w:spacing w:before="210" w:after="210" w:line="300" w:lineRule="auto"/>
        <w:jc w:val="both"/>
        <w:rPr>
          <w:rFonts w:ascii="Arial" w:eastAsia="Arial" w:hAnsi="Arial" w:cs="Arial"/>
          <w:color w:val="464FEB"/>
        </w:rPr>
      </w:pPr>
      <w:r w:rsidRPr="3B6D706C">
        <w:rPr>
          <w:rFonts w:ascii="Arial" w:eastAsia="Arial" w:hAnsi="Arial" w:cs="Arial"/>
        </w:rPr>
        <w:t>Previous Service Group wellbeing and resilience work has highlighted the importance of attendance management, staff support, wellbeing promotion and the development of resilient teams. The purpose of this paper is to provide a focused wellbeing plan that supports improved staff experience, reduced absence and enhanced workforce sustainability.</w:t>
      </w:r>
    </w:p>
    <w:p w14:paraId="54D468D4" w14:textId="6FF2B128" w:rsidR="0082514C" w:rsidRDefault="6942CEA7" w:rsidP="00890A74">
      <w:pPr>
        <w:spacing w:before="210" w:after="210" w:line="300" w:lineRule="auto"/>
        <w:jc w:val="both"/>
        <w:rPr>
          <w:rFonts w:ascii="Arial" w:eastAsia="Arial" w:hAnsi="Arial" w:cs="Arial"/>
          <w:color w:val="464FEB"/>
        </w:rPr>
      </w:pPr>
      <w:r w:rsidRPr="3B6D706C">
        <w:rPr>
          <w:rFonts w:ascii="Arial" w:eastAsia="Arial" w:hAnsi="Arial" w:cs="Arial"/>
        </w:rPr>
        <w:t xml:space="preserve">The proposed plan aligns with existing Health Board wellbeing priorities, including Occupational Health and Staff Wellbeing services, wellbeing champions, health passports, staff health checks and leadership development initiatives. </w:t>
      </w:r>
    </w:p>
    <w:p w14:paraId="20D84833" w14:textId="2173F74D" w:rsidR="0082514C" w:rsidRDefault="6942CEA7" w:rsidP="00890A74">
      <w:pPr>
        <w:pStyle w:val="Heading1"/>
        <w:spacing w:before="281" w:after="281" w:line="300" w:lineRule="auto"/>
        <w:jc w:val="both"/>
        <w:rPr>
          <w:rFonts w:ascii="Arial" w:eastAsia="Arial" w:hAnsi="Arial" w:cs="Arial"/>
          <w:b/>
          <w:bCs/>
          <w:sz w:val="24"/>
          <w:szCs w:val="24"/>
        </w:rPr>
      </w:pPr>
      <w:r w:rsidRPr="3B6D706C">
        <w:rPr>
          <w:rFonts w:ascii="Arial" w:eastAsia="Arial" w:hAnsi="Arial" w:cs="Arial"/>
          <w:b/>
          <w:bCs/>
          <w:sz w:val="24"/>
          <w:szCs w:val="24"/>
        </w:rPr>
        <w:t>Background</w:t>
      </w:r>
    </w:p>
    <w:p w14:paraId="54967D8B" w14:textId="30EC60E7" w:rsidR="0082514C" w:rsidRDefault="6942CEA7" w:rsidP="00890A74">
      <w:pPr>
        <w:spacing w:before="210" w:after="210" w:line="300" w:lineRule="auto"/>
        <w:jc w:val="both"/>
        <w:rPr>
          <w:rFonts w:ascii="Arial" w:eastAsia="Arial" w:hAnsi="Arial" w:cs="Arial"/>
        </w:rPr>
      </w:pPr>
      <w:r w:rsidRPr="3B6D706C">
        <w:rPr>
          <w:rFonts w:ascii="Arial" w:eastAsia="Arial" w:hAnsi="Arial" w:cs="Arial"/>
        </w:rPr>
        <w:t>A number of Health Board initiatives are already in place to support staff wellbeing, including:</w:t>
      </w:r>
    </w:p>
    <w:p w14:paraId="0387BCEA" w14:textId="58CDE0FF" w:rsidR="0082514C" w:rsidRDefault="6942CEA7" w:rsidP="00890A74">
      <w:pPr>
        <w:pStyle w:val="ListParagraph"/>
        <w:numPr>
          <w:ilvl w:val="0"/>
          <w:numId w:val="1"/>
        </w:numPr>
        <w:spacing w:after="0" w:line="300" w:lineRule="auto"/>
        <w:jc w:val="both"/>
        <w:rPr>
          <w:rFonts w:ascii="Arial" w:eastAsia="Arial" w:hAnsi="Arial" w:cs="Arial"/>
          <w:color w:val="464FEB"/>
        </w:rPr>
      </w:pPr>
      <w:r w:rsidRPr="3B6D706C">
        <w:rPr>
          <w:rFonts w:ascii="Arial" w:eastAsia="Arial" w:hAnsi="Arial" w:cs="Arial"/>
        </w:rPr>
        <w:t xml:space="preserve">Staff Health Checks and wellbeing programmes. </w:t>
      </w:r>
    </w:p>
    <w:p w14:paraId="16A46182" w14:textId="32EF845B" w:rsidR="0082514C" w:rsidRDefault="6942CEA7" w:rsidP="00890A74">
      <w:pPr>
        <w:pStyle w:val="ListParagraph"/>
        <w:numPr>
          <w:ilvl w:val="0"/>
          <w:numId w:val="1"/>
        </w:numPr>
        <w:spacing w:after="0" w:line="300" w:lineRule="auto"/>
        <w:jc w:val="both"/>
        <w:rPr>
          <w:rFonts w:ascii="Arial" w:eastAsia="Arial" w:hAnsi="Arial" w:cs="Arial"/>
          <w:color w:val="464FEB"/>
        </w:rPr>
      </w:pPr>
      <w:r w:rsidRPr="3B6D706C">
        <w:rPr>
          <w:rFonts w:ascii="Arial" w:eastAsia="Arial" w:hAnsi="Arial" w:cs="Arial"/>
        </w:rPr>
        <w:t xml:space="preserve">Health and Wellbeing Passport arrangements supporting staff with health conditions and disabilities. </w:t>
      </w:r>
    </w:p>
    <w:p w14:paraId="4D06312D" w14:textId="0BE79C30" w:rsidR="0082514C" w:rsidRDefault="6942CEA7" w:rsidP="00890A74">
      <w:pPr>
        <w:pStyle w:val="ListParagraph"/>
        <w:numPr>
          <w:ilvl w:val="0"/>
          <w:numId w:val="1"/>
        </w:numPr>
        <w:spacing w:after="0" w:line="300" w:lineRule="auto"/>
        <w:jc w:val="both"/>
        <w:rPr>
          <w:rFonts w:ascii="Arial" w:eastAsia="Arial" w:hAnsi="Arial" w:cs="Arial"/>
          <w:color w:val="464FEB"/>
        </w:rPr>
      </w:pPr>
      <w:r w:rsidRPr="3B6D706C">
        <w:rPr>
          <w:rFonts w:ascii="Arial" w:eastAsia="Arial" w:hAnsi="Arial" w:cs="Arial"/>
        </w:rPr>
        <w:t xml:space="preserve">Occupational Health and Staff Wellbeing mental health support pathways. </w:t>
      </w:r>
    </w:p>
    <w:p w14:paraId="7493D6DB" w14:textId="16361FFB" w:rsidR="0082514C" w:rsidRDefault="6942CEA7" w:rsidP="00890A74">
      <w:pPr>
        <w:pStyle w:val="ListParagraph"/>
        <w:numPr>
          <w:ilvl w:val="0"/>
          <w:numId w:val="1"/>
        </w:numPr>
        <w:spacing w:after="0" w:line="300" w:lineRule="auto"/>
        <w:jc w:val="both"/>
        <w:rPr>
          <w:rFonts w:ascii="Arial" w:eastAsia="Arial" w:hAnsi="Arial" w:cs="Arial"/>
          <w:color w:val="464FEB"/>
        </w:rPr>
      </w:pPr>
      <w:r w:rsidRPr="3B6D706C">
        <w:rPr>
          <w:rFonts w:ascii="Arial" w:eastAsia="Arial" w:hAnsi="Arial" w:cs="Arial"/>
        </w:rPr>
        <w:t>Wellbeing Champion networks across the organisation.</w:t>
      </w:r>
    </w:p>
    <w:p w14:paraId="09CEEBBA" w14:textId="3FE036B5" w:rsidR="0082514C" w:rsidRDefault="088F957F" w:rsidP="00890A74">
      <w:pPr>
        <w:pStyle w:val="ListParagraph"/>
        <w:numPr>
          <w:ilvl w:val="0"/>
          <w:numId w:val="1"/>
        </w:numPr>
        <w:spacing w:after="0" w:line="300" w:lineRule="auto"/>
        <w:jc w:val="both"/>
        <w:rPr>
          <w:rFonts w:ascii="Arial" w:eastAsia="Arial" w:hAnsi="Arial" w:cs="Arial"/>
        </w:rPr>
      </w:pPr>
      <w:r w:rsidRPr="3B6D706C">
        <w:rPr>
          <w:rFonts w:ascii="Arial" w:eastAsia="Arial" w:hAnsi="Arial" w:cs="Arial"/>
        </w:rPr>
        <w:t>Trim / React</w:t>
      </w:r>
    </w:p>
    <w:p w14:paraId="26E18C87" w14:textId="45DDDCB0" w:rsidR="0082514C" w:rsidRDefault="088F957F" w:rsidP="00890A74">
      <w:pPr>
        <w:pStyle w:val="ListParagraph"/>
        <w:numPr>
          <w:ilvl w:val="0"/>
          <w:numId w:val="1"/>
        </w:numPr>
        <w:spacing w:after="0" w:line="300" w:lineRule="auto"/>
        <w:jc w:val="both"/>
        <w:rPr>
          <w:rFonts w:ascii="Arial" w:eastAsia="Arial" w:hAnsi="Arial" w:cs="Arial"/>
        </w:rPr>
      </w:pPr>
      <w:r w:rsidRPr="3B6D706C">
        <w:rPr>
          <w:rFonts w:ascii="Arial" w:eastAsia="Arial" w:hAnsi="Arial" w:cs="Arial"/>
        </w:rPr>
        <w:t>Bespoke groups including GTEP, carers group, bereavement group</w:t>
      </w:r>
    </w:p>
    <w:p w14:paraId="39096632" w14:textId="3624C4EE" w:rsidR="0082514C" w:rsidRDefault="088F957F" w:rsidP="00890A74">
      <w:pPr>
        <w:pStyle w:val="ListParagraph"/>
        <w:numPr>
          <w:ilvl w:val="0"/>
          <w:numId w:val="1"/>
        </w:numPr>
        <w:spacing w:after="0" w:line="300" w:lineRule="auto"/>
        <w:jc w:val="both"/>
        <w:rPr>
          <w:rFonts w:ascii="Arial" w:eastAsia="Arial" w:hAnsi="Arial" w:cs="Arial"/>
        </w:rPr>
      </w:pPr>
      <w:r w:rsidRPr="3B6D706C">
        <w:rPr>
          <w:rFonts w:ascii="Arial" w:eastAsia="Arial" w:hAnsi="Arial" w:cs="Arial"/>
        </w:rPr>
        <w:t>Staff networks including the Disability staff network</w:t>
      </w:r>
    </w:p>
    <w:p w14:paraId="01749373" w14:textId="379C6414" w:rsidR="0082514C" w:rsidRDefault="6942CEA7" w:rsidP="00890A74">
      <w:pPr>
        <w:pStyle w:val="ListParagraph"/>
        <w:numPr>
          <w:ilvl w:val="0"/>
          <w:numId w:val="1"/>
        </w:numPr>
        <w:spacing w:after="0" w:line="300" w:lineRule="auto"/>
        <w:jc w:val="both"/>
        <w:rPr>
          <w:rFonts w:ascii="Arial" w:eastAsia="Arial" w:hAnsi="Arial" w:cs="Arial"/>
          <w:color w:val="464FEB"/>
        </w:rPr>
      </w:pPr>
      <w:r w:rsidRPr="3B6D706C">
        <w:rPr>
          <w:rFonts w:ascii="Arial" w:eastAsia="Arial" w:hAnsi="Arial" w:cs="Arial"/>
        </w:rPr>
        <w:t xml:space="preserve">Learning, leadership and workforce development opportunities linked to the People Strategy. </w:t>
      </w:r>
    </w:p>
    <w:p w14:paraId="6D8500A8" w14:textId="58B973CF" w:rsidR="0082514C" w:rsidRDefault="0082514C" w:rsidP="00890A74">
      <w:pPr>
        <w:spacing w:after="0" w:line="300" w:lineRule="auto"/>
        <w:jc w:val="both"/>
        <w:rPr>
          <w:rFonts w:ascii="Arial" w:eastAsia="Arial" w:hAnsi="Arial" w:cs="Arial"/>
          <w:color w:val="464FEB"/>
        </w:rPr>
      </w:pPr>
    </w:p>
    <w:p w14:paraId="407F0221" w14:textId="6305E75E" w:rsidR="0082514C" w:rsidRDefault="32A27D01" w:rsidP="00890A74">
      <w:pPr>
        <w:spacing w:after="0" w:line="300" w:lineRule="auto"/>
        <w:jc w:val="both"/>
        <w:rPr>
          <w:rFonts w:ascii="Arial" w:eastAsia="Arial" w:hAnsi="Arial" w:cs="Arial"/>
        </w:rPr>
      </w:pPr>
      <w:r w:rsidRPr="3B6D706C">
        <w:rPr>
          <w:rFonts w:ascii="Arial" w:eastAsia="Arial" w:hAnsi="Arial" w:cs="Arial"/>
        </w:rPr>
        <w:t xml:space="preserve">In </w:t>
      </w:r>
      <w:proofErr w:type="gramStart"/>
      <w:r w:rsidRPr="3B6D706C">
        <w:rPr>
          <w:rFonts w:ascii="Arial" w:eastAsia="Arial" w:hAnsi="Arial" w:cs="Arial"/>
        </w:rPr>
        <w:t>addition</w:t>
      </w:r>
      <w:proofErr w:type="gramEnd"/>
      <w:r w:rsidRPr="3B6D706C">
        <w:rPr>
          <w:rFonts w:ascii="Arial" w:eastAsia="Arial" w:hAnsi="Arial" w:cs="Arial"/>
        </w:rPr>
        <w:t xml:space="preserve"> the service group employs a staff counsellor </w:t>
      </w:r>
      <w:r w:rsidR="387110AE" w:rsidRPr="3B6D706C">
        <w:rPr>
          <w:rFonts w:ascii="Arial" w:eastAsia="Arial" w:hAnsi="Arial" w:cs="Arial"/>
        </w:rPr>
        <w:t>to provide individual support and group interventions to support staff wellbeing this is also supplemented by support from Psychologists who work closely with teams around psychological safety</w:t>
      </w:r>
      <w:r w:rsidR="13F5CF64" w:rsidRPr="3B6D706C">
        <w:rPr>
          <w:rFonts w:ascii="Arial" w:eastAsia="Arial" w:hAnsi="Arial" w:cs="Arial"/>
        </w:rPr>
        <w:t xml:space="preserve"> and reflective practice.</w:t>
      </w:r>
      <w:r w:rsidR="00890A74">
        <w:rPr>
          <w:rFonts w:ascii="Arial" w:eastAsia="Arial" w:hAnsi="Arial" w:cs="Arial"/>
        </w:rPr>
        <w:t xml:space="preserve"> The service group due to geographically challenges also utilise </w:t>
      </w:r>
      <w:r w:rsidR="00890A74">
        <w:rPr>
          <w:rFonts w:ascii="Arial" w:eastAsia="Arial" w:hAnsi="Arial" w:cs="Arial"/>
        </w:rPr>
        <w:lastRenderedPageBreak/>
        <w:t xml:space="preserve">wellbeing champions and </w:t>
      </w:r>
      <w:r w:rsidR="00F85712">
        <w:rPr>
          <w:rFonts w:ascii="Arial" w:eastAsia="Arial" w:hAnsi="Arial" w:cs="Arial"/>
        </w:rPr>
        <w:t xml:space="preserve">utilise their own flu champions. Sickness Absence Summits are held on a monthly basis to capture </w:t>
      </w:r>
      <w:r w:rsidR="00D52927">
        <w:rPr>
          <w:rFonts w:ascii="Arial" w:eastAsia="Arial" w:hAnsi="Arial" w:cs="Arial"/>
        </w:rPr>
        <w:t>and share wellbeing initiatives for staff.</w:t>
      </w:r>
    </w:p>
    <w:p w14:paraId="55BBB3F7" w14:textId="46869221" w:rsidR="0082514C" w:rsidRDefault="6942CEA7" w:rsidP="00890A74">
      <w:pPr>
        <w:spacing w:before="210" w:after="210" w:line="300" w:lineRule="auto"/>
        <w:jc w:val="both"/>
      </w:pPr>
      <w:r w:rsidRPr="3B6D706C">
        <w:rPr>
          <w:rFonts w:ascii="Arial" w:eastAsia="Arial" w:hAnsi="Arial" w:cs="Arial"/>
        </w:rPr>
        <w:t xml:space="preserve">The Service Group wishes to strengthen local arrangements and </w:t>
      </w:r>
      <w:r w:rsidR="1E7421CE" w:rsidRPr="3B6D706C">
        <w:rPr>
          <w:rFonts w:ascii="Arial" w:eastAsia="Arial" w:hAnsi="Arial" w:cs="Arial"/>
        </w:rPr>
        <w:t>confirm</w:t>
      </w:r>
      <w:r w:rsidRPr="3B6D706C">
        <w:rPr>
          <w:rFonts w:ascii="Arial" w:eastAsia="Arial" w:hAnsi="Arial" w:cs="Arial"/>
        </w:rPr>
        <w:t xml:space="preserve"> governance and performance monitoring through </w:t>
      </w:r>
      <w:r w:rsidR="28F6C79D" w:rsidRPr="3B6D706C">
        <w:rPr>
          <w:rFonts w:ascii="Arial" w:eastAsia="Arial" w:hAnsi="Arial" w:cs="Arial"/>
        </w:rPr>
        <w:t xml:space="preserve">current </w:t>
      </w:r>
      <w:r w:rsidR="2628E39B" w:rsidRPr="3B6D706C">
        <w:rPr>
          <w:rFonts w:ascii="Arial" w:eastAsia="Arial" w:hAnsi="Arial" w:cs="Arial"/>
        </w:rPr>
        <w:t xml:space="preserve">Quality &amp; Governance structure which </w:t>
      </w:r>
      <w:r w:rsidR="41236AB0" w:rsidRPr="3B6D706C">
        <w:rPr>
          <w:rFonts w:ascii="Arial" w:eastAsia="Arial" w:hAnsi="Arial" w:cs="Arial"/>
        </w:rPr>
        <w:t xml:space="preserve">each division </w:t>
      </w:r>
      <w:r w:rsidR="2628E39B" w:rsidRPr="3B6D706C">
        <w:rPr>
          <w:rFonts w:ascii="Arial" w:eastAsia="Arial" w:hAnsi="Arial" w:cs="Arial"/>
        </w:rPr>
        <w:t xml:space="preserve">reports on staff wellbeing </w:t>
      </w:r>
      <w:r w:rsidR="26AFC7A3" w:rsidRPr="3B6D706C">
        <w:rPr>
          <w:rFonts w:ascii="Arial" w:eastAsia="Arial" w:hAnsi="Arial" w:cs="Arial"/>
        </w:rPr>
        <w:t>monthly</w:t>
      </w:r>
      <w:r w:rsidRPr="3B6D706C">
        <w:rPr>
          <w:rFonts w:ascii="Arial" w:eastAsia="Arial" w:hAnsi="Arial" w:cs="Arial"/>
        </w:rPr>
        <w:t>.</w:t>
      </w:r>
      <w:r w:rsidR="529F62BF" w:rsidRPr="3B6D706C">
        <w:rPr>
          <w:rFonts w:ascii="Arial" w:eastAsia="Arial" w:hAnsi="Arial" w:cs="Arial"/>
        </w:rPr>
        <w:t xml:space="preserve"> With concerns being escalated from this group to SMT. Staff wellbeing will also continue to be reviewed in </w:t>
      </w:r>
      <w:r w:rsidR="00D52927">
        <w:rPr>
          <w:rFonts w:ascii="Arial" w:eastAsia="Arial" w:hAnsi="Arial" w:cs="Arial"/>
        </w:rPr>
        <w:t xml:space="preserve">monthly Divisional Meetings and through </w:t>
      </w:r>
      <w:r w:rsidR="529F62BF" w:rsidRPr="3B6D706C">
        <w:rPr>
          <w:rFonts w:ascii="Arial" w:eastAsia="Arial" w:hAnsi="Arial" w:cs="Arial"/>
        </w:rPr>
        <w:t>quarterly Division</w:t>
      </w:r>
      <w:r w:rsidR="00D52927">
        <w:rPr>
          <w:rFonts w:ascii="Arial" w:eastAsia="Arial" w:hAnsi="Arial" w:cs="Arial"/>
        </w:rPr>
        <w:t>al</w:t>
      </w:r>
      <w:r w:rsidR="529F62BF" w:rsidRPr="3B6D706C">
        <w:rPr>
          <w:rFonts w:ascii="Arial" w:eastAsia="Arial" w:hAnsi="Arial" w:cs="Arial"/>
        </w:rPr>
        <w:t xml:space="preserve"> Performance</w:t>
      </w:r>
      <w:r w:rsidR="7F1D4897" w:rsidRPr="3B6D706C">
        <w:rPr>
          <w:rFonts w:ascii="Arial" w:eastAsia="Arial" w:hAnsi="Arial" w:cs="Arial"/>
        </w:rPr>
        <w:t xml:space="preserve"> Reviews</w:t>
      </w:r>
      <w:r w:rsidR="00D52927">
        <w:rPr>
          <w:rFonts w:ascii="Arial" w:eastAsia="Arial" w:hAnsi="Arial" w:cs="Arial"/>
        </w:rPr>
        <w:t xml:space="preserve"> undertaken by the SMT</w:t>
      </w:r>
      <w:r w:rsidR="7F1D4897" w:rsidRPr="3B6D706C">
        <w:rPr>
          <w:rFonts w:ascii="Arial" w:eastAsia="Arial" w:hAnsi="Arial" w:cs="Arial"/>
        </w:rPr>
        <w:t>.</w:t>
      </w:r>
    </w:p>
    <w:p w14:paraId="0E130E4B" w14:textId="4FA039D4" w:rsidR="0082514C" w:rsidRDefault="6942CEA7" w:rsidP="00890A74">
      <w:pPr>
        <w:pStyle w:val="Heading1"/>
        <w:spacing w:before="281" w:after="281" w:line="300" w:lineRule="auto"/>
        <w:jc w:val="both"/>
        <w:rPr>
          <w:rFonts w:ascii="Arial" w:eastAsia="Arial" w:hAnsi="Arial" w:cs="Arial"/>
          <w:b/>
          <w:bCs/>
          <w:sz w:val="24"/>
          <w:szCs w:val="24"/>
        </w:rPr>
      </w:pPr>
      <w:r w:rsidRPr="3B6D706C">
        <w:rPr>
          <w:rFonts w:ascii="Arial" w:eastAsia="Arial" w:hAnsi="Arial" w:cs="Arial"/>
          <w:b/>
          <w:bCs/>
          <w:sz w:val="24"/>
          <w:szCs w:val="24"/>
        </w:rPr>
        <w:t>MH&amp;LD Staff Wellbeing Action Plan 2026/27</w:t>
      </w:r>
    </w:p>
    <w:tbl>
      <w:tblPr>
        <w:tblW w:w="0" w:type="auto"/>
        <w:tblLook w:val="06A0" w:firstRow="1" w:lastRow="0" w:firstColumn="1" w:lastColumn="0" w:noHBand="1" w:noVBand="1"/>
      </w:tblPr>
      <w:tblGrid>
        <w:gridCol w:w="1295"/>
        <w:gridCol w:w="3492"/>
        <w:gridCol w:w="1074"/>
        <w:gridCol w:w="1000"/>
        <w:gridCol w:w="1577"/>
        <w:gridCol w:w="572"/>
      </w:tblGrid>
      <w:tr w:rsidR="00D84966" w14:paraId="1A82FDB8" w14:textId="77777777" w:rsidTr="3B6D706C">
        <w:trPr>
          <w:trHeight w:val="300"/>
        </w:trPr>
        <w:tc>
          <w:tcPr>
            <w:tcW w:w="1307"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4AE84044" w14:textId="1DD2143A" w:rsidR="3B6D706C" w:rsidRDefault="3B6D706C" w:rsidP="00890A74">
            <w:pPr>
              <w:spacing w:after="0" w:line="300" w:lineRule="auto"/>
              <w:jc w:val="both"/>
              <w:rPr>
                <w:rFonts w:ascii="Arial" w:eastAsia="Arial" w:hAnsi="Arial" w:cs="Arial"/>
                <w:b/>
                <w:bCs/>
                <w:sz w:val="16"/>
                <w:szCs w:val="16"/>
              </w:rPr>
            </w:pPr>
            <w:r w:rsidRPr="3B6D706C">
              <w:rPr>
                <w:rFonts w:ascii="Arial" w:eastAsia="Arial" w:hAnsi="Arial" w:cs="Arial"/>
                <w:b/>
                <w:bCs/>
                <w:sz w:val="16"/>
                <w:szCs w:val="16"/>
              </w:rPr>
              <w:t>Priority</w:t>
            </w:r>
          </w:p>
        </w:tc>
        <w:tc>
          <w:tcPr>
            <w:tcW w:w="3747"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C4FE459" w14:textId="50CF4C4C" w:rsidR="3B6D706C" w:rsidRDefault="3B6D706C" w:rsidP="00890A74">
            <w:pPr>
              <w:spacing w:after="0" w:line="300" w:lineRule="auto"/>
              <w:jc w:val="both"/>
              <w:rPr>
                <w:rFonts w:ascii="Arial" w:eastAsia="Arial" w:hAnsi="Arial" w:cs="Arial"/>
                <w:b/>
                <w:bCs/>
                <w:sz w:val="16"/>
                <w:szCs w:val="16"/>
              </w:rPr>
            </w:pPr>
            <w:r w:rsidRPr="3B6D706C">
              <w:rPr>
                <w:rFonts w:ascii="Arial" w:eastAsia="Arial" w:hAnsi="Arial" w:cs="Arial"/>
                <w:b/>
                <w:bCs/>
                <w:sz w:val="16"/>
                <w:szCs w:val="16"/>
              </w:rPr>
              <w:t>Action</w:t>
            </w:r>
          </w:p>
        </w:tc>
        <w:tc>
          <w:tcPr>
            <w:tcW w:w="1083"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292DAA2" w14:textId="07049608" w:rsidR="3B6D706C" w:rsidRDefault="3B6D706C" w:rsidP="00890A74">
            <w:pPr>
              <w:spacing w:after="0" w:line="300" w:lineRule="auto"/>
              <w:jc w:val="both"/>
              <w:rPr>
                <w:rFonts w:ascii="Arial" w:eastAsia="Arial" w:hAnsi="Arial" w:cs="Arial"/>
                <w:b/>
                <w:bCs/>
                <w:sz w:val="16"/>
                <w:szCs w:val="16"/>
              </w:rPr>
            </w:pPr>
            <w:r w:rsidRPr="3B6D706C">
              <w:rPr>
                <w:rFonts w:ascii="Arial" w:eastAsia="Arial" w:hAnsi="Arial" w:cs="Arial"/>
                <w:b/>
                <w:bCs/>
                <w:sz w:val="16"/>
                <w:szCs w:val="16"/>
              </w:rPr>
              <w:t>Lead</w:t>
            </w:r>
          </w:p>
        </w:tc>
        <w:tc>
          <w:tcPr>
            <w:tcW w:w="100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0ABF94EF" w14:textId="3B5D8B5A" w:rsidR="3B6D706C" w:rsidRDefault="3B6D706C" w:rsidP="00890A74">
            <w:pPr>
              <w:spacing w:after="0" w:line="300" w:lineRule="auto"/>
              <w:jc w:val="both"/>
              <w:rPr>
                <w:rFonts w:ascii="Arial" w:eastAsia="Arial" w:hAnsi="Arial" w:cs="Arial"/>
                <w:b/>
                <w:bCs/>
                <w:sz w:val="16"/>
                <w:szCs w:val="16"/>
              </w:rPr>
            </w:pPr>
            <w:r w:rsidRPr="3B6D706C">
              <w:rPr>
                <w:rFonts w:ascii="Arial" w:eastAsia="Arial" w:hAnsi="Arial" w:cs="Arial"/>
                <w:b/>
                <w:bCs/>
                <w:sz w:val="16"/>
                <w:szCs w:val="16"/>
              </w:rPr>
              <w:t>Milestone</w:t>
            </w:r>
          </w:p>
        </w:tc>
        <w:tc>
          <w:tcPr>
            <w:tcW w:w="1626"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A3E2B1D" w14:textId="56AB67C9" w:rsidR="3B6D706C" w:rsidRDefault="3B6D706C" w:rsidP="00890A74">
            <w:pPr>
              <w:spacing w:after="0" w:line="300" w:lineRule="auto"/>
              <w:jc w:val="both"/>
              <w:rPr>
                <w:rFonts w:ascii="Arial" w:eastAsia="Arial" w:hAnsi="Arial" w:cs="Arial"/>
                <w:b/>
                <w:bCs/>
                <w:sz w:val="16"/>
                <w:szCs w:val="16"/>
              </w:rPr>
            </w:pPr>
            <w:r w:rsidRPr="3B6D706C">
              <w:rPr>
                <w:rFonts w:ascii="Arial" w:eastAsia="Arial" w:hAnsi="Arial" w:cs="Arial"/>
                <w:b/>
                <w:bCs/>
                <w:sz w:val="16"/>
                <w:szCs w:val="16"/>
              </w:rPr>
              <w:t>Measure</w:t>
            </w:r>
          </w:p>
        </w:tc>
        <w:tc>
          <w:tcPr>
            <w:tcW w:w="248"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67B958F5" w14:textId="799E924F" w:rsidR="3B6D706C" w:rsidRDefault="3B6D706C" w:rsidP="00890A74">
            <w:pPr>
              <w:spacing w:after="0" w:line="300" w:lineRule="auto"/>
              <w:jc w:val="both"/>
              <w:rPr>
                <w:rFonts w:ascii="Arial" w:eastAsia="Arial" w:hAnsi="Arial" w:cs="Arial"/>
                <w:b/>
                <w:bCs/>
                <w:sz w:val="16"/>
                <w:szCs w:val="16"/>
              </w:rPr>
            </w:pPr>
            <w:r w:rsidRPr="3B6D706C">
              <w:rPr>
                <w:rFonts w:ascii="Arial" w:eastAsia="Arial" w:hAnsi="Arial" w:cs="Arial"/>
                <w:b/>
                <w:bCs/>
                <w:sz w:val="16"/>
                <w:szCs w:val="16"/>
              </w:rPr>
              <w:t>RAG</w:t>
            </w:r>
          </w:p>
        </w:tc>
      </w:tr>
      <w:tr w:rsidR="00D84966" w14:paraId="24B041C3" w14:textId="77777777" w:rsidTr="3B6D706C">
        <w:trPr>
          <w:trHeight w:val="300"/>
        </w:trPr>
        <w:tc>
          <w:tcPr>
            <w:tcW w:w="1307" w:type="dxa"/>
            <w:tcBorders>
              <w:top w:val="single" w:sz="6" w:space="0" w:color="E6E6E6"/>
              <w:left w:val="single" w:sz="6" w:space="0" w:color="E6E6E6"/>
              <w:bottom w:val="single" w:sz="6" w:space="0" w:color="E6E6E6"/>
              <w:right w:val="single" w:sz="6" w:space="0" w:color="E6E6E6"/>
            </w:tcBorders>
            <w:vAlign w:val="center"/>
          </w:tcPr>
          <w:p w14:paraId="0918DA1A" w14:textId="4F7D291B"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Psychological Wellbeing</w:t>
            </w:r>
          </w:p>
        </w:tc>
        <w:tc>
          <w:tcPr>
            <w:tcW w:w="3747" w:type="dxa"/>
            <w:tcBorders>
              <w:top w:val="single" w:sz="6" w:space="0" w:color="E6E6E6"/>
              <w:left w:val="single" w:sz="6" w:space="0" w:color="E6E6E6"/>
              <w:bottom w:val="single" w:sz="6" w:space="0" w:color="E6E6E6"/>
              <w:right w:val="single" w:sz="6" w:space="0" w:color="E6E6E6"/>
            </w:tcBorders>
            <w:vAlign w:val="center"/>
          </w:tcPr>
          <w:p w14:paraId="7132863E" w14:textId="112A29C1"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Introduce quarterly wellbeing conversations within all teams</w:t>
            </w:r>
          </w:p>
        </w:tc>
        <w:tc>
          <w:tcPr>
            <w:tcW w:w="1083" w:type="dxa"/>
            <w:tcBorders>
              <w:top w:val="single" w:sz="6" w:space="0" w:color="E6E6E6"/>
              <w:left w:val="single" w:sz="6" w:space="0" w:color="E6E6E6"/>
              <w:bottom w:val="single" w:sz="6" w:space="0" w:color="E6E6E6"/>
              <w:right w:val="single" w:sz="6" w:space="0" w:color="E6E6E6"/>
            </w:tcBorders>
            <w:vAlign w:val="center"/>
          </w:tcPr>
          <w:p w14:paraId="36DA593E" w14:textId="74E39C5B" w:rsidR="3B6D706C" w:rsidRDefault="3B6D706C" w:rsidP="00890A74">
            <w:pPr>
              <w:spacing w:after="0" w:line="300" w:lineRule="auto"/>
              <w:jc w:val="both"/>
            </w:pPr>
            <w:r w:rsidRPr="3B6D706C">
              <w:rPr>
                <w:rFonts w:ascii="Arial" w:eastAsia="Arial" w:hAnsi="Arial" w:cs="Arial"/>
                <w:sz w:val="16"/>
                <w:szCs w:val="16"/>
              </w:rPr>
              <w:t xml:space="preserve">Directorate </w:t>
            </w:r>
            <w:r w:rsidR="278AF46B" w:rsidRPr="3B6D706C">
              <w:rPr>
                <w:rFonts w:ascii="Arial" w:eastAsia="Arial" w:hAnsi="Arial" w:cs="Arial"/>
                <w:sz w:val="16"/>
                <w:szCs w:val="16"/>
              </w:rPr>
              <w:t>Leads</w:t>
            </w:r>
          </w:p>
        </w:tc>
        <w:tc>
          <w:tcPr>
            <w:tcW w:w="1005" w:type="dxa"/>
            <w:tcBorders>
              <w:top w:val="single" w:sz="6" w:space="0" w:color="E6E6E6"/>
              <w:left w:val="single" w:sz="6" w:space="0" w:color="E6E6E6"/>
              <w:bottom w:val="single" w:sz="6" w:space="0" w:color="E6E6E6"/>
              <w:right w:val="single" w:sz="6" w:space="0" w:color="E6E6E6"/>
            </w:tcBorders>
            <w:vAlign w:val="center"/>
          </w:tcPr>
          <w:p w14:paraId="332A52F4" w14:textId="0C13CAF7"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Dec 2026</w:t>
            </w:r>
          </w:p>
        </w:tc>
        <w:tc>
          <w:tcPr>
            <w:tcW w:w="1626" w:type="dxa"/>
            <w:tcBorders>
              <w:top w:val="single" w:sz="6" w:space="0" w:color="E6E6E6"/>
              <w:left w:val="single" w:sz="6" w:space="0" w:color="E6E6E6"/>
              <w:bottom w:val="single" w:sz="6" w:space="0" w:color="E6E6E6"/>
              <w:right w:val="single" w:sz="6" w:space="0" w:color="E6E6E6"/>
            </w:tcBorders>
            <w:vAlign w:val="center"/>
          </w:tcPr>
          <w:p w14:paraId="6C11512C" w14:textId="24EBC182"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100% teams participating</w:t>
            </w:r>
          </w:p>
        </w:tc>
        <w:tc>
          <w:tcPr>
            <w:tcW w:w="248" w:type="dxa"/>
            <w:tcBorders>
              <w:top w:val="single" w:sz="6" w:space="0" w:color="E6E6E6"/>
              <w:left w:val="single" w:sz="6" w:space="0" w:color="E6E6E6"/>
              <w:bottom w:val="single" w:sz="6" w:space="0" w:color="E6E6E6"/>
              <w:right w:val="single" w:sz="6" w:space="0" w:color="E6E6E6"/>
            </w:tcBorders>
            <w:vAlign w:val="center"/>
          </w:tcPr>
          <w:p w14:paraId="7832F0B9" w14:textId="60CD1763"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w:t>
            </w:r>
          </w:p>
        </w:tc>
      </w:tr>
      <w:tr w:rsidR="00D84966" w14:paraId="6615DD23" w14:textId="77777777" w:rsidTr="3B6D706C">
        <w:trPr>
          <w:trHeight w:val="300"/>
        </w:trPr>
        <w:tc>
          <w:tcPr>
            <w:tcW w:w="1307" w:type="dxa"/>
            <w:tcBorders>
              <w:top w:val="single" w:sz="6" w:space="0" w:color="E6E6E6"/>
              <w:left w:val="single" w:sz="6" w:space="0" w:color="E6E6E6"/>
              <w:bottom w:val="single" w:sz="6" w:space="0" w:color="E6E6E6"/>
              <w:right w:val="single" w:sz="6" w:space="0" w:color="E6E6E6"/>
            </w:tcBorders>
            <w:vAlign w:val="center"/>
          </w:tcPr>
          <w:p w14:paraId="7C416A1A" w14:textId="3F6B5661"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Wellbeing Champions</w:t>
            </w:r>
          </w:p>
        </w:tc>
        <w:tc>
          <w:tcPr>
            <w:tcW w:w="3747" w:type="dxa"/>
            <w:tcBorders>
              <w:top w:val="single" w:sz="6" w:space="0" w:color="E6E6E6"/>
              <w:left w:val="single" w:sz="6" w:space="0" w:color="E6E6E6"/>
              <w:bottom w:val="single" w:sz="6" w:space="0" w:color="E6E6E6"/>
              <w:right w:val="single" w:sz="6" w:space="0" w:color="E6E6E6"/>
            </w:tcBorders>
            <w:vAlign w:val="center"/>
          </w:tcPr>
          <w:p w14:paraId="2B5A1D92" w14:textId="699DB2D3" w:rsidR="491B6F34" w:rsidRDefault="491B6F34"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Expand</w:t>
            </w:r>
            <w:r w:rsidR="3B6D706C" w:rsidRPr="3B6D706C">
              <w:rPr>
                <w:rFonts w:ascii="Arial" w:eastAsia="Arial" w:hAnsi="Arial" w:cs="Arial"/>
                <w:sz w:val="16"/>
                <w:szCs w:val="16"/>
              </w:rPr>
              <w:t xml:space="preserve"> MH&amp;LD Wellbeing Champion network</w:t>
            </w:r>
          </w:p>
        </w:tc>
        <w:tc>
          <w:tcPr>
            <w:tcW w:w="1083" w:type="dxa"/>
            <w:tcBorders>
              <w:top w:val="single" w:sz="6" w:space="0" w:color="E6E6E6"/>
              <w:left w:val="single" w:sz="6" w:space="0" w:color="E6E6E6"/>
              <w:bottom w:val="single" w:sz="6" w:space="0" w:color="E6E6E6"/>
              <w:right w:val="single" w:sz="6" w:space="0" w:color="E6E6E6"/>
            </w:tcBorders>
            <w:vAlign w:val="center"/>
          </w:tcPr>
          <w:p w14:paraId="130D69DA" w14:textId="18107238"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Directorate Leads</w:t>
            </w:r>
          </w:p>
        </w:tc>
        <w:tc>
          <w:tcPr>
            <w:tcW w:w="1005" w:type="dxa"/>
            <w:tcBorders>
              <w:top w:val="single" w:sz="6" w:space="0" w:color="E6E6E6"/>
              <w:left w:val="single" w:sz="6" w:space="0" w:color="E6E6E6"/>
              <w:bottom w:val="single" w:sz="6" w:space="0" w:color="E6E6E6"/>
              <w:right w:val="single" w:sz="6" w:space="0" w:color="E6E6E6"/>
            </w:tcBorders>
            <w:vAlign w:val="center"/>
          </w:tcPr>
          <w:p w14:paraId="76097507" w14:textId="638868E7"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Dec 2026</w:t>
            </w:r>
          </w:p>
        </w:tc>
        <w:tc>
          <w:tcPr>
            <w:tcW w:w="1626" w:type="dxa"/>
            <w:tcBorders>
              <w:top w:val="single" w:sz="6" w:space="0" w:color="E6E6E6"/>
              <w:left w:val="single" w:sz="6" w:space="0" w:color="E6E6E6"/>
              <w:bottom w:val="single" w:sz="6" w:space="0" w:color="E6E6E6"/>
              <w:right w:val="single" w:sz="6" w:space="0" w:color="E6E6E6"/>
            </w:tcBorders>
            <w:vAlign w:val="center"/>
          </w:tcPr>
          <w:p w14:paraId="0F325A60" w14:textId="14859A48"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Champion identified in all Directorates</w:t>
            </w:r>
          </w:p>
        </w:tc>
        <w:tc>
          <w:tcPr>
            <w:tcW w:w="248" w:type="dxa"/>
            <w:tcBorders>
              <w:top w:val="single" w:sz="6" w:space="0" w:color="E6E6E6"/>
              <w:left w:val="single" w:sz="6" w:space="0" w:color="E6E6E6"/>
              <w:bottom w:val="single" w:sz="6" w:space="0" w:color="E6E6E6"/>
              <w:right w:val="single" w:sz="6" w:space="0" w:color="E6E6E6"/>
            </w:tcBorders>
            <w:vAlign w:val="center"/>
          </w:tcPr>
          <w:p w14:paraId="2CE022AC" w14:textId="308B4318"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w:t>
            </w:r>
          </w:p>
        </w:tc>
      </w:tr>
      <w:tr w:rsidR="00D84966" w14:paraId="23F12029" w14:textId="77777777" w:rsidTr="3B6D706C">
        <w:trPr>
          <w:trHeight w:val="300"/>
        </w:trPr>
        <w:tc>
          <w:tcPr>
            <w:tcW w:w="1307" w:type="dxa"/>
            <w:tcBorders>
              <w:top w:val="single" w:sz="6" w:space="0" w:color="E6E6E6"/>
              <w:left w:val="single" w:sz="6" w:space="0" w:color="E6E6E6"/>
              <w:bottom w:val="single" w:sz="6" w:space="0" w:color="E6E6E6"/>
              <w:right w:val="single" w:sz="6" w:space="0" w:color="E6E6E6"/>
            </w:tcBorders>
            <w:vAlign w:val="center"/>
          </w:tcPr>
          <w:p w14:paraId="764F8A5A" w14:textId="35915424"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Attendance &amp; Resilience</w:t>
            </w:r>
          </w:p>
        </w:tc>
        <w:tc>
          <w:tcPr>
            <w:tcW w:w="3747" w:type="dxa"/>
            <w:tcBorders>
              <w:top w:val="single" w:sz="6" w:space="0" w:color="E6E6E6"/>
              <w:left w:val="single" w:sz="6" w:space="0" w:color="E6E6E6"/>
              <w:bottom w:val="single" w:sz="6" w:space="0" w:color="E6E6E6"/>
              <w:right w:val="single" w:sz="6" w:space="0" w:color="E6E6E6"/>
            </w:tcBorders>
            <w:vAlign w:val="center"/>
          </w:tcPr>
          <w:p w14:paraId="6302E306" w14:textId="672E9A07"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Review sickness hotspots monthly and implement targeted interventions</w:t>
            </w:r>
          </w:p>
        </w:tc>
        <w:tc>
          <w:tcPr>
            <w:tcW w:w="1083" w:type="dxa"/>
            <w:tcBorders>
              <w:top w:val="single" w:sz="6" w:space="0" w:color="E6E6E6"/>
              <w:left w:val="single" w:sz="6" w:space="0" w:color="E6E6E6"/>
              <w:bottom w:val="single" w:sz="6" w:space="0" w:color="E6E6E6"/>
              <w:right w:val="single" w:sz="6" w:space="0" w:color="E6E6E6"/>
            </w:tcBorders>
            <w:vAlign w:val="center"/>
          </w:tcPr>
          <w:p w14:paraId="55EBEC8C" w14:textId="7BDA7C22"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Workforce Team</w:t>
            </w:r>
          </w:p>
        </w:tc>
        <w:tc>
          <w:tcPr>
            <w:tcW w:w="1005" w:type="dxa"/>
            <w:tcBorders>
              <w:top w:val="single" w:sz="6" w:space="0" w:color="E6E6E6"/>
              <w:left w:val="single" w:sz="6" w:space="0" w:color="E6E6E6"/>
              <w:bottom w:val="single" w:sz="6" w:space="0" w:color="E6E6E6"/>
              <w:right w:val="single" w:sz="6" w:space="0" w:color="E6E6E6"/>
            </w:tcBorders>
            <w:vAlign w:val="center"/>
          </w:tcPr>
          <w:p w14:paraId="7655BC79" w14:textId="2926F461"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Monthly</w:t>
            </w:r>
          </w:p>
        </w:tc>
        <w:tc>
          <w:tcPr>
            <w:tcW w:w="1626" w:type="dxa"/>
            <w:tcBorders>
              <w:top w:val="single" w:sz="6" w:space="0" w:color="E6E6E6"/>
              <w:left w:val="single" w:sz="6" w:space="0" w:color="E6E6E6"/>
              <w:bottom w:val="single" w:sz="6" w:space="0" w:color="E6E6E6"/>
              <w:right w:val="single" w:sz="6" w:space="0" w:color="E6E6E6"/>
            </w:tcBorders>
            <w:vAlign w:val="center"/>
          </w:tcPr>
          <w:p w14:paraId="3C37E612" w14:textId="7535A27F"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Reduction in sickness absence rates</w:t>
            </w:r>
          </w:p>
        </w:tc>
        <w:tc>
          <w:tcPr>
            <w:tcW w:w="248" w:type="dxa"/>
            <w:tcBorders>
              <w:top w:val="single" w:sz="6" w:space="0" w:color="E6E6E6"/>
              <w:left w:val="single" w:sz="6" w:space="0" w:color="E6E6E6"/>
              <w:bottom w:val="single" w:sz="6" w:space="0" w:color="E6E6E6"/>
              <w:right w:val="single" w:sz="6" w:space="0" w:color="E6E6E6"/>
            </w:tcBorders>
            <w:vAlign w:val="center"/>
          </w:tcPr>
          <w:p w14:paraId="2BF24A89" w14:textId="625E8243"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w:t>
            </w:r>
          </w:p>
        </w:tc>
      </w:tr>
      <w:tr w:rsidR="00D84966" w14:paraId="2CCC29E7" w14:textId="77777777" w:rsidTr="3B6D706C">
        <w:trPr>
          <w:trHeight w:val="300"/>
        </w:trPr>
        <w:tc>
          <w:tcPr>
            <w:tcW w:w="1307" w:type="dxa"/>
            <w:tcBorders>
              <w:top w:val="single" w:sz="6" w:space="0" w:color="E6E6E6"/>
              <w:left w:val="single" w:sz="6" w:space="0" w:color="E6E6E6"/>
              <w:bottom w:val="single" w:sz="6" w:space="0" w:color="E6E6E6"/>
              <w:right w:val="single" w:sz="6" w:space="0" w:color="E6E6E6"/>
            </w:tcBorders>
            <w:vAlign w:val="center"/>
          </w:tcPr>
          <w:p w14:paraId="09093812" w14:textId="2D4607F7"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Mental Health Support</w:t>
            </w:r>
          </w:p>
        </w:tc>
        <w:tc>
          <w:tcPr>
            <w:tcW w:w="3747" w:type="dxa"/>
            <w:tcBorders>
              <w:top w:val="single" w:sz="6" w:space="0" w:color="E6E6E6"/>
              <w:left w:val="single" w:sz="6" w:space="0" w:color="E6E6E6"/>
              <w:bottom w:val="single" w:sz="6" w:space="0" w:color="E6E6E6"/>
              <w:right w:val="single" w:sz="6" w:space="0" w:color="E6E6E6"/>
            </w:tcBorders>
            <w:vAlign w:val="center"/>
          </w:tcPr>
          <w:p w14:paraId="396CB1C5" w14:textId="02BC651A"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Improve awareness of Occupational Health and psychological support services</w:t>
            </w:r>
          </w:p>
        </w:tc>
        <w:tc>
          <w:tcPr>
            <w:tcW w:w="1083" w:type="dxa"/>
            <w:tcBorders>
              <w:top w:val="single" w:sz="6" w:space="0" w:color="E6E6E6"/>
              <w:left w:val="single" w:sz="6" w:space="0" w:color="E6E6E6"/>
              <w:bottom w:val="single" w:sz="6" w:space="0" w:color="E6E6E6"/>
              <w:right w:val="single" w:sz="6" w:space="0" w:color="E6E6E6"/>
            </w:tcBorders>
            <w:vAlign w:val="center"/>
          </w:tcPr>
          <w:p w14:paraId="6539BBA5" w14:textId="4C13EDC5"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Managers /</w:t>
            </w:r>
            <w:r w:rsidR="456F6BD7" w:rsidRPr="3B6D706C">
              <w:rPr>
                <w:rFonts w:ascii="Arial" w:eastAsia="Arial" w:hAnsi="Arial" w:cs="Arial"/>
                <w:sz w:val="16"/>
                <w:szCs w:val="16"/>
              </w:rPr>
              <w:t xml:space="preserve"> Workforce</w:t>
            </w:r>
            <w:r w:rsidRPr="3B6D706C">
              <w:rPr>
                <w:rFonts w:ascii="Arial" w:eastAsia="Arial" w:hAnsi="Arial" w:cs="Arial"/>
                <w:sz w:val="16"/>
                <w:szCs w:val="16"/>
              </w:rPr>
              <w:t xml:space="preserve"> OH&amp;WB</w:t>
            </w:r>
          </w:p>
        </w:tc>
        <w:tc>
          <w:tcPr>
            <w:tcW w:w="1005" w:type="dxa"/>
            <w:tcBorders>
              <w:top w:val="single" w:sz="6" w:space="0" w:color="E6E6E6"/>
              <w:left w:val="single" w:sz="6" w:space="0" w:color="E6E6E6"/>
              <w:bottom w:val="single" w:sz="6" w:space="0" w:color="E6E6E6"/>
              <w:right w:val="single" w:sz="6" w:space="0" w:color="E6E6E6"/>
            </w:tcBorders>
            <w:vAlign w:val="center"/>
          </w:tcPr>
          <w:p w14:paraId="05692F9C" w14:textId="541972BF"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Jan 2027</w:t>
            </w:r>
          </w:p>
        </w:tc>
        <w:tc>
          <w:tcPr>
            <w:tcW w:w="1626" w:type="dxa"/>
            <w:tcBorders>
              <w:top w:val="single" w:sz="6" w:space="0" w:color="E6E6E6"/>
              <w:left w:val="single" w:sz="6" w:space="0" w:color="E6E6E6"/>
              <w:bottom w:val="single" w:sz="6" w:space="0" w:color="E6E6E6"/>
              <w:right w:val="single" w:sz="6" w:space="0" w:color="E6E6E6"/>
            </w:tcBorders>
            <w:vAlign w:val="center"/>
          </w:tcPr>
          <w:p w14:paraId="681EA2B5" w14:textId="61332802"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Increased support uptake</w:t>
            </w:r>
          </w:p>
        </w:tc>
        <w:tc>
          <w:tcPr>
            <w:tcW w:w="248" w:type="dxa"/>
            <w:tcBorders>
              <w:top w:val="single" w:sz="6" w:space="0" w:color="E6E6E6"/>
              <w:left w:val="single" w:sz="6" w:space="0" w:color="E6E6E6"/>
              <w:bottom w:val="single" w:sz="6" w:space="0" w:color="E6E6E6"/>
              <w:right w:val="single" w:sz="6" w:space="0" w:color="E6E6E6"/>
            </w:tcBorders>
            <w:vAlign w:val="center"/>
          </w:tcPr>
          <w:p w14:paraId="65EB9691" w14:textId="3F2E1AAA"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w:t>
            </w:r>
          </w:p>
        </w:tc>
      </w:tr>
      <w:tr w:rsidR="00D84966" w14:paraId="14CBDA68" w14:textId="77777777" w:rsidTr="3B6D706C">
        <w:trPr>
          <w:trHeight w:val="300"/>
        </w:trPr>
        <w:tc>
          <w:tcPr>
            <w:tcW w:w="1307" w:type="dxa"/>
            <w:tcBorders>
              <w:top w:val="single" w:sz="6" w:space="0" w:color="E6E6E6"/>
              <w:left w:val="single" w:sz="6" w:space="0" w:color="E6E6E6"/>
              <w:bottom w:val="single" w:sz="6" w:space="0" w:color="E6E6E6"/>
              <w:right w:val="single" w:sz="6" w:space="0" w:color="E6E6E6"/>
            </w:tcBorders>
            <w:vAlign w:val="center"/>
          </w:tcPr>
          <w:p w14:paraId="49F7D1B9" w14:textId="57650A58"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Health Promotion</w:t>
            </w:r>
          </w:p>
        </w:tc>
        <w:tc>
          <w:tcPr>
            <w:tcW w:w="3747" w:type="dxa"/>
            <w:tcBorders>
              <w:top w:val="single" w:sz="6" w:space="0" w:color="E6E6E6"/>
              <w:left w:val="single" w:sz="6" w:space="0" w:color="E6E6E6"/>
              <w:bottom w:val="single" w:sz="6" w:space="0" w:color="E6E6E6"/>
              <w:right w:val="single" w:sz="6" w:space="0" w:color="E6E6E6"/>
            </w:tcBorders>
            <w:vAlign w:val="center"/>
          </w:tcPr>
          <w:p w14:paraId="2F72A45F" w14:textId="49C71F6A"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Increase uptake of staff health checks and wellbeing events</w:t>
            </w:r>
            <w:r w:rsidR="4037CDF0" w:rsidRPr="3B6D706C">
              <w:rPr>
                <w:rFonts w:ascii="Arial" w:eastAsia="Arial" w:hAnsi="Arial" w:cs="Arial"/>
                <w:sz w:val="16"/>
                <w:szCs w:val="16"/>
              </w:rPr>
              <w:t xml:space="preserve"> including flu vaccinations</w:t>
            </w:r>
          </w:p>
        </w:tc>
        <w:tc>
          <w:tcPr>
            <w:tcW w:w="1083" w:type="dxa"/>
            <w:tcBorders>
              <w:top w:val="single" w:sz="6" w:space="0" w:color="E6E6E6"/>
              <w:left w:val="single" w:sz="6" w:space="0" w:color="E6E6E6"/>
              <w:bottom w:val="single" w:sz="6" w:space="0" w:color="E6E6E6"/>
              <w:right w:val="single" w:sz="6" w:space="0" w:color="E6E6E6"/>
            </w:tcBorders>
            <w:vAlign w:val="center"/>
          </w:tcPr>
          <w:p w14:paraId="1F6FA666" w14:textId="503685A1" w:rsidR="75EFC080" w:rsidRDefault="75EFC080"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 xml:space="preserve">Managers, / Workforce </w:t>
            </w:r>
            <w:r w:rsidR="3B6D706C" w:rsidRPr="3B6D706C">
              <w:rPr>
                <w:rFonts w:ascii="Arial" w:eastAsia="Arial" w:hAnsi="Arial" w:cs="Arial"/>
                <w:sz w:val="16"/>
                <w:szCs w:val="16"/>
              </w:rPr>
              <w:t>OH&amp;WB Team</w:t>
            </w:r>
          </w:p>
        </w:tc>
        <w:tc>
          <w:tcPr>
            <w:tcW w:w="1005" w:type="dxa"/>
            <w:tcBorders>
              <w:top w:val="single" w:sz="6" w:space="0" w:color="E6E6E6"/>
              <w:left w:val="single" w:sz="6" w:space="0" w:color="E6E6E6"/>
              <w:bottom w:val="single" w:sz="6" w:space="0" w:color="E6E6E6"/>
              <w:right w:val="single" w:sz="6" w:space="0" w:color="E6E6E6"/>
            </w:tcBorders>
            <w:vAlign w:val="center"/>
          </w:tcPr>
          <w:p w14:paraId="3B183526" w14:textId="214F4898"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Mar 2027</w:t>
            </w:r>
          </w:p>
        </w:tc>
        <w:tc>
          <w:tcPr>
            <w:tcW w:w="1626" w:type="dxa"/>
            <w:tcBorders>
              <w:top w:val="single" w:sz="6" w:space="0" w:color="E6E6E6"/>
              <w:left w:val="single" w:sz="6" w:space="0" w:color="E6E6E6"/>
              <w:bottom w:val="single" w:sz="6" w:space="0" w:color="E6E6E6"/>
              <w:right w:val="single" w:sz="6" w:space="0" w:color="E6E6E6"/>
            </w:tcBorders>
            <w:vAlign w:val="center"/>
          </w:tcPr>
          <w:p w14:paraId="68593477" w14:textId="0A91EDE9"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15% increase in participation</w:t>
            </w:r>
          </w:p>
        </w:tc>
        <w:tc>
          <w:tcPr>
            <w:tcW w:w="248" w:type="dxa"/>
            <w:tcBorders>
              <w:top w:val="single" w:sz="6" w:space="0" w:color="E6E6E6"/>
              <w:left w:val="single" w:sz="6" w:space="0" w:color="E6E6E6"/>
              <w:bottom w:val="single" w:sz="6" w:space="0" w:color="E6E6E6"/>
              <w:right w:val="single" w:sz="6" w:space="0" w:color="E6E6E6"/>
            </w:tcBorders>
            <w:vAlign w:val="center"/>
          </w:tcPr>
          <w:p w14:paraId="27162556" w14:textId="0124A52A"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w:t>
            </w:r>
          </w:p>
        </w:tc>
      </w:tr>
      <w:tr w:rsidR="00D84966" w14:paraId="34972144" w14:textId="77777777" w:rsidTr="3B6D706C">
        <w:trPr>
          <w:trHeight w:val="300"/>
        </w:trPr>
        <w:tc>
          <w:tcPr>
            <w:tcW w:w="1307" w:type="dxa"/>
            <w:tcBorders>
              <w:top w:val="single" w:sz="6" w:space="0" w:color="E6E6E6"/>
              <w:left w:val="single" w:sz="6" w:space="0" w:color="E6E6E6"/>
              <w:bottom w:val="single" w:sz="6" w:space="0" w:color="E6E6E6"/>
              <w:right w:val="single" w:sz="6" w:space="0" w:color="E6E6E6"/>
            </w:tcBorders>
            <w:vAlign w:val="center"/>
          </w:tcPr>
          <w:p w14:paraId="1328FAA5" w14:textId="7EAEB755"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Health Passport</w:t>
            </w:r>
          </w:p>
        </w:tc>
        <w:tc>
          <w:tcPr>
            <w:tcW w:w="3747" w:type="dxa"/>
            <w:tcBorders>
              <w:top w:val="single" w:sz="6" w:space="0" w:color="E6E6E6"/>
              <w:left w:val="single" w:sz="6" w:space="0" w:color="E6E6E6"/>
              <w:bottom w:val="single" w:sz="6" w:space="0" w:color="E6E6E6"/>
              <w:right w:val="single" w:sz="6" w:space="0" w:color="E6E6E6"/>
            </w:tcBorders>
            <w:vAlign w:val="center"/>
          </w:tcPr>
          <w:p w14:paraId="42B9961A" w14:textId="6F100E76"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Promote Health and Wellbeing Passport across MH&amp;LD services</w:t>
            </w:r>
          </w:p>
        </w:tc>
        <w:tc>
          <w:tcPr>
            <w:tcW w:w="1083" w:type="dxa"/>
            <w:tcBorders>
              <w:top w:val="single" w:sz="6" w:space="0" w:color="E6E6E6"/>
              <w:left w:val="single" w:sz="6" w:space="0" w:color="E6E6E6"/>
              <w:bottom w:val="single" w:sz="6" w:space="0" w:color="E6E6E6"/>
              <w:right w:val="single" w:sz="6" w:space="0" w:color="E6E6E6"/>
            </w:tcBorders>
            <w:vAlign w:val="center"/>
          </w:tcPr>
          <w:p w14:paraId="473507FC" w14:textId="0816513A"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Directorate Leads</w:t>
            </w:r>
          </w:p>
        </w:tc>
        <w:tc>
          <w:tcPr>
            <w:tcW w:w="1005" w:type="dxa"/>
            <w:tcBorders>
              <w:top w:val="single" w:sz="6" w:space="0" w:color="E6E6E6"/>
              <w:left w:val="single" w:sz="6" w:space="0" w:color="E6E6E6"/>
              <w:bottom w:val="single" w:sz="6" w:space="0" w:color="E6E6E6"/>
              <w:right w:val="single" w:sz="6" w:space="0" w:color="E6E6E6"/>
            </w:tcBorders>
            <w:vAlign w:val="center"/>
          </w:tcPr>
          <w:p w14:paraId="18C1ED73" w14:textId="19CF8253"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Mar 2027</w:t>
            </w:r>
          </w:p>
        </w:tc>
        <w:tc>
          <w:tcPr>
            <w:tcW w:w="1626" w:type="dxa"/>
            <w:tcBorders>
              <w:top w:val="single" w:sz="6" w:space="0" w:color="E6E6E6"/>
              <w:left w:val="single" w:sz="6" w:space="0" w:color="E6E6E6"/>
              <w:bottom w:val="single" w:sz="6" w:space="0" w:color="E6E6E6"/>
              <w:right w:val="single" w:sz="6" w:space="0" w:color="E6E6E6"/>
            </w:tcBorders>
            <w:vAlign w:val="center"/>
          </w:tcPr>
          <w:p w14:paraId="3C074272" w14:textId="05A895B1"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Increased utilisation</w:t>
            </w:r>
          </w:p>
        </w:tc>
        <w:tc>
          <w:tcPr>
            <w:tcW w:w="248" w:type="dxa"/>
            <w:tcBorders>
              <w:top w:val="single" w:sz="6" w:space="0" w:color="E6E6E6"/>
              <w:left w:val="single" w:sz="6" w:space="0" w:color="E6E6E6"/>
              <w:bottom w:val="single" w:sz="6" w:space="0" w:color="E6E6E6"/>
              <w:right w:val="single" w:sz="6" w:space="0" w:color="E6E6E6"/>
            </w:tcBorders>
            <w:vAlign w:val="center"/>
          </w:tcPr>
          <w:p w14:paraId="2C59B34B" w14:textId="5B0A30F0"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w:t>
            </w:r>
          </w:p>
        </w:tc>
      </w:tr>
      <w:tr w:rsidR="00D84966" w14:paraId="73F13563" w14:textId="77777777" w:rsidTr="3B6D706C">
        <w:trPr>
          <w:trHeight w:val="300"/>
        </w:trPr>
        <w:tc>
          <w:tcPr>
            <w:tcW w:w="1307" w:type="dxa"/>
            <w:tcBorders>
              <w:top w:val="single" w:sz="6" w:space="0" w:color="E6E6E6"/>
              <w:left w:val="single" w:sz="6" w:space="0" w:color="E6E6E6"/>
              <w:bottom w:val="single" w:sz="6" w:space="0" w:color="E6E6E6"/>
              <w:right w:val="single" w:sz="6" w:space="0" w:color="E6E6E6"/>
            </w:tcBorders>
            <w:vAlign w:val="center"/>
          </w:tcPr>
          <w:p w14:paraId="203A142B" w14:textId="7CDD5E19"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Leadership Support</w:t>
            </w:r>
          </w:p>
        </w:tc>
        <w:tc>
          <w:tcPr>
            <w:tcW w:w="3747" w:type="dxa"/>
            <w:tcBorders>
              <w:top w:val="single" w:sz="6" w:space="0" w:color="E6E6E6"/>
              <w:left w:val="single" w:sz="6" w:space="0" w:color="E6E6E6"/>
              <w:bottom w:val="single" w:sz="6" w:space="0" w:color="E6E6E6"/>
              <w:right w:val="single" w:sz="6" w:space="0" w:color="E6E6E6"/>
            </w:tcBorders>
            <w:vAlign w:val="center"/>
          </w:tcPr>
          <w:p w14:paraId="5DE5FF15" w14:textId="72EBFB98"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Deliver wellbeing and compassionate leadership development</w:t>
            </w:r>
            <w:r w:rsidR="4A0F479F" w:rsidRPr="3B6D706C">
              <w:rPr>
                <w:rFonts w:ascii="Arial" w:eastAsia="Arial" w:hAnsi="Arial" w:cs="Arial"/>
                <w:sz w:val="16"/>
                <w:szCs w:val="16"/>
              </w:rPr>
              <w:t>, links established with USW</w:t>
            </w:r>
          </w:p>
        </w:tc>
        <w:tc>
          <w:tcPr>
            <w:tcW w:w="1083" w:type="dxa"/>
            <w:tcBorders>
              <w:top w:val="single" w:sz="6" w:space="0" w:color="E6E6E6"/>
              <w:left w:val="single" w:sz="6" w:space="0" w:color="E6E6E6"/>
              <w:bottom w:val="single" w:sz="6" w:space="0" w:color="E6E6E6"/>
              <w:right w:val="single" w:sz="6" w:space="0" w:color="E6E6E6"/>
            </w:tcBorders>
            <w:vAlign w:val="center"/>
          </w:tcPr>
          <w:p w14:paraId="66EA7EC6" w14:textId="4246C524"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Learning &amp; OD</w:t>
            </w:r>
          </w:p>
        </w:tc>
        <w:tc>
          <w:tcPr>
            <w:tcW w:w="1005" w:type="dxa"/>
            <w:tcBorders>
              <w:top w:val="single" w:sz="6" w:space="0" w:color="E6E6E6"/>
              <w:left w:val="single" w:sz="6" w:space="0" w:color="E6E6E6"/>
              <w:bottom w:val="single" w:sz="6" w:space="0" w:color="E6E6E6"/>
              <w:right w:val="single" w:sz="6" w:space="0" w:color="E6E6E6"/>
            </w:tcBorders>
            <w:vAlign w:val="center"/>
          </w:tcPr>
          <w:p w14:paraId="08535A91" w14:textId="04201D88"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Mar 2027</w:t>
            </w:r>
          </w:p>
        </w:tc>
        <w:tc>
          <w:tcPr>
            <w:tcW w:w="1626" w:type="dxa"/>
            <w:tcBorders>
              <w:top w:val="single" w:sz="6" w:space="0" w:color="E6E6E6"/>
              <w:left w:val="single" w:sz="6" w:space="0" w:color="E6E6E6"/>
              <w:bottom w:val="single" w:sz="6" w:space="0" w:color="E6E6E6"/>
              <w:right w:val="single" w:sz="6" w:space="0" w:color="E6E6E6"/>
            </w:tcBorders>
            <w:vAlign w:val="center"/>
          </w:tcPr>
          <w:p w14:paraId="45E0287C" w14:textId="5E2ADC30"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Manager attendance and completion rates</w:t>
            </w:r>
          </w:p>
        </w:tc>
        <w:tc>
          <w:tcPr>
            <w:tcW w:w="248" w:type="dxa"/>
            <w:tcBorders>
              <w:top w:val="single" w:sz="6" w:space="0" w:color="E6E6E6"/>
              <w:left w:val="single" w:sz="6" w:space="0" w:color="E6E6E6"/>
              <w:bottom w:val="single" w:sz="6" w:space="0" w:color="E6E6E6"/>
              <w:right w:val="single" w:sz="6" w:space="0" w:color="E6E6E6"/>
            </w:tcBorders>
            <w:vAlign w:val="center"/>
          </w:tcPr>
          <w:p w14:paraId="607840C1" w14:textId="18D4D19C"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w:t>
            </w:r>
          </w:p>
        </w:tc>
      </w:tr>
      <w:tr w:rsidR="00D84966" w14:paraId="195C0655" w14:textId="77777777" w:rsidTr="3B6D706C">
        <w:trPr>
          <w:trHeight w:val="300"/>
        </w:trPr>
        <w:tc>
          <w:tcPr>
            <w:tcW w:w="1307" w:type="dxa"/>
            <w:tcBorders>
              <w:top w:val="single" w:sz="6" w:space="0" w:color="E6E6E6"/>
              <w:left w:val="single" w:sz="6" w:space="0" w:color="E6E6E6"/>
              <w:bottom w:val="single" w:sz="6" w:space="0" w:color="E6E6E6"/>
              <w:right w:val="single" w:sz="6" w:space="0" w:color="E6E6E6"/>
            </w:tcBorders>
            <w:vAlign w:val="center"/>
          </w:tcPr>
          <w:p w14:paraId="5DA957FC" w14:textId="3FCBA711"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Retention &amp; Development</w:t>
            </w:r>
          </w:p>
        </w:tc>
        <w:tc>
          <w:tcPr>
            <w:tcW w:w="3747" w:type="dxa"/>
            <w:tcBorders>
              <w:top w:val="single" w:sz="6" w:space="0" w:color="E6E6E6"/>
              <w:left w:val="single" w:sz="6" w:space="0" w:color="E6E6E6"/>
              <w:bottom w:val="single" w:sz="6" w:space="0" w:color="E6E6E6"/>
              <w:right w:val="single" w:sz="6" w:space="0" w:color="E6E6E6"/>
            </w:tcBorders>
            <w:vAlign w:val="center"/>
          </w:tcPr>
          <w:p w14:paraId="31126BA1" w14:textId="3D10F7C1" w:rsidR="00D84966" w:rsidRPr="00D84966" w:rsidRDefault="3B6D706C" w:rsidP="00D84966">
            <w:pPr>
              <w:rPr>
                <w:rFonts w:ascii="Times New Roman" w:eastAsia="Times New Roman" w:hAnsi="Times New Roman" w:cs="Times New Roman"/>
                <w:lang w:eastAsia="en-GB"/>
              </w:rPr>
            </w:pPr>
            <w:r w:rsidRPr="3B6D706C">
              <w:rPr>
                <w:rFonts w:ascii="Arial" w:eastAsia="Arial" w:hAnsi="Arial" w:cs="Arial"/>
                <w:sz w:val="16"/>
                <w:szCs w:val="16"/>
              </w:rPr>
              <w:t>Expand mentoring, coaching and career pathways</w:t>
            </w:r>
            <w:r w:rsidR="00D84966">
              <w:rPr>
                <w:rFonts w:ascii="Arial" w:eastAsia="Arial" w:hAnsi="Arial" w:cs="Arial"/>
                <w:sz w:val="16"/>
                <w:szCs w:val="16"/>
              </w:rPr>
              <w:t xml:space="preserve"> together with clinical / operational supervision</w:t>
            </w:r>
            <w:r w:rsidR="00D84966" w:rsidRPr="00D84966">
              <w:rPr>
                <w:rFonts w:ascii="Times New Roman" w:eastAsia="Times New Roman" w:hAnsi="Times New Roman" w:cs="Times New Roman"/>
                <w:lang w:eastAsia="en-GB"/>
              </w:rPr>
              <w:t xml:space="preserve"> </w:t>
            </w:r>
          </w:p>
          <w:p w14:paraId="661FFB8B" w14:textId="2AB7D1E9" w:rsidR="3B6D706C" w:rsidRDefault="3B6D706C" w:rsidP="00890A74">
            <w:pPr>
              <w:spacing w:after="0" w:line="300" w:lineRule="auto"/>
              <w:jc w:val="both"/>
              <w:rPr>
                <w:rFonts w:ascii="Arial" w:eastAsia="Arial" w:hAnsi="Arial" w:cs="Arial"/>
                <w:sz w:val="16"/>
                <w:szCs w:val="16"/>
              </w:rPr>
            </w:pPr>
          </w:p>
        </w:tc>
        <w:tc>
          <w:tcPr>
            <w:tcW w:w="1083" w:type="dxa"/>
            <w:tcBorders>
              <w:top w:val="single" w:sz="6" w:space="0" w:color="E6E6E6"/>
              <w:left w:val="single" w:sz="6" w:space="0" w:color="E6E6E6"/>
              <w:bottom w:val="single" w:sz="6" w:space="0" w:color="E6E6E6"/>
              <w:right w:val="single" w:sz="6" w:space="0" w:color="E6E6E6"/>
            </w:tcBorders>
            <w:vAlign w:val="center"/>
          </w:tcPr>
          <w:p w14:paraId="013AA204" w14:textId="1755BCE4"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SMT Leads</w:t>
            </w:r>
          </w:p>
        </w:tc>
        <w:tc>
          <w:tcPr>
            <w:tcW w:w="1005" w:type="dxa"/>
            <w:tcBorders>
              <w:top w:val="single" w:sz="6" w:space="0" w:color="E6E6E6"/>
              <w:left w:val="single" w:sz="6" w:space="0" w:color="E6E6E6"/>
              <w:bottom w:val="single" w:sz="6" w:space="0" w:color="E6E6E6"/>
              <w:right w:val="single" w:sz="6" w:space="0" w:color="E6E6E6"/>
            </w:tcBorders>
            <w:vAlign w:val="center"/>
          </w:tcPr>
          <w:p w14:paraId="49E1BE8C" w14:textId="28321BFF"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Mar 2027</w:t>
            </w:r>
          </w:p>
        </w:tc>
        <w:tc>
          <w:tcPr>
            <w:tcW w:w="1626" w:type="dxa"/>
            <w:tcBorders>
              <w:top w:val="single" w:sz="6" w:space="0" w:color="E6E6E6"/>
              <w:left w:val="single" w:sz="6" w:space="0" w:color="E6E6E6"/>
              <w:bottom w:val="single" w:sz="6" w:space="0" w:color="E6E6E6"/>
              <w:right w:val="single" w:sz="6" w:space="0" w:color="E6E6E6"/>
            </w:tcBorders>
            <w:vAlign w:val="center"/>
          </w:tcPr>
          <w:p w14:paraId="66F08CD3" w14:textId="39E17075"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Improved retention indicators</w:t>
            </w:r>
          </w:p>
        </w:tc>
        <w:tc>
          <w:tcPr>
            <w:tcW w:w="248" w:type="dxa"/>
            <w:tcBorders>
              <w:top w:val="single" w:sz="6" w:space="0" w:color="E6E6E6"/>
              <w:left w:val="single" w:sz="6" w:space="0" w:color="E6E6E6"/>
              <w:bottom w:val="single" w:sz="6" w:space="0" w:color="E6E6E6"/>
              <w:right w:val="single" w:sz="6" w:space="0" w:color="E6E6E6"/>
            </w:tcBorders>
            <w:vAlign w:val="center"/>
          </w:tcPr>
          <w:p w14:paraId="3098AFC8" w14:textId="219C1F8B"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w:t>
            </w:r>
          </w:p>
        </w:tc>
      </w:tr>
      <w:tr w:rsidR="00D84966" w14:paraId="53FDF1C5" w14:textId="77777777" w:rsidTr="3B6D706C">
        <w:trPr>
          <w:trHeight w:val="300"/>
        </w:trPr>
        <w:tc>
          <w:tcPr>
            <w:tcW w:w="1307" w:type="dxa"/>
            <w:tcBorders>
              <w:top w:val="single" w:sz="6" w:space="0" w:color="E6E6E6"/>
              <w:left w:val="single" w:sz="6" w:space="0" w:color="E6E6E6"/>
              <w:bottom w:val="single" w:sz="6" w:space="0" w:color="E6E6E6"/>
              <w:right w:val="single" w:sz="6" w:space="0" w:color="E6E6E6"/>
            </w:tcBorders>
            <w:vAlign w:val="center"/>
          </w:tcPr>
          <w:p w14:paraId="032D4524" w14:textId="4781545C"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Staff Voice</w:t>
            </w:r>
          </w:p>
        </w:tc>
        <w:tc>
          <w:tcPr>
            <w:tcW w:w="3747" w:type="dxa"/>
            <w:tcBorders>
              <w:top w:val="single" w:sz="6" w:space="0" w:color="E6E6E6"/>
              <w:left w:val="single" w:sz="6" w:space="0" w:color="E6E6E6"/>
              <w:bottom w:val="single" w:sz="6" w:space="0" w:color="E6E6E6"/>
              <w:right w:val="single" w:sz="6" w:space="0" w:color="E6E6E6"/>
            </w:tcBorders>
            <w:vAlign w:val="center"/>
          </w:tcPr>
          <w:p w14:paraId="12E48238" w14:textId="39FE40E4" w:rsidR="3B6D706C" w:rsidRDefault="3B6D706C" w:rsidP="00890A74">
            <w:pPr>
              <w:spacing w:after="0" w:line="300" w:lineRule="auto"/>
              <w:jc w:val="both"/>
            </w:pPr>
            <w:r w:rsidRPr="3B6D706C">
              <w:rPr>
                <w:rFonts w:ascii="Arial" w:eastAsia="Arial" w:hAnsi="Arial" w:cs="Arial"/>
                <w:sz w:val="16"/>
                <w:szCs w:val="16"/>
              </w:rPr>
              <w:t>Quarterly listening events and "You Said, We Did" feedback</w:t>
            </w:r>
            <w:r w:rsidR="04266DAF" w:rsidRPr="3B6D706C">
              <w:rPr>
                <w:rFonts w:ascii="Arial" w:eastAsia="Arial" w:hAnsi="Arial" w:cs="Arial"/>
                <w:sz w:val="16"/>
                <w:szCs w:val="16"/>
              </w:rPr>
              <w:t xml:space="preserve"> in line with feedback from staff survey, and other mechanisms in place for staff to speak up safely</w:t>
            </w:r>
          </w:p>
        </w:tc>
        <w:tc>
          <w:tcPr>
            <w:tcW w:w="1083" w:type="dxa"/>
            <w:tcBorders>
              <w:top w:val="single" w:sz="6" w:space="0" w:color="E6E6E6"/>
              <w:left w:val="single" w:sz="6" w:space="0" w:color="E6E6E6"/>
              <w:bottom w:val="single" w:sz="6" w:space="0" w:color="E6E6E6"/>
              <w:right w:val="single" w:sz="6" w:space="0" w:color="E6E6E6"/>
            </w:tcBorders>
            <w:vAlign w:val="center"/>
          </w:tcPr>
          <w:p w14:paraId="3771AFC7" w14:textId="23EAF935"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SMT</w:t>
            </w:r>
          </w:p>
        </w:tc>
        <w:tc>
          <w:tcPr>
            <w:tcW w:w="1005" w:type="dxa"/>
            <w:tcBorders>
              <w:top w:val="single" w:sz="6" w:space="0" w:color="E6E6E6"/>
              <w:left w:val="single" w:sz="6" w:space="0" w:color="E6E6E6"/>
              <w:bottom w:val="single" w:sz="6" w:space="0" w:color="E6E6E6"/>
              <w:right w:val="single" w:sz="6" w:space="0" w:color="E6E6E6"/>
            </w:tcBorders>
            <w:vAlign w:val="center"/>
          </w:tcPr>
          <w:p w14:paraId="5A580ACF" w14:textId="4E4B86E6"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Quarterly</w:t>
            </w:r>
          </w:p>
        </w:tc>
        <w:tc>
          <w:tcPr>
            <w:tcW w:w="1626" w:type="dxa"/>
            <w:tcBorders>
              <w:top w:val="single" w:sz="6" w:space="0" w:color="E6E6E6"/>
              <w:left w:val="single" w:sz="6" w:space="0" w:color="E6E6E6"/>
              <w:bottom w:val="single" w:sz="6" w:space="0" w:color="E6E6E6"/>
              <w:right w:val="single" w:sz="6" w:space="0" w:color="E6E6E6"/>
            </w:tcBorders>
            <w:vAlign w:val="center"/>
          </w:tcPr>
          <w:p w14:paraId="6E8EDCF6" w14:textId="1E61ADF1"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Improvement in engagement measures</w:t>
            </w:r>
          </w:p>
        </w:tc>
        <w:tc>
          <w:tcPr>
            <w:tcW w:w="248" w:type="dxa"/>
            <w:tcBorders>
              <w:top w:val="single" w:sz="6" w:space="0" w:color="E6E6E6"/>
              <w:left w:val="single" w:sz="6" w:space="0" w:color="E6E6E6"/>
              <w:bottom w:val="single" w:sz="6" w:space="0" w:color="E6E6E6"/>
              <w:right w:val="single" w:sz="6" w:space="0" w:color="E6E6E6"/>
            </w:tcBorders>
            <w:vAlign w:val="center"/>
          </w:tcPr>
          <w:p w14:paraId="7E712586" w14:textId="7CFFC7B5"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w:t>
            </w:r>
          </w:p>
        </w:tc>
      </w:tr>
      <w:tr w:rsidR="00D84966" w14:paraId="6825D180" w14:textId="77777777" w:rsidTr="3B6D706C">
        <w:trPr>
          <w:trHeight w:val="300"/>
        </w:trPr>
        <w:tc>
          <w:tcPr>
            <w:tcW w:w="1307" w:type="dxa"/>
            <w:tcBorders>
              <w:top w:val="single" w:sz="6" w:space="0" w:color="E6E6E6"/>
              <w:left w:val="single" w:sz="6" w:space="0" w:color="E6E6E6"/>
              <w:bottom w:val="single" w:sz="6" w:space="0" w:color="E6E6E6"/>
              <w:right w:val="single" w:sz="6" w:space="0" w:color="E6E6E6"/>
            </w:tcBorders>
            <w:vAlign w:val="center"/>
          </w:tcPr>
          <w:p w14:paraId="74512F88" w14:textId="5EDF89B5"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Recognition</w:t>
            </w:r>
          </w:p>
        </w:tc>
        <w:tc>
          <w:tcPr>
            <w:tcW w:w="3747" w:type="dxa"/>
            <w:tcBorders>
              <w:top w:val="single" w:sz="6" w:space="0" w:color="E6E6E6"/>
              <w:left w:val="single" w:sz="6" w:space="0" w:color="E6E6E6"/>
              <w:bottom w:val="single" w:sz="6" w:space="0" w:color="E6E6E6"/>
              <w:right w:val="single" w:sz="6" w:space="0" w:color="E6E6E6"/>
            </w:tcBorders>
            <w:vAlign w:val="center"/>
          </w:tcPr>
          <w:p w14:paraId="43354B39" w14:textId="39224690" w:rsidR="1CB810DE" w:rsidRDefault="1CB810DE"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 xml:space="preserve">Continue with monthly recognition videos and consider </w:t>
            </w:r>
            <w:r w:rsidR="3B6D706C" w:rsidRPr="3B6D706C">
              <w:rPr>
                <w:rFonts w:ascii="Arial" w:eastAsia="Arial" w:hAnsi="Arial" w:cs="Arial"/>
                <w:sz w:val="16"/>
                <w:szCs w:val="16"/>
              </w:rPr>
              <w:t>ntroduc</w:t>
            </w:r>
            <w:r w:rsidR="3972BC0F" w:rsidRPr="3B6D706C">
              <w:rPr>
                <w:rFonts w:ascii="Arial" w:eastAsia="Arial" w:hAnsi="Arial" w:cs="Arial"/>
                <w:sz w:val="16"/>
                <w:szCs w:val="16"/>
              </w:rPr>
              <w:t>ing</w:t>
            </w:r>
            <w:r w:rsidR="3B6D706C" w:rsidRPr="3B6D706C">
              <w:rPr>
                <w:rFonts w:ascii="Arial" w:eastAsia="Arial" w:hAnsi="Arial" w:cs="Arial"/>
                <w:sz w:val="16"/>
                <w:szCs w:val="16"/>
              </w:rPr>
              <w:t xml:space="preserve"> quarterly staff recognition programme</w:t>
            </w:r>
          </w:p>
        </w:tc>
        <w:tc>
          <w:tcPr>
            <w:tcW w:w="1083" w:type="dxa"/>
            <w:tcBorders>
              <w:top w:val="single" w:sz="6" w:space="0" w:color="E6E6E6"/>
              <w:left w:val="single" w:sz="6" w:space="0" w:color="E6E6E6"/>
              <w:bottom w:val="single" w:sz="6" w:space="0" w:color="E6E6E6"/>
              <w:right w:val="single" w:sz="6" w:space="0" w:color="E6E6E6"/>
            </w:tcBorders>
            <w:vAlign w:val="center"/>
          </w:tcPr>
          <w:p w14:paraId="7D9128D7" w14:textId="21376465"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Directorate Teams</w:t>
            </w:r>
          </w:p>
        </w:tc>
        <w:tc>
          <w:tcPr>
            <w:tcW w:w="1005" w:type="dxa"/>
            <w:tcBorders>
              <w:top w:val="single" w:sz="6" w:space="0" w:color="E6E6E6"/>
              <w:left w:val="single" w:sz="6" w:space="0" w:color="E6E6E6"/>
              <w:bottom w:val="single" w:sz="6" w:space="0" w:color="E6E6E6"/>
              <w:right w:val="single" w:sz="6" w:space="0" w:color="E6E6E6"/>
            </w:tcBorders>
            <w:vAlign w:val="center"/>
          </w:tcPr>
          <w:p w14:paraId="0F76A4C0" w14:textId="26663C3D"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Jan 2027</w:t>
            </w:r>
          </w:p>
        </w:tc>
        <w:tc>
          <w:tcPr>
            <w:tcW w:w="1626" w:type="dxa"/>
            <w:tcBorders>
              <w:top w:val="single" w:sz="6" w:space="0" w:color="E6E6E6"/>
              <w:left w:val="single" w:sz="6" w:space="0" w:color="E6E6E6"/>
              <w:bottom w:val="single" w:sz="6" w:space="0" w:color="E6E6E6"/>
              <w:right w:val="single" w:sz="6" w:space="0" w:color="E6E6E6"/>
            </w:tcBorders>
            <w:vAlign w:val="center"/>
          </w:tcPr>
          <w:p w14:paraId="4505ED24" w14:textId="3F241A05"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Positive staff feedback</w:t>
            </w:r>
          </w:p>
        </w:tc>
        <w:tc>
          <w:tcPr>
            <w:tcW w:w="248" w:type="dxa"/>
            <w:tcBorders>
              <w:top w:val="single" w:sz="6" w:space="0" w:color="E6E6E6"/>
              <w:left w:val="single" w:sz="6" w:space="0" w:color="E6E6E6"/>
              <w:bottom w:val="single" w:sz="6" w:space="0" w:color="E6E6E6"/>
              <w:right w:val="single" w:sz="6" w:space="0" w:color="E6E6E6"/>
            </w:tcBorders>
            <w:vAlign w:val="center"/>
          </w:tcPr>
          <w:p w14:paraId="5D87A73C" w14:textId="385461AF"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w:t>
            </w:r>
          </w:p>
        </w:tc>
      </w:tr>
    </w:tbl>
    <w:p w14:paraId="418E2D55" w14:textId="0477F00F" w:rsidR="0082514C" w:rsidRDefault="6942CEA7" w:rsidP="00890A74">
      <w:pPr>
        <w:pStyle w:val="Heading1"/>
        <w:spacing w:before="281" w:after="281" w:line="300" w:lineRule="auto"/>
        <w:jc w:val="both"/>
      </w:pPr>
      <w:r w:rsidRPr="3B6D706C">
        <w:rPr>
          <w:rFonts w:ascii="Arial" w:eastAsia="Arial" w:hAnsi="Arial" w:cs="Arial"/>
          <w:b/>
          <w:bCs/>
          <w:sz w:val="24"/>
          <w:szCs w:val="24"/>
        </w:rPr>
        <w:t>Key Performance Indicators</w:t>
      </w:r>
    </w:p>
    <w:p w14:paraId="7B17FE7A" w14:textId="1DD0F163" w:rsidR="0082514C" w:rsidRDefault="6942CEA7" w:rsidP="00890A74">
      <w:pPr>
        <w:pStyle w:val="Heading1"/>
        <w:spacing w:before="281" w:after="281" w:line="300" w:lineRule="auto"/>
        <w:jc w:val="both"/>
        <w:rPr>
          <w:rFonts w:ascii="Arial" w:eastAsia="Arial" w:hAnsi="Arial" w:cs="Arial"/>
          <w:sz w:val="24"/>
          <w:szCs w:val="24"/>
        </w:rPr>
      </w:pPr>
      <w:r w:rsidRPr="3B6D706C">
        <w:rPr>
          <w:rFonts w:ascii="Arial" w:eastAsia="Arial" w:hAnsi="Arial" w:cs="Arial"/>
          <w:sz w:val="24"/>
          <w:szCs w:val="24"/>
        </w:rPr>
        <w:t>The following indicators will be monitored quarterly:</w:t>
      </w:r>
    </w:p>
    <w:p w14:paraId="6C7A1722" w14:textId="77777777" w:rsidR="00D84966" w:rsidRPr="00D84966" w:rsidRDefault="00D84966" w:rsidP="00D84966"/>
    <w:tbl>
      <w:tblPr>
        <w:tblW w:w="0" w:type="auto"/>
        <w:tblLook w:val="06A0" w:firstRow="1" w:lastRow="0" w:firstColumn="1" w:lastColumn="0" w:noHBand="1" w:noVBand="1"/>
      </w:tblPr>
      <w:tblGrid>
        <w:gridCol w:w="3744"/>
        <w:gridCol w:w="2737"/>
      </w:tblGrid>
      <w:tr w:rsidR="3B6D706C" w14:paraId="01CB85EB" w14:textId="77777777" w:rsidTr="3B6D706C">
        <w:trPr>
          <w:trHeight w:val="300"/>
        </w:trPr>
        <w:tc>
          <w:tcPr>
            <w:tcW w:w="3744"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66C15EF2" w14:textId="45618A2E" w:rsidR="3B6D706C" w:rsidRDefault="3B6D706C" w:rsidP="00890A74">
            <w:pPr>
              <w:spacing w:after="0" w:line="300" w:lineRule="auto"/>
              <w:jc w:val="both"/>
              <w:rPr>
                <w:rFonts w:ascii="Arial" w:eastAsia="Arial" w:hAnsi="Arial" w:cs="Arial"/>
                <w:b/>
                <w:bCs/>
                <w:sz w:val="16"/>
                <w:szCs w:val="16"/>
              </w:rPr>
            </w:pPr>
            <w:r w:rsidRPr="3B6D706C">
              <w:rPr>
                <w:rFonts w:ascii="Arial" w:eastAsia="Arial" w:hAnsi="Arial" w:cs="Arial"/>
                <w:b/>
                <w:bCs/>
                <w:sz w:val="16"/>
                <w:szCs w:val="16"/>
              </w:rPr>
              <w:lastRenderedPageBreak/>
              <w:t>Indicator</w:t>
            </w:r>
          </w:p>
        </w:tc>
        <w:tc>
          <w:tcPr>
            <w:tcW w:w="2737"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4C1CFBB9" w14:textId="3F54AF93" w:rsidR="3B6D706C" w:rsidRDefault="3B6D706C" w:rsidP="00890A74">
            <w:pPr>
              <w:spacing w:after="0" w:line="300" w:lineRule="auto"/>
              <w:jc w:val="both"/>
              <w:rPr>
                <w:rFonts w:ascii="Arial" w:eastAsia="Arial" w:hAnsi="Arial" w:cs="Arial"/>
                <w:b/>
                <w:bCs/>
                <w:sz w:val="16"/>
                <w:szCs w:val="16"/>
              </w:rPr>
            </w:pPr>
            <w:r w:rsidRPr="3B6D706C">
              <w:rPr>
                <w:rFonts w:ascii="Arial" w:eastAsia="Arial" w:hAnsi="Arial" w:cs="Arial"/>
                <w:b/>
                <w:bCs/>
                <w:sz w:val="16"/>
                <w:szCs w:val="16"/>
              </w:rPr>
              <w:t>Target</w:t>
            </w:r>
          </w:p>
        </w:tc>
      </w:tr>
      <w:tr w:rsidR="3B6D706C" w14:paraId="5BFB6FD8" w14:textId="77777777" w:rsidTr="3B6D706C">
        <w:trPr>
          <w:trHeight w:val="300"/>
        </w:trPr>
        <w:tc>
          <w:tcPr>
            <w:tcW w:w="3744" w:type="dxa"/>
            <w:tcBorders>
              <w:top w:val="single" w:sz="6" w:space="0" w:color="E6E6E6"/>
              <w:left w:val="single" w:sz="6" w:space="0" w:color="E6E6E6"/>
              <w:bottom w:val="single" w:sz="6" w:space="0" w:color="E6E6E6"/>
              <w:right w:val="single" w:sz="6" w:space="0" w:color="E6E6E6"/>
            </w:tcBorders>
            <w:vAlign w:val="center"/>
          </w:tcPr>
          <w:p w14:paraId="69979B0C" w14:textId="0BBB7327"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Sickness Absence Rate</w:t>
            </w:r>
          </w:p>
        </w:tc>
        <w:tc>
          <w:tcPr>
            <w:tcW w:w="2737" w:type="dxa"/>
            <w:tcBorders>
              <w:top w:val="single" w:sz="6" w:space="0" w:color="E6E6E6"/>
              <w:left w:val="single" w:sz="6" w:space="0" w:color="E6E6E6"/>
              <w:bottom w:val="single" w:sz="6" w:space="0" w:color="E6E6E6"/>
              <w:right w:val="single" w:sz="6" w:space="0" w:color="E6E6E6"/>
            </w:tcBorders>
            <w:vAlign w:val="center"/>
          </w:tcPr>
          <w:p w14:paraId="53C84A7F" w14:textId="7904D7FD"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Year-on-year reduction</w:t>
            </w:r>
          </w:p>
        </w:tc>
      </w:tr>
      <w:tr w:rsidR="3B6D706C" w14:paraId="2D2334CD" w14:textId="77777777" w:rsidTr="3B6D706C">
        <w:trPr>
          <w:trHeight w:val="300"/>
        </w:trPr>
        <w:tc>
          <w:tcPr>
            <w:tcW w:w="3744" w:type="dxa"/>
            <w:tcBorders>
              <w:top w:val="single" w:sz="6" w:space="0" w:color="E6E6E6"/>
              <w:left w:val="single" w:sz="6" w:space="0" w:color="E6E6E6"/>
              <w:bottom w:val="single" w:sz="6" w:space="0" w:color="E6E6E6"/>
              <w:right w:val="single" w:sz="6" w:space="0" w:color="E6E6E6"/>
            </w:tcBorders>
            <w:vAlign w:val="center"/>
          </w:tcPr>
          <w:p w14:paraId="43DD1727" w14:textId="37DAC37B"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Stress Related Absence</w:t>
            </w:r>
          </w:p>
        </w:tc>
        <w:tc>
          <w:tcPr>
            <w:tcW w:w="2737" w:type="dxa"/>
            <w:tcBorders>
              <w:top w:val="single" w:sz="6" w:space="0" w:color="E6E6E6"/>
              <w:left w:val="single" w:sz="6" w:space="0" w:color="E6E6E6"/>
              <w:bottom w:val="single" w:sz="6" w:space="0" w:color="E6E6E6"/>
              <w:right w:val="single" w:sz="6" w:space="0" w:color="E6E6E6"/>
            </w:tcBorders>
            <w:vAlign w:val="center"/>
          </w:tcPr>
          <w:p w14:paraId="2950E355" w14:textId="31FE276E"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Year-on-year reduction</w:t>
            </w:r>
          </w:p>
        </w:tc>
      </w:tr>
      <w:tr w:rsidR="3B6D706C" w14:paraId="650A30F7" w14:textId="77777777" w:rsidTr="3B6D706C">
        <w:trPr>
          <w:trHeight w:val="300"/>
        </w:trPr>
        <w:tc>
          <w:tcPr>
            <w:tcW w:w="3744" w:type="dxa"/>
            <w:tcBorders>
              <w:top w:val="single" w:sz="6" w:space="0" w:color="E6E6E6"/>
              <w:left w:val="single" w:sz="6" w:space="0" w:color="E6E6E6"/>
              <w:bottom w:val="single" w:sz="6" w:space="0" w:color="E6E6E6"/>
              <w:right w:val="single" w:sz="6" w:space="0" w:color="E6E6E6"/>
            </w:tcBorders>
            <w:vAlign w:val="center"/>
          </w:tcPr>
          <w:p w14:paraId="2B6F1B9C" w14:textId="7067CC97"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Staff Turnover</w:t>
            </w:r>
          </w:p>
        </w:tc>
        <w:tc>
          <w:tcPr>
            <w:tcW w:w="2737" w:type="dxa"/>
            <w:tcBorders>
              <w:top w:val="single" w:sz="6" w:space="0" w:color="E6E6E6"/>
              <w:left w:val="single" w:sz="6" w:space="0" w:color="E6E6E6"/>
              <w:bottom w:val="single" w:sz="6" w:space="0" w:color="E6E6E6"/>
              <w:right w:val="single" w:sz="6" w:space="0" w:color="E6E6E6"/>
            </w:tcBorders>
            <w:vAlign w:val="center"/>
          </w:tcPr>
          <w:p w14:paraId="019A3D14" w14:textId="0F0589F9"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Reduction</w:t>
            </w:r>
          </w:p>
        </w:tc>
      </w:tr>
      <w:tr w:rsidR="3B6D706C" w14:paraId="5D760CC3" w14:textId="77777777" w:rsidTr="3B6D706C">
        <w:trPr>
          <w:trHeight w:val="300"/>
        </w:trPr>
        <w:tc>
          <w:tcPr>
            <w:tcW w:w="3744" w:type="dxa"/>
            <w:tcBorders>
              <w:top w:val="single" w:sz="6" w:space="0" w:color="E6E6E6"/>
              <w:left w:val="single" w:sz="6" w:space="0" w:color="E6E6E6"/>
              <w:bottom w:val="single" w:sz="6" w:space="0" w:color="E6E6E6"/>
              <w:right w:val="single" w:sz="6" w:space="0" w:color="E6E6E6"/>
            </w:tcBorders>
            <w:vAlign w:val="center"/>
          </w:tcPr>
          <w:p w14:paraId="22C6A1A4" w14:textId="526EC162"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Vacancy Rate</w:t>
            </w:r>
          </w:p>
        </w:tc>
        <w:tc>
          <w:tcPr>
            <w:tcW w:w="2737" w:type="dxa"/>
            <w:tcBorders>
              <w:top w:val="single" w:sz="6" w:space="0" w:color="E6E6E6"/>
              <w:left w:val="single" w:sz="6" w:space="0" w:color="E6E6E6"/>
              <w:bottom w:val="single" w:sz="6" w:space="0" w:color="E6E6E6"/>
              <w:right w:val="single" w:sz="6" w:space="0" w:color="E6E6E6"/>
            </w:tcBorders>
            <w:vAlign w:val="center"/>
          </w:tcPr>
          <w:p w14:paraId="59E23D36" w14:textId="339DF4FC"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Reduction</w:t>
            </w:r>
          </w:p>
        </w:tc>
      </w:tr>
      <w:tr w:rsidR="3B6D706C" w14:paraId="7A0351E1" w14:textId="77777777" w:rsidTr="3B6D706C">
        <w:trPr>
          <w:trHeight w:val="300"/>
        </w:trPr>
        <w:tc>
          <w:tcPr>
            <w:tcW w:w="3744" w:type="dxa"/>
            <w:tcBorders>
              <w:top w:val="single" w:sz="6" w:space="0" w:color="E6E6E6"/>
              <w:left w:val="single" w:sz="6" w:space="0" w:color="E6E6E6"/>
              <w:bottom w:val="single" w:sz="6" w:space="0" w:color="E6E6E6"/>
              <w:right w:val="single" w:sz="6" w:space="0" w:color="E6E6E6"/>
            </w:tcBorders>
            <w:vAlign w:val="center"/>
          </w:tcPr>
          <w:p w14:paraId="50B33653" w14:textId="190FD2E1"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Staff Survey Measures</w:t>
            </w:r>
          </w:p>
        </w:tc>
        <w:tc>
          <w:tcPr>
            <w:tcW w:w="2737" w:type="dxa"/>
            <w:tcBorders>
              <w:top w:val="single" w:sz="6" w:space="0" w:color="E6E6E6"/>
              <w:left w:val="single" w:sz="6" w:space="0" w:color="E6E6E6"/>
              <w:bottom w:val="single" w:sz="6" w:space="0" w:color="E6E6E6"/>
              <w:right w:val="single" w:sz="6" w:space="0" w:color="E6E6E6"/>
            </w:tcBorders>
            <w:vAlign w:val="center"/>
          </w:tcPr>
          <w:p w14:paraId="1C6FEE42" w14:textId="2EA6AD56"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Improvement</w:t>
            </w:r>
          </w:p>
        </w:tc>
      </w:tr>
      <w:tr w:rsidR="3B6D706C" w14:paraId="7AEB1D96" w14:textId="77777777" w:rsidTr="3B6D706C">
        <w:trPr>
          <w:trHeight w:val="300"/>
        </w:trPr>
        <w:tc>
          <w:tcPr>
            <w:tcW w:w="3744" w:type="dxa"/>
            <w:tcBorders>
              <w:top w:val="single" w:sz="6" w:space="0" w:color="E6E6E6"/>
              <w:left w:val="single" w:sz="6" w:space="0" w:color="E6E6E6"/>
              <w:bottom w:val="single" w:sz="6" w:space="0" w:color="E6E6E6"/>
              <w:right w:val="single" w:sz="6" w:space="0" w:color="E6E6E6"/>
            </w:tcBorders>
            <w:vAlign w:val="center"/>
          </w:tcPr>
          <w:p w14:paraId="7D2637E0" w14:textId="77B8B705"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Health Check Participation</w:t>
            </w:r>
          </w:p>
        </w:tc>
        <w:tc>
          <w:tcPr>
            <w:tcW w:w="2737" w:type="dxa"/>
            <w:tcBorders>
              <w:top w:val="single" w:sz="6" w:space="0" w:color="E6E6E6"/>
              <w:left w:val="single" w:sz="6" w:space="0" w:color="E6E6E6"/>
              <w:bottom w:val="single" w:sz="6" w:space="0" w:color="E6E6E6"/>
              <w:right w:val="single" w:sz="6" w:space="0" w:color="E6E6E6"/>
            </w:tcBorders>
            <w:vAlign w:val="center"/>
          </w:tcPr>
          <w:p w14:paraId="14AAB36D" w14:textId="01AC04EC"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Increase</w:t>
            </w:r>
          </w:p>
        </w:tc>
      </w:tr>
      <w:tr w:rsidR="3B6D706C" w14:paraId="7042E7A9" w14:textId="77777777" w:rsidTr="3B6D706C">
        <w:trPr>
          <w:trHeight w:val="300"/>
        </w:trPr>
        <w:tc>
          <w:tcPr>
            <w:tcW w:w="3744" w:type="dxa"/>
            <w:tcBorders>
              <w:top w:val="single" w:sz="6" w:space="0" w:color="E6E6E6"/>
              <w:left w:val="single" w:sz="6" w:space="0" w:color="E6E6E6"/>
              <w:bottom w:val="single" w:sz="6" w:space="0" w:color="E6E6E6"/>
              <w:right w:val="single" w:sz="6" w:space="0" w:color="E6E6E6"/>
            </w:tcBorders>
            <w:vAlign w:val="center"/>
          </w:tcPr>
          <w:p w14:paraId="7BDE5094" w14:textId="6CB458A0"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Wellbeing Champion Coverage</w:t>
            </w:r>
          </w:p>
        </w:tc>
        <w:tc>
          <w:tcPr>
            <w:tcW w:w="2737" w:type="dxa"/>
            <w:tcBorders>
              <w:top w:val="single" w:sz="6" w:space="0" w:color="E6E6E6"/>
              <w:left w:val="single" w:sz="6" w:space="0" w:color="E6E6E6"/>
              <w:bottom w:val="single" w:sz="6" w:space="0" w:color="E6E6E6"/>
              <w:right w:val="single" w:sz="6" w:space="0" w:color="E6E6E6"/>
            </w:tcBorders>
            <w:vAlign w:val="center"/>
          </w:tcPr>
          <w:p w14:paraId="6D0FB571" w14:textId="0751D119"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100%</w:t>
            </w:r>
          </w:p>
        </w:tc>
      </w:tr>
      <w:tr w:rsidR="3B6D706C" w14:paraId="489C8C2E" w14:textId="77777777" w:rsidTr="3B6D706C">
        <w:trPr>
          <w:trHeight w:val="300"/>
        </w:trPr>
        <w:tc>
          <w:tcPr>
            <w:tcW w:w="3744" w:type="dxa"/>
            <w:tcBorders>
              <w:top w:val="single" w:sz="6" w:space="0" w:color="E6E6E6"/>
              <w:left w:val="single" w:sz="6" w:space="0" w:color="E6E6E6"/>
              <w:bottom w:val="single" w:sz="6" w:space="0" w:color="E6E6E6"/>
              <w:right w:val="single" w:sz="6" w:space="0" w:color="E6E6E6"/>
            </w:tcBorders>
            <w:vAlign w:val="center"/>
          </w:tcPr>
          <w:p w14:paraId="62A348D6" w14:textId="0DB1A7EA"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Health Passport Utilisation</w:t>
            </w:r>
          </w:p>
        </w:tc>
        <w:tc>
          <w:tcPr>
            <w:tcW w:w="2737" w:type="dxa"/>
            <w:tcBorders>
              <w:top w:val="single" w:sz="6" w:space="0" w:color="E6E6E6"/>
              <w:left w:val="single" w:sz="6" w:space="0" w:color="E6E6E6"/>
              <w:bottom w:val="single" w:sz="6" w:space="0" w:color="E6E6E6"/>
              <w:right w:val="single" w:sz="6" w:space="0" w:color="E6E6E6"/>
            </w:tcBorders>
            <w:vAlign w:val="center"/>
          </w:tcPr>
          <w:p w14:paraId="39D1B42D" w14:textId="561ED35B"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Increase</w:t>
            </w:r>
          </w:p>
        </w:tc>
      </w:tr>
      <w:tr w:rsidR="3B6D706C" w14:paraId="3540DDAD" w14:textId="77777777" w:rsidTr="3B6D706C">
        <w:trPr>
          <w:trHeight w:val="300"/>
        </w:trPr>
        <w:tc>
          <w:tcPr>
            <w:tcW w:w="3744" w:type="dxa"/>
            <w:tcBorders>
              <w:top w:val="single" w:sz="6" w:space="0" w:color="E6E6E6"/>
              <w:left w:val="single" w:sz="6" w:space="0" w:color="E6E6E6"/>
              <w:bottom w:val="single" w:sz="6" w:space="0" w:color="E6E6E6"/>
              <w:right w:val="single" w:sz="6" w:space="0" w:color="E6E6E6"/>
            </w:tcBorders>
            <w:vAlign w:val="center"/>
          </w:tcPr>
          <w:p w14:paraId="010999F2" w14:textId="36E84FD8"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Staff Engagement Measures</w:t>
            </w:r>
          </w:p>
        </w:tc>
        <w:tc>
          <w:tcPr>
            <w:tcW w:w="2737" w:type="dxa"/>
            <w:tcBorders>
              <w:top w:val="single" w:sz="6" w:space="0" w:color="E6E6E6"/>
              <w:left w:val="single" w:sz="6" w:space="0" w:color="E6E6E6"/>
              <w:bottom w:val="single" w:sz="6" w:space="0" w:color="E6E6E6"/>
              <w:right w:val="single" w:sz="6" w:space="0" w:color="E6E6E6"/>
            </w:tcBorders>
            <w:vAlign w:val="center"/>
          </w:tcPr>
          <w:p w14:paraId="65C65C56" w14:textId="6DB8813B"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Improvement</w:t>
            </w:r>
          </w:p>
        </w:tc>
      </w:tr>
    </w:tbl>
    <w:p w14:paraId="6F6F58F3" w14:textId="76CEBA67" w:rsidR="0082514C" w:rsidRDefault="6942CEA7" w:rsidP="00890A74">
      <w:pPr>
        <w:pStyle w:val="Heading1"/>
        <w:spacing w:before="281" w:after="281" w:line="300" w:lineRule="auto"/>
        <w:jc w:val="both"/>
        <w:rPr>
          <w:rFonts w:ascii="Arial" w:eastAsia="Arial" w:hAnsi="Arial" w:cs="Arial"/>
          <w:b/>
          <w:bCs/>
          <w:sz w:val="24"/>
          <w:szCs w:val="24"/>
        </w:rPr>
      </w:pPr>
      <w:r w:rsidRPr="3B6D706C">
        <w:rPr>
          <w:rFonts w:ascii="Arial" w:eastAsia="Arial" w:hAnsi="Arial" w:cs="Arial"/>
          <w:b/>
          <w:bCs/>
          <w:sz w:val="24"/>
          <w:szCs w:val="24"/>
        </w:rPr>
        <w:t>Risks</w:t>
      </w:r>
    </w:p>
    <w:tbl>
      <w:tblPr>
        <w:tblW w:w="0" w:type="auto"/>
        <w:tblLook w:val="06A0" w:firstRow="1" w:lastRow="0" w:firstColumn="1" w:lastColumn="0" w:noHBand="1" w:noVBand="1"/>
      </w:tblPr>
      <w:tblGrid>
        <w:gridCol w:w="4660"/>
        <w:gridCol w:w="4350"/>
      </w:tblGrid>
      <w:tr w:rsidR="3B6D706C" w14:paraId="34DD1EDF" w14:textId="77777777" w:rsidTr="3B6D706C">
        <w:trPr>
          <w:trHeight w:val="300"/>
        </w:trPr>
        <w:tc>
          <w:tcPr>
            <w:tcW w:w="4663"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13D1F9C" w14:textId="78229922" w:rsidR="3B6D706C" w:rsidRDefault="3B6D706C" w:rsidP="00890A74">
            <w:pPr>
              <w:spacing w:after="0" w:line="300" w:lineRule="auto"/>
              <w:jc w:val="both"/>
              <w:rPr>
                <w:rFonts w:ascii="Arial" w:eastAsia="Arial" w:hAnsi="Arial" w:cs="Arial"/>
                <w:b/>
                <w:bCs/>
                <w:sz w:val="16"/>
                <w:szCs w:val="16"/>
              </w:rPr>
            </w:pPr>
            <w:r w:rsidRPr="3B6D706C">
              <w:rPr>
                <w:rFonts w:ascii="Arial" w:eastAsia="Arial" w:hAnsi="Arial" w:cs="Arial"/>
                <w:b/>
                <w:bCs/>
                <w:sz w:val="16"/>
                <w:szCs w:val="16"/>
              </w:rPr>
              <w:t>Risk</w:t>
            </w:r>
          </w:p>
        </w:tc>
        <w:tc>
          <w:tcPr>
            <w:tcW w:w="4352"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086039C" w14:textId="79CA5779" w:rsidR="3B6D706C" w:rsidRDefault="3B6D706C" w:rsidP="00890A74">
            <w:pPr>
              <w:spacing w:after="0" w:line="300" w:lineRule="auto"/>
              <w:jc w:val="both"/>
              <w:rPr>
                <w:rFonts w:ascii="Arial" w:eastAsia="Arial" w:hAnsi="Arial" w:cs="Arial"/>
                <w:b/>
                <w:bCs/>
                <w:sz w:val="16"/>
                <w:szCs w:val="16"/>
              </w:rPr>
            </w:pPr>
            <w:r w:rsidRPr="3B6D706C">
              <w:rPr>
                <w:rFonts w:ascii="Arial" w:eastAsia="Arial" w:hAnsi="Arial" w:cs="Arial"/>
                <w:b/>
                <w:bCs/>
                <w:sz w:val="16"/>
                <w:szCs w:val="16"/>
              </w:rPr>
              <w:t>Mitigation</w:t>
            </w:r>
          </w:p>
        </w:tc>
      </w:tr>
      <w:tr w:rsidR="3B6D706C" w14:paraId="78BA96F1" w14:textId="77777777" w:rsidTr="3B6D706C">
        <w:trPr>
          <w:trHeight w:val="300"/>
        </w:trPr>
        <w:tc>
          <w:tcPr>
            <w:tcW w:w="4663" w:type="dxa"/>
            <w:tcBorders>
              <w:top w:val="single" w:sz="6" w:space="0" w:color="E6E6E6"/>
              <w:left w:val="single" w:sz="6" w:space="0" w:color="E6E6E6"/>
              <w:bottom w:val="single" w:sz="6" w:space="0" w:color="E6E6E6"/>
              <w:right w:val="single" w:sz="6" w:space="0" w:color="E6E6E6"/>
            </w:tcBorders>
            <w:vAlign w:val="center"/>
          </w:tcPr>
          <w:p w14:paraId="0829A144" w14:textId="00FBD76F"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Limited staff engagement</w:t>
            </w:r>
          </w:p>
        </w:tc>
        <w:tc>
          <w:tcPr>
            <w:tcW w:w="4352" w:type="dxa"/>
            <w:tcBorders>
              <w:top w:val="single" w:sz="6" w:space="0" w:color="E6E6E6"/>
              <w:left w:val="single" w:sz="6" w:space="0" w:color="E6E6E6"/>
              <w:bottom w:val="single" w:sz="6" w:space="0" w:color="E6E6E6"/>
              <w:right w:val="single" w:sz="6" w:space="0" w:color="E6E6E6"/>
            </w:tcBorders>
            <w:vAlign w:val="center"/>
          </w:tcPr>
          <w:p w14:paraId="6BADC092" w14:textId="1CDB1A54"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 xml:space="preserve">Strong communication </w:t>
            </w:r>
            <w:r w:rsidR="433C8D98" w:rsidRPr="3B6D706C">
              <w:rPr>
                <w:rFonts w:ascii="Arial" w:eastAsia="Arial" w:hAnsi="Arial" w:cs="Arial"/>
                <w:sz w:val="16"/>
                <w:szCs w:val="16"/>
              </w:rPr>
              <w:t xml:space="preserve">(social media, service group email, communication strategy </w:t>
            </w:r>
            <w:r w:rsidRPr="3B6D706C">
              <w:rPr>
                <w:rFonts w:ascii="Arial" w:eastAsia="Arial" w:hAnsi="Arial" w:cs="Arial"/>
                <w:sz w:val="16"/>
                <w:szCs w:val="16"/>
              </w:rPr>
              <w:t>and leadership support</w:t>
            </w:r>
          </w:p>
        </w:tc>
      </w:tr>
      <w:tr w:rsidR="3B6D706C" w14:paraId="534344D4" w14:textId="77777777" w:rsidTr="3B6D706C">
        <w:trPr>
          <w:trHeight w:val="300"/>
        </w:trPr>
        <w:tc>
          <w:tcPr>
            <w:tcW w:w="4663" w:type="dxa"/>
            <w:tcBorders>
              <w:top w:val="single" w:sz="6" w:space="0" w:color="E6E6E6"/>
              <w:left w:val="single" w:sz="6" w:space="0" w:color="E6E6E6"/>
              <w:bottom w:val="single" w:sz="6" w:space="0" w:color="E6E6E6"/>
              <w:right w:val="single" w:sz="6" w:space="0" w:color="E6E6E6"/>
            </w:tcBorders>
            <w:vAlign w:val="center"/>
          </w:tcPr>
          <w:p w14:paraId="3FB7A042" w14:textId="207FD3E0"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Operational pressures affecting attendance at wellbeing activities</w:t>
            </w:r>
          </w:p>
        </w:tc>
        <w:tc>
          <w:tcPr>
            <w:tcW w:w="4352" w:type="dxa"/>
            <w:tcBorders>
              <w:top w:val="single" w:sz="6" w:space="0" w:color="E6E6E6"/>
              <w:left w:val="single" w:sz="6" w:space="0" w:color="E6E6E6"/>
              <w:bottom w:val="single" w:sz="6" w:space="0" w:color="E6E6E6"/>
              <w:right w:val="single" w:sz="6" w:space="0" w:color="E6E6E6"/>
            </w:tcBorders>
            <w:vAlign w:val="center"/>
          </w:tcPr>
          <w:p w14:paraId="12C30596" w14:textId="33A95A1D"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Flexible delivery methods and protected time where possible</w:t>
            </w:r>
          </w:p>
        </w:tc>
      </w:tr>
      <w:tr w:rsidR="3B6D706C" w14:paraId="3F8F65B4" w14:textId="77777777" w:rsidTr="3B6D706C">
        <w:trPr>
          <w:trHeight w:val="300"/>
        </w:trPr>
        <w:tc>
          <w:tcPr>
            <w:tcW w:w="4663" w:type="dxa"/>
            <w:tcBorders>
              <w:top w:val="single" w:sz="6" w:space="0" w:color="E6E6E6"/>
              <w:left w:val="single" w:sz="6" w:space="0" w:color="E6E6E6"/>
              <w:bottom w:val="single" w:sz="6" w:space="0" w:color="E6E6E6"/>
              <w:right w:val="single" w:sz="6" w:space="0" w:color="E6E6E6"/>
            </w:tcBorders>
            <w:vAlign w:val="center"/>
          </w:tcPr>
          <w:p w14:paraId="441885BD" w14:textId="6DCFA861"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Variable implementation across Directorates</w:t>
            </w:r>
          </w:p>
        </w:tc>
        <w:tc>
          <w:tcPr>
            <w:tcW w:w="4352" w:type="dxa"/>
            <w:tcBorders>
              <w:top w:val="single" w:sz="6" w:space="0" w:color="E6E6E6"/>
              <w:left w:val="single" w:sz="6" w:space="0" w:color="E6E6E6"/>
              <w:bottom w:val="single" w:sz="6" w:space="0" w:color="E6E6E6"/>
              <w:right w:val="single" w:sz="6" w:space="0" w:color="E6E6E6"/>
            </w:tcBorders>
            <w:vAlign w:val="center"/>
          </w:tcPr>
          <w:p w14:paraId="227FC8DC" w14:textId="4416B0FB"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Quarterly SMT monitoring and accountability</w:t>
            </w:r>
          </w:p>
        </w:tc>
      </w:tr>
      <w:tr w:rsidR="3B6D706C" w14:paraId="7F303D63" w14:textId="77777777" w:rsidTr="3B6D706C">
        <w:trPr>
          <w:trHeight w:val="300"/>
        </w:trPr>
        <w:tc>
          <w:tcPr>
            <w:tcW w:w="4663" w:type="dxa"/>
            <w:tcBorders>
              <w:top w:val="single" w:sz="6" w:space="0" w:color="E6E6E6"/>
              <w:left w:val="single" w:sz="6" w:space="0" w:color="E6E6E6"/>
              <w:bottom w:val="single" w:sz="6" w:space="0" w:color="E6E6E6"/>
              <w:right w:val="single" w:sz="6" w:space="0" w:color="E6E6E6"/>
            </w:tcBorders>
            <w:vAlign w:val="center"/>
          </w:tcPr>
          <w:p w14:paraId="4D390BB5" w14:textId="088163D7"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Sustained workforce pressures affecting wellbeing</w:t>
            </w:r>
          </w:p>
        </w:tc>
        <w:tc>
          <w:tcPr>
            <w:tcW w:w="4352" w:type="dxa"/>
            <w:tcBorders>
              <w:top w:val="single" w:sz="6" w:space="0" w:color="E6E6E6"/>
              <w:left w:val="single" w:sz="6" w:space="0" w:color="E6E6E6"/>
              <w:bottom w:val="single" w:sz="6" w:space="0" w:color="E6E6E6"/>
              <w:right w:val="single" w:sz="6" w:space="0" w:color="E6E6E6"/>
            </w:tcBorders>
            <w:vAlign w:val="center"/>
          </w:tcPr>
          <w:p w14:paraId="336EF67A" w14:textId="0822AA8E" w:rsidR="3B6D706C" w:rsidRDefault="3B6D706C" w:rsidP="00890A74">
            <w:pPr>
              <w:spacing w:after="0" w:line="300" w:lineRule="auto"/>
              <w:jc w:val="both"/>
              <w:rPr>
                <w:rFonts w:ascii="Arial" w:eastAsia="Arial" w:hAnsi="Arial" w:cs="Arial"/>
                <w:sz w:val="16"/>
                <w:szCs w:val="16"/>
              </w:rPr>
            </w:pPr>
            <w:r w:rsidRPr="3B6D706C">
              <w:rPr>
                <w:rFonts w:ascii="Arial" w:eastAsia="Arial" w:hAnsi="Arial" w:cs="Arial"/>
                <w:sz w:val="16"/>
                <w:szCs w:val="16"/>
              </w:rPr>
              <w:t>Early intervention and targeted support arrangements</w:t>
            </w:r>
          </w:p>
        </w:tc>
      </w:tr>
    </w:tbl>
    <w:p w14:paraId="3DA4453D" w14:textId="7AF43149" w:rsidR="0082514C" w:rsidRDefault="6942CEA7" w:rsidP="00890A74">
      <w:pPr>
        <w:pStyle w:val="Heading1"/>
        <w:spacing w:before="281" w:after="281" w:line="300" w:lineRule="auto"/>
        <w:jc w:val="both"/>
        <w:rPr>
          <w:rFonts w:ascii="Arial" w:eastAsia="Arial" w:hAnsi="Arial" w:cs="Arial"/>
          <w:b/>
          <w:bCs/>
          <w:sz w:val="24"/>
          <w:szCs w:val="24"/>
        </w:rPr>
      </w:pPr>
      <w:r w:rsidRPr="3B6D706C">
        <w:rPr>
          <w:rFonts w:ascii="Arial" w:eastAsia="Arial" w:hAnsi="Arial" w:cs="Arial"/>
          <w:b/>
          <w:bCs/>
          <w:sz w:val="24"/>
          <w:szCs w:val="24"/>
        </w:rPr>
        <w:t>Financial and Workforce Implications</w:t>
      </w:r>
    </w:p>
    <w:p w14:paraId="6631BFCE" w14:textId="54C8469D" w:rsidR="0082514C" w:rsidRDefault="6942CEA7" w:rsidP="00890A74">
      <w:pPr>
        <w:spacing w:before="210" w:after="210" w:line="300" w:lineRule="auto"/>
        <w:jc w:val="both"/>
        <w:rPr>
          <w:rFonts w:ascii="Arial" w:eastAsia="Arial" w:hAnsi="Arial" w:cs="Arial"/>
        </w:rPr>
      </w:pPr>
      <w:r w:rsidRPr="3B6D706C">
        <w:rPr>
          <w:rFonts w:ascii="Arial" w:eastAsia="Arial" w:hAnsi="Arial" w:cs="Arial"/>
        </w:rPr>
        <w:t xml:space="preserve">The majority of actions will be delivered through existing Occupational Health, Staff Wellbeing, Workforce and Learning &amp; OD resources. Existing Health Board wellbeing programmes and support services will be utilised wherever possible. </w:t>
      </w:r>
      <w:r w:rsidR="5370F44A" w:rsidRPr="3B6D706C">
        <w:rPr>
          <w:rFonts w:ascii="Arial" w:eastAsia="Arial" w:hAnsi="Arial" w:cs="Arial"/>
        </w:rPr>
        <w:t xml:space="preserve">In </w:t>
      </w:r>
      <w:proofErr w:type="gramStart"/>
      <w:r w:rsidR="5370F44A" w:rsidRPr="3B6D706C">
        <w:rPr>
          <w:rFonts w:ascii="Arial" w:eastAsia="Arial" w:hAnsi="Arial" w:cs="Arial"/>
        </w:rPr>
        <w:t>addition</w:t>
      </w:r>
      <w:proofErr w:type="gramEnd"/>
      <w:r w:rsidR="5370F44A" w:rsidRPr="3B6D706C">
        <w:rPr>
          <w:rFonts w:ascii="Arial" w:eastAsia="Arial" w:hAnsi="Arial" w:cs="Arial"/>
        </w:rPr>
        <w:t xml:space="preserve"> t</w:t>
      </w:r>
      <w:r w:rsidR="72E51D28" w:rsidRPr="3B6D706C">
        <w:rPr>
          <w:rFonts w:ascii="Arial" w:eastAsia="Arial" w:hAnsi="Arial" w:cs="Arial"/>
        </w:rPr>
        <w:t>he Service Group has established support from USW to deliver leadership modules for leaders supporting transformation work</w:t>
      </w:r>
      <w:r w:rsidR="3527505A" w:rsidRPr="3B6D706C">
        <w:rPr>
          <w:rFonts w:ascii="Arial" w:eastAsia="Arial" w:hAnsi="Arial" w:cs="Arial"/>
        </w:rPr>
        <w:t>.</w:t>
      </w:r>
      <w:r w:rsidR="24FB7DD7" w:rsidRPr="3B6D706C">
        <w:rPr>
          <w:rFonts w:ascii="Arial" w:eastAsia="Arial" w:hAnsi="Arial" w:cs="Arial"/>
        </w:rPr>
        <w:t xml:space="preserve"> The Service Group employs a permanent Counsellor and staff are trained and provided with release to support TRIM incidents. In </w:t>
      </w:r>
      <w:proofErr w:type="gramStart"/>
      <w:r w:rsidR="24FB7DD7" w:rsidRPr="3B6D706C">
        <w:rPr>
          <w:rFonts w:ascii="Arial" w:eastAsia="Arial" w:hAnsi="Arial" w:cs="Arial"/>
        </w:rPr>
        <w:t>addition</w:t>
      </w:r>
      <w:proofErr w:type="gramEnd"/>
      <w:r w:rsidR="24FB7DD7" w:rsidRPr="3B6D706C">
        <w:rPr>
          <w:rFonts w:ascii="Arial" w:eastAsia="Arial" w:hAnsi="Arial" w:cs="Arial"/>
        </w:rPr>
        <w:t xml:space="preserve"> staff reflect and support each other through MDT</w:t>
      </w:r>
      <w:r w:rsidR="2ABBEE5B" w:rsidRPr="3B6D706C">
        <w:rPr>
          <w:rFonts w:ascii="Arial" w:eastAsia="Arial" w:hAnsi="Arial" w:cs="Arial"/>
        </w:rPr>
        <w:t>'s which include psychological support.</w:t>
      </w:r>
    </w:p>
    <w:p w14:paraId="28615B71" w14:textId="2735B625" w:rsidR="0082514C" w:rsidRDefault="6942CEA7" w:rsidP="00890A74">
      <w:pPr>
        <w:pStyle w:val="Heading1"/>
        <w:spacing w:before="281" w:after="281" w:line="300" w:lineRule="auto"/>
        <w:jc w:val="both"/>
        <w:rPr>
          <w:rFonts w:ascii="Arial" w:eastAsia="Arial" w:hAnsi="Arial" w:cs="Arial"/>
          <w:b/>
          <w:bCs/>
          <w:sz w:val="24"/>
          <w:szCs w:val="24"/>
        </w:rPr>
      </w:pPr>
      <w:r w:rsidRPr="3B6D706C">
        <w:rPr>
          <w:rFonts w:ascii="Arial" w:eastAsia="Arial" w:hAnsi="Arial" w:cs="Arial"/>
          <w:b/>
          <w:bCs/>
          <w:sz w:val="24"/>
          <w:szCs w:val="24"/>
        </w:rPr>
        <w:t>Conclusion</w:t>
      </w:r>
    </w:p>
    <w:p w14:paraId="2D18ABF7" w14:textId="310138C3" w:rsidR="0082514C" w:rsidRDefault="6942CEA7" w:rsidP="00890A74">
      <w:pPr>
        <w:spacing w:before="210" w:after="210" w:line="300" w:lineRule="auto"/>
        <w:jc w:val="both"/>
        <w:rPr>
          <w:rFonts w:ascii="Arial" w:eastAsia="Arial" w:hAnsi="Arial" w:cs="Arial"/>
          <w:color w:val="464FEB"/>
        </w:rPr>
      </w:pPr>
      <w:r w:rsidRPr="3B6D706C">
        <w:rPr>
          <w:rFonts w:ascii="Arial" w:eastAsia="Arial" w:hAnsi="Arial" w:cs="Arial"/>
        </w:rPr>
        <w:t>The proposed Wellbeing Improvement Plan provides a structured framework for improving staff wellbeing, attendance, engagement and retention across the Mental Health &amp; Learning Disabilities Service Group. The plan builds upon existing Health Board wellbeing initiatives and introduces local governance arrangements to ensure delivery and measurable improvement.</w:t>
      </w:r>
    </w:p>
    <w:p w14:paraId="24211456" w14:textId="77E2153B" w:rsidR="0082514C" w:rsidRDefault="0082514C" w:rsidP="00890A74">
      <w:pPr>
        <w:spacing w:before="210" w:after="210" w:line="300" w:lineRule="auto"/>
        <w:jc w:val="both"/>
        <w:rPr>
          <w:rFonts w:ascii="Arial" w:eastAsia="Arial" w:hAnsi="Arial" w:cs="Arial"/>
          <w:b/>
          <w:bCs/>
        </w:rPr>
      </w:pPr>
    </w:p>
    <w:p w14:paraId="5E5787A5" w14:textId="62ADE201" w:rsidR="0082514C" w:rsidRDefault="0082514C" w:rsidP="00890A74">
      <w:pPr>
        <w:jc w:val="both"/>
      </w:pPr>
    </w:p>
    <w:sectPr w:rsidR="0082514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3E2A9E"/>
    <w:multiLevelType w:val="hybridMultilevel"/>
    <w:tmpl w:val="AF84DA38"/>
    <w:lvl w:ilvl="0" w:tplc="400427DE">
      <w:start w:val="1"/>
      <w:numFmt w:val="bullet"/>
      <w:lvlText w:val=""/>
      <w:lvlJc w:val="left"/>
      <w:pPr>
        <w:ind w:left="720" w:hanging="360"/>
      </w:pPr>
      <w:rPr>
        <w:rFonts w:ascii="Symbol" w:hAnsi="Symbol" w:hint="default"/>
      </w:rPr>
    </w:lvl>
    <w:lvl w:ilvl="1" w:tplc="BC2A0B96">
      <w:start w:val="1"/>
      <w:numFmt w:val="bullet"/>
      <w:lvlText w:val="o"/>
      <w:lvlJc w:val="left"/>
      <w:pPr>
        <w:ind w:left="1440" w:hanging="360"/>
      </w:pPr>
      <w:rPr>
        <w:rFonts w:ascii="Courier New" w:hAnsi="Courier New" w:hint="default"/>
      </w:rPr>
    </w:lvl>
    <w:lvl w:ilvl="2" w:tplc="F90A8390">
      <w:start w:val="1"/>
      <w:numFmt w:val="bullet"/>
      <w:lvlText w:val=""/>
      <w:lvlJc w:val="left"/>
      <w:pPr>
        <w:ind w:left="2160" w:hanging="360"/>
      </w:pPr>
      <w:rPr>
        <w:rFonts w:ascii="Wingdings" w:hAnsi="Wingdings" w:hint="default"/>
      </w:rPr>
    </w:lvl>
    <w:lvl w:ilvl="3" w:tplc="A70AABEC">
      <w:start w:val="1"/>
      <w:numFmt w:val="bullet"/>
      <w:lvlText w:val=""/>
      <w:lvlJc w:val="left"/>
      <w:pPr>
        <w:ind w:left="2880" w:hanging="360"/>
      </w:pPr>
      <w:rPr>
        <w:rFonts w:ascii="Symbol" w:hAnsi="Symbol" w:hint="default"/>
      </w:rPr>
    </w:lvl>
    <w:lvl w:ilvl="4" w:tplc="F4202F0E">
      <w:start w:val="1"/>
      <w:numFmt w:val="bullet"/>
      <w:lvlText w:val="o"/>
      <w:lvlJc w:val="left"/>
      <w:pPr>
        <w:ind w:left="3600" w:hanging="360"/>
      </w:pPr>
      <w:rPr>
        <w:rFonts w:ascii="Courier New" w:hAnsi="Courier New" w:hint="default"/>
      </w:rPr>
    </w:lvl>
    <w:lvl w:ilvl="5" w:tplc="B8ECDE36">
      <w:start w:val="1"/>
      <w:numFmt w:val="bullet"/>
      <w:lvlText w:val=""/>
      <w:lvlJc w:val="left"/>
      <w:pPr>
        <w:ind w:left="4320" w:hanging="360"/>
      </w:pPr>
      <w:rPr>
        <w:rFonts w:ascii="Wingdings" w:hAnsi="Wingdings" w:hint="default"/>
      </w:rPr>
    </w:lvl>
    <w:lvl w:ilvl="6" w:tplc="69DA2D58">
      <w:start w:val="1"/>
      <w:numFmt w:val="bullet"/>
      <w:lvlText w:val=""/>
      <w:lvlJc w:val="left"/>
      <w:pPr>
        <w:ind w:left="5040" w:hanging="360"/>
      </w:pPr>
      <w:rPr>
        <w:rFonts w:ascii="Symbol" w:hAnsi="Symbol" w:hint="default"/>
      </w:rPr>
    </w:lvl>
    <w:lvl w:ilvl="7" w:tplc="CF243F76">
      <w:start w:val="1"/>
      <w:numFmt w:val="bullet"/>
      <w:lvlText w:val="o"/>
      <w:lvlJc w:val="left"/>
      <w:pPr>
        <w:ind w:left="5760" w:hanging="360"/>
      </w:pPr>
      <w:rPr>
        <w:rFonts w:ascii="Courier New" w:hAnsi="Courier New" w:hint="default"/>
      </w:rPr>
    </w:lvl>
    <w:lvl w:ilvl="8" w:tplc="19D676DA">
      <w:start w:val="1"/>
      <w:numFmt w:val="bullet"/>
      <w:lvlText w:val=""/>
      <w:lvlJc w:val="left"/>
      <w:pPr>
        <w:ind w:left="6480" w:hanging="360"/>
      </w:pPr>
      <w:rPr>
        <w:rFonts w:ascii="Wingdings" w:hAnsi="Wingdings" w:hint="default"/>
      </w:rPr>
    </w:lvl>
  </w:abstractNum>
  <w:abstractNum w:abstractNumId="1" w15:restartNumberingAfterBreak="0">
    <w:nsid w:val="73725F85"/>
    <w:multiLevelType w:val="hybridMultilevel"/>
    <w:tmpl w:val="475E3552"/>
    <w:lvl w:ilvl="0" w:tplc="FD321BDE">
      <w:start w:val="1"/>
      <w:numFmt w:val="decimal"/>
      <w:lvlText w:val="%1."/>
      <w:lvlJc w:val="left"/>
      <w:pPr>
        <w:ind w:left="720" w:hanging="360"/>
      </w:pPr>
    </w:lvl>
    <w:lvl w:ilvl="1" w:tplc="57B66762">
      <w:start w:val="1"/>
      <w:numFmt w:val="lowerLetter"/>
      <w:lvlText w:val="%2."/>
      <w:lvlJc w:val="left"/>
      <w:pPr>
        <w:ind w:left="1440" w:hanging="360"/>
      </w:pPr>
    </w:lvl>
    <w:lvl w:ilvl="2" w:tplc="73AC1150">
      <w:start w:val="1"/>
      <w:numFmt w:val="lowerRoman"/>
      <w:lvlText w:val="%3."/>
      <w:lvlJc w:val="right"/>
      <w:pPr>
        <w:ind w:left="2160" w:hanging="180"/>
      </w:pPr>
    </w:lvl>
    <w:lvl w:ilvl="3" w:tplc="B16C10E2">
      <w:start w:val="1"/>
      <w:numFmt w:val="decimal"/>
      <w:lvlText w:val="%4."/>
      <w:lvlJc w:val="left"/>
      <w:pPr>
        <w:ind w:left="2880" w:hanging="360"/>
      </w:pPr>
    </w:lvl>
    <w:lvl w:ilvl="4" w:tplc="29EA397C">
      <w:start w:val="1"/>
      <w:numFmt w:val="lowerLetter"/>
      <w:lvlText w:val="%5."/>
      <w:lvlJc w:val="left"/>
      <w:pPr>
        <w:ind w:left="3600" w:hanging="360"/>
      </w:pPr>
    </w:lvl>
    <w:lvl w:ilvl="5" w:tplc="A6F2FE90">
      <w:start w:val="1"/>
      <w:numFmt w:val="lowerRoman"/>
      <w:lvlText w:val="%6."/>
      <w:lvlJc w:val="right"/>
      <w:pPr>
        <w:ind w:left="4320" w:hanging="180"/>
      </w:pPr>
    </w:lvl>
    <w:lvl w:ilvl="6" w:tplc="6444DD7E">
      <w:start w:val="1"/>
      <w:numFmt w:val="decimal"/>
      <w:lvlText w:val="%7."/>
      <w:lvlJc w:val="left"/>
      <w:pPr>
        <w:ind w:left="5040" w:hanging="360"/>
      </w:pPr>
    </w:lvl>
    <w:lvl w:ilvl="7" w:tplc="D208F7E6">
      <w:start w:val="1"/>
      <w:numFmt w:val="lowerLetter"/>
      <w:lvlText w:val="%8."/>
      <w:lvlJc w:val="left"/>
      <w:pPr>
        <w:ind w:left="5760" w:hanging="360"/>
      </w:pPr>
    </w:lvl>
    <w:lvl w:ilvl="8" w:tplc="E514B218">
      <w:start w:val="1"/>
      <w:numFmt w:val="lowerRoman"/>
      <w:lvlText w:val="%9."/>
      <w:lvlJc w:val="right"/>
      <w:pPr>
        <w:ind w:left="6480" w:hanging="180"/>
      </w:pPr>
    </w:lvl>
  </w:abstractNum>
  <w:num w:numId="1" w16cid:durableId="40131282">
    <w:abstractNumId w:val="0"/>
  </w:num>
  <w:num w:numId="2" w16cid:durableId="8710413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6929E4B"/>
    <w:rsid w:val="00658BEA"/>
    <w:rsid w:val="006E6847"/>
    <w:rsid w:val="0082514C"/>
    <w:rsid w:val="00890A74"/>
    <w:rsid w:val="00D52927"/>
    <w:rsid w:val="00D84966"/>
    <w:rsid w:val="00F85712"/>
    <w:rsid w:val="00FE7638"/>
    <w:rsid w:val="02BE42A2"/>
    <w:rsid w:val="04266DAF"/>
    <w:rsid w:val="04E469C7"/>
    <w:rsid w:val="055E2DC0"/>
    <w:rsid w:val="06FB6089"/>
    <w:rsid w:val="088F957F"/>
    <w:rsid w:val="09A10D75"/>
    <w:rsid w:val="0B2ADF7F"/>
    <w:rsid w:val="0DB5AC43"/>
    <w:rsid w:val="124C2473"/>
    <w:rsid w:val="13A69E24"/>
    <w:rsid w:val="13F5CF64"/>
    <w:rsid w:val="1CB810DE"/>
    <w:rsid w:val="1CC191E3"/>
    <w:rsid w:val="1E7421CE"/>
    <w:rsid w:val="1F028BBB"/>
    <w:rsid w:val="1F9D93D1"/>
    <w:rsid w:val="1FCDADF1"/>
    <w:rsid w:val="1FF642E2"/>
    <w:rsid w:val="219749DC"/>
    <w:rsid w:val="24605339"/>
    <w:rsid w:val="24FB7DD7"/>
    <w:rsid w:val="250ADC1B"/>
    <w:rsid w:val="2599B017"/>
    <w:rsid w:val="2628E39B"/>
    <w:rsid w:val="26AFC7A3"/>
    <w:rsid w:val="278AF46B"/>
    <w:rsid w:val="28F6C79D"/>
    <w:rsid w:val="2A7D37F8"/>
    <w:rsid w:val="2ABBEE5B"/>
    <w:rsid w:val="2E3ACF06"/>
    <w:rsid w:val="2EEC4916"/>
    <w:rsid w:val="30D476E9"/>
    <w:rsid w:val="3109DDBD"/>
    <w:rsid w:val="32A27D01"/>
    <w:rsid w:val="340C03C3"/>
    <w:rsid w:val="34154269"/>
    <w:rsid w:val="3527505A"/>
    <w:rsid w:val="36929E4B"/>
    <w:rsid w:val="372F2D05"/>
    <w:rsid w:val="387110AE"/>
    <w:rsid w:val="388F1ABF"/>
    <w:rsid w:val="389B1958"/>
    <w:rsid w:val="38BF19E1"/>
    <w:rsid w:val="3972BC0F"/>
    <w:rsid w:val="3B6D706C"/>
    <w:rsid w:val="4037CDF0"/>
    <w:rsid w:val="4042CF50"/>
    <w:rsid w:val="4100FC3E"/>
    <w:rsid w:val="41236AB0"/>
    <w:rsid w:val="433C8D98"/>
    <w:rsid w:val="43D736DA"/>
    <w:rsid w:val="44778A50"/>
    <w:rsid w:val="456F6BD7"/>
    <w:rsid w:val="46CFCE50"/>
    <w:rsid w:val="4820CFA1"/>
    <w:rsid w:val="491B6F34"/>
    <w:rsid w:val="4A0F479F"/>
    <w:rsid w:val="4C4F74CC"/>
    <w:rsid w:val="4DE485AF"/>
    <w:rsid w:val="4E0A293E"/>
    <w:rsid w:val="4EECF3D3"/>
    <w:rsid w:val="4F358608"/>
    <w:rsid w:val="529F62BF"/>
    <w:rsid w:val="5370F44A"/>
    <w:rsid w:val="547B3124"/>
    <w:rsid w:val="59AE6BBD"/>
    <w:rsid w:val="5B7C59E5"/>
    <w:rsid w:val="5BDFE02B"/>
    <w:rsid w:val="5F285BFE"/>
    <w:rsid w:val="5F2DC35D"/>
    <w:rsid w:val="5F48861F"/>
    <w:rsid w:val="64A5AA55"/>
    <w:rsid w:val="6942CEA7"/>
    <w:rsid w:val="6D24F0BC"/>
    <w:rsid w:val="6D98B5B3"/>
    <w:rsid w:val="6ED5A2C9"/>
    <w:rsid w:val="72E51D28"/>
    <w:rsid w:val="73B40792"/>
    <w:rsid w:val="73DBA98C"/>
    <w:rsid w:val="75EFC080"/>
    <w:rsid w:val="76B13AD5"/>
    <w:rsid w:val="76FB6643"/>
    <w:rsid w:val="77E3E182"/>
    <w:rsid w:val="78B6686E"/>
    <w:rsid w:val="7953A8C5"/>
    <w:rsid w:val="7D5D43AE"/>
    <w:rsid w:val="7F1D48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F3256"/>
  <w15:chartTrackingRefBased/>
  <w15:docId w15:val="{AB07F84E-BB43-4C2C-96FA-EB8C13E3B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3B6D70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3B6D70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3B6D706C"/>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3B6D706C"/>
    <w:pPr>
      <w:ind w:left="720"/>
      <w:contextualSpacing/>
    </w:pPr>
  </w:style>
  <w:style w:type="character" w:styleId="Hyperlink">
    <w:name w:val="Hyperlink"/>
    <w:basedOn w:val="DefaultParagraphFont"/>
    <w:uiPriority w:val="99"/>
    <w:unhideWhenUsed/>
    <w:rsid w:val="3B6D706C"/>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392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867260DD-5732-40F9-B41E-588C7E51A0EA}"/>
</file>

<file path=customXml/itemProps2.xml><?xml version="1.0" encoding="utf-8"?>
<ds:datastoreItem xmlns:ds="http://schemas.openxmlformats.org/officeDocument/2006/customXml" ds:itemID="{5058CB62-E565-4019-A34C-56684058F8F8}"/>
</file>

<file path=customXml/itemProps3.xml><?xml version="1.0" encoding="utf-8"?>
<ds:datastoreItem xmlns:ds="http://schemas.openxmlformats.org/officeDocument/2006/customXml" ds:itemID="{ACDC006E-7A7D-44A2-AF55-09C4609A90BC}"/>
</file>

<file path=docProps/app.xml><?xml version="1.0" encoding="utf-8"?>
<Properties xmlns="http://schemas.openxmlformats.org/officeDocument/2006/extended-properties" xmlns:vt="http://schemas.openxmlformats.org/officeDocument/2006/docPropsVTypes">
  <Template>Normal</Template>
  <TotalTime>2</TotalTime>
  <Pages>3</Pages>
  <Words>904</Words>
  <Characters>5155</Characters>
  <Application>Microsoft Office Word</Application>
  <DocSecurity>0</DocSecurity>
  <Lines>42</Lines>
  <Paragraphs>12</Paragraphs>
  <ScaleCrop>false</ScaleCrop>
  <Company/>
  <LinksUpToDate>false</LinksUpToDate>
  <CharactersWithSpaces>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Bimson (Swansea Bay UHB - Human Resources)</dc:creator>
  <cp:keywords/>
  <dc:description/>
  <cp:lastModifiedBy>Susan Bimson (Swansea Bay UHB - Human Resources)</cp:lastModifiedBy>
  <cp:revision>2</cp:revision>
  <dcterms:created xsi:type="dcterms:W3CDTF">2026-09-11T14:33:00Z</dcterms:created>
  <dcterms:modified xsi:type="dcterms:W3CDTF">2026-09-11T14:33:00Z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ies>
</file>