
<file path=[Content_Types].xml><?xml version="1.0" encoding="utf-8"?>
<Types xmlns="http://schemas.openxmlformats.org/package/2006/content-types">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c="http://schemas.openxmlformats.org/drawingml/2006/chart"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6FC5F940" w14:paraId="6D2903E2" w14:textId="77777777">
        <w:tc>
          <w:tcPr>
            <w:tcW w:w="2977" w:type="dxa"/>
            <w:shd w:val="clear" w:color="auto" w:fill="163E64"/>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Pr>
              <w:p w:rsidRPr="00B105BD" w:rsidR="00F5082D" w:rsidP="00FA0CA9" w:rsidRDefault="00595A46" w14:paraId="6D2903DF" w14:textId="38148D60">
                <w:pPr>
                  <w:rPr>
                    <w:b/>
                    <w:bCs/>
                  </w:rPr>
                </w:pPr>
                <w:r>
                  <w:rPr>
                    <w:rStyle w:val="Style1"/>
                    <w:b/>
                    <w:bCs/>
                  </w:rPr>
                  <w:t>16 June 2026</w:t>
                </w:r>
              </w:p>
            </w:tc>
          </w:sdtContent>
        </w:sdt>
        <w:tc>
          <w:tcPr>
            <w:tcW w:w="2368" w:type="dxa"/>
            <w:shd w:val="clear" w:color="auto" w:fill="163E64"/>
          </w:tcPr>
          <w:p w:rsidRPr="00F8567E" w:rsidR="00F5082D" w:rsidP="00FA0CA9" w:rsidRDefault="00F5082D" w14:paraId="6D2903E0" w14:textId="77777777">
            <w:pPr>
              <w:rPr>
                <w:b/>
              </w:rPr>
            </w:pPr>
            <w:r w:rsidRPr="00F8567E">
              <w:rPr>
                <w:b/>
              </w:rPr>
              <w:t>Agenda Item</w:t>
            </w:r>
          </w:p>
        </w:tc>
        <w:tc>
          <w:tcPr>
            <w:tcW w:w="841" w:type="dxa"/>
          </w:tcPr>
          <w:p w:rsidRPr="00F8567E" w:rsidR="00F5082D" w:rsidP="00FA0CA9" w:rsidRDefault="00595A46" w14:paraId="6D2903E1" w14:textId="28810EC2">
            <w:pPr>
              <w:rPr>
                <w:b/>
              </w:rPr>
            </w:pPr>
            <w:r>
              <w:rPr>
                <w:b/>
              </w:rPr>
              <w:t>3.4</w:t>
            </w:r>
          </w:p>
        </w:tc>
      </w:tr>
      <w:tr w:rsidRPr="00F8567E" w:rsidR="00B0479E" w:rsidTr="6FC5F940" w14:paraId="1EEB45B2" w14:textId="77777777">
        <w:tc>
          <w:tcPr>
            <w:tcW w:w="2977" w:type="dxa"/>
            <w:shd w:val="clear" w:color="auto" w:fill="163E64"/>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rsidRPr="00EC7151" w:rsidR="00B0479E" w:rsidP="00FA0CA9" w:rsidRDefault="00595A46" w14:paraId="5687483E" w14:textId="38D1F16D">
                <w:pPr>
                  <w:rPr>
                    <w:b/>
                    <w:bCs/>
                  </w:rPr>
                </w:pPr>
                <w:r>
                  <w:rPr>
                    <w:rStyle w:val="CorporateFont"/>
                    <w:b/>
                    <w:bCs/>
                  </w:rPr>
                  <w:t>Workforce and Organisational Development Committee</w:t>
                </w:r>
              </w:p>
            </w:tc>
          </w:sdtContent>
        </w:sdt>
      </w:tr>
      <w:tr w:rsidRPr="00F8567E" w:rsidR="00083FC0" w:rsidTr="6FC5F940" w14:paraId="6D2903E5" w14:textId="77777777">
        <w:tc>
          <w:tcPr>
            <w:tcW w:w="2977" w:type="dxa"/>
            <w:shd w:val="clear" w:color="auto" w:fill="163E64"/>
          </w:tcPr>
          <w:p w:rsidRPr="00F8567E" w:rsidR="00034194" w:rsidP="00FA0CA9" w:rsidRDefault="00034194" w14:paraId="6D2903E3" w14:textId="77777777">
            <w:pPr>
              <w:rPr>
                <w:b/>
              </w:rPr>
            </w:pPr>
            <w:r w:rsidRPr="00F8567E">
              <w:rPr>
                <w:b/>
              </w:rPr>
              <w:t>Report Title</w:t>
            </w:r>
          </w:p>
        </w:tc>
        <w:tc>
          <w:tcPr>
            <w:tcW w:w="6044" w:type="dxa"/>
            <w:gridSpan w:val="3"/>
          </w:tcPr>
          <w:p w:rsidRPr="00595A46" w:rsidR="00034194" w:rsidP="00FA0CA9" w:rsidRDefault="00595A46" w14:paraId="6D2903E4" w14:textId="6A03F87B">
            <w:r w:rsidRPr="00595A46">
              <w:t>Variable Pay Plan 2026/2027 </w:t>
            </w:r>
          </w:p>
        </w:tc>
      </w:tr>
      <w:tr w:rsidRPr="00F8567E" w:rsidR="00083FC0" w:rsidTr="6FC5F940" w14:paraId="6D2903E8" w14:textId="77777777">
        <w:tc>
          <w:tcPr>
            <w:tcW w:w="2977" w:type="dxa"/>
            <w:shd w:val="clear" w:color="auto" w:fill="163E64"/>
          </w:tcPr>
          <w:p w:rsidRPr="00F8567E" w:rsidR="00034194" w:rsidP="00FA0CA9" w:rsidRDefault="00034194" w14:paraId="6D2903E6" w14:textId="77777777">
            <w:pPr>
              <w:rPr>
                <w:b/>
              </w:rPr>
            </w:pPr>
            <w:r w:rsidRPr="00F8567E">
              <w:rPr>
                <w:b/>
              </w:rPr>
              <w:t>Report Author</w:t>
            </w:r>
          </w:p>
        </w:tc>
        <w:tc>
          <w:tcPr>
            <w:tcW w:w="6044" w:type="dxa"/>
            <w:gridSpan w:val="3"/>
          </w:tcPr>
          <w:p w:rsidRPr="00F8567E" w:rsidR="00034194" w:rsidP="00FA0CA9" w:rsidRDefault="00595A46" w14:paraId="6D2903E7" w14:textId="12A599AC">
            <w:r>
              <w:t>Emma Owen – Assistant Director of Workforce &amp; OD</w:t>
            </w:r>
          </w:p>
        </w:tc>
      </w:tr>
      <w:tr w:rsidRPr="00F8567E" w:rsidR="00762BBE" w:rsidTr="6FC5F940" w14:paraId="6D2903EB" w14:textId="77777777">
        <w:tc>
          <w:tcPr>
            <w:tcW w:w="2977" w:type="dxa"/>
            <w:shd w:val="clear" w:color="auto" w:fill="163E64"/>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F8567E" w:rsidR="00762BBE" w:rsidP="00762BBE" w:rsidRDefault="00595A46" w14:paraId="6D2903EA" w14:textId="3BA5BED5">
                <w:r>
                  <w:rPr>
                    <w:rStyle w:val="Style1"/>
                  </w:rPr>
                  <w:t>Executive Director of Workforce and Organisational Development</w:t>
                </w:r>
              </w:p>
            </w:tc>
          </w:sdtContent>
        </w:sdt>
      </w:tr>
      <w:tr w:rsidRPr="00F8567E" w:rsidR="00762BBE" w:rsidTr="6FC5F940" w14:paraId="6D2903EE" w14:textId="77777777">
        <w:tc>
          <w:tcPr>
            <w:tcW w:w="2977" w:type="dxa"/>
            <w:shd w:val="clear" w:color="auto" w:fill="163E64"/>
          </w:tcPr>
          <w:p w:rsidRPr="00F8567E" w:rsidR="00762BBE" w:rsidP="00762BBE" w:rsidRDefault="00762BBE" w14:paraId="6D2903EC" w14:textId="77777777">
            <w:pPr>
              <w:rPr>
                <w:b/>
              </w:rPr>
            </w:pPr>
            <w:r w:rsidRPr="00F8567E">
              <w:rPr>
                <w:b/>
              </w:rPr>
              <w:t>Presented by</w:t>
            </w:r>
          </w:p>
        </w:tc>
        <w:tc>
          <w:tcPr>
            <w:tcW w:w="6044" w:type="dxa"/>
            <w:gridSpan w:val="3"/>
          </w:tcPr>
          <w:p w:rsidRPr="00F8567E" w:rsidR="00762BBE" w:rsidP="00762BBE" w:rsidRDefault="00E4306C" w14:paraId="6D2903ED" w14:textId="5C469AE9">
            <w:r>
              <w:t>Emma Owen – Assistant Director of Workforce &amp; OD</w:t>
            </w:r>
          </w:p>
        </w:tc>
      </w:tr>
      <w:tr w:rsidRPr="00F8567E" w:rsidR="00653AEC" w:rsidTr="6FC5F940" w14:paraId="6D2903F1" w14:textId="77777777">
        <w:tc>
          <w:tcPr>
            <w:tcW w:w="2977" w:type="dxa"/>
            <w:shd w:val="clear" w:color="auto" w:fill="C1A775"/>
          </w:tcPr>
          <w:p w:rsidRPr="00F8567E" w:rsidR="00653AEC" w:rsidP="6FC5F940" w:rsidRDefault="00653AEC" w14:paraId="6D2903EF" w14:textId="5CD60EB8">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595A46" w14:paraId="6D2903F0" w14:textId="130D7FE2">
                <w:r>
                  <w:rPr>
                    <w:rStyle w:val="Style1"/>
                  </w:rPr>
                  <w:t>Open</w:t>
                </w:r>
              </w:p>
            </w:sdtContent>
          </w:sdt>
        </w:tc>
      </w:tr>
      <w:tr w:rsidRPr="00F8567E" w:rsidR="00041CF6" w:rsidTr="6FC5F940" w14:paraId="3533518D" w14:textId="77777777">
        <w:tc>
          <w:tcPr>
            <w:tcW w:w="2977" w:type="dxa"/>
            <w:shd w:val="clear" w:color="auto" w:fill="C1A775"/>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6FC5F940" w14:paraId="56774493" w14:textId="77777777">
        <w:tc>
          <w:tcPr>
            <w:tcW w:w="5812" w:type="dxa"/>
            <w:gridSpan w:val="2"/>
            <w:shd w:val="clear" w:color="auto" w:fill="C1A775"/>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Pr>
          <w:p w:rsidRPr="00F8567E" w:rsidR="008F442A" w:rsidP="00110100" w:rsidRDefault="00FA5DEC" w14:paraId="1FF00833" w14:textId="403A5B42">
            <w:pPr>
              <w:rPr>
                <w:b/>
              </w:rPr>
            </w:pPr>
            <w:r>
              <w:rPr>
                <w:b/>
              </w:rPr>
              <w:t>IA Completion date</w:t>
            </w:r>
          </w:p>
        </w:tc>
      </w:tr>
      <w:tr w:rsidRPr="00F8567E" w:rsidR="00860674" w:rsidTr="6FC5F940" w14:paraId="44E771AC" w14:textId="77777777">
        <w:tc>
          <w:tcPr>
            <w:tcW w:w="5812" w:type="dxa"/>
            <w:gridSpan w:val="2"/>
          </w:tcPr>
          <w:p w:rsidRPr="00737883" w:rsidR="00A35122" w:rsidP="00110100" w:rsidRDefault="00595A46" w14:paraId="5E84E502" w14:textId="40D26561">
            <w:pPr>
              <w:rPr>
                <w:b/>
                <w:color w:val="FF0000"/>
              </w:rPr>
            </w:pPr>
            <w:r w:rsidRPr="00595A46">
              <w:rPr>
                <w:rStyle w:val="Style1"/>
              </w:rPr>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6FC5F940" w14:paraId="2BABD8F1" w14:textId="77777777">
        <w:tc>
          <w:tcPr>
            <w:tcW w:w="2977" w:type="dxa"/>
            <w:shd w:val="clear" w:color="auto" w:fill="C1A775"/>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5F4E71" w:rsidR="00EA4667" w:rsidRDefault="00595A46" w14:paraId="53EFA578" w14:textId="6EA6E690">
                <w:pPr>
                  <w:ind w:right="96"/>
                </w:pPr>
                <w:r>
                  <w:rPr>
                    <w:rStyle w:val="Style1"/>
                  </w:rPr>
                  <w:t>For Assurance</w:t>
                </w:r>
              </w:p>
            </w:tc>
          </w:sdtContent>
        </w:sdt>
      </w:tr>
      <w:tr w:rsidRPr="00F8567E" w:rsidR="00110100" w:rsidTr="6FC5F940" w14:paraId="2607A37D" w14:textId="77777777">
        <w:tc>
          <w:tcPr>
            <w:tcW w:w="9021" w:type="dxa"/>
            <w:gridSpan w:val="4"/>
            <w:shd w:val="clear" w:color="auto" w:fill="C1A775"/>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6FC5F940" w14:paraId="6D2903F8" w14:textId="77777777">
        <w:tc>
          <w:tcPr>
            <w:tcW w:w="9021" w:type="dxa"/>
            <w:gridSpan w:val="4"/>
          </w:tcPr>
          <w:p w:rsidR="003E70B9" w:rsidRDefault="003E70B9" w14:paraId="739A6E8F" w14:textId="77777777">
            <w:pPr>
              <w:ind w:right="96"/>
              <w:rPr>
                <w:kern w:val="2"/>
                <w:lang w:eastAsia="en-GB"/>
                <w14:ligatures w14:val="standardContextual"/>
              </w:rPr>
            </w:pPr>
            <w:r>
              <w:t>To update the Committee on the Variable Pay Reduction Plan for 2026/27, progress made to date, the scale of the remaining challenge, the principal risks to delivery and the actions in place to support further reduction.</w:t>
            </w:r>
          </w:p>
          <w:p w:rsidRPr="00737883" w:rsidR="00110100" w:rsidP="00110100" w:rsidRDefault="00110100" w14:paraId="6D2903F7" w14:textId="6F175086">
            <w:pPr>
              <w:rPr>
                <w:b/>
                <w:color w:val="FF0000"/>
              </w:rPr>
            </w:pPr>
          </w:p>
        </w:tc>
      </w:tr>
      <w:tr w:rsidRPr="00F8567E" w:rsidR="00110100" w:rsidTr="6FC5F940" w14:paraId="70491417" w14:textId="77777777">
        <w:tc>
          <w:tcPr>
            <w:tcW w:w="9021" w:type="dxa"/>
            <w:gridSpan w:val="4"/>
            <w:shd w:val="clear" w:color="auto" w:fill="C1A775"/>
          </w:tcPr>
          <w:p w:rsidRPr="00D16C84" w:rsidR="00110100" w:rsidP="00110100" w:rsidRDefault="00110100" w14:paraId="012E824A" w14:textId="7C1EDF26">
            <w:pPr>
              <w:rPr>
                <w:b/>
              </w:rPr>
            </w:pPr>
            <w:r w:rsidRPr="00F8567E">
              <w:rPr>
                <w:b/>
              </w:rPr>
              <w:t>Key Issues</w:t>
            </w:r>
          </w:p>
        </w:tc>
      </w:tr>
      <w:tr w:rsidRPr="00F8567E" w:rsidR="00110100" w:rsidTr="6FC5F940" w14:paraId="6D290402" w14:textId="77777777">
        <w:tc>
          <w:tcPr>
            <w:tcW w:w="9021" w:type="dxa"/>
            <w:gridSpan w:val="4"/>
          </w:tcPr>
          <w:p w:rsidR="00014EA6" w:rsidRDefault="00014EA6" w14:paraId="0B5C9076" w14:textId="77777777">
            <w:pPr>
              <w:rPr>
                <w:kern w:val="2"/>
                <w:lang w:eastAsia="en-GB"/>
                <w14:ligatures w14:val="standardContextual"/>
              </w:rPr>
            </w:pPr>
            <w:r>
              <w:t>This report provides the Committee with an update on delivery of the Variable Pay Reduction Plan for 2026/27, including progress to date, risks to delivery and the actions in place to support further reduction.</w:t>
            </w:r>
          </w:p>
          <w:p w:rsidR="00595A46" w:rsidP="00595A46" w:rsidRDefault="00595A46" w14:paraId="3434800D" w14:textId="77777777"/>
          <w:p w:rsidR="00B81348" w:rsidRDefault="00B81348" w14:paraId="67CE6B05" w14:textId="77777777">
            <w:pPr>
              <w:jc w:val="both"/>
              <w:rPr>
                <w:kern w:val="2"/>
                <w:lang w:eastAsia="en-GB"/>
                <w14:ligatures w14:val="standardContextual"/>
              </w:rPr>
            </w:pPr>
            <w:r>
              <w:t>Good progress has been made in reducing reliance on variable pay. However, as part of the 2026/27 Annual Plan, a target has been set to reduce variable pay by 50%, equivalent to approximately 300 FTE. Whilst reductions have been achieved, the Health Board remains reliant on variable pay in a number of professional groups and service areas, and continued focus will be required to ensure delivery against trajectory. The Committee can take assurance that governance arrangements are in place through the Variable Pay Steering Group and Recovery and Sustainability governance structure, with service and professional group plans under regular review.</w:t>
            </w:r>
          </w:p>
          <w:p w:rsidRPr="00737883" w:rsidR="00110100" w:rsidP="00595A46" w:rsidRDefault="00110100" w14:paraId="6D290401" w14:textId="2A9535F0">
            <w:pPr>
              <w:rPr>
                <w:b/>
                <w:color w:val="FF0000"/>
              </w:rPr>
            </w:pPr>
          </w:p>
        </w:tc>
      </w:tr>
      <w:tr w:rsidRPr="00F8567E" w:rsidR="00B22CF9" w14:paraId="78C95897" w14:textId="77777777">
        <w:tc>
          <w:tcPr>
            <w:tcW w:w="2977" w:type="dxa"/>
            <w:shd w:val="clear" w:color="auto" w:fill="C1A775"/>
          </w:tcPr>
          <w:p w:rsidRPr="00F8567E" w:rsidR="00B22CF9" w:rsidRDefault="00B22CF9" w14:paraId="1B78D4FE" w14:textId="54876F52">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595A46" w14:paraId="058FCD73" w14:textId="650302E2">
                <w:pPr>
                  <w:rPr>
                    <w:b/>
                  </w:rPr>
                </w:pPr>
                <w:r>
                  <w:rPr>
                    <w:rStyle w:val="Style1"/>
                  </w:rPr>
                  <w:t>No</w:t>
                </w:r>
              </w:p>
            </w:sdtContent>
          </w:sdt>
        </w:tc>
      </w:tr>
      <w:tr w:rsidRPr="00F8567E" w:rsidR="00110100" w:rsidTr="6FC5F940" w14:paraId="4682E8B7" w14:textId="77777777">
        <w:tc>
          <w:tcPr>
            <w:tcW w:w="9021" w:type="dxa"/>
            <w:gridSpan w:val="4"/>
            <w:shd w:val="clear" w:color="auto" w:fill="C1A775"/>
          </w:tcPr>
          <w:p w:rsidRPr="00335379" w:rsidR="00110100" w:rsidP="00110100" w:rsidRDefault="00110100" w14:paraId="155705B7" w14:textId="5CCD1FFB">
            <w:pPr>
              <w:rPr>
                <w:b/>
                <w:bCs/>
              </w:rPr>
            </w:pPr>
            <w:r w:rsidRPr="00335379">
              <w:rPr>
                <w:b/>
                <w:bCs/>
              </w:rPr>
              <w:t>Recommendations</w:t>
            </w:r>
          </w:p>
        </w:tc>
      </w:tr>
      <w:tr w:rsidRPr="00F8567E" w:rsidR="00110100" w:rsidTr="6FC5F940" w14:paraId="6D290418" w14:textId="77777777">
        <w:tc>
          <w:tcPr>
            <w:tcW w:w="9021" w:type="dxa"/>
            <w:gridSpan w:val="4"/>
          </w:tcPr>
          <w:p w:rsidR="003E70B9" w:rsidRDefault="003E70B9" w14:paraId="51AE5732" w14:textId="77777777">
            <w:pPr>
              <w:ind w:right="96"/>
              <w:rPr>
                <w:kern w:val="2"/>
                <w:lang w:eastAsia="en-GB"/>
                <w14:ligatures w14:val="standardContextual"/>
              </w:rPr>
            </w:pPr>
            <w:r>
              <w:t xml:space="preserve">Members are asked to note the progress made to date in reducing variable pay, note the scale of the remaining challenge in delivering the </w:t>
            </w:r>
            <w:r>
              <w:lastRenderedPageBreak/>
              <w:t>2026/27 target, take assurance from the governance and monitoring arrangements in place, and endorse the continued oversight of delivery through the Variable Pay Steering Group and Recovery and Sustainability governance arrangements.</w:t>
            </w:r>
          </w:p>
          <w:p w:rsidRPr="00F8567E" w:rsidR="00110100" w:rsidP="00DB76B3" w:rsidRDefault="00110100" w14:paraId="6D290417" w14:textId="74A0A387">
            <w:pPr>
              <w:ind w:right="96"/>
            </w:pPr>
          </w:p>
        </w:tc>
      </w:tr>
    </w:tbl>
    <w:p w:rsidRPr="00335379" w:rsidR="00653AEC" w:rsidP="00653AEC" w:rsidRDefault="0020539A" w14:paraId="6D29041A" w14:textId="0CACF36B">
      <w:pPr>
        <w:spacing w:after="0" w:line="240" w:lineRule="auto"/>
        <w:jc w:val="center"/>
      </w:pPr>
      <w:r w:rsidRPr="00F8567E">
        <w:lastRenderedPageBreak/>
        <w:br w:type="page"/>
      </w:r>
      <w:r w:rsidRPr="00595A46" w:rsidR="006C20CE">
        <w:lastRenderedPageBreak/>
        <w:t>VARIABLE PAY PLAN 2026/2027 </w:t>
      </w:r>
    </w:p>
    <w:p w:rsidRPr="00335379" w:rsidR="00653AEC" w:rsidP="00653AEC" w:rsidRDefault="00653AEC" w14:paraId="6D29041B" w14:textId="77777777">
      <w:pPr>
        <w:spacing w:after="0" w:line="240" w:lineRule="auto"/>
        <w:jc w:val="center"/>
      </w:pPr>
    </w:p>
    <w:p w:rsidRPr="00335379" w:rsidR="00653AEC" w:rsidP="00653AEC" w:rsidRDefault="00653AEC" w14:paraId="6D29041C" w14:textId="77777777">
      <w:pPr>
        <w:pStyle w:val="ListParagraph"/>
        <w:numPr>
          <w:ilvl w:val="0"/>
          <w:numId w:val="1"/>
        </w:numPr>
        <w:spacing w:after="0" w:line="240" w:lineRule="auto"/>
        <w:rPr>
          <w:b/>
          <w:bCs/>
        </w:rPr>
      </w:pPr>
      <w:r w:rsidRPr="00335379">
        <w:rPr>
          <w:b/>
          <w:bCs/>
        </w:rPr>
        <w:t>INTRODUCTION</w:t>
      </w:r>
    </w:p>
    <w:p w:rsidR="00BD555C" w:rsidP="00BD555C" w:rsidRDefault="00BD555C" w14:paraId="2D11A90E" w14:textId="77777777">
      <w:pPr>
        <w:spacing w:after="0" w:line="240" w:lineRule="auto"/>
        <w:jc w:val="both"/>
      </w:pPr>
    </w:p>
    <w:p w:rsidR="00014EA6" w:rsidRDefault="00014EA6" w14:paraId="3093F175" w14:textId="77777777">
      <w:pPr>
        <w:spacing w:after="0" w:line="240" w:lineRule="auto"/>
        <w:jc w:val="both"/>
        <w:rPr>
          <w:kern w:val="2"/>
          <w:lang w:eastAsia="en-GB"/>
          <w14:ligatures w14:val="standardContextual"/>
        </w:rPr>
      </w:pPr>
      <w:r>
        <w:t>Variable pay remains a key challenge for the Health Board. Whilst reductions have been achieved, the Health Board continues to rely on high levels of variable pay.</w:t>
      </w:r>
    </w:p>
    <w:p w:rsidRPr="00884D1E" w:rsidR="009B639F" w:rsidP="00BD555C" w:rsidRDefault="009B639F" w14:paraId="737FE2FF" w14:textId="77777777">
      <w:pPr>
        <w:spacing w:after="0" w:line="240" w:lineRule="auto"/>
        <w:jc w:val="both"/>
      </w:pPr>
    </w:p>
    <w:p w:rsidR="00B81348" w:rsidRDefault="00B81348" w14:paraId="599F5E3A" w14:textId="77777777">
      <w:pPr>
        <w:spacing w:after="0" w:line="240" w:lineRule="auto"/>
        <w:jc w:val="both"/>
        <w:rPr>
          <w:kern w:val="2"/>
          <w:lang w:eastAsia="en-GB"/>
          <w14:ligatures w14:val="standardContextual"/>
        </w:rPr>
      </w:pPr>
      <w:r>
        <w:t>The 2026/27 plan requires a significant further reduction in variable pay, with a target equivalent to approximately 300 FTE. Whilst the data presented in this report shows continued improvement and some reduction in overall full-time equivalent usage, delivery remains challenging and is not yet assured across all service areas. The current position indicates that further sustained reduction will be required during the year if the Health Board is to achieve the planned level of savings and workforce change.</w:t>
      </w:r>
    </w:p>
    <w:p w:rsidRPr="00335379" w:rsidR="00653AEC" w:rsidP="00653AEC" w:rsidRDefault="00653AEC" w14:paraId="6D29041E" w14:textId="77777777">
      <w:pPr>
        <w:pStyle w:val="ListParagraph"/>
        <w:spacing w:after="0" w:line="240" w:lineRule="auto"/>
      </w:pPr>
    </w:p>
    <w:p w:rsidRPr="00335379" w:rsidR="00653AEC" w:rsidP="00653AEC" w:rsidRDefault="00653AEC" w14:paraId="6D29041F" w14:textId="77777777">
      <w:pPr>
        <w:pStyle w:val="ListParagraph"/>
        <w:numPr>
          <w:ilvl w:val="0"/>
          <w:numId w:val="1"/>
        </w:numPr>
        <w:spacing w:after="0" w:line="240" w:lineRule="auto"/>
        <w:rPr>
          <w:b/>
          <w:bCs/>
        </w:rPr>
      </w:pPr>
      <w:r w:rsidRPr="00335379">
        <w:rPr>
          <w:b/>
          <w:bCs/>
        </w:rPr>
        <w:t>BACKGROUND</w:t>
      </w:r>
    </w:p>
    <w:p w:rsidRPr="00335379" w:rsidR="00A9250D" w:rsidP="00A9250D" w:rsidRDefault="00A9250D" w14:paraId="7AB56D93" w14:textId="77777777">
      <w:pPr>
        <w:pStyle w:val="ListParagraph"/>
        <w:spacing w:after="0" w:line="240" w:lineRule="auto"/>
      </w:pPr>
    </w:p>
    <w:p w:rsidR="00014EA6" w:rsidRDefault="00014EA6" w14:paraId="3C91ED02" w14:textId="77777777">
      <w:pPr>
        <w:spacing w:after="0" w:line="240" w:lineRule="auto"/>
        <w:jc w:val="both"/>
        <w:rPr>
          <w:kern w:val="2"/>
          <w:lang w:eastAsia="en-GB"/>
          <w14:ligatures w14:val="standardContextual"/>
        </w:rPr>
      </w:pPr>
      <w:r>
        <w:t>The Health Board must achieve £55.4m in savings in 2025/26 if it is to meet its financial plan. The Recovery and Sustainability Programme Board was established to support delivery of the required savings through 12 overarching workstreams. Enhanced workforce controls have been implemented in addition to a dedicated Variable Pay Steering Group.</w:t>
      </w:r>
    </w:p>
    <w:p w:rsidRPr="00884D1E" w:rsidR="00A9250D" w:rsidP="00A9250D" w:rsidRDefault="00A9250D" w14:paraId="7352013C" w14:textId="77777777">
      <w:pPr>
        <w:spacing w:after="0" w:line="240" w:lineRule="auto"/>
        <w:jc w:val="both"/>
      </w:pPr>
    </w:p>
    <w:p w:rsidR="00014EA6" w:rsidRDefault="00014EA6" w14:paraId="26DA11C1" w14:textId="77777777">
      <w:pPr>
        <w:spacing w:after="0" w:line="240" w:lineRule="auto"/>
        <w:jc w:val="both"/>
        <w:rPr>
          <w:kern w:val="2"/>
          <w:lang w:eastAsia="en-GB"/>
          <w14:ligatures w14:val="standardContextual"/>
        </w:rPr>
      </w:pPr>
      <w:r>
        <w:t>A multidisciplinary approach is being adopted to provide an overarching structure and cohesive approach to sustainable workforce change focused on:</w:t>
      </w:r>
    </w:p>
    <w:p w:rsidRPr="00884D1E" w:rsidR="00A9250D" w:rsidP="00A9250D" w:rsidRDefault="00A9250D" w14:paraId="09F50B4D" w14:textId="77777777">
      <w:pPr>
        <w:pStyle w:val="ListParagraph"/>
        <w:numPr>
          <w:ilvl w:val="0"/>
          <w:numId w:val="11"/>
        </w:numPr>
        <w:spacing w:line="278" w:lineRule="auto"/>
      </w:pPr>
      <w:r w:rsidRPr="00884D1E">
        <w:t xml:space="preserve">Variable Pay </w:t>
      </w:r>
    </w:p>
    <w:p w:rsidRPr="00884D1E" w:rsidR="00A9250D" w:rsidP="00A9250D" w:rsidRDefault="00A9250D" w14:paraId="18BF3E79" w14:textId="77777777">
      <w:pPr>
        <w:pStyle w:val="ListParagraph"/>
        <w:numPr>
          <w:ilvl w:val="0"/>
          <w:numId w:val="11"/>
        </w:numPr>
        <w:spacing w:line="278" w:lineRule="auto"/>
      </w:pPr>
      <w:r w:rsidRPr="00884D1E">
        <w:t>Staffing Unavailability</w:t>
      </w:r>
    </w:p>
    <w:p w:rsidRPr="00884D1E" w:rsidR="00A9250D" w:rsidP="00A9250D" w:rsidRDefault="00A9250D" w14:paraId="7BCC75F4" w14:textId="77777777">
      <w:pPr>
        <w:pStyle w:val="ListParagraph"/>
        <w:numPr>
          <w:ilvl w:val="0"/>
          <w:numId w:val="11"/>
        </w:numPr>
        <w:spacing w:line="278" w:lineRule="auto"/>
      </w:pPr>
      <w:r w:rsidRPr="00884D1E">
        <w:t xml:space="preserve">Workforce </w:t>
      </w:r>
      <w:r>
        <w:t>establishment</w:t>
      </w:r>
    </w:p>
    <w:p w:rsidR="00F101E4" w:rsidRDefault="00F101E4" w14:paraId="6E58544F" w14:textId="77777777">
      <w:pPr>
        <w:spacing w:after="0" w:line="240" w:lineRule="auto"/>
        <w:jc w:val="both"/>
        <w:rPr>
          <w:kern w:val="2"/>
          <w:lang w:eastAsia="en-GB"/>
          <w14:ligatures w14:val="standardContextual"/>
        </w:rPr>
      </w:pPr>
      <w:r>
        <w:t>The Variable Pay Steering Group has dedicated plans covering all professional groups that are led by Executive Directors. Overarching highlight reports are provided to the Recovery and Sustainability Board to monitor progress and ensure delivery.</w:t>
      </w:r>
    </w:p>
    <w:p w:rsidRPr="00335379" w:rsidR="00653AEC" w:rsidP="00653AEC" w:rsidRDefault="00653AEC" w14:paraId="6D290421" w14:textId="77777777">
      <w:pPr>
        <w:pStyle w:val="ListParagraph"/>
        <w:spacing w:after="0" w:line="240" w:lineRule="auto"/>
      </w:pPr>
    </w:p>
    <w:p w:rsidR="00E047A0" w:rsidP="00E047A0" w:rsidRDefault="00653AEC" w14:paraId="0D142C8C" w14:textId="0A69A955">
      <w:pPr>
        <w:pStyle w:val="ListParagraph"/>
        <w:numPr>
          <w:ilvl w:val="0"/>
          <w:numId w:val="1"/>
        </w:numPr>
        <w:spacing w:after="0" w:line="240" w:lineRule="auto"/>
        <w:rPr>
          <w:b/>
          <w:bCs/>
        </w:rPr>
      </w:pPr>
      <w:r w:rsidRPr="00335379">
        <w:rPr>
          <w:b/>
          <w:bCs/>
        </w:rPr>
        <w:t>GOVERNANCE AND RISK ISSUES</w:t>
      </w:r>
    </w:p>
    <w:p w:rsidR="00F43231" w:rsidP="00F43231" w:rsidRDefault="00F43231" w14:paraId="433440A2" w14:textId="77777777">
      <w:pPr>
        <w:spacing w:after="0" w:line="240" w:lineRule="auto"/>
        <w:rPr>
          <w:b/>
          <w:bCs/>
        </w:rPr>
      </w:pPr>
    </w:p>
    <w:p w:rsidR="00B81348" w:rsidRDefault="00B81348" w14:paraId="6B366794" w14:textId="77777777">
      <w:pPr>
        <w:spacing w:after="0" w:line="240" w:lineRule="auto"/>
        <w:jc w:val="both"/>
        <w:rPr>
          <w:kern w:val="2"/>
          <w:lang w:eastAsia="en-GB"/>
          <w14:ligatures w14:val="standardContextual"/>
        </w:rPr>
      </w:pPr>
      <w:r>
        <w:t>Over the last 12 months, the Health Board has implemented a number of controls to ensure robust vacancy management and the appropriate use of variable pay. To support a sustainable future, work has been undertaken to define the workforce reduction of 900 FTE per year that the Health Board must achieve over the next three years, delivered through reductions in substantive full-time equivalent establishment and variable pay.</w:t>
      </w:r>
    </w:p>
    <w:p w:rsidR="006020AC" w:rsidRDefault="006020AC" w14:paraId="4AB2EF05" w14:textId="77777777">
      <w:pPr>
        <w:spacing w:after="0" w:line="240" w:lineRule="auto"/>
        <w:jc w:val="both"/>
      </w:pPr>
    </w:p>
    <w:p w:rsidR="003E70B9" w:rsidRDefault="003E70B9" w14:paraId="16F2C46B" w14:textId="465BCC21">
      <w:pPr>
        <w:spacing w:after="0" w:line="240" w:lineRule="auto"/>
        <w:jc w:val="both"/>
        <w:rPr>
          <w:kern w:val="2"/>
          <w:lang w:eastAsia="en-GB"/>
          <w14:ligatures w14:val="standardContextual"/>
        </w:rPr>
      </w:pPr>
      <w:r>
        <w:lastRenderedPageBreak/>
        <w:t>The financial and workforce context should be considered together. The Health Board's wider savings requirement, the planned workforce reduction over the medium term and the specific variable pay reduction target are linked components of the overall recovery plan. Reducing variable pay is therefore not only a financial requirement but also a key element of achieving a more sustainable workforce model that is closer aligned to funded establishment.</w:t>
      </w:r>
    </w:p>
    <w:p w:rsidR="00B91C4E" w:rsidP="006C20CE" w:rsidRDefault="00B91C4E" w14:paraId="573E1949" w14:textId="77777777">
      <w:pPr>
        <w:spacing w:after="0" w:line="240" w:lineRule="auto"/>
        <w:jc w:val="both"/>
      </w:pPr>
    </w:p>
    <w:p w:rsidR="00B81348" w:rsidRDefault="00B81348" w14:paraId="6E5636E5" w14:textId="77777777">
      <w:pPr>
        <w:spacing w:after="0" w:line="240" w:lineRule="auto"/>
        <w:jc w:val="both"/>
        <w:rPr>
          <w:kern w:val="2"/>
          <w:lang w:eastAsia="en-GB"/>
          <w14:ligatures w14:val="standardContextual"/>
        </w:rPr>
      </w:pPr>
      <w:r>
        <w:t>The graph below outlines the combined full-time equivalent (FTE) for both substantive staff and variable pay usage from April 2025 to April 2026.</w:t>
      </w:r>
    </w:p>
    <w:p w:rsidR="000D76DA" w:rsidP="00F43231" w:rsidRDefault="000D76DA" w14:paraId="759EFDA7" w14:textId="77777777">
      <w:pPr>
        <w:spacing w:after="0" w:line="240" w:lineRule="auto"/>
      </w:pPr>
    </w:p>
    <w:p w:rsidR="000D76DA" w:rsidP="00F43231" w:rsidRDefault="000D76DA" w14:paraId="1AA56E01" w14:textId="4176443E">
      <w:pPr>
        <w:spacing w:after="0" w:line="240" w:lineRule="auto"/>
      </w:pPr>
      <w:r w:rsidRPr="000D76DA">
        <w:rPr>
          <w:noProof/>
        </w:rPr>
        <w:drawing>
          <wp:inline distT="0" distB="0" distL="0" distR="0" wp14:anchorId="7124D4C3" wp14:editId="330C578D">
            <wp:extent cx="5731510" cy="2849880"/>
            <wp:effectExtent l="0" t="0" r="2540" b="7620"/>
            <wp:docPr id="1374962251" name="Chart 1">
              <a:extLst xmlns:a="http://schemas.openxmlformats.org/drawingml/2006/main">
                <a:ext uri="{FF2B5EF4-FFF2-40B4-BE49-F238E27FC236}">
                  <a16:creationId xmlns:a16="http://schemas.microsoft.com/office/drawing/2014/main" id="{E65404B0-E38A-3ADE-81D6-0CF4B3F04A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D76DA" w:rsidP="00F43231" w:rsidRDefault="000D76DA" w14:paraId="12E4866B" w14:textId="77777777">
      <w:pPr>
        <w:spacing w:after="0" w:line="240" w:lineRule="auto"/>
      </w:pPr>
    </w:p>
    <w:p w:rsidR="00B81348" w:rsidRDefault="00B81348" w14:paraId="3100D03A" w14:textId="77777777">
      <w:pPr>
        <w:spacing w:after="0" w:line="240" w:lineRule="auto"/>
        <w:jc w:val="both"/>
        <w:rPr>
          <w:kern w:val="2"/>
          <w:lang w:eastAsia="en-GB"/>
          <w14:ligatures w14:val="standardContextual"/>
        </w:rPr>
      </w:pPr>
      <w:r>
        <w:t>Whilst the Health Board continues to face challenges in reducing variable pay, the overall combined substantive and variable pay full-time equivalent position is moving closer to the budgeted establishment. Further analysis of the professional groups is included in Appendix 1; however, the data shows significant gaps within Administrative, Estates and Facilities, and Additional Professional, Scientific and Technical staff. It is also important to note that this information focuses on full-time equivalent and not actual spend, which will be higher due to the use of variable pay.</w:t>
      </w:r>
    </w:p>
    <w:p w:rsidRPr="00997C66" w:rsidR="00E0673E" w:rsidP="00997C66" w:rsidRDefault="00E0673E" w14:paraId="4FAF2BC3" w14:textId="77777777">
      <w:pPr>
        <w:spacing w:after="0" w:line="240" w:lineRule="auto"/>
        <w:jc w:val="both"/>
      </w:pPr>
    </w:p>
    <w:p w:rsidR="002408E3" w:rsidRDefault="003E70B9" w14:paraId="722EF060" w14:textId="77777777">
      <w:pPr>
        <w:spacing w:after="0" w:line="240" w:lineRule="auto"/>
        <w:jc w:val="both"/>
        <w:rPr>
          <w:b/>
          <w:bCs/>
        </w:rPr>
      </w:pPr>
      <w:r>
        <w:rPr>
          <w:b/>
          <w:bCs/>
        </w:rPr>
        <w:t>Key risks and barriers</w:t>
      </w:r>
    </w:p>
    <w:p w:rsidR="006D55B6" w:rsidRDefault="003E70B9" w14:paraId="27147E29" w14:textId="01197D09">
      <w:pPr>
        <w:spacing w:after="0" w:line="240" w:lineRule="auto"/>
        <w:jc w:val="both"/>
      </w:pPr>
      <w:r>
        <w:t>Delivery risk remains in a number of areas. These include hard-to-recruit specialist roles, continuing service pressures, the need to maintain safe staffing levels</w:t>
      </w:r>
      <w:r w:rsidR="007849E3">
        <w:t xml:space="preserve"> and </w:t>
      </w:r>
      <w:r>
        <w:t>variability in the availability of</w:t>
      </w:r>
      <w:r w:rsidR="006D55B6">
        <w:t xml:space="preserve"> substantive staff</w:t>
      </w:r>
      <w:r w:rsidR="007849E3">
        <w:t>.</w:t>
      </w:r>
    </w:p>
    <w:p w:rsidR="006D55B6" w:rsidRDefault="006D55B6" w14:paraId="1423D371" w14:textId="77777777">
      <w:pPr>
        <w:spacing w:after="0" w:line="240" w:lineRule="auto"/>
        <w:jc w:val="both"/>
      </w:pPr>
    </w:p>
    <w:p w:rsidR="00014EA6" w:rsidRDefault="00014EA6" w14:paraId="21CB6F83" w14:textId="77777777">
      <w:pPr>
        <w:spacing w:after="0" w:line="240" w:lineRule="auto"/>
        <w:jc w:val="both"/>
        <w:rPr>
          <w:kern w:val="2"/>
          <w:lang w:eastAsia="en-GB"/>
          <w14:ligatures w14:val="standardContextual"/>
        </w:rPr>
      </w:pPr>
      <w:r>
        <w:t xml:space="preserve">Whilst the Health Board is focused on reducing areas of over-establishment within Nursing, significant risk remains in maintaining safe clinical care, which continues to drive the use of variable pay. There is also a risk that, unless substantive recruitment in hard-to-recruit roles, roster management </w:t>
      </w:r>
      <w:r>
        <w:lastRenderedPageBreak/>
        <w:t>and service redesign progress at sufficient pace, reductions in variable pay may not be deliverable within the required timescale.</w:t>
      </w:r>
    </w:p>
    <w:p w:rsidR="00922BE1" w:rsidRDefault="00922BE1" w14:paraId="7D273562" w14:textId="77777777">
      <w:pPr>
        <w:spacing w:after="0" w:line="240" w:lineRule="auto"/>
        <w:jc w:val="both"/>
        <w:rPr>
          <w:kern w:val="2"/>
          <w:lang w:eastAsia="en-GB"/>
          <w14:ligatures w14:val="standardContextual"/>
        </w:rPr>
      </w:pPr>
    </w:p>
    <w:p w:rsidR="00447542" w:rsidRDefault="003E70B9" w14:paraId="37860B0E" w14:textId="77777777">
      <w:pPr>
        <w:spacing w:after="0" w:line="240" w:lineRule="auto"/>
        <w:jc w:val="both"/>
      </w:pPr>
      <w:r>
        <w:rPr>
          <w:b/>
          <w:bCs/>
        </w:rPr>
        <w:t>Mitigating actions</w:t>
      </w:r>
      <w:r>
        <w:t xml:space="preserve"> </w:t>
      </w:r>
    </w:p>
    <w:p w:rsidR="003E70B9" w:rsidRDefault="003E70B9" w14:paraId="2B73563A" w14:textId="6E93CF56">
      <w:pPr>
        <w:spacing w:after="0" w:line="240" w:lineRule="auto"/>
        <w:jc w:val="both"/>
        <w:rPr>
          <w:kern w:val="2"/>
          <w:lang w:eastAsia="en-GB"/>
          <w14:ligatures w14:val="standardContextual"/>
        </w:rPr>
      </w:pPr>
      <w:r>
        <w:t>A number of actions are in place to support further reduction. These include strengthened vacancy controls, executive-led oversight of professional group plans, regular review of service and corporate trajectories, scrutiny of agency and locum usage, and continued work to align staffing levels to funded establishment. In addition, service groups are being supported to refine granular delivery plans so that exception areas can be identified early and escalated through the Recovery and Sustainability governance arrangements where progress is insufficient.</w:t>
      </w:r>
    </w:p>
    <w:p w:rsidR="00511AA7" w:rsidP="006C20CE" w:rsidRDefault="00511AA7" w14:paraId="38EAC4EE" w14:textId="77777777">
      <w:pPr>
        <w:spacing w:after="0" w:line="240" w:lineRule="auto"/>
        <w:jc w:val="both"/>
      </w:pPr>
    </w:p>
    <w:p w:rsidR="00B81348" w:rsidRDefault="00B81348" w14:paraId="7EFE61BA" w14:textId="77777777">
      <w:pPr>
        <w:spacing w:after="0" w:line="240" w:lineRule="auto"/>
        <w:jc w:val="both"/>
        <w:rPr>
          <w:kern w:val="2"/>
          <w:lang w:eastAsia="en-GB"/>
          <w14:ligatures w14:val="standardContextual"/>
        </w:rPr>
      </w:pPr>
      <w:r>
        <w:t>Work is underway with all service groups and corporate directorates to review granular plans to ensure delivery against the 900 FTE reduction. Once agreed, the plans will be reviewed regularly to monitor trajectory and confirm delivery.</w:t>
      </w:r>
    </w:p>
    <w:p w:rsidR="003D58E9" w:rsidP="00CC0C84" w:rsidRDefault="003D58E9" w14:paraId="2307F6F8" w14:textId="77777777">
      <w:pPr>
        <w:spacing w:after="0" w:line="240" w:lineRule="auto"/>
        <w:jc w:val="both"/>
      </w:pPr>
    </w:p>
    <w:p w:rsidRPr="003D58E9" w:rsidR="003D58E9" w:rsidP="00CC0C84" w:rsidRDefault="003D58E9" w14:paraId="24B658A5" w14:textId="7D5AE4C9">
      <w:pPr>
        <w:spacing w:after="0" w:line="240" w:lineRule="auto"/>
        <w:jc w:val="both"/>
        <w:rPr>
          <w:b/>
          <w:bCs/>
        </w:rPr>
      </w:pPr>
      <w:r w:rsidRPr="003D58E9">
        <w:rPr>
          <w:b/>
          <w:bCs/>
        </w:rPr>
        <w:t>100 Leaders Engagement</w:t>
      </w:r>
    </w:p>
    <w:p w:rsidR="00014EA6" w:rsidRDefault="00014EA6" w14:paraId="096C0A62" w14:textId="77777777">
      <w:pPr>
        <w:spacing w:after="0" w:line="240" w:lineRule="auto"/>
        <w:jc w:val="both"/>
        <w:rPr>
          <w:kern w:val="2"/>
          <w:lang w:eastAsia="en-GB"/>
          <w14:ligatures w14:val="standardContextual"/>
        </w:rPr>
      </w:pPr>
      <w:r>
        <w:t>During May, the 100 Leaders network met to support the wider workforce transformation context within which variable pay reduction plans are being developed. The session focused on breakthrough objectives, leadership ownership and the actions required to support more sustainable service models, which will help inform Transforming for the Future and the clinical service plan.</w:t>
      </w:r>
    </w:p>
    <w:p w:rsidRPr="00B50ABC" w:rsidR="00B50ABC" w:rsidP="00B50ABC" w:rsidRDefault="00B50ABC" w14:paraId="2E68798D" w14:textId="77777777">
      <w:pPr>
        <w:spacing w:after="0" w:line="240" w:lineRule="auto"/>
        <w:rPr>
          <w:b/>
        </w:rPr>
      </w:pPr>
    </w:p>
    <w:p w:rsidRPr="006C20CE" w:rsidR="00653AEC" w:rsidP="006C20CE" w:rsidRDefault="00653AEC" w14:paraId="6D290427" w14:textId="77FC69D8">
      <w:pPr>
        <w:pStyle w:val="ListParagraph"/>
        <w:numPr>
          <w:ilvl w:val="0"/>
          <w:numId w:val="1"/>
        </w:numPr>
        <w:spacing w:after="0" w:line="240" w:lineRule="auto"/>
        <w:rPr>
          <w:b/>
        </w:rPr>
      </w:pPr>
      <w:r w:rsidRPr="006C20CE">
        <w:rPr>
          <w:b/>
        </w:rPr>
        <w:t>FINANCIAL IMPLICATIONS</w:t>
      </w:r>
    </w:p>
    <w:p w:rsidR="00653AEC" w:rsidP="00653AEC" w:rsidRDefault="00653AEC" w14:paraId="6D290429" w14:textId="77777777">
      <w:pPr>
        <w:pStyle w:val="ListParagraph"/>
        <w:spacing w:after="0" w:line="240" w:lineRule="auto"/>
        <w:rPr>
          <w:b/>
        </w:rPr>
      </w:pPr>
    </w:p>
    <w:p w:rsidR="00014EA6" w:rsidRDefault="00014EA6" w14:paraId="16A05711" w14:textId="77777777">
      <w:pPr>
        <w:spacing w:after="0" w:line="240" w:lineRule="auto"/>
        <w:jc w:val="both"/>
        <w:rPr>
          <w:kern w:val="2"/>
          <w:lang w:eastAsia="en-GB"/>
          <w14:ligatures w14:val="standardContextual"/>
        </w:rPr>
      </w:pPr>
      <w:r>
        <w:t>The information below outlines variable pay spend. Continued reductions are evident across some categories; however, a significant further reduction is still required to achieve the savings target. Variable pay reduced by £0.27m in Month 1, and the graph below shows a reduction in agency and waiting list initiative payments compared with average spend in 2025/26.</w:t>
      </w:r>
    </w:p>
    <w:p w:rsidRPr="005072BA" w:rsidR="005072BA" w:rsidP="005072BA" w:rsidRDefault="005072BA" w14:paraId="6C0C2398" w14:textId="77777777">
      <w:pPr>
        <w:spacing w:after="0" w:line="240" w:lineRule="auto"/>
        <w:jc w:val="both"/>
        <w:rPr>
          <w:bCs/>
        </w:rPr>
      </w:pPr>
    </w:p>
    <w:p w:rsidRPr="00884D1E" w:rsidR="002945A7" w:rsidP="002945A7" w:rsidRDefault="002945A7" w14:paraId="1EA1B994" w14:textId="28BE6660">
      <w:pPr>
        <w:spacing w:after="0" w:line="240" w:lineRule="auto"/>
        <w:jc w:val="both"/>
        <w:rPr>
          <w:bCs/>
        </w:rPr>
      </w:pPr>
    </w:p>
    <w:p w:rsidR="00F32037" w:rsidP="00653AEC" w:rsidRDefault="00F32037" w14:paraId="545C1EDA" w14:textId="77777777">
      <w:pPr>
        <w:pStyle w:val="ListParagraph"/>
        <w:spacing w:after="0" w:line="240" w:lineRule="auto"/>
        <w:rPr>
          <w:b/>
        </w:rPr>
      </w:pPr>
    </w:p>
    <w:p w:rsidR="0013078E" w:rsidP="00653AEC" w:rsidRDefault="0013078E" w14:paraId="2D31C743" w14:textId="77777777">
      <w:pPr>
        <w:pStyle w:val="ListParagraph"/>
        <w:spacing w:after="0" w:line="240" w:lineRule="auto"/>
        <w:rPr>
          <w:b/>
        </w:rPr>
      </w:pPr>
    </w:p>
    <w:p w:rsidR="0013078E" w:rsidP="00653AEC" w:rsidRDefault="0013078E" w14:paraId="0B7C5D90" w14:textId="366FA05B">
      <w:pPr>
        <w:pStyle w:val="ListParagraph"/>
        <w:spacing w:after="0" w:line="240" w:lineRule="auto"/>
        <w:rPr>
          <w:b/>
        </w:rPr>
      </w:pPr>
      <w:r w:rsidRPr="0013078E">
        <w:rPr>
          <w:b/>
          <w:noProof/>
        </w:rPr>
        <w:lastRenderedPageBreak/>
        <w:drawing>
          <wp:inline distT="0" distB="0" distL="0" distR="0" wp14:anchorId="7DC917B0" wp14:editId="4414EB8D">
            <wp:extent cx="5423364" cy="2123440"/>
            <wp:effectExtent l="0" t="0" r="6350" b="0"/>
            <wp:docPr id="1368796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7981" cy="2125248"/>
                    </a:xfrm>
                    <a:prstGeom prst="rect">
                      <a:avLst/>
                    </a:prstGeom>
                    <a:noFill/>
                    <a:ln>
                      <a:noFill/>
                    </a:ln>
                  </pic:spPr>
                </pic:pic>
              </a:graphicData>
            </a:graphic>
          </wp:inline>
        </w:drawing>
      </w:r>
    </w:p>
    <w:p w:rsidR="00F32037" w:rsidP="00653AEC" w:rsidRDefault="00F32037" w14:paraId="5CAF6B5D" w14:textId="77777777">
      <w:pPr>
        <w:pStyle w:val="ListParagraph"/>
        <w:spacing w:after="0" w:line="240" w:lineRule="auto"/>
        <w:rPr>
          <w:b/>
        </w:rPr>
      </w:pPr>
    </w:p>
    <w:p w:rsidR="001C1198" w:rsidP="00653AEC" w:rsidRDefault="001C1198" w14:paraId="662D72DF" w14:textId="77777777">
      <w:pPr>
        <w:pStyle w:val="ListParagraph"/>
        <w:spacing w:after="0" w:line="240" w:lineRule="auto"/>
        <w:rPr>
          <w:b/>
        </w:rPr>
      </w:pPr>
    </w:p>
    <w:p w:rsidRPr="00625A5E" w:rsidR="00B472B5" w:rsidP="007541E7" w:rsidRDefault="007541E7" w14:paraId="1BD076F3" w14:textId="631CA1B9">
      <w:pPr>
        <w:spacing w:after="0" w:line="240" w:lineRule="auto"/>
        <w:rPr>
          <w:bCs/>
        </w:rPr>
      </w:pPr>
      <w:r w:rsidRPr="00625A5E">
        <w:rPr>
          <w:bCs/>
        </w:rPr>
        <w:t>The information below outline</w:t>
      </w:r>
      <w:r w:rsidRPr="00625A5E" w:rsidR="007F12F3">
        <w:rPr>
          <w:bCs/>
        </w:rPr>
        <w:t>s</w:t>
      </w:r>
      <w:r w:rsidRPr="00625A5E">
        <w:rPr>
          <w:bCs/>
        </w:rPr>
        <w:t xml:space="preserve"> the variable pay spend </w:t>
      </w:r>
      <w:r w:rsidRPr="00625A5E" w:rsidR="0095509C">
        <w:rPr>
          <w:bCs/>
        </w:rPr>
        <w:t>for 2025/</w:t>
      </w:r>
      <w:r w:rsidRPr="00625A5E" w:rsidR="000717E0">
        <w:rPr>
          <w:bCs/>
        </w:rPr>
        <w:t>26</w:t>
      </w:r>
      <w:r w:rsidR="00625A5E">
        <w:rPr>
          <w:bCs/>
        </w:rPr>
        <w:t xml:space="preserve"> and the month 1 position </w:t>
      </w:r>
      <w:r w:rsidR="00447542">
        <w:rPr>
          <w:bCs/>
        </w:rPr>
        <w:t>highlighted.</w:t>
      </w:r>
    </w:p>
    <w:p w:rsidR="00B472B5" w:rsidP="007541E7" w:rsidRDefault="00B472B5" w14:paraId="0E8FC77C" w14:textId="77777777">
      <w:pPr>
        <w:spacing w:after="0" w:line="240" w:lineRule="auto"/>
        <w:rPr>
          <w:b/>
        </w:rPr>
      </w:pPr>
    </w:p>
    <w:p w:rsidRPr="00625A5E" w:rsidR="001C1198" w:rsidP="00625A5E" w:rsidRDefault="0095509C" w14:paraId="59B21420" w14:textId="1B290376">
      <w:pPr>
        <w:spacing w:after="0" w:line="240" w:lineRule="auto"/>
        <w:rPr>
          <w:b/>
        </w:rPr>
      </w:pPr>
      <w:r w:rsidRPr="0095509C">
        <w:rPr>
          <w:b/>
          <w:noProof/>
        </w:rPr>
        <w:drawing>
          <wp:inline distT="0" distB="0" distL="0" distR="0" wp14:anchorId="2B8962D3" wp14:editId="6B4EE81A">
            <wp:extent cx="6462434" cy="2762250"/>
            <wp:effectExtent l="0" t="0" r="0" b="0"/>
            <wp:docPr id="1471613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613419" name=""/>
                    <pic:cNvPicPr/>
                  </pic:nvPicPr>
                  <pic:blipFill>
                    <a:blip r:embed="rId13"/>
                    <a:stretch>
                      <a:fillRect/>
                    </a:stretch>
                  </pic:blipFill>
                  <pic:spPr>
                    <a:xfrm>
                      <a:off x="0" y="0"/>
                      <a:ext cx="6469759" cy="2765381"/>
                    </a:xfrm>
                    <a:prstGeom prst="rect">
                      <a:avLst/>
                    </a:prstGeom>
                  </pic:spPr>
                </pic:pic>
              </a:graphicData>
            </a:graphic>
          </wp:inline>
        </w:drawing>
      </w:r>
    </w:p>
    <w:p w:rsidR="001C1198" w:rsidP="00653AEC" w:rsidRDefault="001C1198" w14:paraId="60A6E263" w14:textId="77777777">
      <w:pPr>
        <w:pStyle w:val="ListParagraph"/>
        <w:spacing w:after="0" w:line="240" w:lineRule="auto"/>
        <w:rPr>
          <w:b/>
        </w:rPr>
      </w:pPr>
    </w:p>
    <w:p w:rsidR="00F32037" w:rsidP="00F32037" w:rsidRDefault="00F32037" w14:paraId="60ED8D76" w14:textId="77777777">
      <w:pPr>
        <w:spacing w:after="0" w:line="240" w:lineRule="auto"/>
        <w:rPr>
          <w:b/>
        </w:rPr>
      </w:pPr>
      <w:r w:rsidRPr="000629FB">
        <w:rPr>
          <w:b/>
        </w:rPr>
        <w:t xml:space="preserve">Agency </w:t>
      </w:r>
    </w:p>
    <w:p w:rsidRPr="00EF0839" w:rsidR="00EF0839" w:rsidP="00F32037" w:rsidRDefault="00EF0839" w14:paraId="42B8BBED" w14:textId="77777777">
      <w:pPr>
        <w:spacing w:after="0" w:line="240" w:lineRule="auto"/>
        <w:rPr>
          <w:bCs/>
        </w:rPr>
      </w:pPr>
    </w:p>
    <w:p w:rsidRPr="00EF0839" w:rsidR="00EF0839" w:rsidP="00EF0839" w:rsidRDefault="00EF0839" w14:paraId="536F19C1" w14:textId="3FE68908">
      <w:pPr>
        <w:spacing w:after="0" w:line="240" w:lineRule="auto"/>
        <w:jc w:val="both"/>
        <w:rPr>
          <w:bCs/>
        </w:rPr>
      </w:pPr>
      <w:r w:rsidRPr="00EF0839">
        <w:rPr>
          <w:bCs/>
        </w:rPr>
        <w:t>The table below outlines the</w:t>
      </w:r>
      <w:r w:rsidR="00B472B5">
        <w:rPr>
          <w:bCs/>
        </w:rPr>
        <w:t xml:space="preserve"> full</w:t>
      </w:r>
      <w:r w:rsidRPr="00EF0839">
        <w:rPr>
          <w:bCs/>
        </w:rPr>
        <w:t>-time equivalent (</w:t>
      </w:r>
      <w:r w:rsidR="00B472B5">
        <w:rPr>
          <w:bCs/>
        </w:rPr>
        <w:t>F</w:t>
      </w:r>
      <w:r w:rsidRPr="00EF0839">
        <w:rPr>
          <w:bCs/>
        </w:rPr>
        <w:t>TE) agency usage for 2025/26, split between framework and non-framework expenditure. Usage within Neonatal Services and Allied Health Professionals reduced during March and April; however, this was offset by increased agency utilisation within the Intensive Treatment Unit and Mental Health services, reflecting the specialist skills required to support staffing in these areas</w:t>
      </w:r>
      <w:r w:rsidR="006E095F">
        <w:rPr>
          <w:bCs/>
        </w:rPr>
        <w:t xml:space="preserve">. It is important to note that Richmond Nursing </w:t>
      </w:r>
      <w:r w:rsidR="00A1425A">
        <w:rPr>
          <w:bCs/>
        </w:rPr>
        <w:t xml:space="preserve">ceased trading in May 2026 and supplied the Health Board with approximately </w:t>
      </w:r>
      <w:r w:rsidRPr="00A1425A" w:rsidR="00A1425A">
        <w:rPr>
          <w:bCs/>
        </w:rPr>
        <w:t>198 candidates</w:t>
      </w:r>
      <w:r w:rsidR="00C77FC5">
        <w:rPr>
          <w:bCs/>
        </w:rPr>
        <w:t xml:space="preserve"> which may impact on the future ability to cover shifts via the framework providers.</w:t>
      </w:r>
    </w:p>
    <w:p w:rsidRPr="00810370" w:rsidR="00F32037" w:rsidP="00F32037" w:rsidRDefault="00F32037" w14:paraId="2EC0CF42" w14:textId="77777777">
      <w:pPr>
        <w:spacing w:after="0" w:line="240" w:lineRule="auto"/>
        <w:rPr>
          <w:bCs/>
          <w:sz w:val="16"/>
          <w:szCs w:val="16"/>
        </w:rPr>
      </w:pPr>
    </w:p>
    <w:p w:rsidR="00F32037" w:rsidP="00F32037" w:rsidRDefault="00593CBF" w14:paraId="35DBF4A3" w14:textId="000E5090">
      <w:pPr>
        <w:spacing w:after="0" w:line="240" w:lineRule="auto"/>
        <w:rPr>
          <w:bCs/>
        </w:rPr>
      </w:pPr>
      <w:r w:rsidRPr="00593CBF">
        <w:rPr>
          <w:bCs/>
          <w:noProof/>
        </w:rPr>
        <w:lastRenderedPageBreak/>
        <w:drawing>
          <wp:inline distT="0" distB="0" distL="0" distR="0" wp14:anchorId="40355DA2" wp14:editId="5A55E7F8">
            <wp:extent cx="5505733" cy="806491"/>
            <wp:effectExtent l="0" t="0" r="0" b="0"/>
            <wp:docPr id="1047944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944431" name=""/>
                    <pic:cNvPicPr/>
                  </pic:nvPicPr>
                  <pic:blipFill>
                    <a:blip r:embed="rId14"/>
                    <a:stretch>
                      <a:fillRect/>
                    </a:stretch>
                  </pic:blipFill>
                  <pic:spPr>
                    <a:xfrm>
                      <a:off x="0" y="0"/>
                      <a:ext cx="5505733" cy="806491"/>
                    </a:xfrm>
                    <a:prstGeom prst="rect">
                      <a:avLst/>
                    </a:prstGeom>
                  </pic:spPr>
                </pic:pic>
              </a:graphicData>
            </a:graphic>
          </wp:inline>
        </w:drawing>
      </w:r>
    </w:p>
    <w:p w:rsidR="00F32037" w:rsidP="00F32037" w:rsidRDefault="00F32037" w14:paraId="5244ED00" w14:textId="77777777">
      <w:pPr>
        <w:spacing w:after="0" w:line="240" w:lineRule="auto"/>
        <w:rPr>
          <w:bCs/>
        </w:rPr>
      </w:pPr>
    </w:p>
    <w:p w:rsidR="00F101E4" w:rsidRDefault="00F101E4" w14:paraId="23BF87DB" w14:textId="77777777">
      <w:pPr>
        <w:spacing w:after="0" w:line="240" w:lineRule="auto"/>
        <w:rPr>
          <w:kern w:val="2"/>
          <w:lang w:eastAsia="en-GB"/>
          <w14:ligatures w14:val="standardContextual"/>
        </w:rPr>
      </w:pPr>
      <w:r>
        <w:t>The table below outlines agency use for Medical, which confirms a level of usage comparable to the same period in 2025, despite a decline in usage between August and December 2025.</w:t>
      </w:r>
    </w:p>
    <w:p w:rsidR="00F32037" w:rsidP="00F32037" w:rsidRDefault="00F32037" w14:paraId="28133206" w14:textId="77777777">
      <w:pPr>
        <w:spacing w:after="0" w:line="240" w:lineRule="auto"/>
        <w:rPr>
          <w:bCs/>
        </w:rPr>
      </w:pPr>
    </w:p>
    <w:p w:rsidR="00F32037" w:rsidP="00F32037" w:rsidRDefault="001F141D" w14:paraId="0372E826" w14:textId="5258AF04">
      <w:pPr>
        <w:spacing w:after="0" w:line="240" w:lineRule="auto"/>
        <w:rPr>
          <w:bCs/>
        </w:rPr>
      </w:pPr>
      <w:r w:rsidRPr="001F141D">
        <w:rPr>
          <w:bCs/>
          <w:noProof/>
        </w:rPr>
        <w:drawing>
          <wp:inline distT="0" distB="0" distL="0" distR="0" wp14:anchorId="2F3F119C" wp14:editId="21934964">
            <wp:extent cx="5505733" cy="2101958"/>
            <wp:effectExtent l="0" t="0" r="0" b="0"/>
            <wp:docPr id="4317015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701526" name=""/>
                    <pic:cNvPicPr/>
                  </pic:nvPicPr>
                  <pic:blipFill>
                    <a:blip r:embed="rId15"/>
                    <a:stretch>
                      <a:fillRect/>
                    </a:stretch>
                  </pic:blipFill>
                  <pic:spPr>
                    <a:xfrm>
                      <a:off x="0" y="0"/>
                      <a:ext cx="5505733" cy="2101958"/>
                    </a:xfrm>
                    <a:prstGeom prst="rect">
                      <a:avLst/>
                    </a:prstGeom>
                  </pic:spPr>
                </pic:pic>
              </a:graphicData>
            </a:graphic>
          </wp:inline>
        </w:drawing>
      </w:r>
    </w:p>
    <w:p w:rsidR="00F32037" w:rsidP="00F32037" w:rsidRDefault="00F32037" w14:paraId="6A40B6B8" w14:textId="77777777">
      <w:pPr>
        <w:spacing w:after="0" w:line="240" w:lineRule="auto"/>
        <w:jc w:val="both"/>
        <w:rPr>
          <w:bCs/>
        </w:rPr>
      </w:pPr>
    </w:p>
    <w:p w:rsidR="00F32037" w:rsidP="00F32037" w:rsidRDefault="00F32037" w14:paraId="4FAEA488" w14:textId="77777777">
      <w:pPr>
        <w:spacing w:after="0" w:line="240" w:lineRule="auto"/>
        <w:jc w:val="both"/>
        <w:rPr>
          <w:bCs/>
        </w:rPr>
      </w:pPr>
      <w:r>
        <w:rPr>
          <w:bCs/>
        </w:rPr>
        <w:t>Please note that there is no off-framework agency usage recorded for medical cover.</w:t>
      </w:r>
    </w:p>
    <w:p w:rsidR="00F6254C" w:rsidP="00F32037" w:rsidRDefault="00F6254C" w14:paraId="31C913B6" w14:textId="77777777">
      <w:pPr>
        <w:spacing w:after="0" w:line="240" w:lineRule="auto"/>
        <w:jc w:val="both"/>
        <w:rPr>
          <w:bCs/>
        </w:rPr>
      </w:pPr>
    </w:p>
    <w:p w:rsidR="00F6254C" w:rsidP="00F6254C" w:rsidRDefault="00F6254C" w14:paraId="02932ECB" w14:textId="344D1AA7">
      <w:pPr>
        <w:spacing w:after="0" w:line="240" w:lineRule="auto"/>
        <w:jc w:val="both"/>
        <w:rPr>
          <w:bCs/>
        </w:rPr>
      </w:pPr>
      <w:r>
        <w:rPr>
          <w:bCs/>
        </w:rPr>
        <w:t>Below is the capped rate information fo</w:t>
      </w:r>
      <w:r w:rsidR="00CF1B80">
        <w:rPr>
          <w:bCs/>
        </w:rPr>
        <w:t xml:space="preserve">r Medical internal </w:t>
      </w:r>
      <w:r>
        <w:rPr>
          <w:bCs/>
        </w:rPr>
        <w:t>and agency</w:t>
      </w:r>
      <w:r w:rsidR="00CF1B80">
        <w:rPr>
          <w:bCs/>
        </w:rPr>
        <w:t xml:space="preserve"> locu</w:t>
      </w:r>
      <w:r w:rsidR="00810C31">
        <w:rPr>
          <w:bCs/>
        </w:rPr>
        <w:t>ms</w:t>
      </w:r>
      <w:r>
        <w:rPr>
          <w:bCs/>
        </w:rPr>
        <w:t xml:space="preserve"> for </w:t>
      </w:r>
      <w:r w:rsidR="00810C31">
        <w:rPr>
          <w:bCs/>
        </w:rPr>
        <w:t xml:space="preserve">April &amp; May </w:t>
      </w:r>
      <w:r>
        <w:rPr>
          <w:bCs/>
        </w:rPr>
        <w:t xml:space="preserve">2026. Please note that data for </w:t>
      </w:r>
      <w:r w:rsidR="00810C31">
        <w:rPr>
          <w:bCs/>
        </w:rPr>
        <w:t>May</w:t>
      </w:r>
      <w:r>
        <w:rPr>
          <w:bCs/>
        </w:rPr>
        <w:t xml:space="preserve"> 2026 may change due to corrections being applied for pay processing periods. </w:t>
      </w:r>
    </w:p>
    <w:p w:rsidR="00F6254C" w:rsidP="00F32037" w:rsidRDefault="00F6254C" w14:paraId="20B95F8C" w14:textId="77777777">
      <w:pPr>
        <w:spacing w:after="0" w:line="240" w:lineRule="auto"/>
        <w:jc w:val="both"/>
        <w:rPr>
          <w:bCs/>
        </w:rPr>
      </w:pPr>
    </w:p>
    <w:tbl>
      <w:tblPr>
        <w:tblW w:w="7120" w:type="dxa"/>
        <w:jc w:val="center"/>
        <w:tblLook w:val="04A0" w:firstRow="1" w:lastRow="0" w:firstColumn="1" w:lastColumn="0" w:noHBand="0" w:noVBand="1"/>
      </w:tblPr>
      <w:tblGrid>
        <w:gridCol w:w="3280"/>
        <w:gridCol w:w="941"/>
        <w:gridCol w:w="988"/>
        <w:gridCol w:w="941"/>
        <w:gridCol w:w="988"/>
      </w:tblGrid>
      <w:tr w:rsidRPr="006E0CAE" w:rsidR="006E0CAE" w:rsidTr="006E0CAE" w14:paraId="5E46E484" w14:textId="77777777">
        <w:trPr>
          <w:trHeight w:val="290"/>
          <w:jc w:val="center"/>
        </w:trPr>
        <w:tc>
          <w:tcPr>
            <w:tcW w:w="3280" w:type="dxa"/>
            <w:tcBorders>
              <w:top w:val="single" w:color="auto" w:sz="4" w:space="0"/>
              <w:left w:val="single" w:color="auto" w:sz="4" w:space="0"/>
              <w:bottom w:val="single" w:color="auto" w:sz="4" w:space="0"/>
              <w:right w:val="single" w:color="auto" w:sz="4" w:space="0"/>
            </w:tcBorders>
            <w:shd w:val="clear" w:color="000000" w:fill="BDD7EE"/>
            <w:noWrap/>
            <w:vAlign w:val="bottom"/>
            <w:hideMark/>
          </w:tcPr>
          <w:p w:rsidRPr="006E0CAE" w:rsidR="006E0CAE" w:rsidP="006E0CAE" w:rsidRDefault="006E0CAE" w14:paraId="0E91F083"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 </w:t>
            </w:r>
          </w:p>
        </w:tc>
        <w:tc>
          <w:tcPr>
            <w:tcW w:w="1920" w:type="dxa"/>
            <w:gridSpan w:val="2"/>
            <w:tcBorders>
              <w:top w:val="single" w:color="auto" w:sz="4" w:space="0"/>
              <w:left w:val="nil"/>
              <w:bottom w:val="single" w:color="auto" w:sz="4" w:space="0"/>
              <w:right w:val="single" w:color="auto" w:sz="4" w:space="0"/>
            </w:tcBorders>
            <w:shd w:val="clear" w:color="000000" w:fill="DDEBF7"/>
            <w:noWrap/>
            <w:vAlign w:val="bottom"/>
            <w:hideMark/>
          </w:tcPr>
          <w:p w:rsidRPr="006E0CAE" w:rsidR="006E0CAE" w:rsidP="006E0CAE" w:rsidRDefault="006E0CAE" w14:paraId="0FC4837F"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Apr-26</w:t>
            </w:r>
          </w:p>
        </w:tc>
        <w:tc>
          <w:tcPr>
            <w:tcW w:w="1920" w:type="dxa"/>
            <w:gridSpan w:val="2"/>
            <w:tcBorders>
              <w:top w:val="single" w:color="auto" w:sz="4" w:space="0"/>
              <w:left w:val="nil"/>
              <w:bottom w:val="single" w:color="auto" w:sz="4" w:space="0"/>
              <w:right w:val="single" w:color="auto" w:sz="4" w:space="0"/>
            </w:tcBorders>
            <w:shd w:val="clear" w:color="000000" w:fill="D9E1F2"/>
            <w:noWrap/>
            <w:vAlign w:val="bottom"/>
            <w:hideMark/>
          </w:tcPr>
          <w:p w:rsidRPr="006E0CAE" w:rsidR="006E0CAE" w:rsidP="006E0CAE" w:rsidRDefault="006E0CAE" w14:paraId="00F5519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May-26</w:t>
            </w:r>
          </w:p>
        </w:tc>
      </w:tr>
      <w:tr w:rsidRPr="006E0CAE" w:rsidR="006E0CAE" w:rsidTr="006E0CAE" w14:paraId="7153A9D1"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BDD7EE"/>
            <w:noWrap/>
            <w:vAlign w:val="bottom"/>
            <w:hideMark/>
          </w:tcPr>
          <w:p w:rsidRPr="006E0CAE" w:rsidR="006E0CAE" w:rsidP="006E0CAE" w:rsidRDefault="006E0CAE" w14:paraId="60B988AC"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 </w:t>
            </w:r>
          </w:p>
        </w:tc>
        <w:tc>
          <w:tcPr>
            <w:tcW w:w="932" w:type="dxa"/>
            <w:tcBorders>
              <w:top w:val="nil"/>
              <w:left w:val="nil"/>
              <w:bottom w:val="single" w:color="auto" w:sz="4" w:space="0"/>
              <w:right w:val="single" w:color="auto" w:sz="4" w:space="0"/>
            </w:tcBorders>
            <w:shd w:val="clear" w:color="000000" w:fill="DDEBF7"/>
            <w:noWrap/>
            <w:vAlign w:val="bottom"/>
            <w:hideMark/>
          </w:tcPr>
          <w:p w:rsidRPr="006E0CAE" w:rsidR="006E0CAE" w:rsidP="006E0CAE" w:rsidRDefault="006E0CAE" w14:paraId="48BD294B"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Internal</w:t>
            </w:r>
          </w:p>
        </w:tc>
        <w:tc>
          <w:tcPr>
            <w:tcW w:w="988" w:type="dxa"/>
            <w:tcBorders>
              <w:top w:val="nil"/>
              <w:left w:val="nil"/>
              <w:bottom w:val="single" w:color="auto" w:sz="4" w:space="0"/>
              <w:right w:val="single" w:color="auto" w:sz="4" w:space="0"/>
            </w:tcBorders>
            <w:shd w:val="clear" w:color="000000" w:fill="DDEBF7"/>
            <w:noWrap/>
            <w:vAlign w:val="bottom"/>
            <w:hideMark/>
          </w:tcPr>
          <w:p w:rsidRPr="006E0CAE" w:rsidR="006E0CAE" w:rsidP="006E0CAE" w:rsidRDefault="006E0CAE" w14:paraId="1BE5F0EC"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Agency</w:t>
            </w:r>
          </w:p>
        </w:tc>
        <w:tc>
          <w:tcPr>
            <w:tcW w:w="932" w:type="dxa"/>
            <w:tcBorders>
              <w:top w:val="nil"/>
              <w:left w:val="nil"/>
              <w:bottom w:val="single" w:color="auto" w:sz="4" w:space="0"/>
              <w:right w:val="single" w:color="auto" w:sz="4" w:space="0"/>
            </w:tcBorders>
            <w:shd w:val="clear" w:color="000000" w:fill="D9E1F2"/>
            <w:noWrap/>
            <w:vAlign w:val="bottom"/>
            <w:hideMark/>
          </w:tcPr>
          <w:p w:rsidRPr="006E0CAE" w:rsidR="006E0CAE" w:rsidP="006E0CAE" w:rsidRDefault="006E0CAE" w14:paraId="5F585CEF"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Internal</w:t>
            </w:r>
          </w:p>
        </w:tc>
        <w:tc>
          <w:tcPr>
            <w:tcW w:w="988" w:type="dxa"/>
            <w:tcBorders>
              <w:top w:val="nil"/>
              <w:left w:val="nil"/>
              <w:bottom w:val="single" w:color="auto" w:sz="4" w:space="0"/>
              <w:right w:val="single" w:color="auto" w:sz="4" w:space="0"/>
            </w:tcBorders>
            <w:shd w:val="clear" w:color="000000" w:fill="DDEBF7"/>
            <w:noWrap/>
            <w:vAlign w:val="bottom"/>
            <w:hideMark/>
          </w:tcPr>
          <w:p w:rsidRPr="006E0CAE" w:rsidR="006E0CAE" w:rsidP="006E0CAE" w:rsidRDefault="006E0CAE" w14:paraId="5BF2167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Agency</w:t>
            </w:r>
          </w:p>
        </w:tc>
      </w:tr>
      <w:tr w:rsidRPr="006E0CAE" w:rsidR="006E0CAE" w:rsidTr="006E0CAE" w14:paraId="54DD2752"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C6E0B4"/>
            <w:noWrap/>
            <w:vAlign w:val="bottom"/>
            <w:hideMark/>
          </w:tcPr>
          <w:p w:rsidRPr="006E0CAE" w:rsidR="006E0CAE" w:rsidP="006E0CAE" w:rsidRDefault="006E0CAE" w14:paraId="31A69CAE"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Individuals Booked</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5FD58C76"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287</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1E7A6F2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11</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5A05D373"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272</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2C8DBECA"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20</w:t>
            </w:r>
          </w:p>
        </w:tc>
      </w:tr>
      <w:tr w:rsidRPr="006E0CAE" w:rsidR="006E0CAE" w:rsidTr="006E0CAE" w14:paraId="5C8EDF02"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C6E0B4"/>
            <w:noWrap/>
            <w:vAlign w:val="bottom"/>
            <w:hideMark/>
          </w:tcPr>
          <w:p w:rsidRPr="006E0CAE" w:rsidR="006E0CAE" w:rsidP="006E0CAE" w:rsidRDefault="006E0CAE" w14:paraId="433A49C2"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Individuals Booked At/Below Cap</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2E2C709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209</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79E74363"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38112F9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190</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065A983C"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w:t>
            </w:r>
          </w:p>
        </w:tc>
      </w:tr>
      <w:tr w:rsidRPr="006E0CAE" w:rsidR="006E0CAE" w:rsidTr="006E0CAE" w14:paraId="6E93DAEB"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C6E0B4"/>
            <w:noWrap/>
            <w:vAlign w:val="bottom"/>
            <w:hideMark/>
          </w:tcPr>
          <w:p w:rsidRPr="006E0CAE" w:rsidR="006E0CAE" w:rsidP="006E0CAE" w:rsidRDefault="006E0CAE" w14:paraId="700E25D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Individuals Booked At/Below Cap %</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69CDB7D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72.82%</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14118E3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0.00%</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0088A94C"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69.85%</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15D384A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0.00%</w:t>
            </w:r>
          </w:p>
        </w:tc>
      </w:tr>
      <w:tr w:rsidRPr="006E0CAE" w:rsidR="006E0CAE" w:rsidTr="006E0CAE" w14:paraId="58D187A3"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C6E0B4"/>
            <w:noWrap/>
            <w:vAlign w:val="bottom"/>
            <w:hideMark/>
          </w:tcPr>
          <w:p w:rsidRPr="006E0CAE" w:rsidR="006E0CAE" w:rsidP="006E0CAE" w:rsidRDefault="006E0CAE" w14:paraId="39426B2F"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Individuals Booked Above Cap</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4416CB68"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90</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39862CBF"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11</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6B6F7EAA"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95</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2F5B3373"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20</w:t>
            </w:r>
          </w:p>
        </w:tc>
      </w:tr>
      <w:tr w:rsidRPr="006E0CAE" w:rsidR="006E0CAE" w:rsidTr="006E0CAE" w14:paraId="523BD8B4"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C6E0B4"/>
            <w:noWrap/>
            <w:vAlign w:val="bottom"/>
            <w:hideMark/>
          </w:tcPr>
          <w:p w:rsidRPr="006E0CAE" w:rsidR="006E0CAE" w:rsidP="006E0CAE" w:rsidRDefault="006E0CAE" w14:paraId="794D4F47"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Individuals Booked Above Cap %</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25E7598B"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31.35%</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376301FD"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100.00%</w:t>
            </w:r>
          </w:p>
        </w:tc>
        <w:tc>
          <w:tcPr>
            <w:tcW w:w="932"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6C500E3D"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34.92%</w:t>
            </w:r>
          </w:p>
        </w:tc>
        <w:tc>
          <w:tcPr>
            <w:tcW w:w="988" w:type="dxa"/>
            <w:tcBorders>
              <w:top w:val="nil"/>
              <w:left w:val="nil"/>
              <w:bottom w:val="single" w:color="auto" w:sz="4" w:space="0"/>
              <w:right w:val="single" w:color="auto" w:sz="4" w:space="0"/>
            </w:tcBorders>
            <w:shd w:val="clear" w:color="000000" w:fill="C6E0B4"/>
            <w:noWrap/>
            <w:vAlign w:val="bottom"/>
            <w:hideMark/>
          </w:tcPr>
          <w:p w:rsidRPr="006E0CAE" w:rsidR="006E0CAE" w:rsidP="006E0CAE" w:rsidRDefault="006E0CAE" w14:paraId="563F375D"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100.00%</w:t>
            </w:r>
          </w:p>
        </w:tc>
      </w:tr>
      <w:tr w:rsidRPr="006E0CAE" w:rsidR="006E0CAE" w:rsidTr="006E0CAE" w14:paraId="44446544"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E699"/>
            <w:noWrap/>
            <w:vAlign w:val="bottom"/>
            <w:hideMark/>
          </w:tcPr>
          <w:p w:rsidRPr="006E0CAE" w:rsidR="006E0CAE" w:rsidP="006E0CAE" w:rsidRDefault="006E0CAE" w14:paraId="5CF55D23"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Hours Booked</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4C02E932"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7581.5</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26B90912"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2653.5</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239DAC37"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7542.92</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72E4880E"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3390.89</w:t>
            </w:r>
          </w:p>
        </w:tc>
      </w:tr>
      <w:tr w:rsidRPr="006E0CAE" w:rsidR="006E0CAE" w:rsidTr="006E0CAE" w14:paraId="1B1751B0"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E699"/>
            <w:noWrap/>
            <w:vAlign w:val="bottom"/>
            <w:hideMark/>
          </w:tcPr>
          <w:p w:rsidRPr="006E0CAE" w:rsidR="006E0CAE" w:rsidP="006E0CAE" w:rsidRDefault="006E0CAE" w14:paraId="0EEDB60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Hours Booked At/Below Cap</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506BDEBD"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5691.08</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554CD01A"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7ED84E4F"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5410.17</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4B4116DF"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w:t>
            </w:r>
          </w:p>
        </w:tc>
      </w:tr>
      <w:tr w:rsidRPr="006E0CAE" w:rsidR="006E0CAE" w:rsidTr="006E0CAE" w14:paraId="5CB84E1E"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E699"/>
            <w:noWrap/>
            <w:vAlign w:val="bottom"/>
            <w:hideMark/>
          </w:tcPr>
          <w:p w:rsidRPr="006E0CAE" w:rsidR="006E0CAE" w:rsidP="006E0CAE" w:rsidRDefault="006E0CAE" w14:paraId="68A59D42"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Hours Booked At/Below Cap %</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348EE264"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75.06%</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688FE20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0.00%</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72DE2BBC"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71.72%</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5040B04D"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0.00%</w:t>
            </w:r>
          </w:p>
        </w:tc>
      </w:tr>
      <w:tr w:rsidRPr="006E0CAE" w:rsidR="006E0CAE" w:rsidTr="006E0CAE" w14:paraId="3ED33749"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E699"/>
            <w:noWrap/>
            <w:vAlign w:val="bottom"/>
            <w:hideMark/>
          </w:tcPr>
          <w:p w:rsidRPr="006E0CAE" w:rsidR="006E0CAE" w:rsidP="006E0CAE" w:rsidRDefault="006E0CAE" w14:paraId="2599AE11"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Hours Booked Above Cap</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13B77B8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1890.42</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01098F42"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2653.5</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66C97B77"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2132.75</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5A926FAD"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3390.89</w:t>
            </w:r>
          </w:p>
        </w:tc>
      </w:tr>
      <w:tr w:rsidRPr="006E0CAE" w:rsidR="006E0CAE" w:rsidTr="006E0CAE" w14:paraId="54C9C72F"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E699"/>
            <w:noWrap/>
            <w:vAlign w:val="bottom"/>
            <w:hideMark/>
          </w:tcPr>
          <w:p w:rsidRPr="006E0CAE" w:rsidR="006E0CAE" w:rsidP="006E0CAE" w:rsidRDefault="006E0CAE" w14:paraId="47FCB387"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Hours Booked Above Cap %</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44800AE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24.93%</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7F2DFC2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100.00%</w:t>
            </w:r>
          </w:p>
        </w:tc>
        <w:tc>
          <w:tcPr>
            <w:tcW w:w="932"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222E6624"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28.27%</w:t>
            </w:r>
          </w:p>
        </w:tc>
        <w:tc>
          <w:tcPr>
            <w:tcW w:w="988" w:type="dxa"/>
            <w:tcBorders>
              <w:top w:val="nil"/>
              <w:left w:val="nil"/>
              <w:bottom w:val="single" w:color="auto" w:sz="4" w:space="0"/>
              <w:right w:val="single" w:color="auto" w:sz="4" w:space="0"/>
            </w:tcBorders>
            <w:shd w:val="clear" w:color="000000" w:fill="FFE699"/>
            <w:noWrap/>
            <w:vAlign w:val="bottom"/>
            <w:hideMark/>
          </w:tcPr>
          <w:p w:rsidRPr="006E0CAE" w:rsidR="006E0CAE" w:rsidP="006E0CAE" w:rsidRDefault="006E0CAE" w14:paraId="69113922"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100.00%</w:t>
            </w:r>
          </w:p>
        </w:tc>
      </w:tr>
      <w:tr w:rsidRPr="006E0CAE" w:rsidR="006E0CAE" w:rsidTr="006E0CAE" w14:paraId="7F6DADFB"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C000"/>
            <w:noWrap/>
            <w:vAlign w:val="bottom"/>
            <w:hideMark/>
          </w:tcPr>
          <w:p w:rsidRPr="006E0CAE" w:rsidR="006E0CAE" w:rsidP="006E0CAE" w:rsidRDefault="006E0CAE" w14:paraId="5BEB3D4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Jobs Booked</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6A999EA8"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844</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22688E24"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18</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2021BF44"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777</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49B3526B"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14</w:t>
            </w:r>
          </w:p>
        </w:tc>
      </w:tr>
      <w:tr w:rsidRPr="006E0CAE" w:rsidR="006E0CAE" w:rsidTr="006E0CAE" w14:paraId="2F6C6004"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C000"/>
            <w:noWrap/>
            <w:vAlign w:val="bottom"/>
            <w:hideMark/>
          </w:tcPr>
          <w:p w:rsidRPr="006E0CAE" w:rsidR="006E0CAE" w:rsidP="006E0CAE" w:rsidRDefault="006E0CAE" w14:paraId="2DB87198"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Jobs Booked At/Below Cap</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17EA8DFE"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606</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1C55FE7A"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2A104073"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546</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4C85431C"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w:t>
            </w:r>
          </w:p>
        </w:tc>
      </w:tr>
      <w:tr w:rsidRPr="006E0CAE" w:rsidR="006E0CAE" w:rsidTr="006E0CAE" w14:paraId="7A786D8F"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C000"/>
            <w:noWrap/>
            <w:vAlign w:val="bottom"/>
            <w:hideMark/>
          </w:tcPr>
          <w:p w:rsidRPr="006E0CAE" w:rsidR="006E0CAE" w:rsidP="006E0CAE" w:rsidRDefault="006E0CAE" w14:paraId="6BAC40EF"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Jobs Booked At/Below Cap %</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4A43F59A"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71.80%</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2C31FAA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0.00%</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14689243"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70.27%</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0ABFC86B"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0.00%</w:t>
            </w:r>
          </w:p>
        </w:tc>
      </w:tr>
      <w:tr w:rsidRPr="006E0CAE" w:rsidR="006E0CAE" w:rsidTr="006E0CAE" w14:paraId="1C860966"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C000"/>
            <w:noWrap/>
            <w:vAlign w:val="bottom"/>
            <w:hideMark/>
          </w:tcPr>
          <w:p w:rsidRPr="006E0CAE" w:rsidR="006E0CAE" w:rsidP="006E0CAE" w:rsidRDefault="006E0CAE" w14:paraId="79100C18"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Jobs Booked Above Cap</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77ACEC60"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238</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3FF5223A"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18</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3A2ECE95"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231</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30B7F6DB"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14</w:t>
            </w:r>
          </w:p>
        </w:tc>
      </w:tr>
      <w:tr w:rsidRPr="006E0CAE" w:rsidR="006E0CAE" w:rsidTr="006E0CAE" w14:paraId="068AD336" w14:textId="77777777">
        <w:trPr>
          <w:trHeight w:val="290"/>
          <w:jc w:val="center"/>
        </w:trPr>
        <w:tc>
          <w:tcPr>
            <w:tcW w:w="3280" w:type="dxa"/>
            <w:tcBorders>
              <w:top w:val="nil"/>
              <w:left w:val="single" w:color="auto" w:sz="4" w:space="0"/>
              <w:bottom w:val="single" w:color="auto" w:sz="4" w:space="0"/>
              <w:right w:val="single" w:color="auto" w:sz="4" w:space="0"/>
            </w:tcBorders>
            <w:shd w:val="clear" w:color="000000" w:fill="FFC000"/>
            <w:noWrap/>
            <w:vAlign w:val="bottom"/>
            <w:hideMark/>
          </w:tcPr>
          <w:p w:rsidRPr="006E0CAE" w:rsidR="006E0CAE" w:rsidP="006E0CAE" w:rsidRDefault="006E0CAE" w14:paraId="5D235FBA"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lastRenderedPageBreak/>
              <w:t>Jobs Booked Above Cap %</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311C3BF6"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28.19%</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23351A98"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100.00%</w:t>
            </w:r>
          </w:p>
        </w:tc>
        <w:tc>
          <w:tcPr>
            <w:tcW w:w="932"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474A04F9"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29.72%</w:t>
            </w:r>
          </w:p>
        </w:tc>
        <w:tc>
          <w:tcPr>
            <w:tcW w:w="988" w:type="dxa"/>
            <w:tcBorders>
              <w:top w:val="nil"/>
              <w:left w:val="nil"/>
              <w:bottom w:val="single" w:color="auto" w:sz="4" w:space="0"/>
              <w:right w:val="single" w:color="auto" w:sz="4" w:space="0"/>
            </w:tcBorders>
            <w:shd w:val="clear" w:color="000000" w:fill="FFC000"/>
            <w:noWrap/>
            <w:vAlign w:val="bottom"/>
            <w:hideMark/>
          </w:tcPr>
          <w:p w:rsidRPr="006E0CAE" w:rsidR="006E0CAE" w:rsidP="006E0CAE" w:rsidRDefault="006E0CAE" w14:paraId="7DAD906E" w14:textId="77777777">
            <w:pPr>
              <w:spacing w:after="0" w:line="240" w:lineRule="auto"/>
              <w:jc w:val="center"/>
              <w:rPr>
                <w:rFonts w:ascii="Calibri" w:hAnsi="Calibri" w:eastAsia="Times New Roman" w:cs="Calibri"/>
                <w:color w:val="000000"/>
                <w:sz w:val="22"/>
                <w:szCs w:val="22"/>
                <w:lang w:eastAsia="en-GB"/>
              </w:rPr>
            </w:pPr>
            <w:r w:rsidRPr="006E0CAE">
              <w:rPr>
                <w:rFonts w:ascii="Calibri" w:hAnsi="Calibri" w:eastAsia="Times New Roman" w:cs="Calibri"/>
                <w:color w:val="000000"/>
                <w:sz w:val="22"/>
                <w:szCs w:val="22"/>
                <w:lang w:eastAsia="en-GB"/>
              </w:rPr>
              <w:t>100.00%</w:t>
            </w:r>
          </w:p>
        </w:tc>
      </w:tr>
    </w:tbl>
    <w:p w:rsidRPr="006C20CE" w:rsidR="00F32037" w:rsidP="006C20CE" w:rsidRDefault="00F32037" w14:paraId="0B6CC86B" w14:textId="77777777">
      <w:pPr>
        <w:spacing w:after="0" w:line="240" w:lineRule="auto"/>
        <w:rPr>
          <w:b/>
        </w:rPr>
      </w:pPr>
    </w:p>
    <w:p w:rsidR="00F32037" w:rsidP="00653AEC" w:rsidRDefault="00F32037" w14:paraId="3B971892" w14:textId="77777777">
      <w:pPr>
        <w:pStyle w:val="ListParagraph"/>
        <w:spacing w:after="0" w:line="240" w:lineRule="auto"/>
        <w:rPr>
          <w:b/>
        </w:rPr>
      </w:pPr>
    </w:p>
    <w:p w:rsidRPr="00F8567E" w:rsidR="00F32037" w:rsidP="00653AEC" w:rsidRDefault="00F32037" w14:paraId="5A3290E5" w14:textId="77777777">
      <w:pPr>
        <w:pStyle w:val="ListParagraph"/>
        <w:spacing w:after="0" w:line="240" w:lineRule="auto"/>
        <w:rPr>
          <w:b/>
        </w:rPr>
      </w:pPr>
    </w:p>
    <w:p w:rsidR="00F101E4" w:rsidRDefault="00F101E4" w14:paraId="7FE27A29" w14:textId="77777777">
      <w:pPr>
        <w:spacing w:after="0" w:line="240" w:lineRule="auto"/>
        <w:jc w:val="both"/>
        <w:rPr>
          <w:kern w:val="2"/>
          <w:lang w:eastAsia="en-GB"/>
          <w14:ligatures w14:val="standardContextual"/>
        </w:rPr>
      </w:pPr>
      <w:r>
        <w:rPr>
          <w:b/>
          <w:bCs/>
        </w:rPr>
        <w:t>Next steps</w:t>
      </w:r>
      <w:r>
        <w:t xml:space="preserve"> Work will continue with service groups and corporate directorates to finalise and regularly review detailed delivery trajectories against the 2026/27 target. Future updates will provide further detail on areas of variance, progress against planned reduction and any additional actions required where delivery is off trajectory.</w:t>
      </w:r>
    </w:p>
    <w:p w:rsidR="005B11A4" w:rsidRDefault="005B11A4" w14:paraId="58150651" w14:textId="77777777">
      <w:pPr>
        <w:spacing w:after="0" w:line="240" w:lineRule="auto"/>
        <w:jc w:val="both"/>
        <w:rPr>
          <w:kern w:val="2"/>
          <w:lang w:eastAsia="en-GB"/>
          <w14:ligatures w14:val="standardContextual"/>
        </w:rPr>
      </w:pPr>
    </w:p>
    <w:p w:rsidR="003E70B9" w:rsidRDefault="003E70B9" w14:paraId="3423ABB8" w14:textId="77777777">
      <w:pPr>
        <w:spacing w:after="0" w:line="240" w:lineRule="auto"/>
        <w:jc w:val="both"/>
      </w:pPr>
      <w:r>
        <w:t>In summary, variable pay remains a significant challenge for the Health Board. Whilst progress has been made and governance arrangements are in place, a substantial level of further reduction is still required to achieve the 2026/27 target. Continued scrutiny, service-led delivery and timely escalation of risks will therefore be essential.</w:t>
      </w:r>
    </w:p>
    <w:p w:rsidR="005B11A4" w:rsidRDefault="005B11A4" w14:paraId="518E9707" w14:textId="77777777">
      <w:pPr>
        <w:spacing w:after="0" w:line="240" w:lineRule="auto"/>
        <w:jc w:val="both"/>
        <w:rPr>
          <w:kern w:val="2"/>
          <w:lang w:eastAsia="en-GB"/>
          <w14:ligatures w14:val="standardContextual"/>
        </w:rPr>
      </w:pPr>
    </w:p>
    <w:p w:rsidRPr="006030EA" w:rsidR="00653AEC" w:rsidP="006030EA" w:rsidRDefault="00653AEC" w14:paraId="6D29042A" w14:textId="677C4638">
      <w:pPr>
        <w:pStyle w:val="ListParagraph"/>
        <w:numPr>
          <w:ilvl w:val="0"/>
          <w:numId w:val="1"/>
        </w:numPr>
        <w:spacing w:after="0" w:line="240" w:lineRule="auto"/>
        <w:rPr>
          <w:b/>
        </w:rPr>
      </w:pPr>
      <w:r w:rsidRPr="006030EA">
        <w:rPr>
          <w:b/>
        </w:rPr>
        <w:t>RECOMMENDATION</w:t>
      </w:r>
    </w:p>
    <w:p w:rsidR="00085504" w:rsidP="00085504" w:rsidRDefault="00085504" w14:paraId="4999FE88" w14:textId="77777777">
      <w:pPr>
        <w:pStyle w:val="Default"/>
        <w:ind w:left="360"/>
        <w:rPr>
          <w:rFonts w:ascii="Verdana" w:hAnsi="Verdana" w:cs="Arial"/>
          <w:color w:val="auto"/>
        </w:rPr>
      </w:pPr>
    </w:p>
    <w:p w:rsidR="00014EA6" w:rsidRDefault="00014EA6" w14:paraId="5C5117AD" w14:textId="77777777">
      <w:pPr>
        <w:pStyle w:val="Default"/>
        <w:rPr>
          <w:kern w:val="2"/>
          <w:lang w:eastAsia="en-GB"/>
          <w14:ligatures w14:val="standardContextual"/>
        </w:rPr>
      </w:pPr>
      <w:r>
        <w:rPr>
          <w:rFonts w:ascii="Verdana" w:hAnsi="Verdana"/>
          <w:color w:val="auto"/>
        </w:rPr>
        <w:t>The Committee is asked to consider this report for assurance, note the progress made to date and the scale of the remaining challenge, and endorse the continued oversight of delivery through the Variable Pay Steering Group and Recovery and Sustainability Board.</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4A74AB5A"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4A74AB5A"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4A74AB5A"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Mar/>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4A74AB5A"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Mar/>
              </w:tcPr>
              <w:p w:rsidRPr="00F8567E" w:rsidR="00F5324A" w:rsidP="0020539A" w:rsidRDefault="006D3CE1" w14:paraId="6D290441" w14:textId="39C11B8A">
                <w:pPr>
                  <w:jc w:val="center"/>
                </w:pPr>
                <w:r>
                  <w:rPr>
                    <w:rFonts w:hint="eastAsia" w:ascii="MS Gothic" w:hAnsi="MS Gothic" w:eastAsia="MS Gothic"/>
                  </w:rPr>
                  <w:t>☒</w:t>
                </w:r>
              </w:p>
            </w:tc>
          </w:sdtContent>
        </w:sdt>
      </w:tr>
      <w:tr w:rsidRPr="00F8567E" w:rsidR="00F5324A" w:rsidTr="4A74AB5A"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Mar/>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4A74AB5A"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00F101E4" w:rsidRDefault="00F101E4" w14:paraId="5F3F7F69" w14:textId="77777777">
            <w:pPr>
              <w:rPr>
                <w:kern w:val="2"/>
                <w:lang w:eastAsia="en-GB"/>
                <w14:ligatures w14:val="standardContextual"/>
              </w:rPr>
            </w:pPr>
            <w:r>
              <w:t>The Health Board is a great place to work where staff feel valued and work together towards a common goal</w:t>
            </w:r>
          </w:p>
          <w:p w:rsidRPr="00F8567E" w:rsidR="00F5324A" w:rsidP="004221DC" w:rsidRDefault="00F5324A" w14:paraId="6D29044B" w14:textId="275E145A"/>
        </w:tc>
        <w:sdt>
          <w:sdtPr>
            <w:id w:val="1190956866"/>
            <w14:checkbox>
              <w14:checked w14:val="0"/>
              <w14:checkedState w14:val="2612" w14:font="MS Gothic"/>
              <w14:uncheckedState w14:val="2610" w14:font="MS Gothic"/>
            </w14:checkbox>
          </w:sdtPr>
          <w:sdtContent>
            <w:tc>
              <w:tcPr>
                <w:tcW w:w="1624" w:type="dxa"/>
                <w:tcMar/>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4A74AB5A"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00F101E4" w:rsidRDefault="00F101E4" w14:paraId="643F80F6" w14:textId="77777777">
            <w:pPr>
              <w:rPr>
                <w:kern w:val="2"/>
                <w:lang w:eastAsia="en-GB"/>
                <w14:ligatures w14:val="standardContextual"/>
              </w:rPr>
            </w:pPr>
            <w:r>
              <w:t>The Health Board is a resilient, sustainable and responsible organisation</w:t>
            </w:r>
          </w:p>
          <w:p w:rsidRPr="00F8567E" w:rsidR="00F5324A" w:rsidP="004221DC" w:rsidRDefault="00F5324A" w14:paraId="6D29044F" w14:textId="1A6D0AAE"/>
        </w:tc>
        <w:sdt>
          <w:sdtPr>
            <w:id w:val="832023854"/>
            <w14:checkbox>
              <w14:checked w14:val="1"/>
              <w14:checkedState w14:val="2612" w14:font="MS Gothic"/>
              <w14:uncheckedState w14:val="2610" w14:font="MS Gothic"/>
            </w14:checkbox>
          </w:sdtPr>
          <w:sdtContent>
            <w:tc>
              <w:tcPr>
                <w:tcW w:w="1624" w:type="dxa"/>
                <w:tcMar/>
              </w:tcPr>
              <w:p w:rsidRPr="00F8567E" w:rsidR="00F5324A" w:rsidP="00133EA1" w:rsidRDefault="006D3CE1" w14:paraId="6D290450" w14:textId="7BC704DB">
                <w:pPr>
                  <w:jc w:val="center"/>
                </w:pPr>
                <w:r>
                  <w:rPr>
                    <w:rFonts w:hint="eastAsia" w:ascii="MS Gothic" w:hAnsi="MS Gothic" w:eastAsia="MS Gothic"/>
                  </w:rPr>
                  <w:t>☒</w:t>
                </w:r>
              </w:p>
            </w:tc>
          </w:sdtContent>
        </w:sdt>
      </w:tr>
      <w:tr w:rsidRPr="00F8567E" w:rsidR="00F5324A" w:rsidTr="4A74AB5A"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4A74AB5A"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4A74AB5A"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4A74AB5A"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Mar/>
              </w:tcPr>
              <w:p w:rsidRPr="00F8567E" w:rsidR="00C43F7B" w:rsidP="00C43F7B" w:rsidRDefault="006D3CE1" w14:paraId="6D29046A" w14:textId="5E257CF3">
                <w:pPr>
                  <w:jc w:val="center"/>
                  <w:rPr>
                    <w:b/>
                  </w:rPr>
                </w:pPr>
                <w:r>
                  <w:rPr>
                    <w:rFonts w:hint="eastAsia" w:ascii="MS Gothic" w:hAnsi="MS Gothic" w:eastAsia="MS Gothic"/>
                  </w:rPr>
                  <w:t>☒</w:t>
                </w:r>
              </w:p>
            </w:tc>
          </w:sdtContent>
        </w:sdt>
      </w:tr>
      <w:tr w:rsidRPr="00F8567E" w:rsidR="00C43F7B" w:rsidTr="4A74AB5A"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4A74AB5A"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4A74AB5A"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Mar/>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4A74AB5A"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Mar/>
              </w:tcPr>
              <w:p w:rsidRPr="00F8567E" w:rsidR="00C43F7B" w:rsidP="00C43F7B" w:rsidRDefault="006D3CE1" w14:paraId="6D29047A" w14:textId="6D1F85FC">
                <w:pPr>
                  <w:jc w:val="center"/>
                  <w:rPr>
                    <w:b/>
                  </w:rPr>
                </w:pPr>
                <w:r>
                  <w:rPr>
                    <w:rFonts w:hint="eastAsia" w:ascii="MS Gothic" w:hAnsi="MS Gothic" w:eastAsia="MS Gothic"/>
                  </w:rPr>
                  <w:t>☒</w:t>
                </w:r>
              </w:p>
            </w:tc>
          </w:sdtContent>
        </w:sdt>
      </w:tr>
      <w:tr w:rsidRPr="00F8567E" w:rsidR="00925DA1" w:rsidTr="4A74AB5A"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Content>
            <w:tc>
              <w:tcPr>
                <w:tcW w:w="1624" w:type="dxa"/>
                <w:tcMar/>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4A74AB5A"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Content>
            <w:tc>
              <w:tcPr>
                <w:tcW w:w="1624" w:type="dxa"/>
                <w:tcMar/>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4A74AB5A"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Content>
            <w:tc>
              <w:tcPr>
                <w:tcW w:w="1624" w:type="dxa"/>
                <w:tcMar/>
              </w:tcPr>
              <w:p w:rsidR="00925DA1" w:rsidP="00925DA1" w:rsidRDefault="006D3CE1" w14:paraId="15982273" w14:textId="2F9D2831">
                <w:pPr>
                  <w:jc w:val="center"/>
                </w:pPr>
                <w:r>
                  <w:rPr>
                    <w:rFonts w:hint="eastAsia" w:ascii="MS Gothic" w:hAnsi="MS Gothic" w:eastAsia="MS Gothic"/>
                  </w:rPr>
                  <w:t>☒</w:t>
                </w:r>
              </w:p>
            </w:tc>
          </w:sdtContent>
        </w:sdt>
      </w:tr>
      <w:tr w:rsidRPr="00F8567E" w:rsidR="00925DA1" w:rsidTr="4A74AB5A"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Content>
            <w:tc>
              <w:tcPr>
                <w:tcW w:w="1624" w:type="dxa"/>
                <w:tcMar/>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4A74AB5A"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4A74AB5A"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4A74AB5A"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4A74AB5A" w14:paraId="6D290480" w14:textId="77777777">
        <w:tc>
          <w:tcPr>
            <w:tcW w:w="9245" w:type="dxa"/>
            <w:gridSpan w:val="3"/>
            <w:tcMar/>
          </w:tcPr>
          <w:p w:rsidR="00014EA6" w:rsidRDefault="00014EA6" w14:paraId="56A9E1DF" w14:textId="77777777">
            <w:pPr>
              <w:jc w:val="center"/>
              <w:rPr>
                <w:kern w:val="2"/>
                <w:lang w:eastAsia="en-GB"/>
                <w14:ligatures w14:val="standardContextual"/>
              </w:rPr>
            </w:pPr>
            <w:r>
              <w:t>Engaged, motivated and supported staff will have a positive impact on patient care, service quality and clinical outcomes.</w:t>
            </w:r>
          </w:p>
          <w:p w:rsidRPr="00F8567E" w:rsidR="00A12912" w:rsidP="00A12912" w:rsidRDefault="00A12912" w14:paraId="6D29047F" w14:textId="0B807201">
            <w:pPr>
              <w:rPr>
                <w:b/>
              </w:rPr>
            </w:pPr>
          </w:p>
        </w:tc>
      </w:tr>
      <w:tr w:rsidRPr="00F8567E" w:rsidR="00925DA1" w:rsidTr="4A74AB5A"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4A74AB5A" w14:paraId="6D290487" w14:textId="77777777">
        <w:tc>
          <w:tcPr>
            <w:tcW w:w="9245" w:type="dxa"/>
            <w:gridSpan w:val="3"/>
            <w:tcMar/>
          </w:tcPr>
          <w:p w:rsidR="00014EA6" w:rsidRDefault="00014EA6" w14:paraId="27007799" w14:textId="77777777">
            <w:pPr>
              <w:ind w:right="96"/>
              <w:rPr>
                <w:kern w:val="2"/>
                <w:lang w:eastAsia="en-GB"/>
                <w14:ligatures w14:val="standardContextual"/>
              </w:rPr>
            </w:pPr>
            <w:r>
              <w:t>Delivery of the Variable Pay Reduction Plan is a key component of the Health Board’s financial recovery plan. A reduction of £34.5m in variable pay is required to support delivery of the overall financial target, and continued monitoring of trajectory will be essential throughout 2026/27.</w:t>
            </w:r>
          </w:p>
          <w:p w:rsidRPr="00F8567E" w:rsidR="007B6B68" w:rsidP="007B6B68" w:rsidRDefault="007B6B68" w14:paraId="6D290486" w14:textId="498C0220">
            <w:pPr>
              <w:ind w:right="96"/>
              <w:rPr>
                <w:color w:val="FF0000"/>
              </w:rPr>
            </w:pPr>
          </w:p>
        </w:tc>
      </w:tr>
      <w:tr w:rsidRPr="00F8567E" w:rsidR="00925DA1" w:rsidTr="4A74AB5A"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4A74AB5A" w14:paraId="6D29048C" w14:textId="77777777">
        <w:tc>
          <w:tcPr>
            <w:tcW w:w="9245" w:type="dxa"/>
            <w:gridSpan w:val="3"/>
            <w:tcMar/>
          </w:tcPr>
          <w:p w:rsidRPr="005A655E" w:rsidR="00925DA1" w:rsidP="00925DA1" w:rsidRDefault="005A655E" w14:paraId="6D29048A" w14:textId="39D898D3">
            <w:pPr>
              <w:ind w:right="96"/>
            </w:pPr>
            <w:r w:rsidRPr="005A655E">
              <w:t>None identified.</w:t>
            </w:r>
          </w:p>
          <w:p w:rsidRPr="00F8567E" w:rsidR="00925DA1" w:rsidP="00925DA1" w:rsidRDefault="00925DA1" w14:paraId="6D29048B" w14:textId="77777777">
            <w:pPr>
              <w:ind w:right="96"/>
              <w:rPr>
                <w:color w:val="FF0000"/>
              </w:rPr>
            </w:pPr>
          </w:p>
        </w:tc>
      </w:tr>
      <w:tr w:rsidRPr="00F8567E" w:rsidR="00925DA1" w:rsidTr="4A74AB5A"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lastRenderedPageBreak/>
              <w:t>Staffing Implications</w:t>
            </w:r>
          </w:p>
        </w:tc>
      </w:tr>
      <w:tr w:rsidRPr="00F8567E" w:rsidR="00925DA1" w:rsidTr="4A74AB5A" w14:paraId="6D290491" w14:textId="77777777">
        <w:tc>
          <w:tcPr>
            <w:tcW w:w="9245" w:type="dxa"/>
            <w:gridSpan w:val="3"/>
            <w:tcMar/>
          </w:tcPr>
          <w:p w:rsidRPr="00F8567E" w:rsidR="00925DA1" w:rsidP="00925DA1" w:rsidRDefault="005A655E" w14:paraId="6D290490" w14:textId="5AEE1BDA">
            <w:pPr>
              <w:ind w:right="96"/>
              <w:rPr>
                <w:color w:val="FF0000"/>
              </w:rPr>
            </w:pPr>
            <w:r w:rsidRPr="003F0E92">
              <w:t xml:space="preserve">Staffing issues will impact on both </w:t>
            </w:r>
            <w:r>
              <w:t xml:space="preserve">the </w:t>
            </w:r>
            <w:r w:rsidRPr="003F0E92">
              <w:t xml:space="preserve">quality and financial </w:t>
            </w:r>
            <w:r>
              <w:t>sustainability</w:t>
            </w:r>
            <w:r w:rsidRPr="003F0E92">
              <w:t xml:space="preserve"> of services. </w:t>
            </w:r>
          </w:p>
        </w:tc>
      </w:tr>
      <w:tr w:rsidRPr="00F8567E" w:rsidR="00925DA1" w:rsidTr="4A74AB5A"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4A74AB5A" w14:paraId="6D290496" w14:textId="77777777">
        <w:tc>
          <w:tcPr>
            <w:tcW w:w="9245" w:type="dxa"/>
            <w:gridSpan w:val="3"/>
            <w:tcMar/>
          </w:tcPr>
          <w:p w:rsidRPr="00477C2E" w:rsidR="00925DA1" w:rsidP="00477C2E" w:rsidRDefault="00477C2E" w14:paraId="5F9EFC83" w14:textId="77777777">
            <w:pPr>
              <w:ind w:right="96"/>
            </w:pPr>
            <w:r w:rsidRPr="00477C2E">
              <w:t>Best use of resources to ensure sustainability.</w:t>
            </w:r>
          </w:p>
          <w:p w:rsidRPr="00F8567E" w:rsidR="00477C2E" w:rsidP="00477C2E" w:rsidRDefault="00477C2E" w14:paraId="6D290495" w14:textId="61D00EFD">
            <w:pPr>
              <w:ind w:right="96"/>
              <w:rPr>
                <w:color w:val="FF0000"/>
              </w:rPr>
            </w:pPr>
          </w:p>
        </w:tc>
      </w:tr>
      <w:tr w:rsidRPr="00F8567E" w:rsidR="00925DA1" w:rsidTr="4A74AB5A"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4A74AB5A" w14:paraId="6D29049A" w14:textId="77777777">
        <w:tc>
          <w:tcPr>
            <w:tcW w:w="9245" w:type="dxa"/>
            <w:gridSpan w:val="3"/>
            <w:tcMar/>
          </w:tcPr>
          <w:p w:rsidRPr="00477C2E" w:rsidR="00925DA1" w:rsidP="00477C2E" w:rsidRDefault="00477C2E" w14:paraId="020328D0" w14:textId="77777777">
            <w:pPr>
              <w:ind w:right="96"/>
            </w:pPr>
            <w:r w:rsidRPr="00477C2E">
              <w:t>None</w:t>
            </w:r>
          </w:p>
          <w:p w:rsidRPr="00F8567E" w:rsidR="00477C2E" w:rsidP="00477C2E" w:rsidRDefault="00477C2E" w14:paraId="6D290499" w14:textId="60FFAFE6">
            <w:pPr>
              <w:ind w:right="96"/>
              <w:rPr>
                <w:color w:val="FF0000"/>
              </w:rPr>
            </w:pPr>
          </w:p>
        </w:tc>
      </w:tr>
      <w:tr w:rsidRPr="00F8567E" w:rsidR="00925DA1" w:rsidTr="4A74AB5A"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4A74AB5A" w14:paraId="6D29049F" w14:textId="77777777">
        <w:tc>
          <w:tcPr>
            <w:tcW w:w="9245" w:type="dxa"/>
            <w:gridSpan w:val="3"/>
            <w:tcMar/>
          </w:tcPr>
          <w:p w:rsidR="00CE2C75" w:rsidRDefault="00CE2C75" w14:paraId="21DE0EC8" w14:textId="5C96AADE">
            <w:pPr>
              <w:ind w:right="96"/>
            </w:pPr>
            <w:r w:rsidR="00014EA6">
              <w:rPr/>
              <w:t>Appendix 1 – Professional Group Analysis</w:t>
            </w: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8"/>
      <w:footerReference w:type="default" r:id="rId19"/>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86774" w:rsidP="00C107F2" w:rsidRDefault="00686774" w14:paraId="64D334CB" w14:textId="77777777">
      <w:pPr>
        <w:spacing w:after="0" w:line="240" w:lineRule="auto"/>
      </w:pPr>
      <w:r>
        <w:separator/>
      </w:r>
    </w:p>
  </w:endnote>
  <w:endnote w:type="continuationSeparator" w:id="0">
    <w:p w:rsidR="00686774" w:rsidP="00C107F2" w:rsidRDefault="00686774" w14:paraId="4B483A8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panose1 w:val="020205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rsidR="003324CB" w:rsidP="0031077C" w:rsidRDefault="00EC231A" w14:paraId="6D2904A9" w14:textId="626604A1">
        <w:pPr>
          <w:pStyle w:val="Footer"/>
          <w:jc w:val="right"/>
          <w:rPr>
            <w:rStyle w:val="CorporateStyle2"/>
          </w:rPr>
        </w:pPr>
        <w:r w:rsidRPr="4A74AB5A" w:rsidR="4A74AB5A">
          <w:rPr>
            <w:rStyle w:val="CorporateStyle2"/>
          </w:rPr>
          <w:t>Workforce and Organisational Development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1077C" w14:paraId="6DC782A8" w14:textId="40DD0125">
        <w:pPr>
          <w:pStyle w:val="Footer"/>
          <w:jc w:val="right"/>
          <w:rPr>
            <w:sz w:val="20"/>
            <w:szCs w:val="20"/>
          </w:rPr>
        </w:pPr>
        <w:r w:rsidRPr="001F6C52">
          <w:rPr>
            <w:rStyle w:val="PlaceholderText"/>
          </w:rPr>
          <w:t>Click or tap to enter a date.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86774" w:rsidP="00C107F2" w:rsidRDefault="00686774" w14:paraId="2215F7AF" w14:textId="77777777">
      <w:pPr>
        <w:spacing w:after="0" w:line="240" w:lineRule="auto"/>
      </w:pPr>
      <w:r>
        <w:separator/>
      </w:r>
    </w:p>
  </w:footnote>
  <w:footnote w:type="continuationSeparator" w:id="0">
    <w:p w:rsidR="00686774" w:rsidP="00C107F2" w:rsidRDefault="00686774" w14:paraId="045C5C7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CA451D6"/>
    <w:multiLevelType w:val="hybridMultilevel"/>
    <w:tmpl w:val="7B04B3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EA50EA1"/>
    <w:multiLevelType w:val="hybridMultilevel"/>
    <w:tmpl w:val="F1EECFE6"/>
    <w:lvl w:ilvl="0" w:tplc="4E5A6260">
      <w:start w:val="1"/>
      <w:numFmt w:val="bullet"/>
      <w:lvlText w:val=""/>
      <w:lvlJc w:val="left"/>
      <w:pPr>
        <w:tabs>
          <w:tab w:val="num" w:pos="720"/>
        </w:tabs>
        <w:ind w:left="720" w:hanging="360"/>
      </w:pPr>
      <w:rPr>
        <w:rFonts w:hint="default" w:ascii="Wingdings" w:hAnsi="Wingdings"/>
      </w:rPr>
    </w:lvl>
    <w:lvl w:ilvl="1" w:tplc="77D256DA" w:tentative="1">
      <w:start w:val="1"/>
      <w:numFmt w:val="bullet"/>
      <w:lvlText w:val=""/>
      <w:lvlJc w:val="left"/>
      <w:pPr>
        <w:tabs>
          <w:tab w:val="num" w:pos="1440"/>
        </w:tabs>
        <w:ind w:left="1440" w:hanging="360"/>
      </w:pPr>
      <w:rPr>
        <w:rFonts w:hint="default" w:ascii="Wingdings" w:hAnsi="Wingdings"/>
      </w:rPr>
    </w:lvl>
    <w:lvl w:ilvl="2" w:tplc="4044BFCC" w:tentative="1">
      <w:start w:val="1"/>
      <w:numFmt w:val="bullet"/>
      <w:lvlText w:val=""/>
      <w:lvlJc w:val="left"/>
      <w:pPr>
        <w:tabs>
          <w:tab w:val="num" w:pos="2160"/>
        </w:tabs>
        <w:ind w:left="2160" w:hanging="360"/>
      </w:pPr>
      <w:rPr>
        <w:rFonts w:hint="default" w:ascii="Wingdings" w:hAnsi="Wingdings"/>
      </w:rPr>
    </w:lvl>
    <w:lvl w:ilvl="3" w:tplc="6C72C5C0" w:tentative="1">
      <w:start w:val="1"/>
      <w:numFmt w:val="bullet"/>
      <w:lvlText w:val=""/>
      <w:lvlJc w:val="left"/>
      <w:pPr>
        <w:tabs>
          <w:tab w:val="num" w:pos="2880"/>
        </w:tabs>
        <w:ind w:left="2880" w:hanging="360"/>
      </w:pPr>
      <w:rPr>
        <w:rFonts w:hint="default" w:ascii="Wingdings" w:hAnsi="Wingdings"/>
      </w:rPr>
    </w:lvl>
    <w:lvl w:ilvl="4" w:tplc="F864D3BE" w:tentative="1">
      <w:start w:val="1"/>
      <w:numFmt w:val="bullet"/>
      <w:lvlText w:val=""/>
      <w:lvlJc w:val="left"/>
      <w:pPr>
        <w:tabs>
          <w:tab w:val="num" w:pos="3600"/>
        </w:tabs>
        <w:ind w:left="3600" w:hanging="360"/>
      </w:pPr>
      <w:rPr>
        <w:rFonts w:hint="default" w:ascii="Wingdings" w:hAnsi="Wingdings"/>
      </w:rPr>
    </w:lvl>
    <w:lvl w:ilvl="5" w:tplc="B20E4BCA" w:tentative="1">
      <w:start w:val="1"/>
      <w:numFmt w:val="bullet"/>
      <w:lvlText w:val=""/>
      <w:lvlJc w:val="left"/>
      <w:pPr>
        <w:tabs>
          <w:tab w:val="num" w:pos="4320"/>
        </w:tabs>
        <w:ind w:left="4320" w:hanging="360"/>
      </w:pPr>
      <w:rPr>
        <w:rFonts w:hint="default" w:ascii="Wingdings" w:hAnsi="Wingdings"/>
      </w:rPr>
    </w:lvl>
    <w:lvl w:ilvl="6" w:tplc="DE5E3D98" w:tentative="1">
      <w:start w:val="1"/>
      <w:numFmt w:val="bullet"/>
      <w:lvlText w:val=""/>
      <w:lvlJc w:val="left"/>
      <w:pPr>
        <w:tabs>
          <w:tab w:val="num" w:pos="5040"/>
        </w:tabs>
        <w:ind w:left="5040" w:hanging="360"/>
      </w:pPr>
      <w:rPr>
        <w:rFonts w:hint="default" w:ascii="Wingdings" w:hAnsi="Wingdings"/>
      </w:rPr>
    </w:lvl>
    <w:lvl w:ilvl="7" w:tplc="59D48FD0" w:tentative="1">
      <w:start w:val="1"/>
      <w:numFmt w:val="bullet"/>
      <w:lvlText w:val=""/>
      <w:lvlJc w:val="left"/>
      <w:pPr>
        <w:tabs>
          <w:tab w:val="num" w:pos="5760"/>
        </w:tabs>
        <w:ind w:left="5760" w:hanging="360"/>
      </w:pPr>
      <w:rPr>
        <w:rFonts w:hint="default" w:ascii="Wingdings" w:hAnsi="Wingdings"/>
      </w:rPr>
    </w:lvl>
    <w:lvl w:ilvl="8" w:tplc="89D07390"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7C542DB"/>
    <w:multiLevelType w:val="hybridMultilevel"/>
    <w:tmpl w:val="D0A03176"/>
    <w:lvl w:ilvl="0" w:tplc="F6A0FFFA">
      <w:start w:val="100"/>
      <w:numFmt w:val="decimal"/>
      <w:lvlText w:val="%1"/>
      <w:lvlJc w:val="left"/>
      <w:pPr>
        <w:ind w:left="1350" w:hanging="495"/>
      </w:pPr>
      <w:rPr>
        <w:rFonts w:hint="default"/>
      </w:r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6D937D70"/>
    <w:multiLevelType w:val="hybridMultilevel"/>
    <w:tmpl w:val="169E1A58"/>
    <w:lvl w:ilvl="0" w:tplc="3F4C97CC">
      <w:start w:val="100"/>
      <w:numFmt w:val="decimal"/>
      <w:lvlText w:val="%1"/>
      <w:lvlJc w:val="left"/>
      <w:pPr>
        <w:ind w:left="855" w:hanging="49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6417AFA"/>
    <w:multiLevelType w:val="hybridMultilevel"/>
    <w:tmpl w:val="88E05E5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6"/>
  </w:num>
  <w:num w:numId="3" w16cid:durableId="358313792">
    <w:abstractNumId w:val="5"/>
  </w:num>
  <w:num w:numId="4" w16cid:durableId="1144618638">
    <w:abstractNumId w:val="3"/>
  </w:num>
  <w:num w:numId="5" w16cid:durableId="211239042">
    <w:abstractNumId w:val="1"/>
  </w:num>
  <w:num w:numId="6" w16cid:durableId="1874800944">
    <w:abstractNumId w:val="13"/>
  </w:num>
  <w:num w:numId="7" w16cid:durableId="263198079">
    <w:abstractNumId w:val="14"/>
  </w:num>
  <w:num w:numId="8" w16cid:durableId="1535070366">
    <w:abstractNumId w:val="7"/>
  </w:num>
  <w:num w:numId="9" w16cid:durableId="1823614381">
    <w:abstractNumId w:val="9"/>
  </w:num>
  <w:num w:numId="10" w16cid:durableId="875429971">
    <w:abstractNumId w:val="12"/>
  </w:num>
  <w:num w:numId="11" w16cid:durableId="1294018599">
    <w:abstractNumId w:val="2"/>
  </w:num>
  <w:num w:numId="12" w16cid:durableId="1661805731">
    <w:abstractNumId w:val="4"/>
  </w:num>
  <w:num w:numId="13" w16cid:durableId="153642218">
    <w:abstractNumId w:val="10"/>
  </w:num>
  <w:num w:numId="14" w16cid:durableId="859244106">
    <w:abstractNumId w:val="8"/>
  </w:num>
  <w:num w:numId="15" w16cid:durableId="18990455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4EA6"/>
    <w:rsid w:val="00015859"/>
    <w:rsid w:val="00017807"/>
    <w:rsid w:val="000203BD"/>
    <w:rsid w:val="00021C60"/>
    <w:rsid w:val="00034194"/>
    <w:rsid w:val="00041CF6"/>
    <w:rsid w:val="0004211A"/>
    <w:rsid w:val="000507C7"/>
    <w:rsid w:val="00052D01"/>
    <w:rsid w:val="00054F8C"/>
    <w:rsid w:val="000556CD"/>
    <w:rsid w:val="00061E86"/>
    <w:rsid w:val="00065531"/>
    <w:rsid w:val="000717E0"/>
    <w:rsid w:val="00072D3B"/>
    <w:rsid w:val="00083FC0"/>
    <w:rsid w:val="00085504"/>
    <w:rsid w:val="000940E7"/>
    <w:rsid w:val="000A0751"/>
    <w:rsid w:val="000B1B0A"/>
    <w:rsid w:val="000C3280"/>
    <w:rsid w:val="000D76DA"/>
    <w:rsid w:val="000E379E"/>
    <w:rsid w:val="000F361B"/>
    <w:rsid w:val="00110100"/>
    <w:rsid w:val="0013078E"/>
    <w:rsid w:val="00133EA1"/>
    <w:rsid w:val="0016096B"/>
    <w:rsid w:val="001707C4"/>
    <w:rsid w:val="0018209C"/>
    <w:rsid w:val="00182C00"/>
    <w:rsid w:val="001A24B5"/>
    <w:rsid w:val="001A4E1B"/>
    <w:rsid w:val="001B3120"/>
    <w:rsid w:val="001C06A8"/>
    <w:rsid w:val="001C1198"/>
    <w:rsid w:val="001C6C4F"/>
    <w:rsid w:val="001D1B73"/>
    <w:rsid w:val="001E3FCA"/>
    <w:rsid w:val="001E6823"/>
    <w:rsid w:val="001E6F3B"/>
    <w:rsid w:val="001F141D"/>
    <w:rsid w:val="001F2857"/>
    <w:rsid w:val="001F48BE"/>
    <w:rsid w:val="001F627A"/>
    <w:rsid w:val="002010FE"/>
    <w:rsid w:val="00203F67"/>
    <w:rsid w:val="0020539A"/>
    <w:rsid w:val="00233330"/>
    <w:rsid w:val="00233D58"/>
    <w:rsid w:val="00234AC2"/>
    <w:rsid w:val="002408E3"/>
    <w:rsid w:val="00240F00"/>
    <w:rsid w:val="00241662"/>
    <w:rsid w:val="00242B3D"/>
    <w:rsid w:val="002432C6"/>
    <w:rsid w:val="00243A36"/>
    <w:rsid w:val="002510B3"/>
    <w:rsid w:val="002518B7"/>
    <w:rsid w:val="0026261E"/>
    <w:rsid w:val="00270897"/>
    <w:rsid w:val="00272BD5"/>
    <w:rsid w:val="00273633"/>
    <w:rsid w:val="002945A7"/>
    <w:rsid w:val="002950FF"/>
    <w:rsid w:val="00296CD9"/>
    <w:rsid w:val="002A706E"/>
    <w:rsid w:val="002B7C9A"/>
    <w:rsid w:val="002C3DD6"/>
    <w:rsid w:val="002D342B"/>
    <w:rsid w:val="002D77FE"/>
    <w:rsid w:val="002E7A36"/>
    <w:rsid w:val="0030739E"/>
    <w:rsid w:val="0031077C"/>
    <w:rsid w:val="003261FD"/>
    <w:rsid w:val="00327324"/>
    <w:rsid w:val="0032747D"/>
    <w:rsid w:val="003324CB"/>
    <w:rsid w:val="00335379"/>
    <w:rsid w:val="003464BA"/>
    <w:rsid w:val="00366FDD"/>
    <w:rsid w:val="00375605"/>
    <w:rsid w:val="00387756"/>
    <w:rsid w:val="00387A41"/>
    <w:rsid w:val="003B31B1"/>
    <w:rsid w:val="003B6DC6"/>
    <w:rsid w:val="003C0FF8"/>
    <w:rsid w:val="003D58E9"/>
    <w:rsid w:val="003E70B9"/>
    <w:rsid w:val="004031A0"/>
    <w:rsid w:val="00403771"/>
    <w:rsid w:val="004140C9"/>
    <w:rsid w:val="00414894"/>
    <w:rsid w:val="004221DC"/>
    <w:rsid w:val="004222DD"/>
    <w:rsid w:val="0042635B"/>
    <w:rsid w:val="004315B3"/>
    <w:rsid w:val="00447542"/>
    <w:rsid w:val="00461835"/>
    <w:rsid w:val="00464AE2"/>
    <w:rsid w:val="00466612"/>
    <w:rsid w:val="00466F20"/>
    <w:rsid w:val="004671D2"/>
    <w:rsid w:val="004754FC"/>
    <w:rsid w:val="00477C2E"/>
    <w:rsid w:val="00480898"/>
    <w:rsid w:val="00481675"/>
    <w:rsid w:val="004937D3"/>
    <w:rsid w:val="004C22FA"/>
    <w:rsid w:val="004E109D"/>
    <w:rsid w:val="00505A52"/>
    <w:rsid w:val="005072BA"/>
    <w:rsid w:val="00511AA7"/>
    <w:rsid w:val="0052297E"/>
    <w:rsid w:val="00522AA6"/>
    <w:rsid w:val="0053076A"/>
    <w:rsid w:val="005404F4"/>
    <w:rsid w:val="0054207F"/>
    <w:rsid w:val="00547353"/>
    <w:rsid w:val="005506AE"/>
    <w:rsid w:val="00556711"/>
    <w:rsid w:val="00572016"/>
    <w:rsid w:val="00574BCF"/>
    <w:rsid w:val="00576395"/>
    <w:rsid w:val="005835C5"/>
    <w:rsid w:val="00585277"/>
    <w:rsid w:val="00593CBF"/>
    <w:rsid w:val="00594E39"/>
    <w:rsid w:val="00595A46"/>
    <w:rsid w:val="005A655E"/>
    <w:rsid w:val="005B11A4"/>
    <w:rsid w:val="005D1652"/>
    <w:rsid w:val="005D2C4A"/>
    <w:rsid w:val="005D3DF1"/>
    <w:rsid w:val="005D5AFA"/>
    <w:rsid w:val="005D5E16"/>
    <w:rsid w:val="005E6797"/>
    <w:rsid w:val="005F38A1"/>
    <w:rsid w:val="005F4E71"/>
    <w:rsid w:val="006020AC"/>
    <w:rsid w:val="006030EA"/>
    <w:rsid w:val="00603FDE"/>
    <w:rsid w:val="006201D0"/>
    <w:rsid w:val="00620AC9"/>
    <w:rsid w:val="006246F9"/>
    <w:rsid w:val="00625A5E"/>
    <w:rsid w:val="0064147E"/>
    <w:rsid w:val="0064154E"/>
    <w:rsid w:val="00641883"/>
    <w:rsid w:val="00646AAE"/>
    <w:rsid w:val="00653AEC"/>
    <w:rsid w:val="00654689"/>
    <w:rsid w:val="00655190"/>
    <w:rsid w:val="00656183"/>
    <w:rsid w:val="00662218"/>
    <w:rsid w:val="00664657"/>
    <w:rsid w:val="006715A4"/>
    <w:rsid w:val="006729DA"/>
    <w:rsid w:val="00672A4C"/>
    <w:rsid w:val="00685AE0"/>
    <w:rsid w:val="00686774"/>
    <w:rsid w:val="00687037"/>
    <w:rsid w:val="006A14C0"/>
    <w:rsid w:val="006B56D7"/>
    <w:rsid w:val="006C20CE"/>
    <w:rsid w:val="006D1998"/>
    <w:rsid w:val="006D3CE1"/>
    <w:rsid w:val="006D55B6"/>
    <w:rsid w:val="006E095F"/>
    <w:rsid w:val="006E0CAE"/>
    <w:rsid w:val="006F02B9"/>
    <w:rsid w:val="006F549F"/>
    <w:rsid w:val="00703D77"/>
    <w:rsid w:val="00707FAD"/>
    <w:rsid w:val="00711095"/>
    <w:rsid w:val="00715E0B"/>
    <w:rsid w:val="00725CFF"/>
    <w:rsid w:val="0072604C"/>
    <w:rsid w:val="007277B5"/>
    <w:rsid w:val="00737883"/>
    <w:rsid w:val="007541E7"/>
    <w:rsid w:val="0075502E"/>
    <w:rsid w:val="00762BBE"/>
    <w:rsid w:val="0076681D"/>
    <w:rsid w:val="00767E3E"/>
    <w:rsid w:val="007849E3"/>
    <w:rsid w:val="00785FBF"/>
    <w:rsid w:val="007A2933"/>
    <w:rsid w:val="007B683C"/>
    <w:rsid w:val="007B6B68"/>
    <w:rsid w:val="007D313C"/>
    <w:rsid w:val="007E5BB1"/>
    <w:rsid w:val="007F125F"/>
    <w:rsid w:val="007F12F3"/>
    <w:rsid w:val="00804324"/>
    <w:rsid w:val="00810C31"/>
    <w:rsid w:val="00820546"/>
    <w:rsid w:val="008267FB"/>
    <w:rsid w:val="008339AB"/>
    <w:rsid w:val="00836053"/>
    <w:rsid w:val="00850C29"/>
    <w:rsid w:val="00857D93"/>
    <w:rsid w:val="00860674"/>
    <w:rsid w:val="00885CE9"/>
    <w:rsid w:val="00891BA2"/>
    <w:rsid w:val="008C15D9"/>
    <w:rsid w:val="008C50D5"/>
    <w:rsid w:val="008D0747"/>
    <w:rsid w:val="008E13D1"/>
    <w:rsid w:val="008F442A"/>
    <w:rsid w:val="00906B1C"/>
    <w:rsid w:val="00910C0A"/>
    <w:rsid w:val="009112DC"/>
    <w:rsid w:val="00922BE1"/>
    <w:rsid w:val="00925DA1"/>
    <w:rsid w:val="00931E6B"/>
    <w:rsid w:val="009331F3"/>
    <w:rsid w:val="0095509C"/>
    <w:rsid w:val="00982988"/>
    <w:rsid w:val="00983F5E"/>
    <w:rsid w:val="009911F2"/>
    <w:rsid w:val="00996159"/>
    <w:rsid w:val="00997C66"/>
    <w:rsid w:val="009A6DB8"/>
    <w:rsid w:val="009B16DD"/>
    <w:rsid w:val="009B1EC9"/>
    <w:rsid w:val="009B52E7"/>
    <w:rsid w:val="009B639F"/>
    <w:rsid w:val="009E14BB"/>
    <w:rsid w:val="009E53B8"/>
    <w:rsid w:val="009E7AF7"/>
    <w:rsid w:val="009F3724"/>
    <w:rsid w:val="009F7421"/>
    <w:rsid w:val="00A12912"/>
    <w:rsid w:val="00A1425A"/>
    <w:rsid w:val="00A35122"/>
    <w:rsid w:val="00A671E8"/>
    <w:rsid w:val="00A83E54"/>
    <w:rsid w:val="00A84941"/>
    <w:rsid w:val="00A84D62"/>
    <w:rsid w:val="00A84F73"/>
    <w:rsid w:val="00A9250D"/>
    <w:rsid w:val="00A94002"/>
    <w:rsid w:val="00A97D23"/>
    <w:rsid w:val="00AA4753"/>
    <w:rsid w:val="00AB4B93"/>
    <w:rsid w:val="00AC1D99"/>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3AE5"/>
    <w:rsid w:val="00B3430C"/>
    <w:rsid w:val="00B34E34"/>
    <w:rsid w:val="00B35ECC"/>
    <w:rsid w:val="00B43B73"/>
    <w:rsid w:val="00B472B5"/>
    <w:rsid w:val="00B50ABC"/>
    <w:rsid w:val="00B6292E"/>
    <w:rsid w:val="00B644FB"/>
    <w:rsid w:val="00B70ED7"/>
    <w:rsid w:val="00B81348"/>
    <w:rsid w:val="00B904E5"/>
    <w:rsid w:val="00B91C4E"/>
    <w:rsid w:val="00BA2507"/>
    <w:rsid w:val="00BA5EB1"/>
    <w:rsid w:val="00BB764F"/>
    <w:rsid w:val="00BC1144"/>
    <w:rsid w:val="00BC241D"/>
    <w:rsid w:val="00BD555C"/>
    <w:rsid w:val="00C107F2"/>
    <w:rsid w:val="00C2143D"/>
    <w:rsid w:val="00C33A04"/>
    <w:rsid w:val="00C36BF9"/>
    <w:rsid w:val="00C40206"/>
    <w:rsid w:val="00C43F7B"/>
    <w:rsid w:val="00C55C8E"/>
    <w:rsid w:val="00C56152"/>
    <w:rsid w:val="00C61658"/>
    <w:rsid w:val="00C74B0D"/>
    <w:rsid w:val="00C757E6"/>
    <w:rsid w:val="00C77B23"/>
    <w:rsid w:val="00C77FC5"/>
    <w:rsid w:val="00C933BE"/>
    <w:rsid w:val="00C95B3C"/>
    <w:rsid w:val="00CA1009"/>
    <w:rsid w:val="00CA250C"/>
    <w:rsid w:val="00CA6D65"/>
    <w:rsid w:val="00CB1C7D"/>
    <w:rsid w:val="00CC048E"/>
    <w:rsid w:val="00CC0C84"/>
    <w:rsid w:val="00CC1CF2"/>
    <w:rsid w:val="00CC381D"/>
    <w:rsid w:val="00CD7AA5"/>
    <w:rsid w:val="00CE2C75"/>
    <w:rsid w:val="00CF1B80"/>
    <w:rsid w:val="00D11351"/>
    <w:rsid w:val="00D16C84"/>
    <w:rsid w:val="00D35D02"/>
    <w:rsid w:val="00D40B91"/>
    <w:rsid w:val="00D41979"/>
    <w:rsid w:val="00D45B01"/>
    <w:rsid w:val="00D53020"/>
    <w:rsid w:val="00D6215B"/>
    <w:rsid w:val="00D63A13"/>
    <w:rsid w:val="00D655C5"/>
    <w:rsid w:val="00D914F2"/>
    <w:rsid w:val="00DA0F82"/>
    <w:rsid w:val="00DA51E0"/>
    <w:rsid w:val="00DA76AD"/>
    <w:rsid w:val="00DB1B82"/>
    <w:rsid w:val="00DB308E"/>
    <w:rsid w:val="00DB4061"/>
    <w:rsid w:val="00DB76B3"/>
    <w:rsid w:val="00DC3505"/>
    <w:rsid w:val="00DC6D73"/>
    <w:rsid w:val="00DD1C5A"/>
    <w:rsid w:val="00DD41FA"/>
    <w:rsid w:val="00DE23A6"/>
    <w:rsid w:val="00DF3645"/>
    <w:rsid w:val="00DF55A9"/>
    <w:rsid w:val="00E047A0"/>
    <w:rsid w:val="00E06294"/>
    <w:rsid w:val="00E0673E"/>
    <w:rsid w:val="00E10124"/>
    <w:rsid w:val="00E2327E"/>
    <w:rsid w:val="00E242E5"/>
    <w:rsid w:val="00E31442"/>
    <w:rsid w:val="00E3794C"/>
    <w:rsid w:val="00E418B4"/>
    <w:rsid w:val="00E4306C"/>
    <w:rsid w:val="00E52C94"/>
    <w:rsid w:val="00E53AB3"/>
    <w:rsid w:val="00E575AE"/>
    <w:rsid w:val="00E6281B"/>
    <w:rsid w:val="00E87B30"/>
    <w:rsid w:val="00E92690"/>
    <w:rsid w:val="00EA436A"/>
    <w:rsid w:val="00EA4667"/>
    <w:rsid w:val="00EB405C"/>
    <w:rsid w:val="00EC231A"/>
    <w:rsid w:val="00EC3856"/>
    <w:rsid w:val="00EC7151"/>
    <w:rsid w:val="00EC7A9D"/>
    <w:rsid w:val="00ED70DB"/>
    <w:rsid w:val="00EF0839"/>
    <w:rsid w:val="00EF31AD"/>
    <w:rsid w:val="00EF729A"/>
    <w:rsid w:val="00F06D6F"/>
    <w:rsid w:val="00F101E4"/>
    <w:rsid w:val="00F1198F"/>
    <w:rsid w:val="00F11CD2"/>
    <w:rsid w:val="00F1387A"/>
    <w:rsid w:val="00F17EB4"/>
    <w:rsid w:val="00F204CE"/>
    <w:rsid w:val="00F31EBA"/>
    <w:rsid w:val="00F32037"/>
    <w:rsid w:val="00F35C28"/>
    <w:rsid w:val="00F414E7"/>
    <w:rsid w:val="00F43231"/>
    <w:rsid w:val="00F47DFD"/>
    <w:rsid w:val="00F5082D"/>
    <w:rsid w:val="00F531BD"/>
    <w:rsid w:val="00F5324A"/>
    <w:rsid w:val="00F55629"/>
    <w:rsid w:val="00F57042"/>
    <w:rsid w:val="00F57C68"/>
    <w:rsid w:val="00F618CD"/>
    <w:rsid w:val="00F6254C"/>
    <w:rsid w:val="00F6436D"/>
    <w:rsid w:val="00F7169E"/>
    <w:rsid w:val="00F7288F"/>
    <w:rsid w:val="00F759B8"/>
    <w:rsid w:val="00F82EA6"/>
    <w:rsid w:val="00F8567E"/>
    <w:rsid w:val="00F86656"/>
    <w:rsid w:val="00F91B06"/>
    <w:rsid w:val="00F97C38"/>
    <w:rsid w:val="00FA0CA9"/>
    <w:rsid w:val="00FA4762"/>
    <w:rsid w:val="00FA5DEC"/>
    <w:rsid w:val="00FB1A24"/>
    <w:rsid w:val="00FB6EEC"/>
    <w:rsid w:val="00FC21DB"/>
    <w:rsid w:val="00FC75FE"/>
    <w:rsid w:val="00FE7070"/>
    <w:rsid w:val="00FF324B"/>
    <w:rsid w:val="12413FBE"/>
    <w:rsid w:val="24D01AD7"/>
    <w:rsid w:val="2A31D359"/>
    <w:rsid w:val="3DB1601E"/>
    <w:rsid w:val="417E2099"/>
    <w:rsid w:val="4A74AB5A"/>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glossaryDocument" Target="glossary/document.xml" Id="rId21" /><Relationship Type="http://schemas.openxmlformats.org/officeDocument/2006/relationships/settings" Target="settings.xml" Id="rId7" /><Relationship Type="http://schemas.openxmlformats.org/officeDocument/2006/relationships/image" Target="media/image1.emf" Id="rId12" /><Relationship Type="http://schemas.openxmlformats.org/officeDocument/2006/relationships/customXml" Target="../customXml/item2.xml" Id="rId2"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chart" Target="charts/chart1.xml" Id="rId11" /><Relationship Type="http://schemas.openxmlformats.org/officeDocument/2006/relationships/numbering" Target="numbering.xml" Id="rId5" /><Relationship Type="http://schemas.openxmlformats.org/officeDocument/2006/relationships/image" Target="media/image4.png" Id="rId15"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3.png" Id="rId14" /><Relationship Type="http://schemas.openxmlformats.org/officeDocument/2006/relationships/theme" Target="theme/theme1.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SBU_MSSProject/Shared%20Documents/General/Workforce%20Digital%20Metrics/EO%20WFComm%20Paper%20data%2001.06.2026.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HB wide</a:t>
            </a:r>
            <a:r>
              <a:rPr lang="en-GB" baseline="0"/>
              <a:t> FTE Usage (inc VP) against Budget</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stacked"/>
        <c:varyColors val="0"/>
        <c:ser>
          <c:idx val="1"/>
          <c:order val="1"/>
          <c:tx>
            <c:strRef>
              <c:f>'HB WTE plus VP'!$C$4</c:f>
              <c:strCache>
                <c:ptCount val="1"/>
                <c:pt idx="0">
                  <c:v>FTE Actual</c:v>
                </c:pt>
              </c:strCache>
            </c:strRef>
          </c:tx>
          <c:spPr>
            <a:solidFill>
              <a:schemeClr val="accent1">
                <a:lumMod val="40000"/>
                <a:lumOff val="60000"/>
              </a:schemeClr>
            </a:solidFill>
            <a:ln>
              <a:noFill/>
            </a:ln>
            <a:effectLst/>
          </c:spPr>
          <c:invertIfNegative val="0"/>
          <c:cat>
            <c:numRef>
              <c:f>'HB WTE plus VP'!$A$11:$A$23</c:f>
              <c:numCache>
                <c:formatCode>mmmm\ yyyy</c:formatCode>
                <c:ptCount val="13"/>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pt idx="12">
                  <c:v>46113</c:v>
                </c:pt>
              </c:numCache>
              <c:extLst/>
            </c:numRef>
          </c:cat>
          <c:val>
            <c:numRef>
              <c:f>'HB WTE plus VP'!$C$11:$C$23</c:f>
              <c:numCache>
                <c:formatCode>#,##0.00</c:formatCode>
                <c:ptCount val="13"/>
                <c:pt idx="0">
                  <c:v>13473.914419999999</c:v>
                </c:pt>
                <c:pt idx="1">
                  <c:v>13459.051509999999</c:v>
                </c:pt>
                <c:pt idx="2">
                  <c:v>13437.970160000001</c:v>
                </c:pt>
                <c:pt idx="3">
                  <c:v>13485.67441</c:v>
                </c:pt>
                <c:pt idx="4">
                  <c:v>13459.3868199999</c:v>
                </c:pt>
                <c:pt idx="5">
                  <c:v>13503.4473699999</c:v>
                </c:pt>
                <c:pt idx="6">
                  <c:v>13535.53628</c:v>
                </c:pt>
                <c:pt idx="7">
                  <c:v>13522.874099999901</c:v>
                </c:pt>
                <c:pt idx="8">
                  <c:v>13499.8304399999</c:v>
                </c:pt>
                <c:pt idx="9">
                  <c:v>13477.54536</c:v>
                </c:pt>
                <c:pt idx="10">
                  <c:v>13429.814969999999</c:v>
                </c:pt>
                <c:pt idx="11">
                  <c:v>13376.496639999999</c:v>
                </c:pt>
                <c:pt idx="12">
                  <c:v>13299.021629999999</c:v>
                </c:pt>
              </c:numCache>
              <c:extLst/>
            </c:numRef>
          </c:val>
          <c:extLst>
            <c:ext xmlns:c16="http://schemas.microsoft.com/office/drawing/2014/chart" uri="{C3380CC4-5D6E-409C-BE32-E72D297353CC}">
              <c16:uniqueId val="{00000000-2981-406C-BBAE-5357CEA968AD}"/>
            </c:ext>
          </c:extLst>
        </c:ser>
        <c:ser>
          <c:idx val="2"/>
          <c:order val="2"/>
          <c:tx>
            <c:strRef>
              <c:f>'HB WTE plus VP'!$D$4</c:f>
              <c:strCache>
                <c:ptCount val="1"/>
                <c:pt idx="0">
                  <c:v>FTE Variable Pay</c:v>
                </c:pt>
              </c:strCache>
            </c:strRef>
          </c:tx>
          <c:spPr>
            <a:solidFill>
              <a:schemeClr val="tx2">
                <a:lumMod val="50000"/>
                <a:lumOff val="50000"/>
              </a:schemeClr>
            </a:solidFill>
            <a:ln>
              <a:noFill/>
            </a:ln>
            <a:effectLst/>
          </c:spPr>
          <c:invertIfNegative val="0"/>
          <c:cat>
            <c:numRef>
              <c:f>'HB WTE plus VP'!$A$11:$A$23</c:f>
              <c:numCache>
                <c:formatCode>mmmm\ yyyy</c:formatCode>
                <c:ptCount val="13"/>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pt idx="12">
                  <c:v>46113</c:v>
                </c:pt>
              </c:numCache>
              <c:extLst/>
            </c:numRef>
          </c:cat>
          <c:val>
            <c:numRef>
              <c:f>'HB WTE plus VP'!$D$11:$D$23</c:f>
              <c:numCache>
                <c:formatCode>#,##0.00</c:formatCode>
                <c:ptCount val="13"/>
                <c:pt idx="0">
                  <c:v>844.26170202020205</c:v>
                </c:pt>
                <c:pt idx="1">
                  <c:v>899.4274595959597</c:v>
                </c:pt>
                <c:pt idx="2">
                  <c:v>859.85776719576813</c:v>
                </c:pt>
                <c:pt idx="3">
                  <c:v>818.95962801932217</c:v>
                </c:pt>
                <c:pt idx="4">
                  <c:v>838.88690476190538</c:v>
                </c:pt>
                <c:pt idx="5">
                  <c:v>786.5728131313133</c:v>
                </c:pt>
                <c:pt idx="6">
                  <c:v>742.15737681159362</c:v>
                </c:pt>
                <c:pt idx="7">
                  <c:v>846.57255555555525</c:v>
                </c:pt>
                <c:pt idx="8">
                  <c:v>635.25584057971002</c:v>
                </c:pt>
                <c:pt idx="9">
                  <c:v>776.23401515151511</c:v>
                </c:pt>
                <c:pt idx="10">
                  <c:v>831.83526111111109</c:v>
                </c:pt>
                <c:pt idx="11">
                  <c:v>904.74977777777747</c:v>
                </c:pt>
                <c:pt idx="12">
                  <c:v>742.78561616161608</c:v>
                </c:pt>
              </c:numCache>
              <c:extLst/>
            </c:numRef>
          </c:val>
          <c:extLst>
            <c:ext xmlns:c16="http://schemas.microsoft.com/office/drawing/2014/chart" uri="{C3380CC4-5D6E-409C-BE32-E72D297353CC}">
              <c16:uniqueId val="{00000001-2981-406C-BBAE-5357CEA968AD}"/>
            </c:ext>
          </c:extLst>
        </c:ser>
        <c:dLbls>
          <c:showLegendKey val="0"/>
          <c:showVal val="0"/>
          <c:showCatName val="0"/>
          <c:showSerName val="0"/>
          <c:showPercent val="0"/>
          <c:showBubbleSize val="0"/>
        </c:dLbls>
        <c:gapWidth val="150"/>
        <c:overlap val="100"/>
        <c:axId val="862866144"/>
        <c:axId val="862866624"/>
      </c:barChart>
      <c:lineChart>
        <c:grouping val="standard"/>
        <c:varyColors val="0"/>
        <c:ser>
          <c:idx val="0"/>
          <c:order val="0"/>
          <c:tx>
            <c:strRef>
              <c:f>'HB WTE plus VP'!$B$4</c:f>
              <c:strCache>
                <c:ptCount val="1"/>
                <c:pt idx="0">
                  <c:v>FTE Budgeted</c:v>
                </c:pt>
              </c:strCache>
            </c:strRef>
          </c:tx>
          <c:spPr>
            <a:ln w="28575" cap="rnd">
              <a:solidFill>
                <a:schemeClr val="accent1"/>
              </a:solidFill>
              <a:round/>
            </a:ln>
            <a:effectLst/>
          </c:spPr>
          <c:marker>
            <c:symbol val="none"/>
          </c:marker>
          <c:cat>
            <c:numRef>
              <c:f>'HB WTE plus VP'!$A$11:$A$23</c:f>
              <c:numCache>
                <c:formatCode>mmmm\ yyyy</c:formatCode>
                <c:ptCount val="13"/>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pt idx="12">
                  <c:v>46113</c:v>
                </c:pt>
              </c:numCache>
              <c:extLst/>
            </c:numRef>
          </c:cat>
          <c:val>
            <c:numRef>
              <c:f>'HB WTE plus VP'!$B$11:$B$23</c:f>
              <c:numCache>
                <c:formatCode>#,##0.00</c:formatCode>
                <c:ptCount val="13"/>
                <c:pt idx="0">
                  <c:v>13854.98</c:v>
                </c:pt>
                <c:pt idx="1">
                  <c:v>13876.15</c:v>
                </c:pt>
                <c:pt idx="2">
                  <c:v>13906.47</c:v>
                </c:pt>
                <c:pt idx="3">
                  <c:v>13934.21</c:v>
                </c:pt>
                <c:pt idx="4">
                  <c:v>13956.85</c:v>
                </c:pt>
                <c:pt idx="5">
                  <c:v>13935.2</c:v>
                </c:pt>
                <c:pt idx="6">
                  <c:v>13987.95</c:v>
                </c:pt>
                <c:pt idx="7">
                  <c:v>13972.55</c:v>
                </c:pt>
                <c:pt idx="8">
                  <c:v>13974.48</c:v>
                </c:pt>
                <c:pt idx="9">
                  <c:v>14048.87</c:v>
                </c:pt>
                <c:pt idx="10">
                  <c:v>14078.53</c:v>
                </c:pt>
                <c:pt idx="11">
                  <c:v>14104.79</c:v>
                </c:pt>
                <c:pt idx="12">
                  <c:v>13980.94</c:v>
                </c:pt>
              </c:numCache>
              <c:extLst/>
            </c:numRef>
          </c:val>
          <c:smooth val="0"/>
          <c:extLst>
            <c:ext xmlns:c16="http://schemas.microsoft.com/office/drawing/2014/chart" uri="{C3380CC4-5D6E-409C-BE32-E72D297353CC}">
              <c16:uniqueId val="{00000002-2981-406C-BBAE-5357CEA968AD}"/>
            </c:ext>
          </c:extLst>
        </c:ser>
        <c:dLbls>
          <c:showLegendKey val="0"/>
          <c:showVal val="0"/>
          <c:showCatName val="0"/>
          <c:showSerName val="0"/>
          <c:showPercent val="0"/>
          <c:showBubbleSize val="0"/>
        </c:dLbls>
        <c:marker val="1"/>
        <c:smooth val="0"/>
        <c:axId val="862866144"/>
        <c:axId val="862866624"/>
      </c:lineChart>
      <c:dateAx>
        <c:axId val="862866144"/>
        <c:scaling>
          <c:orientation val="minMax"/>
        </c:scaling>
        <c:delete val="0"/>
        <c:axPos val="b"/>
        <c:numFmt formatCode="mmmm\ yyyy"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2866624"/>
        <c:crosses val="autoZero"/>
        <c:auto val="1"/>
        <c:lblOffset val="100"/>
        <c:baseTimeUnit val="months"/>
      </c:dateAx>
      <c:valAx>
        <c:axId val="862866624"/>
        <c:scaling>
          <c:orientation val="minMax"/>
          <c:min val="1000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2866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panose1 w:val="02020500000000000000"/>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12"/>
    <w:rsid w:val="004140C9"/>
    <w:rsid w:val="00452091"/>
    <w:rsid w:val="00467E8C"/>
    <w:rsid w:val="00500DD2"/>
    <w:rsid w:val="00524839"/>
    <w:rsid w:val="00572016"/>
    <w:rsid w:val="00591655"/>
    <w:rsid w:val="005A5FA4"/>
    <w:rsid w:val="00641883"/>
    <w:rsid w:val="00672A4C"/>
    <w:rsid w:val="006965DA"/>
    <w:rsid w:val="006D0E46"/>
    <w:rsid w:val="006F549F"/>
    <w:rsid w:val="00715E0B"/>
    <w:rsid w:val="0076681D"/>
    <w:rsid w:val="007D313C"/>
    <w:rsid w:val="009E14BB"/>
    <w:rsid w:val="00AD486E"/>
    <w:rsid w:val="00B06ACB"/>
    <w:rsid w:val="00B904E5"/>
    <w:rsid w:val="00C3159D"/>
    <w:rsid w:val="00CB2F21"/>
    <w:rsid w:val="00CC048E"/>
    <w:rsid w:val="00D914F2"/>
    <w:rsid w:val="00E10124"/>
    <w:rsid w:val="00E6281B"/>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139</revision>
  <dcterms:created xsi:type="dcterms:W3CDTF">2026-06-01T08:19:00.0000000Z</dcterms:created>
  <dcterms:modified xsi:type="dcterms:W3CDTF">2026-06-04T09:04:29.3256963Z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