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024CA8" w14:textId="77777777" w:rsidR="00E5198F" w:rsidRPr="00CD14A4" w:rsidRDefault="00E11685" w:rsidP="00E5198F">
      <w:pPr>
        <w:pStyle w:val="ListParagraph"/>
        <w:spacing w:after="0" w:line="240" w:lineRule="auto"/>
        <w:ind w:left="0"/>
        <w:jc w:val="both"/>
        <w:rPr>
          <w:rFonts w:ascii="Verdana" w:hAnsi="Verdana" w:cs="Arial"/>
          <w:b/>
          <w:caps/>
          <w:sz w:val="24"/>
          <w:szCs w:val="24"/>
        </w:rPr>
      </w:pPr>
      <w:bookmarkStart w:id="0" w:name="Workforce"/>
      <w:r w:rsidRPr="00CD14A4">
        <w:rPr>
          <w:rFonts w:ascii="Verdana" w:hAnsi="Verdana" w:cs="Arial"/>
          <w:b/>
          <w:caps/>
          <w:sz w:val="24"/>
          <w:szCs w:val="24"/>
        </w:rPr>
        <w:t>10</w:t>
      </w:r>
      <w:r w:rsidR="00E5198F" w:rsidRPr="00CD14A4">
        <w:rPr>
          <w:rFonts w:ascii="Verdana" w:hAnsi="Verdana" w:cs="Arial"/>
          <w:b/>
          <w:caps/>
          <w:sz w:val="24"/>
          <w:szCs w:val="24"/>
        </w:rPr>
        <w:t xml:space="preserve">. Workforce Updates and Actions </w:t>
      </w:r>
    </w:p>
    <w:bookmarkEnd w:id="0"/>
    <w:p w14:paraId="3C43A186" w14:textId="77777777" w:rsidR="00E5198F" w:rsidRPr="00CD14A4" w:rsidRDefault="00E5198F" w:rsidP="00E5198F">
      <w:pPr>
        <w:spacing w:after="0" w:line="240" w:lineRule="auto"/>
        <w:jc w:val="both"/>
        <w:rPr>
          <w:rFonts w:ascii="Verdana" w:hAnsi="Verdana" w:cs="Arial"/>
          <w:sz w:val="24"/>
          <w:szCs w:val="24"/>
        </w:rPr>
      </w:pPr>
      <w:r w:rsidRPr="00CD14A4">
        <w:rPr>
          <w:rFonts w:ascii="Verdana" w:hAnsi="Verdana" w:cs="Arial"/>
          <w:sz w:val="24"/>
          <w:szCs w:val="24"/>
        </w:rPr>
        <w:t>This section of the report provides further detail on key workforce measures.</w:t>
      </w:r>
      <w:r w:rsidR="00BE75DA" w:rsidRPr="00CD14A4">
        <w:rPr>
          <w:rFonts w:ascii="Verdana" w:hAnsi="Verdana" w:cs="Arial"/>
          <w:sz w:val="24"/>
          <w:szCs w:val="24"/>
        </w:rPr>
        <w:t xml:space="preserve"> Caveats and Limitations (C&amp;L) detailed beneath data in each section.</w:t>
      </w:r>
    </w:p>
    <w:tbl>
      <w:tblPr>
        <w:tblStyle w:val="TableGrid"/>
        <w:tblW w:w="12847" w:type="dxa"/>
        <w:tblInd w:w="5" w:type="dxa"/>
        <w:tblLayout w:type="fixed"/>
        <w:tblLook w:val="0600" w:firstRow="0" w:lastRow="0" w:firstColumn="0" w:lastColumn="0" w:noHBand="1" w:noVBand="1"/>
      </w:tblPr>
      <w:tblGrid>
        <w:gridCol w:w="2117"/>
        <w:gridCol w:w="10730"/>
      </w:tblGrid>
      <w:tr w:rsidR="00D40A65" w:rsidRPr="00833384" w14:paraId="11A3C2E0" w14:textId="77777777" w:rsidTr="00C624E9">
        <w:tc>
          <w:tcPr>
            <w:tcW w:w="2117" w:type="dxa"/>
            <w:shd w:val="clear" w:color="auto" w:fill="DBE5F1" w:themeFill="accent1" w:themeFillTint="33"/>
          </w:tcPr>
          <w:p w14:paraId="2D289D3F" w14:textId="0408EC17" w:rsidR="00D40A65" w:rsidRPr="00CD14A4" w:rsidRDefault="00D40A65" w:rsidP="00D40A65">
            <w:pPr>
              <w:spacing w:after="0" w:line="240" w:lineRule="auto"/>
              <w:rPr>
                <w:rFonts w:ascii="Verdana" w:hAnsi="Verdana" w:cs="Arial"/>
                <w:bCs/>
                <w:sz w:val="24"/>
                <w:szCs w:val="24"/>
              </w:rPr>
            </w:pPr>
            <w:r w:rsidRPr="00CD14A4">
              <w:rPr>
                <w:rFonts w:ascii="Verdana" w:hAnsi="Verdana" w:cs="Arial"/>
                <w:b/>
                <w:bCs/>
                <w:sz w:val="24"/>
                <w:szCs w:val="24"/>
              </w:rPr>
              <w:t>Staff sickness rates</w:t>
            </w:r>
            <w:r w:rsidR="00D85E6F" w:rsidRPr="00CD14A4">
              <w:rPr>
                <w:rFonts w:ascii="Verdana" w:hAnsi="Verdana" w:cs="Arial"/>
                <w:b/>
                <w:bCs/>
                <w:sz w:val="24"/>
                <w:szCs w:val="24"/>
              </w:rPr>
              <w:t xml:space="preserve"> </w:t>
            </w:r>
            <w:r w:rsidRPr="00CD14A4">
              <w:rPr>
                <w:rFonts w:ascii="Verdana" w:hAnsi="Verdana" w:cs="Arial"/>
                <w:b/>
                <w:bCs/>
                <w:sz w:val="24"/>
                <w:szCs w:val="24"/>
              </w:rPr>
              <w:t xml:space="preserve">- </w:t>
            </w:r>
            <w:r w:rsidRPr="00CD14A4">
              <w:rPr>
                <w:rFonts w:ascii="Verdana" w:hAnsi="Verdana" w:cs="Arial"/>
                <w:bCs/>
                <w:i/>
                <w:sz w:val="24"/>
                <w:szCs w:val="24"/>
              </w:rPr>
              <w:t>Percentage of sickness absence rate of staff</w:t>
            </w:r>
            <w:r w:rsidR="00BE4665" w:rsidRPr="00CD14A4">
              <w:rPr>
                <w:rFonts w:ascii="Verdana" w:hAnsi="Verdana" w:cs="Arial"/>
                <w:bCs/>
                <w:i/>
                <w:sz w:val="24"/>
                <w:szCs w:val="24"/>
              </w:rPr>
              <w:t xml:space="preserve"> (two metrics provided, ‘rolling 12 </w:t>
            </w:r>
            <w:proofErr w:type="gramStart"/>
            <w:r w:rsidR="00BE4665" w:rsidRPr="00CD14A4">
              <w:rPr>
                <w:rFonts w:ascii="Verdana" w:hAnsi="Verdana" w:cs="Arial"/>
                <w:bCs/>
                <w:i/>
                <w:sz w:val="24"/>
                <w:szCs w:val="24"/>
              </w:rPr>
              <w:t>month</w:t>
            </w:r>
            <w:proofErr w:type="gramEnd"/>
            <w:r w:rsidR="00BE4665" w:rsidRPr="00CD14A4">
              <w:rPr>
                <w:rFonts w:ascii="Verdana" w:hAnsi="Verdana" w:cs="Arial"/>
                <w:bCs/>
                <w:i/>
                <w:sz w:val="24"/>
                <w:szCs w:val="24"/>
              </w:rPr>
              <w:t>’ and ‘in month’)</w:t>
            </w:r>
          </w:p>
          <w:p w14:paraId="0676B513" w14:textId="77777777" w:rsidR="00D40A65" w:rsidRPr="00CD14A4" w:rsidRDefault="00D40A65" w:rsidP="00773540">
            <w:pPr>
              <w:spacing w:after="0" w:line="240" w:lineRule="auto"/>
              <w:rPr>
                <w:rFonts w:ascii="Verdana" w:hAnsi="Verdana" w:cs="Arial"/>
                <w:b/>
                <w:bCs/>
                <w:sz w:val="24"/>
                <w:szCs w:val="24"/>
              </w:rPr>
            </w:pPr>
          </w:p>
          <w:p w14:paraId="01F0C1CF" w14:textId="77777777" w:rsidR="003756B7" w:rsidRPr="00CD14A4" w:rsidRDefault="003756B7" w:rsidP="00773540">
            <w:pPr>
              <w:spacing w:after="0" w:line="240" w:lineRule="auto"/>
              <w:rPr>
                <w:rFonts w:ascii="Verdana" w:hAnsi="Verdana" w:cs="Arial"/>
                <w:b/>
                <w:bCs/>
                <w:sz w:val="24"/>
                <w:szCs w:val="24"/>
              </w:rPr>
            </w:pPr>
          </w:p>
          <w:p w14:paraId="3A9262E3" w14:textId="77777777" w:rsidR="003756B7" w:rsidRPr="00CD14A4" w:rsidRDefault="003756B7" w:rsidP="00773540">
            <w:pPr>
              <w:spacing w:after="0" w:line="240" w:lineRule="auto"/>
              <w:rPr>
                <w:rFonts w:ascii="Verdana" w:hAnsi="Verdana" w:cs="Arial"/>
                <w:b/>
                <w:bCs/>
                <w:sz w:val="24"/>
                <w:szCs w:val="24"/>
              </w:rPr>
            </w:pPr>
          </w:p>
          <w:p w14:paraId="0A253216" w14:textId="5BB6364E" w:rsidR="003756B7" w:rsidRPr="00833384" w:rsidRDefault="003756B7" w:rsidP="00773540">
            <w:pPr>
              <w:spacing w:after="0" w:line="240" w:lineRule="auto"/>
              <w:rPr>
                <w:rFonts w:ascii="Verdana" w:hAnsi="Verdana" w:cs="Arial"/>
                <w:b/>
                <w:bCs/>
                <w:sz w:val="24"/>
                <w:szCs w:val="24"/>
              </w:rPr>
            </w:pPr>
            <w:r w:rsidRPr="00CD14A4">
              <w:rPr>
                <w:rFonts w:ascii="Verdana" w:hAnsi="Verdana" w:cs="Arial"/>
                <w:b/>
                <w:bCs/>
                <w:sz w:val="24"/>
                <w:szCs w:val="24"/>
              </w:rPr>
              <w:t>Sickness absence target – 5.5%</w:t>
            </w:r>
          </w:p>
        </w:tc>
        <w:tc>
          <w:tcPr>
            <w:tcW w:w="10730" w:type="dxa"/>
            <w:shd w:val="clear" w:color="auto" w:fill="auto"/>
          </w:tcPr>
          <w:p w14:paraId="4FFF324F" w14:textId="3FAAD834" w:rsidR="00D40A65" w:rsidRPr="00833384" w:rsidRDefault="00D40A65" w:rsidP="001D1DF9">
            <w:pPr>
              <w:spacing w:after="0" w:line="240" w:lineRule="auto"/>
              <w:jc w:val="center"/>
              <w:rPr>
                <w:rFonts w:ascii="Verdana" w:hAnsi="Verdana" w:cs="Arial"/>
                <w:b/>
                <w:sz w:val="24"/>
                <w:szCs w:val="24"/>
              </w:rPr>
            </w:pPr>
            <w:r w:rsidRPr="00833384">
              <w:rPr>
                <w:rFonts w:ascii="Verdana" w:hAnsi="Verdana" w:cs="Arial"/>
                <w:b/>
                <w:sz w:val="24"/>
                <w:szCs w:val="24"/>
              </w:rPr>
              <w:t>% of full time equivalent (FTE) days lost to sickness absence</w:t>
            </w:r>
          </w:p>
          <w:p w14:paraId="0C39E302" w14:textId="638EC11D" w:rsidR="009B7C03" w:rsidRPr="00833384" w:rsidRDefault="009B7C03" w:rsidP="194081B6">
            <w:pPr>
              <w:spacing w:after="0" w:line="240" w:lineRule="auto"/>
              <w:jc w:val="center"/>
              <w:rPr>
                <w:rFonts w:ascii="Verdana" w:hAnsi="Verdana"/>
              </w:rPr>
            </w:pPr>
          </w:p>
          <w:p w14:paraId="18035D3A" w14:textId="75437D63" w:rsidR="00D47F8E" w:rsidRPr="00833384" w:rsidRDefault="00D85CC9" w:rsidP="194081B6">
            <w:pPr>
              <w:spacing w:after="0" w:line="240" w:lineRule="auto"/>
              <w:jc w:val="center"/>
              <w:rPr>
                <w:rFonts w:ascii="Verdana" w:hAnsi="Verdana"/>
              </w:rPr>
            </w:pPr>
            <w:r w:rsidRPr="00833384">
              <w:rPr>
                <w:rFonts w:ascii="Verdana" w:hAnsi="Verdana"/>
                <w:noProof/>
              </w:rPr>
              <w:drawing>
                <wp:inline distT="0" distB="0" distL="0" distR="0" wp14:anchorId="392E374D" wp14:editId="1DA305F3">
                  <wp:extent cx="5572125" cy="2532063"/>
                  <wp:effectExtent l="0" t="0" r="0" b="1905"/>
                  <wp:docPr id="16" name="Chart 16">
                    <a:extLst xmlns:a="http://schemas.openxmlformats.org/drawingml/2006/main">
                      <a:ext uri="{FF2B5EF4-FFF2-40B4-BE49-F238E27FC236}">
                        <a16:creationId xmlns:a16="http://schemas.microsoft.com/office/drawing/2014/main" id="{453A6A88-CABC-426A-827C-5B3DCF9620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1433E37" w14:textId="77777777" w:rsidR="00D47F8E" w:rsidRPr="00833384" w:rsidRDefault="00D47F8E" w:rsidP="194081B6">
            <w:pPr>
              <w:spacing w:after="0" w:line="240" w:lineRule="auto"/>
              <w:rPr>
                <w:rFonts w:ascii="Verdana" w:hAnsi="Verdana" w:cs="Arial"/>
                <w:i/>
                <w:sz w:val="18"/>
                <w:szCs w:val="18"/>
              </w:rPr>
            </w:pPr>
          </w:p>
          <w:p w14:paraId="036E2B94" w14:textId="3CD1F104" w:rsidR="00A6373C" w:rsidRPr="00833384" w:rsidRDefault="009B7C03" w:rsidP="00833384">
            <w:pPr>
              <w:spacing w:after="0" w:line="240" w:lineRule="auto"/>
              <w:jc w:val="both"/>
              <w:rPr>
                <w:rFonts w:ascii="Verdana" w:hAnsi="Verdana" w:cs="Arial"/>
                <w:i/>
                <w:iCs/>
              </w:rPr>
            </w:pPr>
            <w:r w:rsidRPr="00833384">
              <w:rPr>
                <w:rFonts w:ascii="Verdana" w:hAnsi="Verdana" w:cs="Arial"/>
                <w:i/>
              </w:rPr>
              <w:t>C</w:t>
            </w:r>
            <w:r w:rsidR="00EA259B" w:rsidRPr="00833384">
              <w:rPr>
                <w:rFonts w:ascii="Verdana" w:hAnsi="Verdana" w:cs="Arial"/>
                <w:i/>
              </w:rPr>
              <w:t xml:space="preserve">aveat </w:t>
            </w:r>
            <w:r w:rsidRPr="00833384">
              <w:rPr>
                <w:rFonts w:ascii="Verdana" w:hAnsi="Verdana" w:cs="Arial"/>
                <w:i/>
              </w:rPr>
              <w:t>&amp;</w:t>
            </w:r>
            <w:r w:rsidR="00EA259B" w:rsidRPr="00833384">
              <w:rPr>
                <w:rFonts w:ascii="Verdana" w:hAnsi="Verdana" w:cs="Arial"/>
                <w:i/>
              </w:rPr>
              <w:t xml:space="preserve"> </w:t>
            </w:r>
            <w:proofErr w:type="gramStart"/>
            <w:r w:rsidRPr="00833384">
              <w:rPr>
                <w:rFonts w:ascii="Verdana" w:hAnsi="Verdana" w:cs="Arial"/>
                <w:i/>
              </w:rPr>
              <w:t>L</w:t>
            </w:r>
            <w:r w:rsidR="00EA259B" w:rsidRPr="00833384">
              <w:rPr>
                <w:rFonts w:ascii="Verdana" w:hAnsi="Verdana" w:cs="Arial"/>
                <w:i/>
              </w:rPr>
              <w:t>imitations</w:t>
            </w:r>
            <w:r w:rsidRPr="00833384">
              <w:rPr>
                <w:rFonts w:ascii="Verdana" w:hAnsi="Verdana" w:cs="Arial"/>
                <w:i/>
              </w:rPr>
              <w:t>;-</w:t>
            </w:r>
            <w:proofErr w:type="gramEnd"/>
            <w:r w:rsidRPr="00833384">
              <w:rPr>
                <w:rFonts w:ascii="Verdana" w:hAnsi="Verdana" w:cs="Arial"/>
                <w:i/>
              </w:rPr>
              <w:t xml:space="preserve"> Report generated </w:t>
            </w:r>
            <w:r w:rsidR="00D85CC9" w:rsidRPr="00833384">
              <w:rPr>
                <w:rFonts w:ascii="Verdana" w:hAnsi="Verdana" w:cs="Arial"/>
                <w:i/>
              </w:rPr>
              <w:t>May</w:t>
            </w:r>
            <w:r w:rsidRPr="00833384">
              <w:rPr>
                <w:rFonts w:ascii="Verdana" w:hAnsi="Verdana" w:cs="Arial"/>
                <w:i/>
              </w:rPr>
              <w:t xml:space="preserve"> 202</w:t>
            </w:r>
            <w:r w:rsidR="00D85CC9" w:rsidRPr="00833384">
              <w:rPr>
                <w:rFonts w:ascii="Verdana" w:hAnsi="Verdana" w:cs="Arial"/>
                <w:i/>
              </w:rPr>
              <w:t>5</w:t>
            </w:r>
            <w:r w:rsidRPr="00833384">
              <w:rPr>
                <w:rFonts w:ascii="Verdana" w:hAnsi="Verdana" w:cs="Arial"/>
                <w:i/>
              </w:rPr>
              <w:t>, within SBUHB (Performance Team)</w:t>
            </w:r>
            <w:r w:rsidR="00CF3BEB" w:rsidRPr="00833384">
              <w:rPr>
                <w:rFonts w:ascii="Verdana" w:hAnsi="Verdana" w:cs="Arial"/>
                <w:i/>
              </w:rPr>
              <w:t xml:space="preserve"> for substantive and FTC employee types</w:t>
            </w:r>
            <w:r w:rsidRPr="00833384">
              <w:rPr>
                <w:rFonts w:ascii="Verdana" w:hAnsi="Verdana" w:cs="Arial"/>
                <w:i/>
              </w:rPr>
              <w:t>.</w:t>
            </w:r>
            <w:r w:rsidR="00A6373C" w:rsidRPr="00833384">
              <w:rPr>
                <w:rFonts w:ascii="Verdana" w:hAnsi="Verdana" w:cs="Arial"/>
                <w:i/>
              </w:rPr>
              <w:t xml:space="preserve"> Data source – ESR</w:t>
            </w:r>
            <w:r w:rsidR="00CF3BEB" w:rsidRPr="00833384">
              <w:rPr>
                <w:rFonts w:ascii="Verdana" w:hAnsi="Verdana" w:cs="Arial"/>
                <w:i/>
              </w:rPr>
              <w:t>.</w:t>
            </w:r>
            <w:r w:rsidR="00A251A2" w:rsidRPr="00833384">
              <w:rPr>
                <w:rFonts w:ascii="Verdana" w:hAnsi="Verdana" w:cs="Arial"/>
                <w:i/>
              </w:rPr>
              <w:t xml:space="preserve"> </w:t>
            </w:r>
            <w:r w:rsidR="00913066" w:rsidRPr="00833384">
              <w:rPr>
                <w:rFonts w:ascii="Verdana" w:hAnsi="Verdana" w:cs="Arial"/>
                <w:i/>
                <w:iCs/>
              </w:rPr>
              <w:t>Target of 5.5% added as blue line</w:t>
            </w:r>
          </w:p>
          <w:p w14:paraId="23C68331" w14:textId="54284CD0" w:rsidR="00A6373C" w:rsidRPr="00833384" w:rsidRDefault="00A6373C" w:rsidP="194081B6">
            <w:pPr>
              <w:spacing w:after="0" w:line="240" w:lineRule="auto"/>
              <w:rPr>
                <w:rFonts w:ascii="Verdana" w:hAnsi="Verdana" w:cs="Arial"/>
                <w:i/>
                <w:iCs/>
                <w:sz w:val="18"/>
                <w:szCs w:val="18"/>
                <w:highlight w:val="yellow"/>
              </w:rPr>
            </w:pPr>
          </w:p>
        </w:tc>
      </w:tr>
      <w:tr w:rsidR="00877518" w:rsidRPr="00833384" w14:paraId="55BC500F" w14:textId="77777777" w:rsidTr="5E29146B">
        <w:tc>
          <w:tcPr>
            <w:tcW w:w="12847" w:type="dxa"/>
            <w:gridSpan w:val="2"/>
            <w:shd w:val="clear" w:color="auto" w:fill="EAF1DD" w:themeFill="accent3" w:themeFillTint="33"/>
          </w:tcPr>
          <w:p w14:paraId="5277B735" w14:textId="77777777" w:rsidR="00877518" w:rsidRPr="00CD14A4" w:rsidRDefault="00877518" w:rsidP="00D40A65">
            <w:pPr>
              <w:spacing w:after="0" w:line="240" w:lineRule="auto"/>
              <w:rPr>
                <w:rFonts w:ascii="Verdana" w:hAnsi="Verdana" w:cs="Arial"/>
                <w:b/>
                <w:sz w:val="24"/>
                <w:szCs w:val="24"/>
              </w:rPr>
            </w:pPr>
            <w:r w:rsidRPr="00CD14A4">
              <w:rPr>
                <w:rFonts w:ascii="Verdana" w:hAnsi="Verdana" w:cs="Arial"/>
                <w:b/>
                <w:sz w:val="24"/>
                <w:szCs w:val="24"/>
              </w:rPr>
              <w:t>Current Performance</w:t>
            </w:r>
          </w:p>
        </w:tc>
      </w:tr>
      <w:tr w:rsidR="00994D25" w:rsidRPr="00833384" w14:paraId="6379F7AA" w14:textId="77777777" w:rsidTr="00C624E9">
        <w:tc>
          <w:tcPr>
            <w:tcW w:w="12847" w:type="dxa"/>
            <w:gridSpan w:val="2"/>
            <w:shd w:val="clear" w:color="auto" w:fill="auto"/>
          </w:tcPr>
          <w:p w14:paraId="2ECCAD94" w14:textId="77777777" w:rsidR="00837CDB" w:rsidRPr="00CD14A4" w:rsidRDefault="00837CDB" w:rsidP="00833384">
            <w:pPr>
              <w:spacing w:after="0" w:line="240" w:lineRule="auto"/>
              <w:jc w:val="both"/>
              <w:rPr>
                <w:rFonts w:ascii="Verdana" w:hAnsi="Verdana" w:cs="Arial"/>
                <w:sz w:val="24"/>
                <w:szCs w:val="24"/>
              </w:rPr>
            </w:pPr>
            <w:r w:rsidRPr="00CD14A4">
              <w:rPr>
                <w:rFonts w:ascii="Verdana" w:hAnsi="Verdana" w:cs="Arial"/>
                <w:sz w:val="24"/>
                <w:szCs w:val="24"/>
              </w:rPr>
              <w:t>In month sickness absence has decreased from 7.06% to 6.82% reported in April 2025. Long term sickness has reduced by 0.49% since the last reporting period. Short term sickness has decreased by 0.24% since the last reporting period.</w:t>
            </w:r>
          </w:p>
          <w:p w14:paraId="7D2BD79C" w14:textId="00EACFE4" w:rsidR="00837CDB" w:rsidRPr="00CD14A4" w:rsidRDefault="00837CDB" w:rsidP="00833384">
            <w:pPr>
              <w:pStyle w:val="ListParagraph"/>
              <w:numPr>
                <w:ilvl w:val="0"/>
                <w:numId w:val="33"/>
              </w:numPr>
              <w:spacing w:after="0" w:line="240" w:lineRule="auto"/>
              <w:jc w:val="both"/>
              <w:rPr>
                <w:rFonts w:ascii="Verdana" w:hAnsi="Verdana" w:cs="Arial"/>
                <w:sz w:val="24"/>
                <w:szCs w:val="24"/>
              </w:rPr>
            </w:pPr>
            <w:r w:rsidRPr="00CD14A4">
              <w:rPr>
                <w:rFonts w:ascii="Verdana" w:hAnsi="Verdana" w:cs="Arial"/>
                <w:sz w:val="24"/>
                <w:szCs w:val="24"/>
              </w:rPr>
              <w:t xml:space="preserve">Anxiety/stress related absence remains the highest reason for absence, a trend witnessed across NHS Wales. Anxiety/Stress/Depression reported in April 2025 accounts for 2.39% of all in month sickness absence, the number of </w:t>
            </w:r>
            <w:r w:rsidR="00CD14A4">
              <w:rPr>
                <w:rFonts w:ascii="Verdana" w:hAnsi="Verdana" w:cs="Arial"/>
                <w:sz w:val="24"/>
                <w:szCs w:val="24"/>
              </w:rPr>
              <w:t>Full Time Equivalent (</w:t>
            </w:r>
            <w:r w:rsidRPr="00CD14A4">
              <w:rPr>
                <w:rFonts w:ascii="Verdana" w:hAnsi="Verdana" w:cs="Arial"/>
                <w:sz w:val="24"/>
                <w:szCs w:val="24"/>
              </w:rPr>
              <w:t>FTE</w:t>
            </w:r>
            <w:r w:rsidR="00CD14A4">
              <w:rPr>
                <w:rFonts w:ascii="Verdana" w:hAnsi="Verdana" w:cs="Arial"/>
                <w:sz w:val="24"/>
                <w:szCs w:val="24"/>
              </w:rPr>
              <w:t>)</w:t>
            </w:r>
            <w:r w:rsidRPr="00CD14A4">
              <w:rPr>
                <w:rFonts w:ascii="Verdana" w:hAnsi="Verdana" w:cs="Arial"/>
                <w:sz w:val="24"/>
                <w:szCs w:val="24"/>
              </w:rPr>
              <w:t xml:space="preserve"> days lost due to Anxiety/Stress/Depression has reduced by 0.01% since the last reporting period </w:t>
            </w:r>
          </w:p>
          <w:p w14:paraId="15FB7B81" w14:textId="43175DFB" w:rsidR="00837CDB" w:rsidRPr="00CD14A4" w:rsidRDefault="00837CDB" w:rsidP="00833384">
            <w:pPr>
              <w:pStyle w:val="ListParagraph"/>
              <w:numPr>
                <w:ilvl w:val="0"/>
                <w:numId w:val="33"/>
              </w:numPr>
              <w:spacing w:after="0" w:line="240" w:lineRule="auto"/>
              <w:jc w:val="both"/>
              <w:rPr>
                <w:rFonts w:ascii="Verdana" w:hAnsi="Verdana" w:cs="Arial"/>
                <w:sz w:val="24"/>
                <w:szCs w:val="24"/>
              </w:rPr>
            </w:pPr>
            <w:r w:rsidRPr="00CD14A4">
              <w:rPr>
                <w:rFonts w:ascii="Verdana" w:hAnsi="Verdana" w:cs="Arial"/>
                <w:sz w:val="24"/>
                <w:szCs w:val="24"/>
              </w:rPr>
              <w:t>The number of FTE days lost due to Cold/Cough/Flu have also reduced by 0.13% which is expected due to seasonal illness trends</w:t>
            </w:r>
          </w:p>
          <w:p w14:paraId="6BBDB2D7" w14:textId="6E25FBFA" w:rsidR="00837CDB" w:rsidRPr="00CD14A4" w:rsidRDefault="00837CDB" w:rsidP="00833384">
            <w:pPr>
              <w:pStyle w:val="ListParagraph"/>
              <w:numPr>
                <w:ilvl w:val="0"/>
                <w:numId w:val="33"/>
              </w:numPr>
              <w:spacing w:after="0" w:line="240" w:lineRule="auto"/>
              <w:jc w:val="both"/>
              <w:rPr>
                <w:rFonts w:ascii="Verdana" w:hAnsi="Verdana" w:cs="Arial"/>
                <w:sz w:val="24"/>
                <w:szCs w:val="24"/>
              </w:rPr>
            </w:pPr>
            <w:r w:rsidRPr="00CD14A4">
              <w:rPr>
                <w:rFonts w:ascii="Verdana" w:hAnsi="Verdana" w:cs="Arial"/>
                <w:sz w:val="24"/>
                <w:szCs w:val="24"/>
              </w:rPr>
              <w:lastRenderedPageBreak/>
              <w:t xml:space="preserve">The Directorate with the highest absence levels at the end of this quarter is the COO Directorate at 10.04%. This is </w:t>
            </w:r>
            <w:proofErr w:type="gramStart"/>
            <w:r w:rsidRPr="00CD14A4">
              <w:rPr>
                <w:rFonts w:ascii="Verdana" w:hAnsi="Verdana" w:cs="Arial"/>
                <w:sz w:val="24"/>
                <w:szCs w:val="24"/>
              </w:rPr>
              <w:t>as a result of</w:t>
            </w:r>
            <w:proofErr w:type="gramEnd"/>
            <w:r w:rsidRPr="00CD14A4">
              <w:rPr>
                <w:rFonts w:ascii="Verdana" w:hAnsi="Verdana" w:cs="Arial"/>
                <w:sz w:val="24"/>
                <w:szCs w:val="24"/>
              </w:rPr>
              <w:t xml:space="preserve"> high </w:t>
            </w:r>
            <w:proofErr w:type="gramStart"/>
            <w:r w:rsidRPr="00CD14A4">
              <w:rPr>
                <w:rFonts w:ascii="Verdana" w:hAnsi="Verdana" w:cs="Arial"/>
                <w:sz w:val="24"/>
                <w:szCs w:val="24"/>
              </w:rPr>
              <w:t>long term</w:t>
            </w:r>
            <w:proofErr w:type="gramEnd"/>
            <w:r w:rsidRPr="00CD14A4">
              <w:rPr>
                <w:rFonts w:ascii="Verdana" w:hAnsi="Verdana" w:cs="Arial"/>
                <w:sz w:val="24"/>
                <w:szCs w:val="24"/>
              </w:rPr>
              <w:t xml:space="preserve"> absences recorded as stress/depression/anxiety within Morriston Domestics and Singleton Domestics. Whilst this is the highest in month absence rate, there has been a reduction of 0.40% since the last reporting period</w:t>
            </w:r>
          </w:p>
          <w:p w14:paraId="6782DE09" w14:textId="77777777" w:rsidR="00837CDB" w:rsidRPr="00CD14A4" w:rsidRDefault="00837CDB" w:rsidP="00833384">
            <w:pPr>
              <w:pStyle w:val="ListParagraph"/>
              <w:numPr>
                <w:ilvl w:val="0"/>
                <w:numId w:val="33"/>
              </w:numPr>
              <w:spacing w:after="0" w:line="240" w:lineRule="auto"/>
              <w:jc w:val="both"/>
              <w:rPr>
                <w:rFonts w:ascii="Verdana" w:hAnsi="Verdana" w:cs="Arial"/>
                <w:sz w:val="24"/>
                <w:szCs w:val="24"/>
              </w:rPr>
            </w:pPr>
            <w:r w:rsidRPr="00CD14A4">
              <w:rPr>
                <w:rFonts w:ascii="Verdana" w:hAnsi="Verdana" w:cs="Arial"/>
                <w:sz w:val="24"/>
                <w:szCs w:val="24"/>
              </w:rPr>
              <w:t xml:space="preserve">Mental Health &amp; Learning Disabilities remains the Service Group with the highest levels of absence at 7.34%, a 0.40% reduction since the last quarter </w:t>
            </w:r>
          </w:p>
          <w:p w14:paraId="228CE9E5" w14:textId="55F99371" w:rsidR="00837CDB" w:rsidRPr="00CD14A4" w:rsidRDefault="00837CDB" w:rsidP="00833384">
            <w:pPr>
              <w:pStyle w:val="ListParagraph"/>
              <w:numPr>
                <w:ilvl w:val="0"/>
                <w:numId w:val="33"/>
              </w:numPr>
              <w:spacing w:after="0" w:line="240" w:lineRule="auto"/>
              <w:jc w:val="both"/>
              <w:rPr>
                <w:rFonts w:ascii="Verdana" w:hAnsi="Verdana" w:cs="Arial"/>
                <w:sz w:val="24"/>
                <w:szCs w:val="24"/>
              </w:rPr>
            </w:pPr>
            <w:r w:rsidRPr="00CD14A4">
              <w:rPr>
                <w:rFonts w:ascii="Verdana" w:hAnsi="Verdana" w:cs="Arial"/>
                <w:sz w:val="24"/>
                <w:szCs w:val="24"/>
              </w:rPr>
              <w:t xml:space="preserve">Primary Community Care &amp; Therapies Service Group remain to be the Service Group with the lowest level of sickness absence, but this has increased from 5.67% in February to 6.63% in April 2025 due to increased absences in the District Nursing team </w:t>
            </w:r>
          </w:p>
          <w:p w14:paraId="12F5BBE1" w14:textId="3745818B" w:rsidR="00837CDB" w:rsidRPr="00CD14A4" w:rsidRDefault="00837CDB" w:rsidP="00833384">
            <w:pPr>
              <w:pStyle w:val="ListParagraph"/>
              <w:numPr>
                <w:ilvl w:val="0"/>
                <w:numId w:val="33"/>
              </w:numPr>
              <w:spacing w:after="0" w:line="240" w:lineRule="auto"/>
              <w:jc w:val="both"/>
              <w:rPr>
                <w:rFonts w:ascii="Verdana" w:hAnsi="Verdana" w:cs="Arial"/>
                <w:sz w:val="24"/>
                <w:szCs w:val="24"/>
              </w:rPr>
            </w:pPr>
            <w:r w:rsidRPr="00CD14A4">
              <w:rPr>
                <w:rFonts w:ascii="Verdana" w:hAnsi="Verdana" w:cs="Arial"/>
                <w:sz w:val="24"/>
                <w:szCs w:val="24"/>
              </w:rPr>
              <w:t>Sickness absence in Morrison (6.73%) has reduced since the last reporting period. Sickness in Neath Port Talbot Service Groups (7.05%) has increased since the last reporting period. Whilst Anxiety/Stress/Depression remains the highest reason for long term absence, both Service Groups saw a decrease in Cough, Cold and Flu cases.</w:t>
            </w:r>
          </w:p>
          <w:p w14:paraId="62E41802" w14:textId="1B2F6C2E" w:rsidR="00326954" w:rsidRPr="00CD14A4" w:rsidRDefault="00326954" w:rsidP="00326954">
            <w:pPr>
              <w:pStyle w:val="ListParagraph"/>
              <w:spacing w:after="0" w:line="240" w:lineRule="auto"/>
              <w:ind w:left="360"/>
              <w:rPr>
                <w:rFonts w:ascii="Verdana" w:hAnsi="Verdana" w:cs="Arial"/>
                <w:sz w:val="24"/>
                <w:szCs w:val="24"/>
                <w:highlight w:val="yellow"/>
              </w:rPr>
            </w:pPr>
          </w:p>
        </w:tc>
      </w:tr>
      <w:tr w:rsidR="00994D25" w:rsidRPr="00833384" w14:paraId="1B28EB19" w14:textId="77777777" w:rsidTr="5E29146B">
        <w:tc>
          <w:tcPr>
            <w:tcW w:w="12847" w:type="dxa"/>
            <w:gridSpan w:val="2"/>
            <w:shd w:val="clear" w:color="auto" w:fill="EAF1DD" w:themeFill="accent3" w:themeFillTint="33"/>
          </w:tcPr>
          <w:p w14:paraId="591F2706" w14:textId="77777777" w:rsidR="00994D25" w:rsidRPr="00CD14A4" w:rsidRDefault="00994D25" w:rsidP="00994D25">
            <w:pPr>
              <w:spacing w:after="0" w:line="240" w:lineRule="auto"/>
              <w:rPr>
                <w:rFonts w:ascii="Verdana" w:hAnsi="Verdana" w:cs="Arial"/>
                <w:b/>
                <w:sz w:val="24"/>
                <w:szCs w:val="24"/>
              </w:rPr>
            </w:pPr>
            <w:r w:rsidRPr="00CD14A4">
              <w:rPr>
                <w:rFonts w:ascii="Verdana" w:hAnsi="Verdana" w:cs="Arial"/>
                <w:b/>
                <w:sz w:val="24"/>
                <w:szCs w:val="24"/>
              </w:rPr>
              <w:lastRenderedPageBreak/>
              <w:t>Actions for Next Period</w:t>
            </w:r>
          </w:p>
        </w:tc>
      </w:tr>
      <w:tr w:rsidR="00994D25" w:rsidRPr="00833384" w14:paraId="35447E90" w14:textId="77777777" w:rsidTr="00C624E9">
        <w:tc>
          <w:tcPr>
            <w:tcW w:w="12847" w:type="dxa"/>
            <w:gridSpan w:val="2"/>
            <w:shd w:val="clear" w:color="auto" w:fill="auto"/>
          </w:tcPr>
          <w:p w14:paraId="73302344" w14:textId="0261A1CA" w:rsidR="00994D25" w:rsidRPr="00CD14A4" w:rsidRDefault="00994D25" w:rsidP="00833384">
            <w:pPr>
              <w:spacing w:after="0" w:line="240" w:lineRule="auto"/>
              <w:contextualSpacing/>
              <w:jc w:val="both"/>
              <w:textAlignment w:val="baseline"/>
              <w:rPr>
                <w:rFonts w:ascii="Verdana" w:hAnsi="Verdana" w:cs="Arial"/>
                <w:sz w:val="24"/>
                <w:szCs w:val="24"/>
              </w:rPr>
            </w:pPr>
          </w:p>
          <w:p w14:paraId="090F407A" w14:textId="77777777" w:rsidR="00837CDB" w:rsidRPr="00CD14A4" w:rsidRDefault="00837CDB" w:rsidP="00833384">
            <w:pPr>
              <w:spacing w:after="0" w:line="240" w:lineRule="auto"/>
              <w:contextualSpacing/>
              <w:jc w:val="both"/>
              <w:textAlignment w:val="baseline"/>
              <w:rPr>
                <w:rFonts w:ascii="Verdana" w:hAnsi="Verdana" w:cs="Arial"/>
                <w:b/>
                <w:sz w:val="24"/>
                <w:szCs w:val="24"/>
              </w:rPr>
            </w:pPr>
            <w:r w:rsidRPr="00CD14A4">
              <w:rPr>
                <w:rFonts w:ascii="Verdana" w:hAnsi="Verdana" w:cs="Arial"/>
                <w:b/>
                <w:sz w:val="24"/>
                <w:szCs w:val="24"/>
              </w:rPr>
              <w:t>General</w:t>
            </w:r>
          </w:p>
          <w:p w14:paraId="2929441D" w14:textId="77777777" w:rsidR="00837CDB" w:rsidRPr="00CD14A4" w:rsidRDefault="00837CDB" w:rsidP="00833384">
            <w:pPr>
              <w:spacing w:after="0" w:line="240" w:lineRule="auto"/>
              <w:contextualSpacing/>
              <w:jc w:val="both"/>
              <w:textAlignment w:val="baseline"/>
              <w:rPr>
                <w:rFonts w:ascii="Verdana" w:hAnsi="Verdana" w:cs="Arial"/>
                <w:sz w:val="24"/>
                <w:szCs w:val="24"/>
              </w:rPr>
            </w:pPr>
            <w:r w:rsidRPr="00CD14A4">
              <w:rPr>
                <w:rFonts w:ascii="Verdana" w:hAnsi="Verdana" w:cs="Arial"/>
                <w:sz w:val="24"/>
                <w:szCs w:val="24"/>
              </w:rPr>
              <w:t>Current focus on areas with high absences rates, examples of initiatives to support our employees:</w:t>
            </w:r>
          </w:p>
          <w:p w14:paraId="021605EA" w14:textId="069BC126" w:rsidR="00837CDB" w:rsidRPr="00CD14A4" w:rsidRDefault="00837CDB" w:rsidP="00833384">
            <w:pPr>
              <w:pStyle w:val="ListParagraph"/>
              <w:numPr>
                <w:ilvl w:val="0"/>
                <w:numId w:val="21"/>
              </w:numPr>
              <w:spacing w:after="0" w:line="240" w:lineRule="auto"/>
              <w:jc w:val="both"/>
              <w:rPr>
                <w:rFonts w:ascii="Verdana" w:hAnsi="Verdana" w:cs="Arial"/>
                <w:bCs/>
                <w:sz w:val="24"/>
                <w:szCs w:val="24"/>
              </w:rPr>
            </w:pPr>
            <w:r w:rsidRPr="00CD14A4">
              <w:rPr>
                <w:rFonts w:ascii="Verdana" w:hAnsi="Verdana" w:cs="Arial"/>
                <w:bCs/>
                <w:sz w:val="24"/>
                <w:szCs w:val="24"/>
                <w:lang w:eastAsia="en-US"/>
              </w:rPr>
              <w:t xml:space="preserve">Wellbeing resource pack – physical and electronic copies available – includes new starter feedback questionnaires </w:t>
            </w:r>
            <w:r w:rsidR="00B96338" w:rsidRPr="00CD14A4">
              <w:rPr>
                <w:rFonts w:ascii="Verdana" w:hAnsi="Verdana" w:cs="Arial"/>
                <w:bCs/>
                <w:sz w:val="24"/>
                <w:szCs w:val="24"/>
                <w:lang w:eastAsia="en-US"/>
              </w:rPr>
              <w:t>continue to be distributed</w:t>
            </w:r>
          </w:p>
          <w:p w14:paraId="21ED8D18" w14:textId="6756C3A0" w:rsidR="00837CDB" w:rsidRPr="00CD14A4" w:rsidRDefault="00837CDB" w:rsidP="00833384">
            <w:pPr>
              <w:pStyle w:val="ListParagraph"/>
              <w:numPr>
                <w:ilvl w:val="0"/>
                <w:numId w:val="21"/>
              </w:numPr>
              <w:spacing w:after="0" w:line="240" w:lineRule="auto"/>
              <w:jc w:val="both"/>
              <w:rPr>
                <w:rFonts w:ascii="Verdana" w:hAnsi="Verdana" w:cs="Arial"/>
                <w:bCs/>
                <w:sz w:val="24"/>
                <w:szCs w:val="24"/>
              </w:rPr>
            </w:pPr>
            <w:r w:rsidRPr="00CD14A4">
              <w:rPr>
                <w:rFonts w:ascii="Verdana" w:hAnsi="Verdana" w:cs="Arial"/>
                <w:bCs/>
                <w:sz w:val="24"/>
                <w:szCs w:val="24"/>
              </w:rPr>
              <w:t>Case conference training for leaders in partnership with OH</w:t>
            </w:r>
            <w:r w:rsidR="00B96338" w:rsidRPr="00CD14A4">
              <w:rPr>
                <w:rFonts w:ascii="Verdana" w:hAnsi="Verdana" w:cs="Arial"/>
                <w:bCs/>
                <w:sz w:val="24"/>
                <w:szCs w:val="24"/>
              </w:rPr>
              <w:t xml:space="preserve"> are continuing</w:t>
            </w:r>
          </w:p>
          <w:p w14:paraId="314A9635" w14:textId="41CE0C0C" w:rsidR="00837CDB" w:rsidRPr="00CD14A4" w:rsidRDefault="00837CDB" w:rsidP="00833384">
            <w:pPr>
              <w:pStyle w:val="ListParagraph"/>
              <w:numPr>
                <w:ilvl w:val="0"/>
                <w:numId w:val="21"/>
              </w:numPr>
              <w:spacing w:after="0" w:line="240" w:lineRule="auto"/>
              <w:jc w:val="both"/>
              <w:rPr>
                <w:rFonts w:ascii="Verdana" w:hAnsi="Verdana" w:cs="Arial"/>
                <w:bCs/>
                <w:color w:val="000000" w:themeColor="text1"/>
                <w:sz w:val="24"/>
                <w:szCs w:val="24"/>
              </w:rPr>
            </w:pPr>
            <w:proofErr w:type="gramStart"/>
            <w:r w:rsidRPr="00CD14A4">
              <w:rPr>
                <w:rFonts w:ascii="Verdana" w:hAnsi="Verdana" w:cs="Arial"/>
                <w:bCs/>
                <w:sz w:val="24"/>
                <w:szCs w:val="24"/>
                <w:lang w:eastAsia="en-US"/>
              </w:rPr>
              <w:t xml:space="preserve">The </w:t>
            </w:r>
            <w:r w:rsidR="00CD14A4">
              <w:rPr>
                <w:rFonts w:ascii="Verdana" w:hAnsi="Verdana" w:cs="Arial"/>
                <w:bCs/>
                <w:sz w:val="24"/>
                <w:szCs w:val="24"/>
                <w:lang w:eastAsia="en-US"/>
              </w:rPr>
              <w:t xml:space="preserve"> HR</w:t>
            </w:r>
            <w:proofErr w:type="gramEnd"/>
            <w:r w:rsidR="00CD14A4">
              <w:rPr>
                <w:rFonts w:ascii="Verdana" w:hAnsi="Verdana" w:cs="Arial"/>
                <w:bCs/>
                <w:sz w:val="24"/>
                <w:szCs w:val="24"/>
                <w:lang w:eastAsia="en-US"/>
              </w:rPr>
              <w:t xml:space="preserve"> Business Partners (</w:t>
            </w:r>
            <w:r w:rsidRPr="00CD14A4">
              <w:rPr>
                <w:rFonts w:ascii="Verdana" w:hAnsi="Verdana" w:cs="Arial"/>
                <w:bCs/>
                <w:sz w:val="24"/>
                <w:szCs w:val="24"/>
                <w:lang w:eastAsia="en-US"/>
              </w:rPr>
              <w:t>HRBPs</w:t>
            </w:r>
            <w:r w:rsidR="00CD14A4">
              <w:rPr>
                <w:rFonts w:ascii="Verdana" w:hAnsi="Verdana" w:cs="Arial"/>
                <w:bCs/>
                <w:sz w:val="24"/>
                <w:szCs w:val="24"/>
                <w:lang w:eastAsia="en-US"/>
              </w:rPr>
              <w:t>)</w:t>
            </w:r>
            <w:r w:rsidRPr="00CD14A4">
              <w:rPr>
                <w:rFonts w:ascii="Verdana" w:hAnsi="Verdana" w:cs="Arial"/>
                <w:bCs/>
                <w:sz w:val="24"/>
                <w:szCs w:val="24"/>
                <w:lang w:eastAsia="en-US"/>
              </w:rPr>
              <w:t xml:space="preserve"> leading on the initiatives listed above are working together to share best practice with the intention to deploy initiatives across </w:t>
            </w:r>
            <w:r w:rsidRPr="00CD14A4">
              <w:rPr>
                <w:rFonts w:ascii="Verdana" w:hAnsi="Verdana" w:cs="Arial"/>
                <w:bCs/>
                <w:color w:val="000000" w:themeColor="text1"/>
                <w:sz w:val="24"/>
                <w:szCs w:val="24"/>
                <w:lang w:eastAsia="en-US"/>
              </w:rPr>
              <w:t>the H</w:t>
            </w:r>
            <w:r w:rsidR="00CD14A4">
              <w:rPr>
                <w:rFonts w:ascii="Verdana" w:hAnsi="Verdana" w:cs="Arial"/>
                <w:bCs/>
                <w:color w:val="000000" w:themeColor="text1"/>
                <w:sz w:val="24"/>
                <w:szCs w:val="24"/>
                <w:lang w:eastAsia="en-US"/>
              </w:rPr>
              <w:t>ealth Board (HB)</w:t>
            </w:r>
          </w:p>
          <w:p w14:paraId="241622D7" w14:textId="74687B80" w:rsidR="00B96338" w:rsidRPr="00CD14A4" w:rsidRDefault="00B96338" w:rsidP="00833384">
            <w:pPr>
              <w:pStyle w:val="ListParagraph"/>
              <w:numPr>
                <w:ilvl w:val="0"/>
                <w:numId w:val="21"/>
              </w:numPr>
              <w:spacing w:after="0" w:line="240" w:lineRule="auto"/>
              <w:jc w:val="both"/>
              <w:rPr>
                <w:rFonts w:ascii="Verdana" w:hAnsi="Verdana" w:cs="Arial"/>
                <w:bCs/>
                <w:color w:val="000000" w:themeColor="text1"/>
                <w:sz w:val="24"/>
                <w:szCs w:val="24"/>
              </w:rPr>
            </w:pPr>
            <w:r w:rsidRPr="00CD14A4">
              <w:rPr>
                <w:rFonts w:ascii="Verdana" w:hAnsi="Verdana" w:cs="Arial"/>
                <w:bCs/>
                <w:sz w:val="24"/>
                <w:szCs w:val="24"/>
                <w:lang w:eastAsia="en-US"/>
              </w:rPr>
              <w:t>The Health Board sickness absence plan has been signed of</w:t>
            </w:r>
            <w:r w:rsidR="00F80DAA" w:rsidRPr="00CD14A4">
              <w:rPr>
                <w:rFonts w:ascii="Verdana" w:hAnsi="Verdana" w:cs="Arial"/>
                <w:bCs/>
                <w:sz w:val="24"/>
                <w:szCs w:val="24"/>
                <w:lang w:eastAsia="en-US"/>
              </w:rPr>
              <w:t>f and local Service Group action plans</w:t>
            </w:r>
            <w:r w:rsidR="005E5E7B" w:rsidRPr="00CD14A4">
              <w:rPr>
                <w:rFonts w:ascii="Verdana" w:hAnsi="Verdana" w:cs="Arial"/>
                <w:bCs/>
                <w:sz w:val="24"/>
                <w:szCs w:val="24"/>
                <w:lang w:eastAsia="en-US"/>
              </w:rPr>
              <w:t xml:space="preserve"> connected with this being shaped</w:t>
            </w:r>
          </w:p>
          <w:p w14:paraId="152BB4F4" w14:textId="5EBA2BB2" w:rsidR="00B96338" w:rsidRPr="00CD14A4" w:rsidRDefault="00B96338" w:rsidP="00833384">
            <w:pPr>
              <w:pStyle w:val="ListParagraph"/>
              <w:numPr>
                <w:ilvl w:val="0"/>
                <w:numId w:val="21"/>
              </w:numPr>
              <w:spacing w:after="0" w:line="240" w:lineRule="auto"/>
              <w:jc w:val="both"/>
              <w:rPr>
                <w:rFonts w:ascii="Verdana" w:hAnsi="Verdana" w:cs="Arial"/>
                <w:bCs/>
                <w:color w:val="000000" w:themeColor="text1"/>
                <w:sz w:val="24"/>
                <w:szCs w:val="24"/>
              </w:rPr>
            </w:pPr>
            <w:r w:rsidRPr="00CD14A4">
              <w:rPr>
                <w:rFonts w:ascii="Verdana" w:hAnsi="Verdana" w:cs="Arial"/>
                <w:bCs/>
                <w:sz w:val="24"/>
                <w:szCs w:val="24"/>
                <w:lang w:eastAsia="en-US"/>
              </w:rPr>
              <w:t>Work is taking place with digital colleagues to forecast sickness absence trajectories which will assist in assessing progress</w:t>
            </w:r>
            <w:r w:rsidR="005E5E7B" w:rsidRPr="00CD14A4">
              <w:rPr>
                <w:rFonts w:ascii="Verdana" w:hAnsi="Verdana" w:cs="Arial"/>
                <w:bCs/>
                <w:sz w:val="24"/>
                <w:szCs w:val="24"/>
                <w:lang w:eastAsia="en-US"/>
              </w:rPr>
              <w:t xml:space="preserve"> within the Executive Performance meetings</w:t>
            </w:r>
            <w:r w:rsidRPr="00CD14A4">
              <w:rPr>
                <w:rFonts w:ascii="Verdana" w:hAnsi="Verdana" w:cs="Arial"/>
                <w:bCs/>
                <w:sz w:val="24"/>
                <w:szCs w:val="24"/>
                <w:lang w:eastAsia="en-US"/>
              </w:rPr>
              <w:t>.</w:t>
            </w:r>
          </w:p>
          <w:p w14:paraId="4EC10C83" w14:textId="6BDA978B" w:rsidR="00B6237C" w:rsidRPr="00CD14A4" w:rsidRDefault="00B6237C" w:rsidP="00833384">
            <w:pPr>
              <w:pStyle w:val="ListParagraph"/>
              <w:spacing w:after="0" w:line="240" w:lineRule="auto"/>
              <w:jc w:val="both"/>
              <w:textAlignment w:val="baseline"/>
              <w:rPr>
                <w:rFonts w:ascii="Verdana" w:hAnsi="Verdana" w:cs="Arial"/>
                <w:color w:val="000000" w:themeColor="text1"/>
                <w:sz w:val="24"/>
                <w:szCs w:val="24"/>
              </w:rPr>
            </w:pPr>
          </w:p>
          <w:p w14:paraId="5F09CB97" w14:textId="77777777" w:rsidR="00B6237C" w:rsidRPr="00CD14A4" w:rsidRDefault="00B6237C" w:rsidP="00833384">
            <w:pPr>
              <w:spacing w:after="0" w:line="240" w:lineRule="auto"/>
              <w:contextualSpacing/>
              <w:jc w:val="both"/>
              <w:textAlignment w:val="baseline"/>
              <w:rPr>
                <w:rFonts w:ascii="Verdana" w:hAnsi="Verdana" w:cs="Arial"/>
                <w:b/>
                <w:bCs/>
                <w:color w:val="000000" w:themeColor="text1"/>
                <w:sz w:val="24"/>
                <w:szCs w:val="24"/>
              </w:rPr>
            </w:pPr>
            <w:r w:rsidRPr="00CD14A4">
              <w:rPr>
                <w:rFonts w:ascii="Verdana" w:hAnsi="Verdana" w:cs="Arial"/>
                <w:b/>
                <w:bCs/>
                <w:color w:val="000000" w:themeColor="text1"/>
                <w:sz w:val="24"/>
                <w:szCs w:val="24"/>
              </w:rPr>
              <w:t>Occupational Health and Staff Health and Wellbeing</w:t>
            </w:r>
          </w:p>
          <w:p w14:paraId="3B6DE455" w14:textId="77777777" w:rsidR="00837CDB" w:rsidRPr="00CD14A4" w:rsidRDefault="00837CDB" w:rsidP="00833384">
            <w:pPr>
              <w:spacing w:after="0" w:line="240" w:lineRule="auto"/>
              <w:contextualSpacing/>
              <w:jc w:val="both"/>
              <w:rPr>
                <w:rFonts w:ascii="Verdana" w:hAnsi="Verdana" w:cs="Arial"/>
                <w:sz w:val="24"/>
                <w:szCs w:val="24"/>
              </w:rPr>
            </w:pPr>
            <w:r w:rsidRPr="00CD14A4">
              <w:rPr>
                <w:rFonts w:ascii="Verdana" w:hAnsi="Verdana" w:cs="Arial"/>
                <w:sz w:val="24"/>
                <w:szCs w:val="24"/>
              </w:rPr>
              <w:t>The services continue to develop high quality multi-disciplinary interventions to contribute to an engaged, motivated and healthy workforce.</w:t>
            </w:r>
          </w:p>
          <w:p w14:paraId="01DD6614" w14:textId="313FDACB" w:rsidR="00837CDB" w:rsidRPr="00CD14A4" w:rsidRDefault="00837CDB" w:rsidP="00833384">
            <w:pPr>
              <w:pStyle w:val="ListParagraph"/>
              <w:numPr>
                <w:ilvl w:val="0"/>
                <w:numId w:val="31"/>
              </w:numPr>
              <w:spacing w:after="0" w:line="240" w:lineRule="auto"/>
              <w:jc w:val="both"/>
              <w:rPr>
                <w:rFonts w:ascii="Verdana" w:hAnsi="Verdana" w:cs="Arial"/>
                <w:sz w:val="24"/>
                <w:szCs w:val="24"/>
              </w:rPr>
            </w:pPr>
            <w:r w:rsidRPr="00CD14A4">
              <w:rPr>
                <w:rFonts w:ascii="Verdana" w:hAnsi="Verdana" w:cs="Arial"/>
                <w:sz w:val="24"/>
                <w:szCs w:val="24"/>
              </w:rPr>
              <w:lastRenderedPageBreak/>
              <w:t>Full O</w:t>
            </w:r>
            <w:r w:rsidR="00CD14A4">
              <w:rPr>
                <w:rFonts w:ascii="Verdana" w:hAnsi="Verdana" w:cs="Arial"/>
                <w:sz w:val="24"/>
                <w:szCs w:val="24"/>
              </w:rPr>
              <w:t>ccupational Health (OH)</w:t>
            </w:r>
            <w:r w:rsidRPr="00CD14A4">
              <w:rPr>
                <w:rFonts w:ascii="Verdana" w:hAnsi="Verdana" w:cs="Arial"/>
                <w:sz w:val="24"/>
                <w:szCs w:val="24"/>
              </w:rPr>
              <w:t xml:space="preserve"> Medical Service now established - substantive Occupational Health Specialist Doctor and Agency OH Consultant will provide financial and clinical sustainability/stability to the service – June 2025</w:t>
            </w:r>
          </w:p>
          <w:p w14:paraId="25A1AE89" w14:textId="0EA0784B" w:rsidR="00837CDB" w:rsidRPr="00CD14A4" w:rsidRDefault="00837CDB" w:rsidP="00833384">
            <w:pPr>
              <w:pStyle w:val="ListParagraph"/>
              <w:numPr>
                <w:ilvl w:val="0"/>
                <w:numId w:val="31"/>
              </w:numPr>
              <w:autoSpaceDE w:val="0"/>
              <w:autoSpaceDN w:val="0"/>
              <w:adjustRightInd w:val="0"/>
              <w:spacing w:after="0" w:line="240" w:lineRule="auto"/>
              <w:jc w:val="both"/>
              <w:rPr>
                <w:rFonts w:ascii="Verdana" w:hAnsi="Verdana" w:cs="Arial"/>
                <w:sz w:val="24"/>
                <w:szCs w:val="24"/>
              </w:rPr>
            </w:pPr>
            <w:r w:rsidRPr="00CD14A4">
              <w:rPr>
                <w:rFonts w:ascii="Verdana" w:hAnsi="Verdana" w:cs="Arial"/>
                <w:sz w:val="24"/>
                <w:szCs w:val="24"/>
              </w:rPr>
              <w:t xml:space="preserve">Continue undertaking the UK Occupational Health gold standard quality kite-mark initial assessment </w:t>
            </w:r>
            <w:r w:rsidR="00CD14A4">
              <w:rPr>
                <w:rFonts w:ascii="Verdana" w:hAnsi="Verdana" w:cs="Arial"/>
                <w:sz w:val="24"/>
                <w:szCs w:val="24"/>
              </w:rPr>
              <w:t xml:space="preserve">Safe Effective Quality Occupational Health Service </w:t>
            </w:r>
            <w:r w:rsidRPr="00CD14A4">
              <w:rPr>
                <w:rFonts w:ascii="Verdana" w:hAnsi="Verdana" w:cs="Arial"/>
                <w:sz w:val="24"/>
                <w:szCs w:val="24"/>
              </w:rPr>
              <w:t xml:space="preserve">(SEQOHS) and consistently meeting </w:t>
            </w:r>
            <w:r w:rsidR="00CD14A4">
              <w:rPr>
                <w:rFonts w:ascii="Verdana" w:hAnsi="Verdana" w:cs="Arial"/>
                <w:sz w:val="24"/>
                <w:szCs w:val="24"/>
              </w:rPr>
              <w:t>Welsh Government (</w:t>
            </w:r>
            <w:r w:rsidRPr="00CD14A4">
              <w:rPr>
                <w:rFonts w:ascii="Verdana" w:hAnsi="Verdana" w:cs="Arial"/>
                <w:sz w:val="24"/>
                <w:szCs w:val="24"/>
              </w:rPr>
              <w:t>WG</w:t>
            </w:r>
            <w:r w:rsidR="00CD14A4">
              <w:rPr>
                <w:rFonts w:ascii="Verdana" w:hAnsi="Verdana" w:cs="Arial"/>
                <w:sz w:val="24"/>
                <w:szCs w:val="24"/>
              </w:rPr>
              <w:t>)</w:t>
            </w:r>
            <w:r w:rsidRPr="00CD14A4">
              <w:rPr>
                <w:rFonts w:ascii="Verdana" w:hAnsi="Verdana" w:cs="Arial"/>
                <w:sz w:val="24"/>
                <w:szCs w:val="24"/>
              </w:rPr>
              <w:t xml:space="preserve"> Occupational Health delivery </w:t>
            </w:r>
            <w:r w:rsidR="00CD14A4">
              <w:rPr>
                <w:rFonts w:ascii="Verdana" w:hAnsi="Verdana" w:cs="Arial"/>
                <w:sz w:val="24"/>
                <w:szCs w:val="24"/>
              </w:rPr>
              <w:t>Key Performance Indicators (</w:t>
            </w:r>
            <w:r w:rsidRPr="00CD14A4">
              <w:rPr>
                <w:rFonts w:ascii="Verdana" w:hAnsi="Verdana" w:cs="Arial"/>
                <w:sz w:val="24"/>
                <w:szCs w:val="24"/>
              </w:rPr>
              <w:t>KPI’s</w:t>
            </w:r>
            <w:r w:rsidR="00CD14A4">
              <w:rPr>
                <w:rFonts w:ascii="Verdana" w:hAnsi="Verdana" w:cs="Arial"/>
                <w:sz w:val="24"/>
                <w:szCs w:val="24"/>
              </w:rPr>
              <w:t>)</w:t>
            </w:r>
            <w:r w:rsidRPr="00CD14A4">
              <w:rPr>
                <w:rFonts w:ascii="Verdana" w:hAnsi="Verdana" w:cs="Arial"/>
                <w:sz w:val="24"/>
                <w:szCs w:val="24"/>
              </w:rPr>
              <w:t xml:space="preserve"> – June /July 2025</w:t>
            </w:r>
          </w:p>
          <w:p w14:paraId="46B18A20" w14:textId="7F838A95" w:rsidR="00837CDB" w:rsidRPr="00CD14A4" w:rsidRDefault="00837CDB" w:rsidP="00833384">
            <w:pPr>
              <w:pStyle w:val="ListParagraph"/>
              <w:numPr>
                <w:ilvl w:val="0"/>
                <w:numId w:val="31"/>
              </w:numPr>
              <w:autoSpaceDE w:val="0"/>
              <w:autoSpaceDN w:val="0"/>
              <w:adjustRightInd w:val="0"/>
              <w:spacing w:after="0" w:line="240" w:lineRule="auto"/>
              <w:jc w:val="both"/>
              <w:rPr>
                <w:rFonts w:ascii="Verdana" w:hAnsi="Verdana" w:cs="Arial"/>
                <w:sz w:val="24"/>
                <w:szCs w:val="24"/>
              </w:rPr>
            </w:pPr>
            <w:r w:rsidRPr="00CD14A4">
              <w:rPr>
                <w:rFonts w:ascii="Verdana" w:hAnsi="Verdana" w:cs="Arial"/>
                <w:sz w:val="24"/>
                <w:szCs w:val="24"/>
              </w:rPr>
              <w:t>Evaluation of staff health checks to be undertaken and lessons learned implemented - June/July 2025</w:t>
            </w:r>
            <w:r w:rsidR="00833384" w:rsidRPr="00CD14A4">
              <w:rPr>
                <w:rFonts w:ascii="Verdana" w:hAnsi="Verdana" w:cs="Arial"/>
                <w:sz w:val="24"/>
                <w:szCs w:val="24"/>
              </w:rPr>
              <w:t>.</w:t>
            </w:r>
          </w:p>
          <w:p w14:paraId="14B795B0" w14:textId="77777777" w:rsidR="00B96338" w:rsidRPr="00CD14A4" w:rsidRDefault="00B96338" w:rsidP="00833384">
            <w:pPr>
              <w:autoSpaceDE w:val="0"/>
              <w:autoSpaceDN w:val="0"/>
              <w:adjustRightInd w:val="0"/>
              <w:spacing w:after="0" w:line="240" w:lineRule="auto"/>
              <w:jc w:val="both"/>
              <w:rPr>
                <w:rFonts w:ascii="Verdana" w:hAnsi="Verdana" w:cs="Arial"/>
                <w:sz w:val="24"/>
                <w:szCs w:val="24"/>
              </w:rPr>
            </w:pPr>
          </w:p>
          <w:p w14:paraId="7D06C0F7" w14:textId="561FB628" w:rsidR="00B96338" w:rsidRPr="00CD14A4" w:rsidRDefault="00B96338" w:rsidP="00833384">
            <w:pPr>
              <w:spacing w:after="0" w:line="240" w:lineRule="auto"/>
              <w:contextualSpacing/>
              <w:jc w:val="both"/>
              <w:textAlignment w:val="baseline"/>
              <w:rPr>
                <w:rFonts w:ascii="Verdana" w:hAnsi="Verdana" w:cs="Arial"/>
                <w:b/>
                <w:bCs/>
                <w:color w:val="000000" w:themeColor="text1"/>
                <w:sz w:val="24"/>
                <w:szCs w:val="24"/>
              </w:rPr>
            </w:pPr>
            <w:r w:rsidRPr="00CD14A4">
              <w:rPr>
                <w:rFonts w:ascii="Verdana" w:hAnsi="Verdana" w:cs="Arial"/>
                <w:b/>
                <w:bCs/>
                <w:color w:val="000000" w:themeColor="text1"/>
                <w:sz w:val="24"/>
                <w:szCs w:val="24"/>
              </w:rPr>
              <w:t>Healthy People Forum</w:t>
            </w:r>
          </w:p>
          <w:p w14:paraId="275853B4" w14:textId="77777777" w:rsidR="00B96338" w:rsidRPr="00CD14A4" w:rsidRDefault="00B96338" w:rsidP="00833384">
            <w:pPr>
              <w:autoSpaceDE w:val="0"/>
              <w:autoSpaceDN w:val="0"/>
              <w:adjustRightInd w:val="0"/>
              <w:spacing w:after="0" w:line="240" w:lineRule="auto"/>
              <w:jc w:val="both"/>
              <w:rPr>
                <w:rFonts w:ascii="Verdana" w:hAnsi="Verdana" w:cs="Arial"/>
                <w:sz w:val="24"/>
                <w:szCs w:val="24"/>
              </w:rPr>
            </w:pPr>
            <w:r w:rsidRPr="00CD14A4">
              <w:rPr>
                <w:rFonts w:ascii="Verdana" w:hAnsi="Verdana" w:cs="Arial"/>
                <w:sz w:val="24"/>
                <w:szCs w:val="24"/>
              </w:rPr>
              <w:t xml:space="preserve">The Healthy People Forum was established in November 2024 and supports the people strategy aim of an engaged, motivated and healthy workforce. It aims to provide the health board with a strategic forum that includes working in partnership with public health colleagues to support synergy across the people strategy and the population health strategy, reducing duplication of effort across the service groups and improving equity of access for all staff to health &amp; wellbeing interventions. The forum is co-chaired between staff side and well-being colleagues, supporting the </w:t>
            </w:r>
            <w:r w:rsidRPr="00CD14A4">
              <w:rPr>
                <w:rFonts w:ascii="Verdana" w:hAnsi="Verdana" w:cs="Arial"/>
                <w:sz w:val="24"/>
                <w:szCs w:val="24"/>
                <w:lang w:val="en-US"/>
              </w:rPr>
              <w:t>commitment to work in partnership with our trade union colleagues and supporting a prevention/early intervention approach across the Health Board.</w:t>
            </w:r>
            <w:r w:rsidRPr="00CD14A4">
              <w:rPr>
                <w:rFonts w:ascii="Verdana" w:hAnsi="Verdana" w:cs="Arial"/>
                <w:sz w:val="24"/>
                <w:szCs w:val="24"/>
              </w:rPr>
              <w:t> </w:t>
            </w:r>
          </w:p>
          <w:p w14:paraId="028FDD89" w14:textId="77777777" w:rsidR="00B96338" w:rsidRPr="00CD14A4" w:rsidRDefault="00B96338" w:rsidP="00833384">
            <w:pPr>
              <w:autoSpaceDE w:val="0"/>
              <w:autoSpaceDN w:val="0"/>
              <w:adjustRightInd w:val="0"/>
              <w:spacing w:after="0" w:line="240" w:lineRule="auto"/>
              <w:jc w:val="both"/>
              <w:rPr>
                <w:rFonts w:ascii="Verdana" w:hAnsi="Verdana" w:cs="Arial"/>
                <w:sz w:val="24"/>
                <w:szCs w:val="24"/>
              </w:rPr>
            </w:pPr>
          </w:p>
          <w:p w14:paraId="3AD76392" w14:textId="575D2C7E" w:rsidR="00B96338" w:rsidRPr="00CD14A4" w:rsidRDefault="00B96338" w:rsidP="00833384">
            <w:pPr>
              <w:autoSpaceDE w:val="0"/>
              <w:autoSpaceDN w:val="0"/>
              <w:adjustRightInd w:val="0"/>
              <w:spacing w:after="0" w:line="240" w:lineRule="auto"/>
              <w:jc w:val="both"/>
              <w:rPr>
                <w:rFonts w:ascii="Verdana" w:hAnsi="Verdana" w:cs="Arial"/>
                <w:sz w:val="24"/>
                <w:szCs w:val="24"/>
              </w:rPr>
            </w:pPr>
            <w:r w:rsidRPr="00CD14A4">
              <w:rPr>
                <w:rFonts w:ascii="Verdana" w:hAnsi="Verdana" w:cs="Arial"/>
                <w:sz w:val="24"/>
                <w:szCs w:val="24"/>
              </w:rPr>
              <w:t>Outcomes include:</w:t>
            </w:r>
          </w:p>
          <w:p w14:paraId="3E1F2946" w14:textId="54348FF5" w:rsidR="00B96338" w:rsidRPr="00CD14A4" w:rsidRDefault="00B96338" w:rsidP="00833384">
            <w:pPr>
              <w:pStyle w:val="ListParagraph"/>
              <w:numPr>
                <w:ilvl w:val="0"/>
                <w:numId w:val="42"/>
              </w:numPr>
              <w:autoSpaceDE w:val="0"/>
              <w:autoSpaceDN w:val="0"/>
              <w:adjustRightInd w:val="0"/>
              <w:spacing w:after="0" w:line="240" w:lineRule="auto"/>
              <w:jc w:val="both"/>
              <w:rPr>
                <w:rFonts w:ascii="Verdana" w:hAnsi="Verdana" w:cs="Arial"/>
                <w:sz w:val="24"/>
                <w:szCs w:val="24"/>
              </w:rPr>
            </w:pPr>
            <w:r w:rsidRPr="00CD14A4">
              <w:rPr>
                <w:rFonts w:ascii="Verdana" w:hAnsi="Verdana" w:cs="Arial"/>
                <w:sz w:val="24"/>
                <w:szCs w:val="24"/>
              </w:rPr>
              <w:t>ensuring funding for the rollout of Carers Wales support across the health board with the launch coinciding with carers week in June. This includes access to digital support for staff via the Carers Wales app</w:t>
            </w:r>
          </w:p>
          <w:p w14:paraId="64328CA3" w14:textId="7807898B" w:rsidR="00B96338" w:rsidRPr="00CD14A4" w:rsidRDefault="00B96338" w:rsidP="00833384">
            <w:pPr>
              <w:pStyle w:val="ListParagraph"/>
              <w:numPr>
                <w:ilvl w:val="0"/>
                <w:numId w:val="42"/>
              </w:numPr>
              <w:autoSpaceDE w:val="0"/>
              <w:autoSpaceDN w:val="0"/>
              <w:adjustRightInd w:val="0"/>
              <w:spacing w:after="0" w:line="240" w:lineRule="auto"/>
              <w:jc w:val="both"/>
              <w:rPr>
                <w:rFonts w:ascii="Verdana" w:hAnsi="Verdana" w:cs="Arial"/>
                <w:sz w:val="24"/>
                <w:szCs w:val="24"/>
              </w:rPr>
            </w:pPr>
            <w:r w:rsidRPr="00CD14A4">
              <w:rPr>
                <w:rFonts w:ascii="Verdana" w:hAnsi="Verdana" w:cs="Arial"/>
                <w:sz w:val="24"/>
                <w:szCs w:val="24"/>
              </w:rPr>
              <w:t>a baseline survey to understand the experiences of staff who are also informal carers and a series of staff and manager workshops to understand the challenges faced by working carers and explore support both within the workplace and externally</w:t>
            </w:r>
          </w:p>
          <w:p w14:paraId="71F05018" w14:textId="64FCD722" w:rsidR="00B96338" w:rsidRPr="00CD14A4" w:rsidRDefault="00B96338" w:rsidP="00833384">
            <w:pPr>
              <w:pStyle w:val="ListParagraph"/>
              <w:numPr>
                <w:ilvl w:val="0"/>
                <w:numId w:val="42"/>
              </w:numPr>
              <w:autoSpaceDE w:val="0"/>
              <w:autoSpaceDN w:val="0"/>
              <w:adjustRightInd w:val="0"/>
              <w:spacing w:after="0" w:line="240" w:lineRule="auto"/>
              <w:jc w:val="both"/>
              <w:rPr>
                <w:rFonts w:ascii="Verdana" w:hAnsi="Verdana" w:cs="Arial"/>
                <w:sz w:val="24"/>
                <w:szCs w:val="24"/>
              </w:rPr>
            </w:pPr>
            <w:r w:rsidRPr="00CD14A4">
              <w:rPr>
                <w:rFonts w:ascii="Verdana" w:hAnsi="Verdana" w:cs="Arial"/>
                <w:sz w:val="24"/>
                <w:szCs w:val="24"/>
              </w:rPr>
              <w:t>Analysis of the range of available data that will further inform understanding of our staff’s health and wellbeing. This will include anonymised data of staff health checks undertaken during the first 12 months and local population health data to inform any additional strategies or interventions that may help our staff remain healthy in work.</w:t>
            </w:r>
          </w:p>
          <w:p w14:paraId="2B3D97D7" w14:textId="77777777" w:rsidR="00B96338" w:rsidRPr="00CD14A4" w:rsidRDefault="00B96338" w:rsidP="00833384">
            <w:pPr>
              <w:autoSpaceDE w:val="0"/>
              <w:autoSpaceDN w:val="0"/>
              <w:adjustRightInd w:val="0"/>
              <w:spacing w:after="0" w:line="240" w:lineRule="auto"/>
              <w:jc w:val="both"/>
              <w:rPr>
                <w:rFonts w:ascii="Verdana" w:hAnsi="Verdana" w:cs="Arial"/>
                <w:sz w:val="24"/>
                <w:szCs w:val="24"/>
              </w:rPr>
            </w:pPr>
            <w:r w:rsidRPr="00CD14A4">
              <w:rPr>
                <w:rFonts w:ascii="Verdana" w:hAnsi="Verdana" w:cs="Arial"/>
                <w:sz w:val="24"/>
                <w:szCs w:val="24"/>
              </w:rPr>
              <w:t> </w:t>
            </w:r>
          </w:p>
          <w:p w14:paraId="74F6EBE5" w14:textId="1C5CE4FE" w:rsidR="00B96338" w:rsidRPr="00CD14A4" w:rsidRDefault="00B96338" w:rsidP="00833384">
            <w:pPr>
              <w:autoSpaceDE w:val="0"/>
              <w:autoSpaceDN w:val="0"/>
              <w:adjustRightInd w:val="0"/>
              <w:spacing w:after="0" w:line="240" w:lineRule="auto"/>
              <w:jc w:val="both"/>
              <w:rPr>
                <w:rFonts w:ascii="Verdana" w:hAnsi="Verdana" w:cs="Arial"/>
                <w:sz w:val="24"/>
                <w:szCs w:val="24"/>
              </w:rPr>
            </w:pPr>
            <w:r w:rsidRPr="00CD14A4">
              <w:rPr>
                <w:rFonts w:ascii="Verdana" w:hAnsi="Verdana" w:cs="Arial"/>
                <w:sz w:val="24"/>
                <w:szCs w:val="24"/>
              </w:rPr>
              <w:t xml:space="preserve">One of the aims of the forum was to engage with service group senior managers to ensure that developments are undertaken in collaboration with service </w:t>
            </w:r>
            <w:proofErr w:type="gramStart"/>
            <w:r w:rsidRPr="00CD14A4">
              <w:rPr>
                <w:rFonts w:ascii="Verdana" w:hAnsi="Verdana" w:cs="Arial"/>
                <w:sz w:val="24"/>
                <w:szCs w:val="24"/>
              </w:rPr>
              <w:t>groups .</w:t>
            </w:r>
            <w:proofErr w:type="gramEnd"/>
            <w:r w:rsidRPr="00CD14A4">
              <w:rPr>
                <w:rFonts w:ascii="Verdana" w:hAnsi="Verdana" w:cs="Arial"/>
                <w:sz w:val="24"/>
                <w:szCs w:val="24"/>
              </w:rPr>
              <w:t xml:space="preserve"> Ensuring service group attendance </w:t>
            </w:r>
            <w:r w:rsidRPr="00CD14A4">
              <w:rPr>
                <w:rFonts w:ascii="Verdana" w:hAnsi="Verdana" w:cs="Arial"/>
                <w:sz w:val="24"/>
                <w:szCs w:val="24"/>
              </w:rPr>
              <w:lastRenderedPageBreak/>
              <w:t>at the forum has been challenging with regular membership from</w:t>
            </w:r>
            <w:r w:rsidR="00CD14A4">
              <w:rPr>
                <w:rFonts w:ascii="Verdana" w:hAnsi="Verdana" w:cs="Arial"/>
                <w:sz w:val="24"/>
                <w:szCs w:val="24"/>
              </w:rPr>
              <w:t xml:space="preserve"> Mental Health &amp; Learning Development</w:t>
            </w:r>
            <w:r w:rsidRPr="00CD14A4">
              <w:rPr>
                <w:rFonts w:ascii="Verdana" w:hAnsi="Verdana" w:cs="Arial"/>
                <w:sz w:val="24"/>
                <w:szCs w:val="24"/>
              </w:rPr>
              <w:t xml:space="preserve"> </w:t>
            </w:r>
            <w:r w:rsidR="00CD14A4">
              <w:rPr>
                <w:rFonts w:ascii="Verdana" w:hAnsi="Verdana" w:cs="Arial"/>
                <w:sz w:val="24"/>
                <w:szCs w:val="24"/>
              </w:rPr>
              <w:t>(</w:t>
            </w:r>
            <w:r w:rsidRPr="00CD14A4">
              <w:rPr>
                <w:rFonts w:ascii="Verdana" w:hAnsi="Verdana" w:cs="Arial"/>
                <w:sz w:val="24"/>
                <w:szCs w:val="24"/>
              </w:rPr>
              <w:t>MH&amp;LD</w:t>
            </w:r>
            <w:r w:rsidR="00CD14A4">
              <w:rPr>
                <w:rFonts w:ascii="Verdana" w:hAnsi="Verdana" w:cs="Arial"/>
                <w:sz w:val="24"/>
                <w:szCs w:val="24"/>
              </w:rPr>
              <w:t>)</w:t>
            </w:r>
            <w:r w:rsidRPr="00CD14A4">
              <w:rPr>
                <w:rFonts w:ascii="Verdana" w:hAnsi="Verdana" w:cs="Arial"/>
                <w:sz w:val="24"/>
                <w:szCs w:val="24"/>
              </w:rPr>
              <w:t xml:space="preserve"> colleagues and Support Services; however, we continue to consider ways to ensure wider service group representation. </w:t>
            </w:r>
          </w:p>
          <w:p w14:paraId="4FE8CC23" w14:textId="77777777" w:rsidR="00994D25" w:rsidRPr="00CD14A4" w:rsidRDefault="00994D25" w:rsidP="00833384">
            <w:pPr>
              <w:autoSpaceDE w:val="0"/>
              <w:autoSpaceDN w:val="0"/>
              <w:adjustRightInd w:val="0"/>
              <w:spacing w:after="0" w:line="240" w:lineRule="auto"/>
              <w:jc w:val="both"/>
              <w:rPr>
                <w:rFonts w:ascii="Verdana" w:hAnsi="Verdana" w:cs="Arial"/>
                <w:sz w:val="24"/>
                <w:szCs w:val="24"/>
              </w:rPr>
            </w:pPr>
          </w:p>
          <w:p w14:paraId="0C15A415" w14:textId="3914978A" w:rsidR="00994D25" w:rsidRPr="00CD14A4" w:rsidRDefault="00994D25" w:rsidP="00833384">
            <w:pPr>
              <w:autoSpaceDE w:val="0"/>
              <w:autoSpaceDN w:val="0"/>
              <w:adjustRightInd w:val="0"/>
              <w:spacing w:after="0" w:line="240" w:lineRule="auto"/>
              <w:jc w:val="both"/>
              <w:rPr>
                <w:rFonts w:ascii="Verdana" w:hAnsi="Verdana" w:cs="Arial"/>
                <w:sz w:val="24"/>
                <w:szCs w:val="24"/>
              </w:rPr>
            </w:pPr>
          </w:p>
        </w:tc>
      </w:tr>
      <w:tr w:rsidR="00994D25" w:rsidRPr="00833384" w14:paraId="7C7183F0" w14:textId="77777777" w:rsidTr="0016736E">
        <w:trPr>
          <w:trHeight w:val="83"/>
        </w:trPr>
        <w:tc>
          <w:tcPr>
            <w:tcW w:w="2117" w:type="dxa"/>
            <w:tcBorders>
              <w:left w:val="nil"/>
              <w:right w:val="nil"/>
            </w:tcBorders>
            <w:shd w:val="clear" w:color="auto" w:fill="auto"/>
          </w:tcPr>
          <w:p w14:paraId="19F4D531" w14:textId="77777777" w:rsidR="00994D25" w:rsidRPr="00833384" w:rsidRDefault="00994D25" w:rsidP="00994D25">
            <w:pPr>
              <w:spacing w:after="0" w:line="240" w:lineRule="auto"/>
              <w:rPr>
                <w:rFonts w:ascii="Verdana" w:hAnsi="Verdana" w:cs="Arial"/>
                <w:b/>
                <w:bCs/>
                <w:sz w:val="18"/>
                <w:szCs w:val="18"/>
              </w:rPr>
            </w:pPr>
          </w:p>
        </w:tc>
        <w:tc>
          <w:tcPr>
            <w:tcW w:w="10730" w:type="dxa"/>
            <w:tcBorders>
              <w:left w:val="nil"/>
              <w:right w:val="nil"/>
            </w:tcBorders>
          </w:tcPr>
          <w:p w14:paraId="445592D5" w14:textId="77777777" w:rsidR="00994D25" w:rsidRPr="00833384" w:rsidRDefault="00994D25" w:rsidP="00994D25">
            <w:pPr>
              <w:spacing w:after="0" w:line="240" w:lineRule="auto"/>
              <w:jc w:val="center"/>
              <w:rPr>
                <w:rFonts w:ascii="Verdana" w:hAnsi="Verdana" w:cs="Arial"/>
                <w:b/>
                <w:sz w:val="24"/>
                <w:szCs w:val="24"/>
              </w:rPr>
            </w:pPr>
          </w:p>
          <w:p w14:paraId="71D3C3F1" w14:textId="77777777" w:rsidR="00833384" w:rsidRDefault="00833384" w:rsidP="00994D25">
            <w:pPr>
              <w:spacing w:after="0" w:line="240" w:lineRule="auto"/>
              <w:rPr>
                <w:rFonts w:ascii="Verdana" w:hAnsi="Verdana" w:cs="Arial"/>
                <w:b/>
                <w:sz w:val="24"/>
                <w:szCs w:val="24"/>
              </w:rPr>
            </w:pPr>
          </w:p>
          <w:p w14:paraId="60A386A6" w14:textId="2D49914F" w:rsidR="00833384" w:rsidRPr="00833384" w:rsidRDefault="00833384" w:rsidP="00994D25">
            <w:pPr>
              <w:spacing w:after="0" w:line="240" w:lineRule="auto"/>
              <w:rPr>
                <w:rFonts w:ascii="Verdana" w:hAnsi="Verdana" w:cs="Arial"/>
                <w:b/>
                <w:sz w:val="24"/>
                <w:szCs w:val="24"/>
              </w:rPr>
            </w:pPr>
          </w:p>
        </w:tc>
      </w:tr>
      <w:tr w:rsidR="00994D25" w:rsidRPr="00833384" w14:paraId="10B328AC" w14:textId="77777777" w:rsidTr="00C624E9">
        <w:trPr>
          <w:trHeight w:val="4668"/>
        </w:trPr>
        <w:tc>
          <w:tcPr>
            <w:tcW w:w="2117" w:type="dxa"/>
            <w:shd w:val="clear" w:color="auto" w:fill="DBE5F1" w:themeFill="accent1" w:themeFillTint="33"/>
          </w:tcPr>
          <w:p w14:paraId="1FB8385A" w14:textId="77777777" w:rsidR="00994D25" w:rsidRPr="00833384" w:rsidRDefault="00994D25" w:rsidP="00994D25">
            <w:pPr>
              <w:spacing w:after="0" w:line="240" w:lineRule="auto"/>
              <w:rPr>
                <w:rFonts w:ascii="Verdana" w:hAnsi="Verdana" w:cs="Arial"/>
                <w:bCs/>
                <w:i/>
                <w:sz w:val="24"/>
                <w:szCs w:val="22"/>
              </w:rPr>
            </w:pPr>
            <w:r w:rsidRPr="00833384">
              <w:rPr>
                <w:rFonts w:ascii="Verdana" w:hAnsi="Verdana" w:cs="Arial"/>
                <w:b/>
                <w:bCs/>
                <w:sz w:val="24"/>
                <w:szCs w:val="22"/>
              </w:rPr>
              <w:t xml:space="preserve">Mandatory &amp; Statutory Training-  </w:t>
            </w:r>
          </w:p>
          <w:p w14:paraId="3AAE0E8F" w14:textId="77777777" w:rsidR="00994D25" w:rsidRPr="00833384" w:rsidRDefault="00994D25" w:rsidP="00994D25">
            <w:pPr>
              <w:spacing w:after="0" w:line="240" w:lineRule="auto"/>
              <w:rPr>
                <w:rFonts w:ascii="Verdana" w:hAnsi="Verdana" w:cs="Arial"/>
                <w:bCs/>
                <w:i/>
              </w:rPr>
            </w:pPr>
          </w:p>
          <w:p w14:paraId="7DD30FF5" w14:textId="71934AEB" w:rsidR="00994D25" w:rsidRPr="00833384" w:rsidRDefault="00994D25" w:rsidP="00994D25">
            <w:pPr>
              <w:spacing w:after="0" w:line="240" w:lineRule="auto"/>
              <w:rPr>
                <w:rFonts w:ascii="Verdana" w:hAnsi="Verdana" w:cs="Arial"/>
                <w:bCs/>
                <w:i/>
              </w:rPr>
            </w:pPr>
            <w:r w:rsidRPr="00833384">
              <w:rPr>
                <w:rFonts w:ascii="Verdana" w:hAnsi="Verdana" w:cs="Arial"/>
                <w:bCs/>
                <w:i/>
              </w:rPr>
              <w:t xml:space="preserve">Percentage compliance for all completed Level 1 competencies within the Core Skills and Training Framework by organisation </w:t>
            </w:r>
          </w:p>
          <w:p w14:paraId="28074862" w14:textId="77777777" w:rsidR="00994D25" w:rsidRPr="00833384" w:rsidRDefault="00994D25" w:rsidP="00994D25">
            <w:pPr>
              <w:spacing w:after="0" w:line="240" w:lineRule="auto"/>
              <w:rPr>
                <w:rFonts w:ascii="Verdana" w:hAnsi="Verdana" w:cs="Arial"/>
                <w:bCs/>
                <w:i/>
                <w:sz w:val="22"/>
                <w:szCs w:val="22"/>
              </w:rPr>
            </w:pPr>
          </w:p>
          <w:p w14:paraId="79568698" w14:textId="2DE4301A" w:rsidR="00994D25" w:rsidRPr="00833384" w:rsidRDefault="00994D25" w:rsidP="00994D25">
            <w:pPr>
              <w:spacing w:after="0" w:line="240" w:lineRule="auto"/>
              <w:rPr>
                <w:rFonts w:ascii="Verdana" w:hAnsi="Verdana" w:cs="Arial"/>
                <w:b/>
                <w:bCs/>
                <w:sz w:val="22"/>
                <w:szCs w:val="22"/>
              </w:rPr>
            </w:pPr>
            <w:r w:rsidRPr="00833384">
              <w:rPr>
                <w:rFonts w:ascii="Verdana" w:hAnsi="Verdana" w:cs="Arial"/>
                <w:b/>
                <w:bCs/>
                <w:sz w:val="22"/>
                <w:szCs w:val="22"/>
              </w:rPr>
              <w:t>Mandatory &amp; Statutory Training target – 85%</w:t>
            </w:r>
          </w:p>
        </w:tc>
        <w:tc>
          <w:tcPr>
            <w:tcW w:w="10730" w:type="dxa"/>
            <w:shd w:val="clear" w:color="auto" w:fill="auto"/>
          </w:tcPr>
          <w:p w14:paraId="665B43CA" w14:textId="2BFFC997" w:rsidR="00994D25" w:rsidRPr="00833384" w:rsidRDefault="00994D25" w:rsidP="00994D25">
            <w:pPr>
              <w:spacing w:after="0" w:line="240" w:lineRule="auto"/>
              <w:jc w:val="center"/>
              <w:rPr>
                <w:rFonts w:ascii="Verdana" w:hAnsi="Verdana"/>
              </w:rPr>
            </w:pPr>
            <w:r w:rsidRPr="00833384">
              <w:rPr>
                <w:rFonts w:ascii="Verdana" w:hAnsi="Verdana" w:cs="Arial"/>
                <w:b/>
                <w:bCs/>
                <w:sz w:val="24"/>
                <w:szCs w:val="24"/>
              </w:rPr>
              <w:t>% of compliance (Headcount) with Core Skills and Training Framework</w:t>
            </w:r>
          </w:p>
          <w:p w14:paraId="67D187C7" w14:textId="44BF912C" w:rsidR="00994D25" w:rsidRPr="00833384" w:rsidRDefault="00D85CC9" w:rsidP="00994D25">
            <w:pPr>
              <w:spacing w:after="0" w:line="240" w:lineRule="auto"/>
              <w:jc w:val="center"/>
              <w:rPr>
                <w:rFonts w:ascii="Verdana" w:hAnsi="Verdana" w:cs="Arial"/>
                <w:b/>
                <w:sz w:val="16"/>
                <w:szCs w:val="16"/>
              </w:rPr>
            </w:pPr>
            <w:r w:rsidRPr="00833384">
              <w:rPr>
                <w:rFonts w:ascii="Verdana" w:hAnsi="Verdana"/>
                <w:noProof/>
              </w:rPr>
              <w:drawing>
                <wp:inline distT="0" distB="0" distL="0" distR="0" wp14:anchorId="0431251F" wp14:editId="6F4BF9C2">
                  <wp:extent cx="6639950" cy="2862776"/>
                  <wp:effectExtent l="0" t="0" r="8890" b="0"/>
                  <wp:docPr id="17" name="Chart 17">
                    <a:extLst xmlns:a="http://schemas.openxmlformats.org/drawingml/2006/main">
                      <a:ext uri="{FF2B5EF4-FFF2-40B4-BE49-F238E27FC236}">
                        <a16:creationId xmlns:a16="http://schemas.microsoft.com/office/drawing/2014/main" id="{FE1ED3CA-4892-4581-BEFC-4DBB6B85CAE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3AFFFD6" w14:textId="77777777" w:rsidR="00994D25" w:rsidRPr="00833384" w:rsidRDefault="00994D25" w:rsidP="00994D25">
            <w:pPr>
              <w:spacing w:after="0" w:line="240" w:lineRule="auto"/>
              <w:rPr>
                <w:rFonts w:ascii="Verdana" w:hAnsi="Verdana" w:cs="Arial"/>
                <w:i/>
                <w:iCs/>
                <w:sz w:val="18"/>
                <w:szCs w:val="18"/>
              </w:rPr>
            </w:pPr>
          </w:p>
          <w:p w14:paraId="0B4928E9" w14:textId="08C25471" w:rsidR="00994D25" w:rsidRPr="00833384" w:rsidRDefault="00994D25" w:rsidP="00D85CC9">
            <w:pPr>
              <w:spacing w:after="0" w:line="240" w:lineRule="auto"/>
              <w:rPr>
                <w:rFonts w:ascii="Verdana" w:hAnsi="Verdana" w:cs="Arial"/>
              </w:rPr>
            </w:pPr>
            <w:r w:rsidRPr="00833384">
              <w:rPr>
                <w:rFonts w:ascii="Verdana" w:hAnsi="Verdana" w:cs="Arial"/>
                <w:i/>
                <w:iCs/>
                <w:sz w:val="18"/>
                <w:szCs w:val="18"/>
              </w:rPr>
              <w:t>C&amp;</w:t>
            </w:r>
            <w:proofErr w:type="gramStart"/>
            <w:r w:rsidRPr="00833384">
              <w:rPr>
                <w:rFonts w:ascii="Verdana" w:hAnsi="Verdana" w:cs="Arial"/>
                <w:i/>
                <w:iCs/>
                <w:sz w:val="18"/>
                <w:szCs w:val="18"/>
              </w:rPr>
              <w:t>L;-</w:t>
            </w:r>
            <w:proofErr w:type="gramEnd"/>
            <w:r w:rsidRPr="00833384">
              <w:rPr>
                <w:rFonts w:ascii="Verdana" w:hAnsi="Verdana" w:cs="Arial"/>
                <w:i/>
                <w:iCs/>
                <w:sz w:val="18"/>
                <w:szCs w:val="18"/>
              </w:rPr>
              <w:t xml:space="preserve"> Report generated </w:t>
            </w:r>
            <w:r w:rsidR="00D85CC9" w:rsidRPr="00833384">
              <w:rPr>
                <w:rFonts w:ascii="Verdana" w:hAnsi="Verdana" w:cs="Arial"/>
                <w:i/>
                <w:iCs/>
                <w:sz w:val="18"/>
                <w:szCs w:val="18"/>
              </w:rPr>
              <w:t>May</w:t>
            </w:r>
            <w:r w:rsidR="00874895" w:rsidRPr="00833384">
              <w:rPr>
                <w:rFonts w:ascii="Verdana" w:hAnsi="Verdana" w:cs="Arial"/>
                <w:i/>
                <w:iCs/>
                <w:sz w:val="18"/>
                <w:szCs w:val="18"/>
              </w:rPr>
              <w:t xml:space="preserve"> 2025</w:t>
            </w:r>
            <w:r w:rsidRPr="00833384">
              <w:rPr>
                <w:rFonts w:ascii="Verdana" w:hAnsi="Verdana" w:cs="Arial"/>
                <w:i/>
                <w:iCs/>
                <w:sz w:val="18"/>
                <w:szCs w:val="18"/>
              </w:rPr>
              <w:t>, within SBUHB (Performance Team) for substantive and FTC employees. Data source – ESR (OLM Module). Accuracy levels subject to local maintenance and validation standards. Target of 85% added as blue line</w:t>
            </w:r>
          </w:p>
        </w:tc>
      </w:tr>
      <w:tr w:rsidR="00994D25" w:rsidRPr="00833384" w14:paraId="671D6E7F" w14:textId="77777777" w:rsidTr="5E29146B">
        <w:tc>
          <w:tcPr>
            <w:tcW w:w="12847" w:type="dxa"/>
            <w:gridSpan w:val="2"/>
            <w:shd w:val="clear" w:color="auto" w:fill="EAF1DD" w:themeFill="accent3" w:themeFillTint="33"/>
          </w:tcPr>
          <w:p w14:paraId="442C0089" w14:textId="77777777" w:rsidR="00994D25" w:rsidRPr="00CD14A4" w:rsidRDefault="00994D25" w:rsidP="00994D25">
            <w:pPr>
              <w:spacing w:after="0" w:line="240" w:lineRule="auto"/>
              <w:rPr>
                <w:rFonts w:ascii="Verdana" w:hAnsi="Verdana" w:cs="Arial"/>
                <w:b/>
                <w:sz w:val="24"/>
                <w:szCs w:val="24"/>
              </w:rPr>
            </w:pPr>
            <w:r w:rsidRPr="00CD14A4">
              <w:rPr>
                <w:rFonts w:ascii="Verdana" w:hAnsi="Verdana" w:cs="Arial"/>
                <w:b/>
                <w:sz w:val="24"/>
                <w:szCs w:val="24"/>
              </w:rPr>
              <w:t>Current Performance</w:t>
            </w:r>
          </w:p>
        </w:tc>
      </w:tr>
      <w:tr w:rsidR="00837CDB" w:rsidRPr="00833384" w14:paraId="129126E9" w14:textId="77777777" w:rsidTr="00C624E9">
        <w:tc>
          <w:tcPr>
            <w:tcW w:w="12847" w:type="dxa"/>
            <w:gridSpan w:val="2"/>
            <w:shd w:val="clear" w:color="auto" w:fill="auto"/>
          </w:tcPr>
          <w:p w14:paraId="5FB9C157" w14:textId="6A38CDD7" w:rsidR="00837CDB" w:rsidRPr="00CD14A4" w:rsidRDefault="00837CDB" w:rsidP="00833384">
            <w:pPr>
              <w:pStyle w:val="paragraph"/>
              <w:numPr>
                <w:ilvl w:val="0"/>
                <w:numId w:val="41"/>
              </w:numPr>
              <w:spacing w:before="0" w:beforeAutospacing="0" w:after="0" w:afterAutospacing="0"/>
              <w:jc w:val="both"/>
              <w:textAlignment w:val="baseline"/>
              <w:rPr>
                <w:rFonts w:ascii="Verdana" w:hAnsi="Verdana" w:cs="Arial"/>
              </w:rPr>
            </w:pPr>
            <w:r w:rsidRPr="00CD14A4">
              <w:rPr>
                <w:rFonts w:ascii="Verdana" w:hAnsi="Verdana" w:cs="Arial"/>
                <w:b/>
                <w:bCs/>
              </w:rPr>
              <w:t>Welsh Government (WG)</w:t>
            </w:r>
            <w:r w:rsidRPr="00CD14A4">
              <w:rPr>
                <w:rFonts w:ascii="Verdana" w:hAnsi="Verdana" w:cs="Arial"/>
              </w:rPr>
              <w:t xml:space="preserve"> requirement for </w:t>
            </w:r>
            <w:r w:rsidRPr="00CD14A4">
              <w:rPr>
                <w:rFonts w:ascii="Verdana" w:hAnsi="Verdana" w:cs="Arial"/>
                <w:b/>
                <w:bCs/>
              </w:rPr>
              <w:t>All Staff (Target 85%)</w:t>
            </w:r>
            <w:r w:rsidRPr="00CD14A4">
              <w:rPr>
                <w:rFonts w:ascii="Verdana" w:hAnsi="Verdana" w:cs="Arial"/>
              </w:rPr>
              <w:t xml:space="preserve"> – Overall compliance rate of </w:t>
            </w:r>
            <w:r w:rsidRPr="00CD14A4">
              <w:rPr>
                <w:rFonts w:ascii="Verdana" w:hAnsi="Verdana" w:cs="Arial"/>
                <w:b/>
                <w:bCs/>
              </w:rPr>
              <w:t>89.88</w:t>
            </w:r>
            <w:r w:rsidRPr="00CD14A4">
              <w:rPr>
                <w:rFonts w:ascii="Verdana" w:hAnsi="Verdana" w:cs="Arial"/>
              </w:rPr>
              <w:t>% achieved in the 12 modules</w:t>
            </w:r>
          </w:p>
          <w:p w14:paraId="743B1C51" w14:textId="77777777" w:rsidR="00837CDB" w:rsidRPr="00CD14A4" w:rsidRDefault="00837CDB" w:rsidP="00833384">
            <w:pPr>
              <w:pStyle w:val="paragraph"/>
              <w:numPr>
                <w:ilvl w:val="0"/>
                <w:numId w:val="41"/>
              </w:numPr>
              <w:spacing w:before="0" w:beforeAutospacing="0" w:after="0" w:afterAutospacing="0"/>
              <w:jc w:val="both"/>
              <w:textAlignment w:val="baseline"/>
              <w:rPr>
                <w:rFonts w:ascii="Verdana" w:hAnsi="Verdana" w:cs="Arial"/>
              </w:rPr>
            </w:pPr>
            <w:r w:rsidRPr="00CD14A4">
              <w:rPr>
                <w:rFonts w:ascii="Verdana" w:hAnsi="Verdana" w:cs="Arial"/>
                <w:b/>
                <w:bCs/>
              </w:rPr>
              <w:t>Welsh Government (WG)</w:t>
            </w:r>
            <w:r w:rsidRPr="00CD14A4">
              <w:rPr>
                <w:rFonts w:ascii="Verdana" w:hAnsi="Verdana" w:cs="Arial"/>
              </w:rPr>
              <w:t xml:space="preserve"> requirement for </w:t>
            </w:r>
            <w:r w:rsidRPr="00CD14A4">
              <w:rPr>
                <w:rFonts w:ascii="Verdana" w:hAnsi="Verdana" w:cs="Arial"/>
                <w:b/>
                <w:bCs/>
              </w:rPr>
              <w:t>Staff in Public Facing Role (Target 85%)</w:t>
            </w:r>
            <w:r w:rsidRPr="00CD14A4">
              <w:rPr>
                <w:rFonts w:ascii="Verdana" w:hAnsi="Verdana" w:cs="Arial"/>
              </w:rPr>
              <w:t xml:space="preserve">, achieved </w:t>
            </w:r>
            <w:r w:rsidRPr="00CD14A4">
              <w:rPr>
                <w:rFonts w:ascii="Verdana" w:hAnsi="Verdana" w:cs="Arial"/>
                <w:b/>
                <w:bCs/>
              </w:rPr>
              <w:t>64.06</w:t>
            </w:r>
            <w:r w:rsidRPr="00CD14A4">
              <w:rPr>
                <w:rFonts w:ascii="Verdana" w:hAnsi="Verdana" w:cs="Arial"/>
              </w:rPr>
              <w:t>% to date **</w:t>
            </w:r>
          </w:p>
          <w:p w14:paraId="1ABA36FB" w14:textId="77777777" w:rsidR="00837CDB" w:rsidRPr="00CD14A4" w:rsidRDefault="00837CDB" w:rsidP="00833384">
            <w:pPr>
              <w:pStyle w:val="paragraph"/>
              <w:spacing w:before="0" w:beforeAutospacing="0" w:after="0" w:afterAutospacing="0"/>
              <w:jc w:val="both"/>
              <w:textAlignment w:val="baseline"/>
              <w:rPr>
                <w:rFonts w:ascii="Verdana" w:hAnsi="Verdana" w:cs="Arial"/>
                <w:b/>
                <w:bCs/>
              </w:rPr>
            </w:pPr>
            <w:r w:rsidRPr="00CD14A4">
              <w:rPr>
                <w:rFonts w:ascii="Verdana" w:hAnsi="Verdana" w:cs="Arial"/>
                <w:b/>
                <w:bCs/>
              </w:rPr>
              <w:lastRenderedPageBreak/>
              <w:t>**Please note:</w:t>
            </w:r>
            <w:r w:rsidRPr="00CD14A4">
              <w:rPr>
                <w:rFonts w:ascii="Verdana" w:hAnsi="Verdana" w:cs="Arial"/>
              </w:rPr>
              <w:t xml:space="preserve"> Paul Ridd Learning Disabilities Awareness Training was mandated for completion by </w:t>
            </w:r>
            <w:r w:rsidRPr="00CD14A4">
              <w:rPr>
                <w:rFonts w:ascii="Verdana" w:hAnsi="Verdana" w:cs="Arial"/>
                <w:b/>
                <w:bCs/>
              </w:rPr>
              <w:t>ALL Staff</w:t>
            </w:r>
            <w:r w:rsidRPr="00CD14A4">
              <w:rPr>
                <w:rFonts w:ascii="Verdana" w:hAnsi="Verdana" w:cs="Arial"/>
              </w:rPr>
              <w:t xml:space="preserve"> in SBUHB as of </w:t>
            </w:r>
            <w:r w:rsidRPr="00CD14A4">
              <w:rPr>
                <w:rFonts w:ascii="Verdana" w:hAnsi="Verdana" w:cs="Arial"/>
                <w:b/>
                <w:bCs/>
              </w:rPr>
              <w:t>30</w:t>
            </w:r>
            <w:r w:rsidRPr="00CD14A4">
              <w:rPr>
                <w:rFonts w:ascii="Verdana" w:hAnsi="Verdana" w:cs="Arial"/>
                <w:b/>
                <w:bCs/>
                <w:vertAlign w:val="superscript"/>
              </w:rPr>
              <w:t>th</w:t>
            </w:r>
            <w:r w:rsidRPr="00CD14A4">
              <w:rPr>
                <w:rFonts w:ascii="Verdana" w:hAnsi="Verdana" w:cs="Arial"/>
                <w:b/>
                <w:bCs/>
              </w:rPr>
              <w:t xml:space="preserve"> April</w:t>
            </w:r>
          </w:p>
          <w:p w14:paraId="74DBEFDB" w14:textId="203DA59F" w:rsidR="00837CDB" w:rsidRPr="00CD14A4" w:rsidRDefault="00837CDB" w:rsidP="00833384">
            <w:pPr>
              <w:pStyle w:val="paragraph"/>
              <w:spacing w:before="0" w:beforeAutospacing="0" w:after="0" w:afterAutospacing="0"/>
              <w:jc w:val="both"/>
              <w:textAlignment w:val="baseline"/>
              <w:rPr>
                <w:rFonts w:ascii="Verdana" w:hAnsi="Verdana" w:cs="Arial"/>
              </w:rPr>
            </w:pPr>
            <w:r w:rsidRPr="00CD14A4">
              <w:rPr>
                <w:rFonts w:ascii="Verdana" w:hAnsi="Verdana" w:cs="Arial"/>
              </w:rPr>
              <w:t xml:space="preserve">2025. The figure of </w:t>
            </w:r>
            <w:r w:rsidRPr="00CD14A4">
              <w:rPr>
                <w:rFonts w:ascii="Verdana" w:hAnsi="Verdana" w:cs="Arial"/>
                <w:b/>
                <w:bCs/>
              </w:rPr>
              <w:t>64.06</w:t>
            </w:r>
            <w:r w:rsidRPr="00CD14A4">
              <w:rPr>
                <w:rFonts w:ascii="Verdana" w:hAnsi="Verdana" w:cs="Arial"/>
              </w:rPr>
              <w:t xml:space="preserve">% is in reference to All Staff, this is an improvement on the compliance rate of </w:t>
            </w:r>
            <w:r w:rsidRPr="00CD14A4">
              <w:rPr>
                <w:rFonts w:ascii="Verdana" w:hAnsi="Verdana" w:cs="Arial"/>
                <w:b/>
                <w:bCs/>
              </w:rPr>
              <w:t>46.08</w:t>
            </w:r>
            <w:r w:rsidRPr="00CD14A4">
              <w:rPr>
                <w:rFonts w:ascii="Verdana" w:hAnsi="Verdana" w:cs="Arial"/>
              </w:rPr>
              <w:t>% as of February 2025</w:t>
            </w:r>
          </w:p>
          <w:p w14:paraId="348D9900" w14:textId="77777777" w:rsidR="00837CDB" w:rsidRPr="00CD14A4" w:rsidRDefault="00837CDB" w:rsidP="00833384">
            <w:pPr>
              <w:pStyle w:val="paragraph"/>
              <w:numPr>
                <w:ilvl w:val="0"/>
                <w:numId w:val="41"/>
              </w:numPr>
              <w:spacing w:before="0" w:beforeAutospacing="0" w:after="0" w:afterAutospacing="0"/>
              <w:jc w:val="both"/>
              <w:textAlignment w:val="baseline"/>
              <w:rPr>
                <w:rFonts w:ascii="Verdana" w:hAnsi="Verdana" w:cs="Arial"/>
              </w:rPr>
            </w:pPr>
            <w:r w:rsidRPr="00CD14A4">
              <w:rPr>
                <w:rFonts w:ascii="Verdana" w:hAnsi="Verdana" w:cs="Arial"/>
                <w:b/>
                <w:bCs/>
              </w:rPr>
              <w:t xml:space="preserve">SBU Health Board </w:t>
            </w:r>
            <w:r w:rsidRPr="00CD14A4">
              <w:rPr>
                <w:rFonts w:ascii="Verdana" w:hAnsi="Verdana" w:cs="Arial"/>
              </w:rPr>
              <w:t xml:space="preserve">requirement for </w:t>
            </w:r>
            <w:r w:rsidRPr="00CD14A4">
              <w:rPr>
                <w:rFonts w:ascii="Verdana" w:hAnsi="Verdana" w:cs="Arial"/>
                <w:b/>
                <w:bCs/>
              </w:rPr>
              <w:t>All Staff (Target 85%)</w:t>
            </w:r>
            <w:r w:rsidRPr="00CD14A4">
              <w:rPr>
                <w:rFonts w:ascii="Verdana" w:hAnsi="Verdana" w:cs="Arial"/>
              </w:rPr>
              <w:t xml:space="preserve"> - Overall Compliance - </w:t>
            </w:r>
            <w:r w:rsidRPr="00CD14A4">
              <w:rPr>
                <w:rFonts w:ascii="Verdana" w:hAnsi="Verdana" w:cs="Arial"/>
                <w:b/>
                <w:bCs/>
              </w:rPr>
              <w:t>88.18</w:t>
            </w:r>
            <w:r w:rsidRPr="00CD14A4">
              <w:rPr>
                <w:rFonts w:ascii="Verdana" w:hAnsi="Verdana" w:cs="Arial"/>
              </w:rPr>
              <w:t>% achieved in the full 15 mandated modules:</w:t>
            </w:r>
          </w:p>
          <w:p w14:paraId="373352F7" w14:textId="77777777" w:rsidR="00837CDB" w:rsidRPr="00CD14A4" w:rsidRDefault="00837CDB" w:rsidP="00833384">
            <w:pPr>
              <w:pStyle w:val="paragraph"/>
              <w:numPr>
                <w:ilvl w:val="0"/>
                <w:numId w:val="41"/>
              </w:numPr>
              <w:spacing w:before="0" w:beforeAutospacing="0" w:after="0" w:afterAutospacing="0"/>
              <w:jc w:val="both"/>
              <w:textAlignment w:val="baseline"/>
              <w:rPr>
                <w:rFonts w:ascii="Verdana" w:eastAsia="Calibri" w:hAnsi="Verdana" w:cs="Arial"/>
                <w:b/>
                <w:bCs/>
              </w:rPr>
            </w:pPr>
            <w:r w:rsidRPr="00CD14A4">
              <w:rPr>
                <w:rFonts w:ascii="Verdana" w:eastAsia="Calibri" w:hAnsi="Verdana" w:cs="Arial"/>
                <w:b/>
                <w:bCs/>
              </w:rPr>
              <w:t xml:space="preserve">Service Groups - </w:t>
            </w:r>
            <w:r w:rsidRPr="00CD14A4">
              <w:rPr>
                <w:rFonts w:ascii="Verdana" w:eastAsia="Calibri" w:hAnsi="Verdana" w:cs="Arial"/>
              </w:rPr>
              <w:t xml:space="preserve">MH&amp;LD </w:t>
            </w:r>
            <w:r w:rsidRPr="00CD14A4">
              <w:rPr>
                <w:rFonts w:ascii="Verdana" w:eastAsia="Calibri" w:hAnsi="Verdana" w:cs="Arial"/>
                <w:b/>
                <w:bCs/>
              </w:rPr>
              <w:t>90.33</w:t>
            </w:r>
            <w:r w:rsidRPr="00CD14A4">
              <w:rPr>
                <w:rFonts w:ascii="Verdana" w:eastAsia="Calibri" w:hAnsi="Verdana" w:cs="Arial"/>
              </w:rPr>
              <w:t xml:space="preserve">%, PCCT </w:t>
            </w:r>
            <w:r w:rsidRPr="00CD14A4">
              <w:rPr>
                <w:rFonts w:ascii="Verdana" w:eastAsia="Calibri" w:hAnsi="Verdana" w:cs="Arial"/>
                <w:b/>
                <w:bCs/>
              </w:rPr>
              <w:t>92.03</w:t>
            </w:r>
            <w:r w:rsidRPr="00CD14A4">
              <w:rPr>
                <w:rFonts w:ascii="Verdana" w:eastAsia="Calibri" w:hAnsi="Verdana" w:cs="Arial"/>
              </w:rPr>
              <w:t xml:space="preserve">%, Morriston </w:t>
            </w:r>
            <w:r w:rsidRPr="00CD14A4">
              <w:rPr>
                <w:rFonts w:ascii="Verdana" w:eastAsia="Calibri" w:hAnsi="Verdana" w:cs="Arial"/>
                <w:b/>
                <w:bCs/>
              </w:rPr>
              <w:t>84.64</w:t>
            </w:r>
            <w:r w:rsidRPr="00CD14A4">
              <w:rPr>
                <w:rFonts w:ascii="Verdana" w:eastAsia="Calibri" w:hAnsi="Verdana" w:cs="Arial"/>
              </w:rPr>
              <w:t xml:space="preserve">%, Finance &amp; Estates </w:t>
            </w:r>
            <w:r w:rsidRPr="00CD14A4">
              <w:rPr>
                <w:rFonts w:ascii="Verdana" w:eastAsia="Calibri" w:hAnsi="Verdana" w:cs="Arial"/>
                <w:b/>
                <w:bCs/>
              </w:rPr>
              <w:t>85.81</w:t>
            </w:r>
            <w:r w:rsidRPr="00CD14A4">
              <w:rPr>
                <w:rFonts w:ascii="Verdana" w:eastAsia="Calibri" w:hAnsi="Verdana" w:cs="Arial"/>
              </w:rPr>
              <w:t xml:space="preserve">%, NPTS </w:t>
            </w:r>
            <w:r w:rsidRPr="00CD14A4">
              <w:rPr>
                <w:rFonts w:ascii="Verdana" w:eastAsia="Calibri" w:hAnsi="Verdana" w:cs="Arial"/>
                <w:b/>
                <w:bCs/>
              </w:rPr>
              <w:t>92.08</w:t>
            </w:r>
            <w:r w:rsidRPr="00CD14A4">
              <w:rPr>
                <w:rFonts w:ascii="Verdana" w:eastAsia="Calibri" w:hAnsi="Verdana" w:cs="Arial"/>
              </w:rPr>
              <w:t>%</w:t>
            </w:r>
          </w:p>
          <w:p w14:paraId="6FAE3033" w14:textId="77777777" w:rsidR="00837CDB" w:rsidRPr="00CD14A4" w:rsidRDefault="00837CDB" w:rsidP="00833384">
            <w:pPr>
              <w:pStyle w:val="paragraph"/>
              <w:spacing w:before="0" w:beforeAutospacing="0" w:after="0" w:afterAutospacing="0"/>
              <w:jc w:val="both"/>
              <w:textAlignment w:val="baseline"/>
              <w:rPr>
                <w:rFonts w:ascii="Verdana" w:eastAsia="Calibri" w:hAnsi="Verdana" w:cs="Arial"/>
              </w:rPr>
            </w:pPr>
            <w:r w:rsidRPr="00CD14A4">
              <w:rPr>
                <w:rFonts w:ascii="Verdana" w:eastAsia="Calibri" w:hAnsi="Verdana" w:cs="Arial"/>
                <w:b/>
                <w:bCs/>
              </w:rPr>
              <w:t>Staff Groups</w:t>
            </w:r>
            <w:r w:rsidRPr="00CD14A4">
              <w:rPr>
                <w:rFonts w:ascii="Verdana" w:eastAsia="Calibri" w:hAnsi="Verdana" w:cs="Arial"/>
              </w:rPr>
              <w:t xml:space="preserve"> - Medical and Dental Staff Group remain the lowest performing area with </w:t>
            </w:r>
            <w:r w:rsidRPr="00CD14A4">
              <w:rPr>
                <w:rFonts w:ascii="Verdana" w:eastAsia="Calibri" w:hAnsi="Verdana" w:cs="Arial"/>
                <w:b/>
                <w:bCs/>
              </w:rPr>
              <w:t>68.54%.</w:t>
            </w:r>
            <w:r w:rsidRPr="00CD14A4">
              <w:rPr>
                <w:rFonts w:ascii="Verdana" w:eastAsia="Calibri" w:hAnsi="Verdana" w:cs="Arial"/>
              </w:rPr>
              <w:t xml:space="preserve">  Support for this staff group is ongoing by the E-learning Project Support Manager and Executive Medical Directors Department.  Support provided has already seen a positive outcome and continuing improvement of compliance.  </w:t>
            </w:r>
          </w:p>
          <w:p w14:paraId="22EDA9A0" w14:textId="4702AFE3" w:rsidR="00833384" w:rsidRPr="00CD14A4" w:rsidRDefault="00833384" w:rsidP="00833384">
            <w:pPr>
              <w:pStyle w:val="paragraph"/>
              <w:spacing w:before="0" w:beforeAutospacing="0" w:after="0" w:afterAutospacing="0"/>
              <w:jc w:val="both"/>
              <w:textAlignment w:val="baseline"/>
              <w:rPr>
                <w:rFonts w:ascii="Verdana" w:hAnsi="Verdana" w:cs="Arial"/>
              </w:rPr>
            </w:pPr>
          </w:p>
        </w:tc>
      </w:tr>
      <w:tr w:rsidR="00837CDB" w:rsidRPr="00833384" w14:paraId="23E7F229" w14:textId="77777777" w:rsidTr="5E29146B">
        <w:tc>
          <w:tcPr>
            <w:tcW w:w="12847" w:type="dxa"/>
            <w:gridSpan w:val="2"/>
            <w:shd w:val="clear" w:color="auto" w:fill="EAF1DD" w:themeFill="accent3" w:themeFillTint="33"/>
          </w:tcPr>
          <w:p w14:paraId="658E6C91" w14:textId="77777777" w:rsidR="00837CDB" w:rsidRPr="00CD14A4" w:rsidRDefault="00837CDB" w:rsidP="00837CDB">
            <w:pPr>
              <w:spacing w:after="0" w:line="240" w:lineRule="auto"/>
              <w:rPr>
                <w:rFonts w:ascii="Verdana" w:hAnsi="Verdana" w:cs="Arial"/>
                <w:b/>
                <w:sz w:val="24"/>
                <w:szCs w:val="24"/>
              </w:rPr>
            </w:pPr>
            <w:r w:rsidRPr="00CD14A4">
              <w:rPr>
                <w:rFonts w:ascii="Verdana" w:hAnsi="Verdana" w:cs="Arial"/>
                <w:b/>
                <w:sz w:val="24"/>
                <w:szCs w:val="24"/>
              </w:rPr>
              <w:lastRenderedPageBreak/>
              <w:t>Actions for Next Period</w:t>
            </w:r>
          </w:p>
        </w:tc>
      </w:tr>
      <w:tr w:rsidR="00837CDB" w:rsidRPr="00833384" w14:paraId="5F1DB229" w14:textId="77777777" w:rsidTr="00C624E9">
        <w:tc>
          <w:tcPr>
            <w:tcW w:w="12847" w:type="dxa"/>
            <w:gridSpan w:val="2"/>
            <w:shd w:val="clear" w:color="auto" w:fill="auto"/>
          </w:tcPr>
          <w:p w14:paraId="6EBD68A4" w14:textId="3A070E2E" w:rsidR="00837CDB" w:rsidRPr="00CD14A4" w:rsidRDefault="00837CDB" w:rsidP="00833384">
            <w:pPr>
              <w:pStyle w:val="paragraph"/>
              <w:numPr>
                <w:ilvl w:val="0"/>
                <w:numId w:val="1"/>
              </w:numPr>
              <w:spacing w:before="0" w:beforeAutospacing="0" w:after="0" w:afterAutospacing="0"/>
              <w:jc w:val="both"/>
              <w:textAlignment w:val="baseline"/>
              <w:rPr>
                <w:rStyle w:val="normaltextrun"/>
                <w:rFonts w:ascii="Verdana" w:hAnsi="Verdana" w:cs="Arial"/>
              </w:rPr>
            </w:pPr>
            <w:r w:rsidRPr="00CD14A4">
              <w:rPr>
                <w:rStyle w:val="normaltextrun"/>
                <w:rFonts w:ascii="Verdana" w:hAnsi="Verdana" w:cs="Arial"/>
                <w:b/>
                <w:bCs/>
              </w:rPr>
              <w:t xml:space="preserve">Subscription to Learning Certification and Enrolment onto Statutory/Mandatory Courses </w:t>
            </w:r>
            <w:r w:rsidRPr="00CD14A4">
              <w:rPr>
                <w:rStyle w:val="normaltextrun"/>
                <w:rFonts w:ascii="Verdana" w:hAnsi="Verdana" w:cs="Arial"/>
              </w:rPr>
              <w:t>– User issues identified are being supported on a case-by-case basis via Action Point and from direct contact.  The number of queries seen are minimal, and these have been investigated and resolved with no impact to compliance figures reported</w:t>
            </w:r>
          </w:p>
          <w:p w14:paraId="736446F3" w14:textId="4638586F" w:rsidR="00837CDB" w:rsidRPr="00CD14A4" w:rsidRDefault="00837CDB" w:rsidP="00833384">
            <w:pPr>
              <w:pStyle w:val="ListParagraph"/>
              <w:numPr>
                <w:ilvl w:val="0"/>
                <w:numId w:val="1"/>
              </w:numPr>
              <w:spacing w:after="0" w:line="240" w:lineRule="auto"/>
              <w:contextualSpacing w:val="0"/>
              <w:jc w:val="both"/>
              <w:textAlignment w:val="baseline"/>
              <w:rPr>
                <w:rStyle w:val="normaltextrun"/>
                <w:rFonts w:ascii="Verdana" w:hAnsi="Verdana" w:cs="Arial"/>
                <w:sz w:val="24"/>
                <w:szCs w:val="24"/>
              </w:rPr>
            </w:pPr>
            <w:r w:rsidRPr="00CD14A4">
              <w:rPr>
                <w:rStyle w:val="normaltextrun"/>
                <w:rFonts w:ascii="Verdana" w:hAnsi="Verdana" w:cs="Arial"/>
                <w:b/>
                <w:bCs/>
                <w:sz w:val="24"/>
                <w:szCs w:val="24"/>
              </w:rPr>
              <w:t xml:space="preserve">Medical and Dental Staff Group </w:t>
            </w:r>
            <w:r w:rsidRPr="00CD14A4">
              <w:rPr>
                <w:rStyle w:val="normaltextrun"/>
                <w:rFonts w:ascii="Verdana" w:hAnsi="Verdana" w:cs="Arial"/>
                <w:sz w:val="24"/>
                <w:szCs w:val="24"/>
              </w:rPr>
              <w:t>– Ongoing support sessions arranged in conjunction with the Executive Medical Directors Department and the E-Learning Project Support Manager to assist Dr’s with e-learning access issues to continue through 2025</w:t>
            </w:r>
          </w:p>
          <w:p w14:paraId="6902BD5A" w14:textId="4C1E6C94" w:rsidR="00837CDB" w:rsidRPr="00CD14A4" w:rsidRDefault="00837CDB" w:rsidP="00833384">
            <w:pPr>
              <w:pStyle w:val="ListParagraph"/>
              <w:numPr>
                <w:ilvl w:val="0"/>
                <w:numId w:val="1"/>
              </w:numPr>
              <w:spacing w:after="0" w:line="240" w:lineRule="auto"/>
              <w:contextualSpacing w:val="0"/>
              <w:jc w:val="both"/>
              <w:textAlignment w:val="baseline"/>
              <w:rPr>
                <w:rStyle w:val="normaltextrun"/>
                <w:rFonts w:ascii="Verdana" w:hAnsi="Verdana" w:cs="Arial"/>
                <w:sz w:val="24"/>
                <w:szCs w:val="24"/>
              </w:rPr>
            </w:pPr>
            <w:r w:rsidRPr="00CD14A4">
              <w:rPr>
                <w:rStyle w:val="normaltextrun"/>
                <w:rFonts w:ascii="Verdana" w:hAnsi="Verdana" w:cs="Arial"/>
                <w:b/>
                <w:bCs/>
                <w:sz w:val="24"/>
                <w:szCs w:val="24"/>
              </w:rPr>
              <w:t xml:space="preserve">Monitoring Compliance – </w:t>
            </w:r>
            <w:r w:rsidRPr="00CD14A4">
              <w:rPr>
                <w:rStyle w:val="normaltextrun"/>
                <w:rFonts w:ascii="Verdana" w:hAnsi="Verdana" w:cs="Arial"/>
                <w:sz w:val="24"/>
                <w:szCs w:val="24"/>
              </w:rPr>
              <w:t>Completion of e-learning and compliance rates to be scrutinised bi-monthly to identify where learning has been completed but compliance not recorded due to technical issues experienced by user when undertaking the e-learning, this is to ensure that the learning has been updated accurately for the user and to reflect in overall levels of compliance</w:t>
            </w:r>
          </w:p>
          <w:p w14:paraId="2927273F" w14:textId="14FD7B07" w:rsidR="00837CDB" w:rsidRPr="00CD14A4" w:rsidRDefault="00837CDB" w:rsidP="00833384">
            <w:pPr>
              <w:pStyle w:val="ListParagraph"/>
              <w:numPr>
                <w:ilvl w:val="0"/>
                <w:numId w:val="1"/>
              </w:numPr>
              <w:spacing w:after="0" w:line="240" w:lineRule="auto"/>
              <w:contextualSpacing w:val="0"/>
              <w:jc w:val="both"/>
              <w:textAlignment w:val="baseline"/>
              <w:rPr>
                <w:rStyle w:val="normaltextrun"/>
                <w:rFonts w:ascii="Verdana" w:hAnsi="Verdana" w:cs="Arial"/>
                <w:sz w:val="24"/>
                <w:szCs w:val="24"/>
              </w:rPr>
            </w:pPr>
            <w:r w:rsidRPr="00CD14A4">
              <w:rPr>
                <w:rStyle w:val="normaltextrun"/>
                <w:rFonts w:ascii="Verdana" w:hAnsi="Verdana" w:cs="Arial"/>
                <w:b/>
                <w:bCs/>
                <w:sz w:val="24"/>
                <w:szCs w:val="24"/>
              </w:rPr>
              <w:t xml:space="preserve">Safeguarding Adults and Safeguarding Children Level 2 – </w:t>
            </w:r>
            <w:r w:rsidRPr="00CD14A4">
              <w:rPr>
                <w:rStyle w:val="normaltextrun"/>
                <w:rFonts w:ascii="Verdana" w:hAnsi="Verdana" w:cs="Arial"/>
                <w:sz w:val="24"/>
                <w:szCs w:val="24"/>
              </w:rPr>
              <w:t xml:space="preserve">May 2022 SBUHB mandated </w:t>
            </w:r>
            <w:r w:rsidR="00CD14A4">
              <w:rPr>
                <w:rStyle w:val="normaltextrun"/>
                <w:rFonts w:ascii="Verdana" w:hAnsi="Verdana" w:cs="Arial"/>
                <w:sz w:val="24"/>
                <w:szCs w:val="24"/>
              </w:rPr>
              <w:t xml:space="preserve">NHS Core Skills Training Framework </w:t>
            </w:r>
            <w:proofErr w:type="spellStart"/>
            <w:r w:rsidRPr="00CD14A4">
              <w:rPr>
                <w:rStyle w:val="normaltextrun"/>
                <w:rFonts w:ascii="Verdana" w:hAnsi="Verdana" w:cs="Arial"/>
                <w:sz w:val="24"/>
                <w:szCs w:val="24"/>
              </w:rPr>
              <w:t>NHS|CSTF|Safeguarding</w:t>
            </w:r>
            <w:proofErr w:type="spellEnd"/>
            <w:r w:rsidRPr="00CD14A4">
              <w:rPr>
                <w:rStyle w:val="normaltextrun"/>
                <w:rFonts w:ascii="Verdana" w:hAnsi="Verdana" w:cs="Arial"/>
                <w:sz w:val="24"/>
                <w:szCs w:val="24"/>
              </w:rPr>
              <w:t xml:space="preserve"> Adults - Level 2 - 3 Years and </w:t>
            </w:r>
            <w:proofErr w:type="spellStart"/>
            <w:r w:rsidRPr="00CD14A4">
              <w:rPr>
                <w:rStyle w:val="normaltextrun"/>
                <w:rFonts w:ascii="Verdana" w:hAnsi="Verdana" w:cs="Arial"/>
                <w:sz w:val="24"/>
                <w:szCs w:val="24"/>
              </w:rPr>
              <w:t>NHS|CSTF|Safeguarding</w:t>
            </w:r>
            <w:proofErr w:type="spellEnd"/>
            <w:r w:rsidRPr="00CD14A4">
              <w:rPr>
                <w:rStyle w:val="normaltextrun"/>
                <w:rFonts w:ascii="Verdana" w:hAnsi="Verdana" w:cs="Arial"/>
                <w:sz w:val="24"/>
                <w:szCs w:val="24"/>
              </w:rPr>
              <w:t xml:space="preserve"> Children - Level 2 - 3 Years for All staff.  Achievable collectively with </w:t>
            </w:r>
            <w:proofErr w:type="spellStart"/>
            <w:r w:rsidRPr="00CD14A4">
              <w:rPr>
                <w:rStyle w:val="normaltextrun"/>
                <w:rFonts w:ascii="Verdana" w:hAnsi="Verdana" w:cs="Arial"/>
                <w:sz w:val="24"/>
                <w:szCs w:val="24"/>
              </w:rPr>
              <w:t>NHS|CSTF|Safeguarding</w:t>
            </w:r>
            <w:proofErr w:type="spellEnd"/>
            <w:r w:rsidRPr="00CD14A4">
              <w:rPr>
                <w:rStyle w:val="normaltextrun"/>
                <w:rFonts w:ascii="Verdana" w:hAnsi="Verdana" w:cs="Arial"/>
                <w:sz w:val="24"/>
                <w:szCs w:val="24"/>
              </w:rPr>
              <w:t xml:space="preserve"> Adults - Level 1 - 3 Years and </w:t>
            </w:r>
            <w:proofErr w:type="spellStart"/>
            <w:r w:rsidRPr="00CD14A4">
              <w:rPr>
                <w:rStyle w:val="normaltextrun"/>
                <w:rFonts w:ascii="Verdana" w:hAnsi="Verdana" w:cs="Arial"/>
                <w:sz w:val="24"/>
                <w:szCs w:val="24"/>
              </w:rPr>
              <w:t>NHS|CSTF|Safeguarding</w:t>
            </w:r>
            <w:proofErr w:type="spellEnd"/>
            <w:r w:rsidRPr="00CD14A4">
              <w:rPr>
                <w:rStyle w:val="normaltextrun"/>
                <w:rFonts w:ascii="Verdana" w:hAnsi="Verdana" w:cs="Arial"/>
                <w:sz w:val="24"/>
                <w:szCs w:val="24"/>
              </w:rPr>
              <w:t xml:space="preserve"> Children - Level 1 - 3 Years on completion of respective Safeguarding Training Level 2.  Levels of compliance for Safeguarding Adults and Safeguarding Children Level 2 are expected to be reportable as a SBU Health Board requirement for All Staff (Target 85%) from August 2025</w:t>
            </w:r>
          </w:p>
          <w:p w14:paraId="5D924D94" w14:textId="0652DB6C" w:rsidR="00C624E9" w:rsidRPr="00CD14A4" w:rsidRDefault="00CD14A4" w:rsidP="00C624E9">
            <w:pPr>
              <w:pStyle w:val="ListParagraph"/>
              <w:numPr>
                <w:ilvl w:val="0"/>
                <w:numId w:val="1"/>
              </w:numPr>
              <w:spacing w:after="0" w:line="240" w:lineRule="auto"/>
              <w:contextualSpacing w:val="0"/>
              <w:jc w:val="both"/>
              <w:textAlignment w:val="baseline"/>
              <w:rPr>
                <w:rStyle w:val="normaltextrun"/>
                <w:rFonts w:ascii="Verdana" w:hAnsi="Verdana" w:cs="Arial"/>
                <w:sz w:val="24"/>
                <w:szCs w:val="24"/>
              </w:rPr>
            </w:pPr>
            <w:r>
              <w:rPr>
                <w:rStyle w:val="normaltextrun"/>
                <w:rFonts w:ascii="Verdana" w:hAnsi="Verdana" w:cs="Arial"/>
                <w:b/>
                <w:bCs/>
                <w:sz w:val="24"/>
                <w:szCs w:val="24"/>
              </w:rPr>
              <w:lastRenderedPageBreak/>
              <w:t>Neath Port Talbot &amp; Singleton Service Group (</w:t>
            </w:r>
            <w:r w:rsidR="00837CDB" w:rsidRPr="00CD14A4">
              <w:rPr>
                <w:rStyle w:val="normaltextrun"/>
                <w:rFonts w:ascii="Verdana" w:hAnsi="Verdana" w:cs="Arial"/>
                <w:b/>
                <w:bCs/>
                <w:sz w:val="24"/>
                <w:szCs w:val="24"/>
              </w:rPr>
              <w:t>NPT</w:t>
            </w:r>
            <w:r>
              <w:rPr>
                <w:rStyle w:val="normaltextrun"/>
                <w:rFonts w:ascii="Verdana" w:hAnsi="Verdana" w:cs="Arial"/>
                <w:b/>
                <w:bCs/>
                <w:sz w:val="24"/>
                <w:szCs w:val="24"/>
              </w:rPr>
              <w:t>S</w:t>
            </w:r>
            <w:r w:rsidR="00837CDB" w:rsidRPr="00CD14A4">
              <w:rPr>
                <w:rStyle w:val="normaltextrun"/>
                <w:rFonts w:ascii="Verdana" w:hAnsi="Verdana" w:cs="Arial"/>
                <w:b/>
                <w:bCs/>
                <w:sz w:val="24"/>
                <w:szCs w:val="24"/>
              </w:rPr>
              <w:t>SG</w:t>
            </w:r>
            <w:r>
              <w:rPr>
                <w:rStyle w:val="normaltextrun"/>
                <w:rFonts w:ascii="Verdana" w:hAnsi="Verdana" w:cs="Arial"/>
                <w:b/>
                <w:bCs/>
                <w:sz w:val="24"/>
                <w:szCs w:val="24"/>
              </w:rPr>
              <w:t>)</w:t>
            </w:r>
            <w:r w:rsidR="00837CDB" w:rsidRPr="00CD14A4">
              <w:rPr>
                <w:rStyle w:val="normaltextrun"/>
                <w:rFonts w:ascii="Verdana" w:hAnsi="Verdana" w:cs="Arial"/>
                <w:b/>
                <w:bCs/>
                <w:sz w:val="24"/>
                <w:szCs w:val="24"/>
              </w:rPr>
              <w:t xml:space="preserve"> </w:t>
            </w:r>
            <w:r w:rsidR="00837CDB" w:rsidRPr="00CD14A4">
              <w:rPr>
                <w:rStyle w:val="normaltextrun"/>
                <w:rFonts w:ascii="Verdana" w:hAnsi="Verdana" w:cs="Arial"/>
                <w:sz w:val="24"/>
                <w:szCs w:val="24"/>
              </w:rPr>
              <w:t>updated that there is a need to continue to focus on improving Mandatory Training compliance within the Medical Staff Group.</w:t>
            </w:r>
          </w:p>
          <w:p w14:paraId="7B5AA29F" w14:textId="01741690" w:rsidR="00C624E9" w:rsidRPr="00CD14A4" w:rsidRDefault="00C624E9" w:rsidP="00C624E9">
            <w:pPr>
              <w:spacing w:after="0" w:line="240" w:lineRule="auto"/>
              <w:textAlignment w:val="baseline"/>
              <w:rPr>
                <w:rStyle w:val="normaltextrun"/>
                <w:rFonts w:ascii="Verdana" w:hAnsi="Verdana" w:cs="Arial"/>
                <w:sz w:val="24"/>
                <w:szCs w:val="24"/>
              </w:rPr>
            </w:pPr>
          </w:p>
        </w:tc>
      </w:tr>
      <w:tr w:rsidR="00837CDB" w:rsidRPr="00833384" w14:paraId="72845006" w14:textId="77777777" w:rsidTr="00C624E9">
        <w:trPr>
          <w:trHeight w:val="1266"/>
        </w:trPr>
        <w:tc>
          <w:tcPr>
            <w:tcW w:w="2117" w:type="dxa"/>
            <w:shd w:val="clear" w:color="auto" w:fill="DBE5F1" w:themeFill="accent1" w:themeFillTint="33"/>
          </w:tcPr>
          <w:p w14:paraId="7D5500EB" w14:textId="77777777" w:rsidR="00837CDB" w:rsidRPr="00833384" w:rsidRDefault="00837CDB" w:rsidP="00837CDB">
            <w:pPr>
              <w:spacing w:after="0" w:line="240" w:lineRule="auto"/>
              <w:rPr>
                <w:rFonts w:ascii="Verdana" w:hAnsi="Verdana" w:cs="Arial"/>
                <w:b/>
                <w:bCs/>
                <w:sz w:val="22"/>
                <w:szCs w:val="22"/>
              </w:rPr>
            </w:pPr>
            <w:r w:rsidRPr="00833384">
              <w:rPr>
                <w:rFonts w:ascii="Verdana" w:hAnsi="Verdana" w:cs="Arial"/>
                <w:b/>
                <w:bCs/>
                <w:sz w:val="22"/>
                <w:szCs w:val="22"/>
              </w:rPr>
              <w:lastRenderedPageBreak/>
              <w:t xml:space="preserve">Vacancies </w:t>
            </w:r>
          </w:p>
          <w:p w14:paraId="41113F84" w14:textId="77777777" w:rsidR="00837CDB" w:rsidRPr="00833384" w:rsidRDefault="00837CDB" w:rsidP="00837CDB">
            <w:pPr>
              <w:spacing w:after="0" w:line="240" w:lineRule="auto"/>
              <w:rPr>
                <w:rFonts w:ascii="Verdana" w:hAnsi="Verdana" w:cs="Arial"/>
                <w:b/>
                <w:bCs/>
                <w:sz w:val="24"/>
                <w:szCs w:val="24"/>
              </w:rPr>
            </w:pPr>
            <w:r w:rsidRPr="00833384">
              <w:rPr>
                <w:rFonts w:ascii="Verdana" w:hAnsi="Verdana" w:cs="Arial"/>
                <w:bCs/>
                <w:i/>
                <w:sz w:val="22"/>
                <w:szCs w:val="22"/>
              </w:rPr>
              <w:t>Medical and Nursing and Midwifery</w:t>
            </w:r>
            <w:r w:rsidRPr="00833384">
              <w:rPr>
                <w:rFonts w:ascii="Verdana" w:hAnsi="Verdana" w:cs="Arial"/>
                <w:b/>
                <w:bCs/>
                <w:sz w:val="24"/>
                <w:szCs w:val="24"/>
              </w:rPr>
              <w:t xml:space="preserve"> </w:t>
            </w:r>
          </w:p>
        </w:tc>
        <w:tc>
          <w:tcPr>
            <w:tcW w:w="10730" w:type="dxa"/>
            <w:shd w:val="clear" w:color="auto" w:fill="auto"/>
          </w:tcPr>
          <w:p w14:paraId="4DBE8671" w14:textId="691846CA" w:rsidR="00837CDB" w:rsidRPr="00833384" w:rsidRDefault="00837CDB" w:rsidP="00837CDB">
            <w:pPr>
              <w:jc w:val="center"/>
              <w:rPr>
                <w:rFonts w:ascii="Verdana" w:hAnsi="Verdana" w:cs="Arial"/>
                <w:b/>
              </w:rPr>
            </w:pPr>
            <w:r w:rsidRPr="00833384">
              <w:rPr>
                <w:rFonts w:ascii="Verdana" w:hAnsi="Verdana" w:cs="Arial"/>
                <w:b/>
                <w:bCs/>
              </w:rPr>
              <w:t xml:space="preserve">Vacancies (FTE) </w:t>
            </w:r>
            <w:r w:rsidR="00F40BCB" w:rsidRPr="00833384">
              <w:rPr>
                <w:rFonts w:ascii="Verdana" w:hAnsi="Verdana" w:cs="Arial"/>
                <w:b/>
                <w:bCs/>
              </w:rPr>
              <w:t>Mar</w:t>
            </w:r>
            <w:r w:rsidRPr="00833384">
              <w:rPr>
                <w:rFonts w:ascii="Verdana" w:hAnsi="Verdana" w:cs="Arial"/>
                <w:b/>
                <w:bCs/>
              </w:rPr>
              <w:t xml:space="preserve"> 2</w:t>
            </w:r>
            <w:r w:rsidR="00F40BCB" w:rsidRPr="00833384">
              <w:rPr>
                <w:rFonts w:ascii="Verdana" w:hAnsi="Verdana" w:cs="Arial"/>
                <w:b/>
                <w:bCs/>
              </w:rPr>
              <w:t>5</w:t>
            </w:r>
            <w:r w:rsidRPr="00833384">
              <w:rPr>
                <w:rFonts w:ascii="Verdana" w:hAnsi="Verdana" w:cs="Arial"/>
                <w:b/>
                <w:bCs/>
              </w:rPr>
              <w:t xml:space="preserve"> to </w:t>
            </w:r>
            <w:r w:rsidR="00F40BCB" w:rsidRPr="00833384">
              <w:rPr>
                <w:rFonts w:ascii="Verdana" w:hAnsi="Verdana" w:cs="Arial"/>
                <w:b/>
                <w:bCs/>
              </w:rPr>
              <w:t>Apr</w:t>
            </w:r>
            <w:r w:rsidRPr="00833384">
              <w:rPr>
                <w:rFonts w:ascii="Verdana" w:hAnsi="Verdana" w:cs="Arial"/>
                <w:b/>
                <w:bCs/>
              </w:rPr>
              <w:t xml:space="preserve"> 25</w:t>
            </w:r>
          </w:p>
          <w:p w14:paraId="21386E93" w14:textId="1ED2E443" w:rsidR="00837CDB" w:rsidRPr="00833384" w:rsidRDefault="00F40BCB" w:rsidP="00837CDB">
            <w:pPr>
              <w:jc w:val="center"/>
              <w:rPr>
                <w:rFonts w:ascii="Verdana" w:hAnsi="Verdana"/>
              </w:rPr>
            </w:pPr>
            <w:r w:rsidRPr="00833384">
              <w:rPr>
                <w:rFonts w:ascii="Verdana" w:hAnsi="Verdana"/>
                <w:noProof/>
              </w:rPr>
              <w:drawing>
                <wp:inline distT="0" distB="0" distL="0" distR="0" wp14:anchorId="1E37DC78" wp14:editId="41DBD957">
                  <wp:extent cx="3187136" cy="3132499"/>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208400" cy="3153399"/>
                          </a:xfrm>
                          <a:prstGeom prst="rect">
                            <a:avLst/>
                          </a:prstGeom>
                        </pic:spPr>
                      </pic:pic>
                    </a:graphicData>
                  </a:graphic>
                </wp:inline>
              </w:drawing>
            </w:r>
            <w:r w:rsidR="00837CDB" w:rsidRPr="00833384">
              <w:rPr>
                <w:rFonts w:ascii="Verdana" w:hAnsi="Verdana" w:cs="Arial"/>
              </w:rPr>
              <w:t xml:space="preserve">      </w:t>
            </w:r>
            <w:r w:rsidRPr="00833384">
              <w:rPr>
                <w:rFonts w:ascii="Verdana" w:hAnsi="Verdana" w:cs="Arial"/>
                <w:noProof/>
              </w:rPr>
              <w:drawing>
                <wp:inline distT="0" distB="0" distL="0" distR="0" wp14:anchorId="1B8B9FD4" wp14:editId="6AE88BAA">
                  <wp:extent cx="3159659" cy="1357572"/>
                  <wp:effectExtent l="0" t="0" r="317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219653" cy="1383349"/>
                          </a:xfrm>
                          <a:prstGeom prst="rect">
                            <a:avLst/>
                          </a:prstGeom>
                        </pic:spPr>
                      </pic:pic>
                    </a:graphicData>
                  </a:graphic>
                </wp:inline>
              </w:drawing>
            </w:r>
          </w:p>
          <w:p w14:paraId="22D6637A" w14:textId="77777777" w:rsidR="00837CDB" w:rsidRDefault="00837CDB" w:rsidP="00F40BCB">
            <w:pPr>
              <w:spacing w:after="0"/>
              <w:jc w:val="both"/>
              <w:rPr>
                <w:rFonts w:ascii="Verdana" w:hAnsi="Verdana" w:cs="Arial"/>
                <w:i/>
                <w:sz w:val="22"/>
                <w:szCs w:val="22"/>
              </w:rPr>
            </w:pPr>
            <w:r w:rsidRPr="00833384">
              <w:rPr>
                <w:rFonts w:ascii="Verdana" w:hAnsi="Verdana" w:cs="Arial"/>
                <w:i/>
                <w:sz w:val="22"/>
                <w:szCs w:val="22"/>
              </w:rPr>
              <w:t>C&amp;</w:t>
            </w:r>
            <w:proofErr w:type="gramStart"/>
            <w:r w:rsidRPr="00833384">
              <w:rPr>
                <w:rFonts w:ascii="Verdana" w:hAnsi="Verdana" w:cs="Arial"/>
                <w:i/>
                <w:sz w:val="22"/>
                <w:szCs w:val="22"/>
              </w:rPr>
              <w:t>L;-</w:t>
            </w:r>
            <w:proofErr w:type="gramEnd"/>
            <w:r w:rsidRPr="00833384">
              <w:rPr>
                <w:rFonts w:ascii="Verdana" w:hAnsi="Verdana" w:cs="Arial"/>
                <w:i/>
                <w:sz w:val="22"/>
                <w:szCs w:val="22"/>
              </w:rPr>
              <w:t xml:space="preserve"> Report generated </w:t>
            </w:r>
            <w:r w:rsidR="00F40BCB" w:rsidRPr="00833384">
              <w:rPr>
                <w:rFonts w:ascii="Verdana" w:hAnsi="Verdana" w:cs="Arial"/>
                <w:i/>
                <w:sz w:val="22"/>
                <w:szCs w:val="22"/>
              </w:rPr>
              <w:t>May</w:t>
            </w:r>
            <w:r w:rsidRPr="00833384">
              <w:rPr>
                <w:rFonts w:ascii="Verdana" w:hAnsi="Verdana" w:cs="Arial"/>
                <w:i/>
                <w:sz w:val="22"/>
                <w:szCs w:val="22"/>
              </w:rPr>
              <w:t xml:space="preserve"> 2025, within SBUHB (ESR Team), using currently available methodology. Data source – ESR (Workforce) and General Ledger (Finance). We compare the SIP v’s the finance ledger, appreciating limitations on accuracy in some areas. Accuracy levels are subject to local validation practices based on budget </w:t>
            </w:r>
            <w:proofErr w:type="gramStart"/>
            <w:r w:rsidRPr="00833384">
              <w:rPr>
                <w:rFonts w:ascii="Verdana" w:hAnsi="Verdana" w:cs="Arial"/>
                <w:i/>
                <w:sz w:val="22"/>
                <w:szCs w:val="22"/>
              </w:rPr>
              <w:t>holders</w:t>
            </w:r>
            <w:proofErr w:type="gramEnd"/>
            <w:r w:rsidRPr="00833384">
              <w:rPr>
                <w:rFonts w:ascii="Verdana" w:hAnsi="Verdana" w:cs="Arial"/>
                <w:i/>
                <w:sz w:val="22"/>
                <w:szCs w:val="22"/>
              </w:rPr>
              <w:t xml:space="preserve"> intelligence.</w:t>
            </w:r>
          </w:p>
          <w:p w14:paraId="0CF6C8DC" w14:textId="6E4AAFCB" w:rsidR="00833384" w:rsidRPr="00833384" w:rsidRDefault="00833384" w:rsidP="00F40BCB">
            <w:pPr>
              <w:spacing w:after="0"/>
              <w:jc w:val="both"/>
              <w:rPr>
                <w:rFonts w:ascii="Verdana" w:hAnsi="Verdana" w:cs="Arial"/>
                <w:i/>
                <w:sz w:val="22"/>
                <w:szCs w:val="22"/>
              </w:rPr>
            </w:pPr>
          </w:p>
        </w:tc>
      </w:tr>
      <w:tr w:rsidR="00837CDB" w:rsidRPr="00833384" w14:paraId="4605B8F4" w14:textId="77777777" w:rsidTr="5E29146B">
        <w:tc>
          <w:tcPr>
            <w:tcW w:w="12847" w:type="dxa"/>
            <w:gridSpan w:val="2"/>
            <w:shd w:val="clear" w:color="auto" w:fill="EAF1DD" w:themeFill="accent3" w:themeFillTint="33"/>
          </w:tcPr>
          <w:p w14:paraId="58FEE78C" w14:textId="77777777" w:rsidR="00837CDB" w:rsidRPr="00833384" w:rsidRDefault="00837CDB" w:rsidP="00837CDB">
            <w:pPr>
              <w:spacing w:after="0" w:line="240" w:lineRule="auto"/>
              <w:contextualSpacing/>
              <w:rPr>
                <w:rFonts w:ascii="Verdana" w:hAnsi="Verdana" w:cs="Arial"/>
                <w:b/>
              </w:rPr>
            </w:pPr>
            <w:r w:rsidRPr="00833384">
              <w:rPr>
                <w:rFonts w:ascii="Verdana" w:hAnsi="Verdana" w:cs="Arial"/>
                <w:b/>
              </w:rPr>
              <w:t>Current Performance</w:t>
            </w:r>
          </w:p>
        </w:tc>
      </w:tr>
      <w:tr w:rsidR="00837CDB" w:rsidRPr="00833384" w14:paraId="24DA82B3" w14:textId="77777777" w:rsidTr="00C624E9">
        <w:tc>
          <w:tcPr>
            <w:tcW w:w="12847" w:type="dxa"/>
            <w:gridSpan w:val="2"/>
            <w:shd w:val="clear" w:color="auto" w:fill="auto"/>
          </w:tcPr>
          <w:p w14:paraId="7F09F8E3" w14:textId="77777777" w:rsidR="00837CDB" w:rsidRPr="00CD14A4" w:rsidRDefault="00837CDB" w:rsidP="00833384">
            <w:pPr>
              <w:pStyle w:val="ListParagraph"/>
              <w:numPr>
                <w:ilvl w:val="0"/>
                <w:numId w:val="2"/>
              </w:numPr>
              <w:spacing w:after="0" w:line="240" w:lineRule="auto"/>
              <w:jc w:val="both"/>
              <w:rPr>
                <w:rFonts w:ascii="Verdana" w:hAnsi="Verdana" w:cs="Arial"/>
                <w:sz w:val="24"/>
                <w:szCs w:val="24"/>
              </w:rPr>
            </w:pPr>
            <w:r w:rsidRPr="00CD14A4">
              <w:rPr>
                <w:rFonts w:ascii="Verdana" w:hAnsi="Verdana" w:cs="Arial"/>
                <w:sz w:val="24"/>
                <w:szCs w:val="24"/>
              </w:rPr>
              <w:t>The registered nursing establishment data indicates that we continue to show an over-recruited position as at the end of April 2025 by 89.51 FTE, which is an increase of 41.18FTEs compared to the previous report dated February 2025</w:t>
            </w:r>
          </w:p>
          <w:p w14:paraId="3C9E0EBB" w14:textId="1D0FCC03" w:rsidR="00837CDB" w:rsidRPr="00CD14A4" w:rsidRDefault="00837CDB" w:rsidP="00833384">
            <w:pPr>
              <w:pStyle w:val="ListParagraph"/>
              <w:numPr>
                <w:ilvl w:val="0"/>
                <w:numId w:val="2"/>
              </w:numPr>
              <w:spacing w:after="0" w:line="240" w:lineRule="auto"/>
              <w:jc w:val="both"/>
              <w:rPr>
                <w:rFonts w:ascii="Verdana" w:hAnsi="Verdana" w:cs="Arial"/>
                <w:sz w:val="24"/>
                <w:szCs w:val="24"/>
              </w:rPr>
            </w:pPr>
            <w:r w:rsidRPr="00CD14A4">
              <w:rPr>
                <w:rFonts w:ascii="Verdana" w:hAnsi="Verdana" w:cs="Arial"/>
                <w:sz w:val="24"/>
                <w:szCs w:val="24"/>
              </w:rPr>
              <w:lastRenderedPageBreak/>
              <w:t xml:space="preserve">For Band 5 nurses, we were over-recruited by 110.26 FTE as of April 25. This is due to the Health Board continuing to accommodate newly qualified nurses starting in Band 5 roles through our student streamlining programme, whereby 145 have started in post between 01/09/24 and 18/03/2025. From the March 2025 cohort, 11 applicants are waiting on their registration/ NMC PIN (due to needing to re-sit/make back time), 1 has a start date booked, and 1 is waiting for a start date to be confirmed.  </w:t>
            </w:r>
            <w:r w:rsidR="00D9534A" w:rsidRPr="00CD14A4">
              <w:rPr>
                <w:rFonts w:ascii="Verdana" w:hAnsi="Verdana" w:cs="Arial"/>
                <w:sz w:val="24"/>
                <w:szCs w:val="24"/>
              </w:rPr>
              <w:t>Following Recovery &amp; Sustainability meeting on 28</w:t>
            </w:r>
            <w:r w:rsidR="00D9534A" w:rsidRPr="00CD14A4">
              <w:rPr>
                <w:rFonts w:ascii="Verdana" w:hAnsi="Verdana" w:cs="Arial"/>
                <w:sz w:val="24"/>
                <w:szCs w:val="24"/>
                <w:vertAlign w:val="superscript"/>
              </w:rPr>
              <w:t>th</w:t>
            </w:r>
            <w:r w:rsidR="00D9534A" w:rsidRPr="00CD14A4">
              <w:rPr>
                <w:rFonts w:ascii="Verdana" w:hAnsi="Verdana" w:cs="Arial"/>
                <w:sz w:val="24"/>
                <w:szCs w:val="24"/>
              </w:rPr>
              <w:t xml:space="preserve"> May 2025</w:t>
            </w:r>
            <w:r w:rsidR="001409DC" w:rsidRPr="00CD14A4">
              <w:rPr>
                <w:rFonts w:ascii="Verdana" w:hAnsi="Verdana" w:cs="Arial"/>
                <w:sz w:val="24"/>
                <w:szCs w:val="24"/>
              </w:rPr>
              <w:t>,</w:t>
            </w:r>
            <w:r w:rsidR="00D9534A" w:rsidRPr="00CD14A4">
              <w:rPr>
                <w:rFonts w:ascii="Verdana" w:hAnsi="Verdana" w:cs="Arial"/>
                <w:sz w:val="24"/>
                <w:szCs w:val="24"/>
              </w:rPr>
              <w:t xml:space="preserve"> a request was made for Service Groups to review this position in the context of a wider piece of work about ensuring we are “Organised for Success”</w:t>
            </w:r>
            <w:r w:rsidR="0064616F" w:rsidRPr="00CD14A4">
              <w:rPr>
                <w:rFonts w:ascii="Verdana" w:hAnsi="Verdana" w:cs="Arial"/>
                <w:sz w:val="24"/>
                <w:szCs w:val="24"/>
              </w:rPr>
              <w:t xml:space="preserve"> this will include consideration of workforce plan</w:t>
            </w:r>
          </w:p>
          <w:p w14:paraId="16A7F5ED" w14:textId="15C675DA" w:rsidR="00837CDB" w:rsidRPr="00CD14A4" w:rsidRDefault="00837CDB" w:rsidP="00833384">
            <w:pPr>
              <w:pStyle w:val="ListParagraph"/>
              <w:numPr>
                <w:ilvl w:val="0"/>
                <w:numId w:val="2"/>
              </w:numPr>
              <w:spacing w:after="0" w:line="240" w:lineRule="auto"/>
              <w:jc w:val="both"/>
              <w:rPr>
                <w:rFonts w:ascii="Verdana" w:hAnsi="Verdana" w:cs="Arial"/>
                <w:sz w:val="24"/>
                <w:szCs w:val="24"/>
              </w:rPr>
            </w:pPr>
            <w:r w:rsidRPr="00CD14A4">
              <w:rPr>
                <w:rFonts w:ascii="Verdana" w:hAnsi="Verdana" w:cs="Arial"/>
                <w:sz w:val="24"/>
                <w:szCs w:val="24"/>
              </w:rPr>
              <w:t>For the financial year 2025-26 the HB has recruited 16 international nurses for the NPTS Service Group to work in theatres (10), cancer services (5) and medicine (1). These nurses will arrive in the HB in May and July 2025 and will remain on a Band 4 salary until OSCE training is completed and their NMC PIN is received, after which point, they will then move to a Band 5 post. There are no further plans for international recruitment currently</w:t>
            </w:r>
          </w:p>
          <w:p w14:paraId="44923E58" w14:textId="77777777" w:rsidR="00837CDB" w:rsidRPr="00CD14A4" w:rsidRDefault="00837CDB" w:rsidP="00833384">
            <w:pPr>
              <w:pStyle w:val="ListParagraph"/>
              <w:numPr>
                <w:ilvl w:val="0"/>
                <w:numId w:val="2"/>
              </w:numPr>
              <w:spacing w:after="0" w:line="240" w:lineRule="auto"/>
              <w:jc w:val="both"/>
              <w:rPr>
                <w:rFonts w:ascii="Verdana" w:hAnsi="Verdana" w:cs="Arial"/>
                <w:sz w:val="24"/>
                <w:szCs w:val="24"/>
              </w:rPr>
            </w:pPr>
            <w:r w:rsidRPr="00CD14A4">
              <w:rPr>
                <w:rFonts w:ascii="Verdana" w:hAnsi="Verdana" w:cs="Arial"/>
                <w:sz w:val="24"/>
                <w:szCs w:val="24"/>
              </w:rPr>
              <w:t xml:space="preserve">In addition to the above, our Central Resourcing Team (CRT) continue to support service groups with any other Band 5 Nursing or Band 2 HCSW recruitment. They are currently supporting Morriston Service Group with their latest recruitment round, which is currently in the shortlisting stage. They also continue to receive and provide support for the Mental Health and Learning Disabilities Service Group for various Nursing and HCSW vacancies </w:t>
            </w:r>
          </w:p>
          <w:p w14:paraId="396E871E" w14:textId="77777777" w:rsidR="00837CDB" w:rsidRPr="00CD14A4" w:rsidRDefault="00837CDB" w:rsidP="00833384">
            <w:pPr>
              <w:pStyle w:val="ListParagraph"/>
              <w:numPr>
                <w:ilvl w:val="0"/>
                <w:numId w:val="2"/>
              </w:numPr>
              <w:spacing w:after="0" w:line="240" w:lineRule="auto"/>
              <w:jc w:val="both"/>
              <w:rPr>
                <w:rFonts w:ascii="Verdana" w:hAnsi="Verdana" w:cs="Arial"/>
                <w:sz w:val="24"/>
                <w:szCs w:val="24"/>
              </w:rPr>
            </w:pPr>
            <w:r w:rsidRPr="00CD14A4">
              <w:rPr>
                <w:rFonts w:ascii="Verdana" w:hAnsi="Verdana" w:cs="Arial"/>
                <w:sz w:val="24"/>
                <w:szCs w:val="24"/>
              </w:rPr>
              <w:t xml:space="preserve">The rich supply of Band 5 nurses from all three recruitment sources should ensure that no band 5 nursing gaps arise over the next 12 months due to turnover and/or internal movements into higher banded roles  </w:t>
            </w:r>
          </w:p>
          <w:p w14:paraId="604258DF" w14:textId="77777777" w:rsidR="00837CDB" w:rsidRPr="00CD14A4" w:rsidRDefault="00837CDB" w:rsidP="00833384">
            <w:pPr>
              <w:pStyle w:val="ListParagraph"/>
              <w:numPr>
                <w:ilvl w:val="0"/>
                <w:numId w:val="2"/>
              </w:numPr>
              <w:spacing w:after="0" w:line="240" w:lineRule="auto"/>
              <w:jc w:val="both"/>
              <w:rPr>
                <w:rFonts w:ascii="Verdana" w:hAnsi="Verdana" w:cs="Arial"/>
                <w:sz w:val="24"/>
                <w:szCs w:val="24"/>
              </w:rPr>
            </w:pPr>
            <w:r w:rsidRPr="00CD14A4">
              <w:rPr>
                <w:rFonts w:ascii="Verdana" w:hAnsi="Verdana" w:cs="Arial"/>
                <w:sz w:val="24"/>
                <w:szCs w:val="24"/>
              </w:rPr>
              <w:t xml:space="preserve">It is important to note that the vacancy exception process remains in </w:t>
            </w:r>
            <w:proofErr w:type="gramStart"/>
            <w:r w:rsidRPr="00CD14A4">
              <w:rPr>
                <w:rFonts w:ascii="Verdana" w:hAnsi="Verdana" w:cs="Arial"/>
                <w:sz w:val="24"/>
                <w:szCs w:val="24"/>
              </w:rPr>
              <w:t>place</w:t>
            </w:r>
            <w:proofErr w:type="gramEnd"/>
            <w:r w:rsidRPr="00CD14A4">
              <w:rPr>
                <w:rFonts w:ascii="Verdana" w:hAnsi="Verdana" w:cs="Arial"/>
                <w:sz w:val="24"/>
                <w:szCs w:val="24"/>
              </w:rPr>
              <w:t xml:space="preserve"> which is impacting on timescales, staff wellbeing/experience and can be demonstrated within the high levels of variable pay. </w:t>
            </w:r>
          </w:p>
          <w:p w14:paraId="342C5C37" w14:textId="22E4E544" w:rsidR="00837CDB" w:rsidRPr="00CD14A4" w:rsidRDefault="00837CDB" w:rsidP="00C624E9">
            <w:pPr>
              <w:spacing w:after="0" w:line="240" w:lineRule="auto"/>
              <w:rPr>
                <w:rFonts w:ascii="Verdana" w:hAnsi="Verdana" w:cs="Arial"/>
                <w:sz w:val="24"/>
                <w:szCs w:val="24"/>
              </w:rPr>
            </w:pPr>
          </w:p>
        </w:tc>
      </w:tr>
      <w:tr w:rsidR="00837CDB" w:rsidRPr="00833384" w14:paraId="1645E266" w14:textId="77777777" w:rsidTr="5E29146B">
        <w:tc>
          <w:tcPr>
            <w:tcW w:w="12847" w:type="dxa"/>
            <w:gridSpan w:val="2"/>
            <w:shd w:val="clear" w:color="auto" w:fill="EAF1DD" w:themeFill="accent3" w:themeFillTint="33"/>
          </w:tcPr>
          <w:p w14:paraId="6DD4C2E6" w14:textId="77777777" w:rsidR="00837CDB" w:rsidRPr="00CD14A4" w:rsidRDefault="00837CDB" w:rsidP="00837CDB">
            <w:pPr>
              <w:spacing w:after="0" w:line="240" w:lineRule="auto"/>
              <w:rPr>
                <w:rFonts w:ascii="Verdana" w:hAnsi="Verdana" w:cs="Arial"/>
                <w:b/>
                <w:sz w:val="24"/>
                <w:szCs w:val="24"/>
              </w:rPr>
            </w:pPr>
            <w:r w:rsidRPr="00CD14A4">
              <w:rPr>
                <w:rFonts w:ascii="Verdana" w:hAnsi="Verdana" w:cs="Arial"/>
                <w:b/>
                <w:sz w:val="24"/>
                <w:szCs w:val="24"/>
              </w:rPr>
              <w:lastRenderedPageBreak/>
              <w:t>Actions for Next Period</w:t>
            </w:r>
          </w:p>
        </w:tc>
      </w:tr>
      <w:tr w:rsidR="00837CDB" w:rsidRPr="00833384" w14:paraId="00E15887" w14:textId="77777777" w:rsidTr="00C624E9">
        <w:trPr>
          <w:trHeight w:val="67"/>
        </w:trPr>
        <w:tc>
          <w:tcPr>
            <w:tcW w:w="12847" w:type="dxa"/>
            <w:gridSpan w:val="2"/>
            <w:shd w:val="clear" w:color="auto" w:fill="auto"/>
          </w:tcPr>
          <w:p w14:paraId="5E49E3CA" w14:textId="77777777" w:rsidR="00837CDB" w:rsidRPr="00CD14A4" w:rsidRDefault="00837CDB" w:rsidP="00833384">
            <w:pPr>
              <w:pStyle w:val="ListParagraph"/>
              <w:numPr>
                <w:ilvl w:val="0"/>
                <w:numId w:val="2"/>
              </w:numPr>
              <w:jc w:val="both"/>
              <w:rPr>
                <w:rFonts w:ascii="Verdana" w:hAnsi="Verdana" w:cs="Arial"/>
                <w:sz w:val="24"/>
                <w:szCs w:val="24"/>
              </w:rPr>
            </w:pPr>
            <w:r w:rsidRPr="00CD14A4">
              <w:rPr>
                <w:rFonts w:ascii="Verdana" w:hAnsi="Verdana" w:cs="Arial"/>
                <w:sz w:val="24"/>
                <w:szCs w:val="24"/>
              </w:rPr>
              <w:t>International recruitment to cease.</w:t>
            </w:r>
          </w:p>
          <w:p w14:paraId="53B4B085" w14:textId="4CA284D9" w:rsidR="00837CDB" w:rsidRPr="00CD14A4" w:rsidRDefault="00837CDB" w:rsidP="00833384">
            <w:pPr>
              <w:pStyle w:val="ListParagraph"/>
              <w:numPr>
                <w:ilvl w:val="0"/>
                <w:numId w:val="2"/>
              </w:numPr>
              <w:jc w:val="both"/>
              <w:rPr>
                <w:rFonts w:ascii="Verdana" w:hAnsi="Verdana" w:cs="Arial"/>
                <w:sz w:val="24"/>
                <w:szCs w:val="24"/>
              </w:rPr>
            </w:pPr>
            <w:r w:rsidRPr="00CD14A4">
              <w:rPr>
                <w:rFonts w:ascii="Verdana" w:hAnsi="Verdana" w:cs="Arial"/>
                <w:sz w:val="24"/>
                <w:szCs w:val="24"/>
              </w:rPr>
              <w:t xml:space="preserve">The </w:t>
            </w:r>
            <w:r w:rsidR="00CD14A4">
              <w:rPr>
                <w:rFonts w:ascii="Verdana" w:hAnsi="Verdana" w:cs="Arial"/>
                <w:sz w:val="24"/>
                <w:szCs w:val="24"/>
              </w:rPr>
              <w:t>Community Resource Team (</w:t>
            </w:r>
            <w:r w:rsidRPr="00CD14A4">
              <w:rPr>
                <w:rFonts w:ascii="Verdana" w:hAnsi="Verdana" w:cs="Arial"/>
                <w:sz w:val="24"/>
                <w:szCs w:val="24"/>
              </w:rPr>
              <w:t>CRT</w:t>
            </w:r>
            <w:r w:rsidR="00CD14A4">
              <w:rPr>
                <w:rFonts w:ascii="Verdana" w:hAnsi="Verdana" w:cs="Arial"/>
                <w:sz w:val="24"/>
                <w:szCs w:val="24"/>
              </w:rPr>
              <w:t>)</w:t>
            </w:r>
            <w:r w:rsidRPr="00CD14A4">
              <w:rPr>
                <w:rFonts w:ascii="Verdana" w:hAnsi="Verdana" w:cs="Arial"/>
                <w:sz w:val="24"/>
                <w:szCs w:val="24"/>
              </w:rPr>
              <w:t xml:space="preserve"> will continue to support Student streamlining and are preparing for the September 2025 cohort. </w:t>
            </w:r>
          </w:p>
          <w:p w14:paraId="55E4CCFC" w14:textId="77777777" w:rsidR="00837CDB" w:rsidRPr="00CD14A4" w:rsidRDefault="00837CDB" w:rsidP="00833384">
            <w:pPr>
              <w:pStyle w:val="ListParagraph"/>
              <w:numPr>
                <w:ilvl w:val="0"/>
                <w:numId w:val="2"/>
              </w:numPr>
              <w:jc w:val="both"/>
              <w:rPr>
                <w:rFonts w:ascii="Verdana" w:hAnsi="Verdana" w:cs="Arial"/>
                <w:sz w:val="24"/>
                <w:szCs w:val="24"/>
              </w:rPr>
            </w:pPr>
            <w:r w:rsidRPr="00CD14A4">
              <w:rPr>
                <w:rFonts w:ascii="Verdana" w:hAnsi="Verdana" w:cs="Arial"/>
                <w:sz w:val="24"/>
                <w:szCs w:val="24"/>
              </w:rPr>
              <w:t>Domestic recruitment will continue as approved by the HB</w:t>
            </w:r>
          </w:p>
          <w:p w14:paraId="4598C440" w14:textId="77777777" w:rsidR="00837CDB" w:rsidRPr="00CD14A4" w:rsidRDefault="00837CDB" w:rsidP="00833384">
            <w:pPr>
              <w:pStyle w:val="ListParagraph"/>
              <w:numPr>
                <w:ilvl w:val="0"/>
                <w:numId w:val="2"/>
              </w:numPr>
              <w:jc w:val="both"/>
              <w:rPr>
                <w:rFonts w:ascii="Verdana" w:hAnsi="Verdana" w:cs="Arial"/>
                <w:sz w:val="24"/>
                <w:szCs w:val="24"/>
              </w:rPr>
            </w:pPr>
            <w:r w:rsidRPr="00CD14A4">
              <w:rPr>
                <w:rFonts w:ascii="Verdana" w:hAnsi="Verdana" w:cs="Arial"/>
                <w:sz w:val="24"/>
                <w:szCs w:val="24"/>
              </w:rPr>
              <w:t>The CRT will continue to support with chasing pre-employment checks for key roles to reduce time to hire and fill vacancies (e.g. currently supporting up to 25 WTE physiotherapy posts)</w:t>
            </w:r>
          </w:p>
          <w:p w14:paraId="10ADA9E3" w14:textId="77777777" w:rsidR="00837CDB" w:rsidRPr="00CD14A4" w:rsidRDefault="00837CDB" w:rsidP="00833384">
            <w:pPr>
              <w:pStyle w:val="ListParagraph"/>
              <w:numPr>
                <w:ilvl w:val="0"/>
                <w:numId w:val="2"/>
              </w:numPr>
              <w:jc w:val="both"/>
              <w:rPr>
                <w:rFonts w:ascii="Verdana" w:hAnsi="Verdana" w:cs="Arial"/>
                <w:sz w:val="24"/>
                <w:szCs w:val="24"/>
              </w:rPr>
            </w:pPr>
            <w:r w:rsidRPr="00CD14A4">
              <w:rPr>
                <w:rFonts w:ascii="Verdana" w:hAnsi="Verdana" w:cs="Arial"/>
                <w:sz w:val="24"/>
                <w:szCs w:val="24"/>
              </w:rPr>
              <w:lastRenderedPageBreak/>
              <w:t>The CRT have been supporting with the implementation of Welsh Language compliance actions in recruitment. They have supported a further 18 vacancies to become compliant since the previous reporting period (cumulative total of 220 vacancies since 1</w:t>
            </w:r>
            <w:r w:rsidRPr="00CD14A4">
              <w:rPr>
                <w:rFonts w:ascii="Verdana" w:hAnsi="Verdana" w:cs="Arial"/>
                <w:sz w:val="24"/>
                <w:szCs w:val="24"/>
                <w:vertAlign w:val="superscript"/>
              </w:rPr>
              <w:t>st</w:t>
            </w:r>
            <w:r w:rsidRPr="00CD14A4">
              <w:rPr>
                <w:rFonts w:ascii="Verdana" w:hAnsi="Verdana" w:cs="Arial"/>
                <w:sz w:val="24"/>
                <w:szCs w:val="24"/>
              </w:rPr>
              <w:t xml:space="preserve"> November 2024)</w:t>
            </w:r>
          </w:p>
          <w:p w14:paraId="556B1C00" w14:textId="77777777" w:rsidR="00837CDB" w:rsidRPr="00CD14A4" w:rsidRDefault="00837CDB" w:rsidP="00833384">
            <w:pPr>
              <w:pStyle w:val="ListParagraph"/>
              <w:numPr>
                <w:ilvl w:val="0"/>
                <w:numId w:val="2"/>
              </w:numPr>
              <w:jc w:val="both"/>
              <w:rPr>
                <w:rFonts w:ascii="Verdana" w:hAnsi="Verdana" w:cs="Arial"/>
                <w:sz w:val="24"/>
                <w:szCs w:val="24"/>
              </w:rPr>
            </w:pPr>
            <w:r w:rsidRPr="00CD14A4">
              <w:rPr>
                <w:rFonts w:ascii="Verdana" w:hAnsi="Verdana" w:cs="Arial"/>
                <w:sz w:val="24"/>
                <w:szCs w:val="24"/>
              </w:rPr>
              <w:t>The CRT have developed a checklist of actions for recruiting managers to consider when trying to fill hard to recruit roles, which is now published and available on the intranet</w:t>
            </w:r>
          </w:p>
          <w:p w14:paraId="74BFE5D7" w14:textId="1E957C51" w:rsidR="00C624E9" w:rsidRPr="00CD14A4" w:rsidRDefault="00837CDB" w:rsidP="00837CDB">
            <w:pPr>
              <w:pStyle w:val="ListParagraph"/>
              <w:numPr>
                <w:ilvl w:val="0"/>
                <w:numId w:val="2"/>
              </w:numPr>
              <w:jc w:val="both"/>
              <w:rPr>
                <w:rFonts w:ascii="Verdana" w:hAnsi="Verdana" w:cs="Arial"/>
                <w:sz w:val="24"/>
                <w:szCs w:val="24"/>
              </w:rPr>
            </w:pPr>
            <w:r w:rsidRPr="00CD14A4">
              <w:rPr>
                <w:rFonts w:ascii="Verdana" w:hAnsi="Verdana" w:cs="Arial"/>
                <w:sz w:val="24"/>
                <w:szCs w:val="24"/>
              </w:rPr>
              <w:t xml:space="preserve">The CRT will continue supporting the Executive Clinical Vacancy Scrutiny Panel which takes place weekly, including collating submissions, attending the panel meetings, and distributing outcomes to the Service Groups. The recovery and sustainability group representatives will continue to support the Admin and Clerical Executive Vacancy Scrutiny Panels. </w:t>
            </w:r>
          </w:p>
        </w:tc>
      </w:tr>
      <w:tr w:rsidR="00837CDB" w:rsidRPr="00833384" w14:paraId="78CAAE90" w14:textId="77777777" w:rsidTr="00C624E9">
        <w:tc>
          <w:tcPr>
            <w:tcW w:w="2117" w:type="dxa"/>
            <w:shd w:val="clear" w:color="auto" w:fill="DBE5F1" w:themeFill="accent1" w:themeFillTint="33"/>
          </w:tcPr>
          <w:p w14:paraId="05C99ADB" w14:textId="77777777" w:rsidR="00837CDB" w:rsidRPr="00833384" w:rsidRDefault="00837CDB" w:rsidP="00837CDB">
            <w:pPr>
              <w:spacing w:after="0" w:line="240" w:lineRule="auto"/>
              <w:rPr>
                <w:rFonts w:ascii="Verdana" w:hAnsi="Verdana" w:cs="Arial"/>
                <w:b/>
                <w:bCs/>
                <w:sz w:val="22"/>
              </w:rPr>
            </w:pPr>
          </w:p>
          <w:p w14:paraId="003A789C" w14:textId="53191F10" w:rsidR="00837CDB" w:rsidRPr="00CD14A4" w:rsidRDefault="00837CDB" w:rsidP="00837CDB">
            <w:pPr>
              <w:spacing w:after="0" w:line="240" w:lineRule="auto"/>
              <w:rPr>
                <w:rFonts w:ascii="Verdana" w:hAnsi="Verdana" w:cs="Arial"/>
                <w:b/>
                <w:bCs/>
                <w:sz w:val="24"/>
                <w:szCs w:val="24"/>
              </w:rPr>
            </w:pPr>
            <w:r w:rsidRPr="00CD14A4">
              <w:rPr>
                <w:rFonts w:ascii="Verdana" w:hAnsi="Verdana" w:cs="Arial"/>
                <w:b/>
                <w:bCs/>
                <w:sz w:val="24"/>
                <w:szCs w:val="24"/>
              </w:rPr>
              <w:t xml:space="preserve">Recruitment </w:t>
            </w:r>
          </w:p>
          <w:p w14:paraId="2C8CA198" w14:textId="77777777" w:rsidR="00837CDB" w:rsidRPr="00CD14A4" w:rsidRDefault="00837CDB" w:rsidP="00837CDB">
            <w:pPr>
              <w:spacing w:after="0" w:line="240" w:lineRule="auto"/>
              <w:rPr>
                <w:rFonts w:ascii="Verdana" w:hAnsi="Verdana" w:cs="Arial"/>
                <w:bCs/>
                <w:i/>
                <w:sz w:val="24"/>
                <w:szCs w:val="24"/>
              </w:rPr>
            </w:pPr>
            <w:r w:rsidRPr="00CD14A4">
              <w:rPr>
                <w:rFonts w:ascii="Verdana" w:hAnsi="Verdana" w:cs="Arial"/>
                <w:bCs/>
                <w:i/>
                <w:sz w:val="24"/>
                <w:szCs w:val="24"/>
              </w:rPr>
              <w:t>Metrics provided by NWSSP.  Comparison with all-Wales benchmarking</w:t>
            </w:r>
          </w:p>
          <w:p w14:paraId="4EDA2AA3" w14:textId="77777777" w:rsidR="00837CDB" w:rsidRPr="00CD14A4" w:rsidRDefault="00837CDB" w:rsidP="00837CDB">
            <w:pPr>
              <w:spacing w:after="0" w:line="240" w:lineRule="auto"/>
              <w:rPr>
                <w:rFonts w:ascii="Verdana" w:hAnsi="Verdana" w:cs="Arial"/>
                <w:bCs/>
                <w:i/>
                <w:sz w:val="24"/>
                <w:szCs w:val="24"/>
              </w:rPr>
            </w:pPr>
          </w:p>
          <w:p w14:paraId="5E31B164" w14:textId="3EA71514" w:rsidR="00837CDB" w:rsidRPr="00833384" w:rsidRDefault="00837CDB" w:rsidP="00837CDB">
            <w:pPr>
              <w:spacing w:after="0" w:line="240" w:lineRule="auto"/>
              <w:rPr>
                <w:rFonts w:ascii="Verdana" w:hAnsi="Verdana" w:cs="Arial"/>
                <w:b/>
                <w:bCs/>
                <w:sz w:val="24"/>
                <w:szCs w:val="24"/>
              </w:rPr>
            </w:pPr>
            <w:r w:rsidRPr="00CD14A4">
              <w:rPr>
                <w:rFonts w:ascii="Verdana" w:hAnsi="Verdana" w:cs="Arial"/>
                <w:bCs/>
                <w:i/>
                <w:sz w:val="24"/>
                <w:szCs w:val="24"/>
              </w:rPr>
              <w:t>Target 44 days</w:t>
            </w:r>
          </w:p>
        </w:tc>
        <w:tc>
          <w:tcPr>
            <w:tcW w:w="10730" w:type="dxa"/>
            <w:shd w:val="clear" w:color="auto" w:fill="auto"/>
          </w:tcPr>
          <w:p w14:paraId="15BA2956" w14:textId="242AA793" w:rsidR="00837CDB" w:rsidRPr="00CD14A4" w:rsidRDefault="00837CDB" w:rsidP="00837CDB">
            <w:pPr>
              <w:spacing w:after="0" w:line="240" w:lineRule="auto"/>
              <w:jc w:val="center"/>
              <w:rPr>
                <w:rFonts w:ascii="Verdana" w:hAnsi="Verdana"/>
                <w:sz w:val="24"/>
                <w:szCs w:val="24"/>
              </w:rPr>
            </w:pPr>
            <w:r w:rsidRPr="00CD14A4">
              <w:rPr>
                <w:rFonts w:ascii="Verdana" w:hAnsi="Verdana" w:cs="Arial"/>
                <w:b/>
                <w:bCs/>
                <w:noProof/>
                <w:sz w:val="24"/>
                <w:szCs w:val="24"/>
                <w:lang w:val="en-US"/>
              </w:rPr>
              <w:t xml:space="preserve">Vacancy Creation to Conditional Offer </w:t>
            </w:r>
            <w:r w:rsidR="00F1548C" w:rsidRPr="00CD14A4">
              <w:rPr>
                <w:rFonts w:ascii="Verdana" w:hAnsi="Verdana" w:cs="Arial"/>
                <w:b/>
                <w:bCs/>
                <w:noProof/>
                <w:sz w:val="24"/>
                <w:szCs w:val="24"/>
                <w:lang w:val="en-US"/>
              </w:rPr>
              <w:t>April 2025</w:t>
            </w:r>
            <w:r w:rsidRPr="00CD14A4">
              <w:rPr>
                <w:rFonts w:ascii="Verdana" w:hAnsi="Verdana" w:cs="Arial"/>
                <w:b/>
                <w:bCs/>
                <w:noProof/>
                <w:sz w:val="24"/>
                <w:szCs w:val="24"/>
                <w:lang w:val="en-US"/>
              </w:rPr>
              <w:t xml:space="preserve"> (working days) T13</w:t>
            </w:r>
            <w:r w:rsidR="00F1548C" w:rsidRPr="00CD14A4">
              <w:rPr>
                <w:rFonts w:ascii="Verdana" w:hAnsi="Verdana" w:cs="Arial"/>
                <w:b/>
                <w:bCs/>
                <w:noProof/>
                <w:sz w:val="24"/>
                <w:szCs w:val="24"/>
                <w:lang w:val="en-US"/>
              </w:rPr>
              <w:t xml:space="preserve"> (exc outliers)</w:t>
            </w:r>
          </w:p>
          <w:p w14:paraId="0FFB1DB5" w14:textId="5F2D36FB" w:rsidR="00837CDB" w:rsidRPr="00CD14A4" w:rsidRDefault="00837CDB" w:rsidP="00837CDB">
            <w:pPr>
              <w:spacing w:after="0" w:line="240" w:lineRule="auto"/>
              <w:jc w:val="center"/>
              <w:rPr>
                <w:rFonts w:ascii="Verdana" w:hAnsi="Verdana" w:cs="Arial"/>
                <w:b/>
                <w:bCs/>
                <w:noProof/>
                <w:sz w:val="24"/>
                <w:szCs w:val="24"/>
              </w:rPr>
            </w:pPr>
          </w:p>
          <w:p w14:paraId="64A329DA" w14:textId="0739D7BB" w:rsidR="00837CDB" w:rsidRPr="00833384" w:rsidRDefault="00F1548C" w:rsidP="00837CDB">
            <w:pPr>
              <w:spacing w:after="0" w:line="240" w:lineRule="auto"/>
              <w:jc w:val="center"/>
              <w:rPr>
                <w:rFonts w:ascii="Verdana" w:hAnsi="Verdana" w:cs="Arial"/>
                <w:b/>
                <w:bCs/>
                <w:noProof/>
                <w:sz w:val="22"/>
              </w:rPr>
            </w:pPr>
            <w:r w:rsidRPr="00833384">
              <w:rPr>
                <w:rFonts w:ascii="Verdana" w:hAnsi="Verdana" w:cs="Arial"/>
                <w:b/>
                <w:bCs/>
                <w:noProof/>
              </w:rPr>
              <w:drawing>
                <wp:inline distT="0" distB="0" distL="0" distR="0" wp14:anchorId="5115C4AC" wp14:editId="4B26ECF9">
                  <wp:extent cx="6676390" cy="1518920"/>
                  <wp:effectExtent l="0" t="0" r="0" b="508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676390" cy="1518920"/>
                          </a:xfrm>
                          <a:prstGeom prst="rect">
                            <a:avLst/>
                          </a:prstGeom>
                        </pic:spPr>
                      </pic:pic>
                    </a:graphicData>
                  </a:graphic>
                </wp:inline>
              </w:drawing>
            </w:r>
          </w:p>
          <w:p w14:paraId="0E7101DD" w14:textId="77777777" w:rsidR="00837CDB" w:rsidRPr="00833384" w:rsidRDefault="00837CDB" w:rsidP="00837CDB">
            <w:pPr>
              <w:spacing w:after="0" w:line="240" w:lineRule="auto"/>
              <w:jc w:val="center"/>
              <w:rPr>
                <w:rFonts w:ascii="Verdana" w:hAnsi="Verdana" w:cs="Arial"/>
                <w:b/>
                <w:bCs/>
                <w:noProof/>
                <w:sz w:val="22"/>
              </w:rPr>
            </w:pPr>
          </w:p>
          <w:p w14:paraId="2447F4A1" w14:textId="77777777" w:rsidR="00837CDB" w:rsidRPr="00CD14A4" w:rsidRDefault="00837CDB" w:rsidP="00833384">
            <w:pPr>
              <w:spacing w:after="0" w:line="240" w:lineRule="auto"/>
              <w:jc w:val="both"/>
              <w:rPr>
                <w:rFonts w:ascii="Verdana" w:hAnsi="Verdana" w:cs="Arial"/>
                <w:i/>
                <w:iCs/>
                <w:sz w:val="24"/>
                <w:szCs w:val="24"/>
              </w:rPr>
            </w:pPr>
            <w:r w:rsidRPr="00CD14A4">
              <w:rPr>
                <w:rFonts w:ascii="Verdana" w:hAnsi="Verdana" w:cs="Arial"/>
                <w:i/>
                <w:iCs/>
                <w:sz w:val="24"/>
                <w:szCs w:val="24"/>
              </w:rPr>
              <w:t>C&amp;</w:t>
            </w:r>
            <w:proofErr w:type="gramStart"/>
            <w:r w:rsidRPr="00CD14A4">
              <w:rPr>
                <w:rFonts w:ascii="Verdana" w:hAnsi="Verdana" w:cs="Arial"/>
                <w:i/>
                <w:iCs/>
                <w:sz w:val="24"/>
                <w:szCs w:val="24"/>
              </w:rPr>
              <w:t>L;-</w:t>
            </w:r>
            <w:proofErr w:type="gramEnd"/>
            <w:r w:rsidRPr="00CD14A4">
              <w:rPr>
                <w:rFonts w:ascii="Verdana" w:hAnsi="Verdana" w:cs="Arial"/>
                <w:i/>
                <w:iCs/>
                <w:sz w:val="24"/>
                <w:szCs w:val="24"/>
              </w:rPr>
              <w:t xml:space="preserve"> Report generated </w:t>
            </w:r>
            <w:r w:rsidR="00F1548C" w:rsidRPr="00CD14A4">
              <w:rPr>
                <w:rFonts w:ascii="Verdana" w:hAnsi="Verdana" w:cs="Arial"/>
                <w:i/>
                <w:iCs/>
                <w:sz w:val="24"/>
                <w:szCs w:val="24"/>
              </w:rPr>
              <w:t>May</w:t>
            </w:r>
            <w:r w:rsidRPr="00CD14A4">
              <w:rPr>
                <w:rFonts w:ascii="Verdana" w:hAnsi="Verdana" w:cs="Arial"/>
                <w:i/>
                <w:iCs/>
                <w:sz w:val="24"/>
                <w:szCs w:val="24"/>
              </w:rPr>
              <w:t xml:space="preserve"> 2025, by NWSSP (Recruitment). Data source – TRAC system. Outliers are excluded. This is day to day vacancy management. Data excludes outliers.</w:t>
            </w:r>
          </w:p>
          <w:p w14:paraId="2FAF728F" w14:textId="670545E7" w:rsidR="00833384" w:rsidRPr="00833384" w:rsidRDefault="00833384" w:rsidP="00833384">
            <w:pPr>
              <w:spacing w:after="0" w:line="240" w:lineRule="auto"/>
              <w:jc w:val="both"/>
              <w:rPr>
                <w:rFonts w:ascii="Verdana" w:hAnsi="Verdana" w:cs="Arial"/>
              </w:rPr>
            </w:pPr>
          </w:p>
        </w:tc>
      </w:tr>
      <w:tr w:rsidR="00837CDB" w:rsidRPr="00833384" w14:paraId="641E7D40" w14:textId="77777777" w:rsidTr="5E29146B">
        <w:tc>
          <w:tcPr>
            <w:tcW w:w="12847" w:type="dxa"/>
            <w:gridSpan w:val="2"/>
            <w:shd w:val="clear" w:color="auto" w:fill="EAF1DD" w:themeFill="accent3" w:themeFillTint="33"/>
          </w:tcPr>
          <w:p w14:paraId="1297C99E" w14:textId="77777777" w:rsidR="00837CDB" w:rsidRPr="00CD14A4" w:rsidRDefault="00837CDB" w:rsidP="00837CDB">
            <w:pPr>
              <w:spacing w:after="0" w:line="240" w:lineRule="auto"/>
              <w:rPr>
                <w:rFonts w:ascii="Verdana" w:hAnsi="Verdana" w:cs="Arial"/>
                <w:b/>
                <w:sz w:val="24"/>
                <w:szCs w:val="24"/>
              </w:rPr>
            </w:pPr>
            <w:r w:rsidRPr="00CD14A4">
              <w:rPr>
                <w:rFonts w:ascii="Verdana" w:hAnsi="Verdana" w:cs="Arial"/>
                <w:b/>
                <w:sz w:val="24"/>
                <w:szCs w:val="24"/>
              </w:rPr>
              <w:t>Current Performance</w:t>
            </w:r>
          </w:p>
        </w:tc>
      </w:tr>
      <w:tr w:rsidR="00837CDB" w:rsidRPr="00833384" w14:paraId="348D55F5" w14:textId="77777777" w:rsidTr="00C624E9">
        <w:tc>
          <w:tcPr>
            <w:tcW w:w="12847" w:type="dxa"/>
            <w:gridSpan w:val="2"/>
            <w:shd w:val="clear" w:color="auto" w:fill="auto"/>
          </w:tcPr>
          <w:p w14:paraId="71CD438D" w14:textId="77777777" w:rsidR="00837CDB" w:rsidRPr="00CD14A4" w:rsidRDefault="00837CDB" w:rsidP="00837CDB">
            <w:pPr>
              <w:spacing w:after="0" w:line="240" w:lineRule="auto"/>
              <w:ind w:left="360"/>
              <w:contextualSpacing/>
              <w:rPr>
                <w:rFonts w:ascii="Verdana" w:hAnsi="Verdana" w:cs="Arial"/>
                <w:sz w:val="24"/>
                <w:szCs w:val="24"/>
              </w:rPr>
            </w:pPr>
          </w:p>
          <w:p w14:paraId="2AC0585B" w14:textId="3BF765F9" w:rsidR="00837CDB" w:rsidRPr="00CD14A4" w:rsidRDefault="00837CDB" w:rsidP="00833384">
            <w:pPr>
              <w:numPr>
                <w:ilvl w:val="0"/>
                <w:numId w:val="2"/>
              </w:numPr>
              <w:spacing w:after="0" w:line="240" w:lineRule="auto"/>
              <w:ind w:left="360"/>
              <w:contextualSpacing/>
              <w:jc w:val="both"/>
              <w:rPr>
                <w:rFonts w:ascii="Verdana" w:hAnsi="Verdana" w:cs="Arial"/>
                <w:sz w:val="24"/>
                <w:szCs w:val="24"/>
              </w:rPr>
            </w:pPr>
            <w:r w:rsidRPr="00CD14A4">
              <w:rPr>
                <w:rFonts w:ascii="Verdana" w:hAnsi="Verdana" w:cs="Arial"/>
                <w:sz w:val="24"/>
                <w:szCs w:val="24"/>
              </w:rPr>
              <w:t xml:space="preserve">Swansea Bay UHB’s in-month time to hire performance for April 2025 continues to exceed the 44 day All Wales T13 target for the second month running, which had previously been under target for the 12 months prior. This is mainly due to Welsh language translation requirements, which came into force in November 2024 and the admin and clerical recruitment pause, whereby managers have been asked </w:t>
            </w:r>
            <w:r w:rsidRPr="00CD14A4">
              <w:rPr>
                <w:rFonts w:ascii="Verdana" w:hAnsi="Verdana" w:cs="Arial"/>
                <w:sz w:val="24"/>
                <w:szCs w:val="24"/>
              </w:rPr>
              <w:lastRenderedPageBreak/>
              <w:t xml:space="preserve">to submit vacancy requests on the Trac recruitment system while waiting for approvals to be received from our executive team and for Welsh translation to be returned. SBUHB’s T13 average for the previous 12 months as of April 2025 is now also above the 44-day target at 50.7 days, which is an increase of 9.2 days compared to the 12m average, as of March 2025. The All-Wales monthly average performance remains below target at 43.5 days </w:t>
            </w:r>
          </w:p>
          <w:p w14:paraId="300A6DB5" w14:textId="7B991CEB" w:rsidR="00837CDB" w:rsidRPr="00CD14A4" w:rsidRDefault="00837CDB" w:rsidP="00833384">
            <w:pPr>
              <w:numPr>
                <w:ilvl w:val="0"/>
                <w:numId w:val="2"/>
              </w:numPr>
              <w:spacing w:after="0" w:line="240" w:lineRule="auto"/>
              <w:ind w:left="360"/>
              <w:contextualSpacing/>
              <w:jc w:val="both"/>
              <w:rPr>
                <w:rFonts w:ascii="Verdana" w:hAnsi="Verdana" w:cs="Arial"/>
                <w:sz w:val="24"/>
                <w:szCs w:val="24"/>
              </w:rPr>
            </w:pPr>
            <w:r w:rsidRPr="00CD14A4">
              <w:rPr>
                <w:rFonts w:ascii="Verdana" w:hAnsi="Verdana" w:cs="Arial"/>
                <w:sz w:val="24"/>
                <w:szCs w:val="24"/>
              </w:rPr>
              <w:t>For April 2025, SBUHB’s time to hire performance continues to be significantly below the All Wales T23 metric (target of 27 days) which is the measure from the point of issuing an offer letter to agreeing a start date. However, SBUHB’s 12-month average is 15.6 days (without outliers) which is above the All-Wales figure of 14.4 days</w:t>
            </w:r>
          </w:p>
          <w:p w14:paraId="1B1F79A5" w14:textId="75EC0BB5" w:rsidR="00837CDB" w:rsidRPr="00CD14A4" w:rsidRDefault="00837CDB" w:rsidP="00833384">
            <w:pPr>
              <w:numPr>
                <w:ilvl w:val="0"/>
                <w:numId w:val="2"/>
              </w:numPr>
              <w:spacing w:after="0" w:line="240" w:lineRule="auto"/>
              <w:ind w:left="360"/>
              <w:contextualSpacing/>
              <w:jc w:val="both"/>
              <w:rPr>
                <w:rFonts w:ascii="Verdana" w:hAnsi="Verdana" w:cs="Arial"/>
                <w:sz w:val="24"/>
                <w:szCs w:val="24"/>
              </w:rPr>
            </w:pPr>
            <w:r w:rsidRPr="00CD14A4">
              <w:rPr>
                <w:rFonts w:ascii="Verdana" w:hAnsi="Verdana" w:cs="Arial"/>
                <w:sz w:val="24"/>
                <w:szCs w:val="24"/>
              </w:rPr>
              <w:t>The Central Resourcing Team (CRT) have continued to coach candidates through the pre-employment check process for Band 5 nursing roles and Band 2 Health Care Support Worker roles in particular and have also been supporting with other stages of the recruitment process for some areas (e.g., shortlisting for mental health nursing and HCSW roles) to continue to assist in reducing the T13 and T27 time to hire targets, mentioned above</w:t>
            </w:r>
            <w:r w:rsidR="00833384" w:rsidRPr="00CD14A4">
              <w:rPr>
                <w:rFonts w:ascii="Verdana" w:hAnsi="Verdana" w:cs="Arial"/>
                <w:sz w:val="24"/>
                <w:szCs w:val="24"/>
              </w:rPr>
              <w:t>.</w:t>
            </w:r>
          </w:p>
          <w:p w14:paraId="1C7E1367" w14:textId="77777777" w:rsidR="00837CDB" w:rsidRPr="00CD14A4" w:rsidRDefault="00837CDB" w:rsidP="00837CDB">
            <w:pPr>
              <w:spacing w:after="0" w:line="240" w:lineRule="auto"/>
              <w:rPr>
                <w:rFonts w:ascii="Verdana" w:hAnsi="Verdana" w:cs="Arial"/>
                <w:sz w:val="24"/>
                <w:szCs w:val="24"/>
              </w:rPr>
            </w:pPr>
          </w:p>
          <w:p w14:paraId="7503F9A6" w14:textId="271E040B" w:rsidR="00833384" w:rsidRPr="00CD14A4" w:rsidRDefault="00833384" w:rsidP="00837CDB">
            <w:pPr>
              <w:spacing w:after="0" w:line="240" w:lineRule="auto"/>
              <w:rPr>
                <w:rFonts w:ascii="Verdana" w:hAnsi="Verdana" w:cs="Arial"/>
                <w:sz w:val="24"/>
                <w:szCs w:val="24"/>
              </w:rPr>
            </w:pPr>
          </w:p>
        </w:tc>
      </w:tr>
      <w:tr w:rsidR="00837CDB" w:rsidRPr="00833384" w14:paraId="5C950528" w14:textId="77777777" w:rsidTr="5E29146B">
        <w:tc>
          <w:tcPr>
            <w:tcW w:w="12847" w:type="dxa"/>
            <w:gridSpan w:val="2"/>
            <w:shd w:val="clear" w:color="auto" w:fill="EAF1DD" w:themeFill="accent3" w:themeFillTint="33"/>
          </w:tcPr>
          <w:p w14:paraId="2D276D33" w14:textId="77777777" w:rsidR="00837CDB" w:rsidRPr="00CD14A4" w:rsidRDefault="00837CDB" w:rsidP="00837CDB">
            <w:pPr>
              <w:spacing w:after="0" w:line="240" w:lineRule="auto"/>
              <w:rPr>
                <w:rFonts w:ascii="Verdana" w:hAnsi="Verdana" w:cs="Arial"/>
                <w:b/>
                <w:sz w:val="24"/>
                <w:szCs w:val="24"/>
              </w:rPr>
            </w:pPr>
            <w:r w:rsidRPr="00CD14A4">
              <w:rPr>
                <w:rFonts w:ascii="Verdana" w:hAnsi="Verdana" w:cs="Arial"/>
                <w:b/>
                <w:sz w:val="24"/>
                <w:szCs w:val="24"/>
              </w:rPr>
              <w:lastRenderedPageBreak/>
              <w:t>Actions for Next Period</w:t>
            </w:r>
          </w:p>
        </w:tc>
      </w:tr>
      <w:tr w:rsidR="00837CDB" w:rsidRPr="00833384" w14:paraId="10824AE5" w14:textId="77777777" w:rsidTr="00C624E9">
        <w:tc>
          <w:tcPr>
            <w:tcW w:w="12847" w:type="dxa"/>
            <w:gridSpan w:val="2"/>
            <w:shd w:val="clear" w:color="auto" w:fill="auto"/>
          </w:tcPr>
          <w:p w14:paraId="6A43F1B3" w14:textId="77777777" w:rsidR="00837CDB" w:rsidRPr="00CD14A4" w:rsidRDefault="00837CDB" w:rsidP="00837CDB">
            <w:pPr>
              <w:spacing w:after="0" w:line="240" w:lineRule="auto"/>
              <w:ind w:left="360"/>
              <w:contextualSpacing/>
              <w:rPr>
                <w:rFonts w:ascii="Verdana" w:hAnsi="Verdana" w:cs="Arial"/>
                <w:sz w:val="24"/>
                <w:szCs w:val="24"/>
              </w:rPr>
            </w:pPr>
          </w:p>
          <w:p w14:paraId="48864953" w14:textId="77777777" w:rsidR="00837CDB" w:rsidRPr="00CD14A4" w:rsidRDefault="00837CDB" w:rsidP="00833384">
            <w:pPr>
              <w:numPr>
                <w:ilvl w:val="0"/>
                <w:numId w:val="2"/>
              </w:numPr>
              <w:spacing w:after="0" w:line="240" w:lineRule="auto"/>
              <w:ind w:left="360"/>
              <w:contextualSpacing/>
              <w:jc w:val="both"/>
              <w:rPr>
                <w:rFonts w:ascii="Verdana" w:hAnsi="Verdana" w:cs="Arial"/>
                <w:sz w:val="24"/>
                <w:szCs w:val="24"/>
              </w:rPr>
            </w:pPr>
            <w:r w:rsidRPr="00CD14A4">
              <w:rPr>
                <w:rFonts w:ascii="Verdana" w:hAnsi="Verdana" w:cs="Arial"/>
                <w:sz w:val="24"/>
                <w:szCs w:val="24"/>
              </w:rPr>
              <w:t>NWSSP continue to provide training sessions and drop-in sessions for SBU recruiting managers to improve time to hire. They are also delivering a recruitment module as part of SBU’s management development programme</w:t>
            </w:r>
          </w:p>
          <w:p w14:paraId="62B7D848" w14:textId="47A73D6B" w:rsidR="00837CDB" w:rsidRPr="00CD14A4" w:rsidRDefault="00837CDB" w:rsidP="00833384">
            <w:pPr>
              <w:numPr>
                <w:ilvl w:val="0"/>
                <w:numId w:val="2"/>
              </w:numPr>
              <w:spacing w:after="0" w:line="240" w:lineRule="auto"/>
              <w:ind w:left="360"/>
              <w:contextualSpacing/>
              <w:jc w:val="both"/>
              <w:rPr>
                <w:rFonts w:ascii="Verdana" w:hAnsi="Verdana" w:cs="Arial"/>
                <w:sz w:val="24"/>
                <w:szCs w:val="24"/>
              </w:rPr>
            </w:pPr>
            <w:r w:rsidRPr="00CD14A4">
              <w:rPr>
                <w:rFonts w:ascii="Verdana" w:hAnsi="Verdana" w:cs="Arial"/>
                <w:sz w:val="24"/>
                <w:szCs w:val="24"/>
              </w:rPr>
              <w:t xml:space="preserve">The CRT will continue focussing on the recruitment of B5 nurses, B2 ward based HCSWs, assisting with overseas nurse recruitment and newly qualified nurses, as well as specific hard to recruit posts and Exec recruitment </w:t>
            </w:r>
          </w:p>
          <w:p w14:paraId="41F127E9" w14:textId="1B54FA14" w:rsidR="00837CDB" w:rsidRPr="00CD14A4" w:rsidRDefault="00837CDB" w:rsidP="00833384">
            <w:pPr>
              <w:numPr>
                <w:ilvl w:val="0"/>
                <w:numId w:val="2"/>
              </w:numPr>
              <w:spacing w:after="0" w:line="240" w:lineRule="auto"/>
              <w:ind w:left="360"/>
              <w:contextualSpacing/>
              <w:jc w:val="both"/>
              <w:rPr>
                <w:rFonts w:ascii="Verdana" w:hAnsi="Verdana" w:cs="Arial"/>
                <w:sz w:val="24"/>
                <w:szCs w:val="24"/>
              </w:rPr>
            </w:pPr>
            <w:r w:rsidRPr="00CD14A4">
              <w:rPr>
                <w:rFonts w:ascii="Verdana" w:hAnsi="Verdana" w:cs="Arial"/>
                <w:sz w:val="24"/>
                <w:szCs w:val="24"/>
              </w:rPr>
              <w:t xml:space="preserve">In collaboration with NWSSP, the CRT will continue to chase outstanding management actions on vacancies and pre-employment checks with applicants, to further improve the </w:t>
            </w:r>
            <w:r w:rsidR="00CD14A4">
              <w:rPr>
                <w:rFonts w:ascii="Verdana" w:hAnsi="Verdana" w:cs="Arial"/>
                <w:sz w:val="24"/>
                <w:szCs w:val="24"/>
              </w:rPr>
              <w:t>Health Board’</w:t>
            </w:r>
            <w:r w:rsidRPr="00CD14A4">
              <w:rPr>
                <w:rFonts w:ascii="Verdana" w:hAnsi="Verdana" w:cs="Arial"/>
                <w:sz w:val="24"/>
                <w:szCs w:val="24"/>
              </w:rPr>
              <w:t>s</w:t>
            </w:r>
            <w:r w:rsidR="00CD14A4">
              <w:rPr>
                <w:rFonts w:ascii="Verdana" w:hAnsi="Verdana" w:cs="Arial"/>
                <w:sz w:val="24"/>
                <w:szCs w:val="24"/>
              </w:rPr>
              <w:t xml:space="preserve"> (HB)</w:t>
            </w:r>
            <w:r w:rsidRPr="00CD14A4">
              <w:rPr>
                <w:rFonts w:ascii="Verdana" w:hAnsi="Verdana" w:cs="Arial"/>
                <w:sz w:val="24"/>
                <w:szCs w:val="24"/>
              </w:rPr>
              <w:t xml:space="preserve"> overall time to hire performance. This includes the Welsh language translation requirement as of 01/11/24 to comply with legislation. The CRT continue to support managers who are adding vacancies to Trac with Welsh language requirements to ensure they are compliant</w:t>
            </w:r>
          </w:p>
          <w:p w14:paraId="5B94E2BF" w14:textId="46BA3C49" w:rsidR="00837CDB" w:rsidRPr="00CD14A4" w:rsidRDefault="00837CDB" w:rsidP="00833384">
            <w:pPr>
              <w:numPr>
                <w:ilvl w:val="0"/>
                <w:numId w:val="2"/>
              </w:numPr>
              <w:spacing w:after="0" w:line="240" w:lineRule="auto"/>
              <w:ind w:left="360"/>
              <w:contextualSpacing/>
              <w:jc w:val="both"/>
              <w:rPr>
                <w:rFonts w:ascii="Verdana" w:hAnsi="Verdana" w:cs="Arial"/>
                <w:sz w:val="24"/>
                <w:szCs w:val="24"/>
              </w:rPr>
            </w:pPr>
            <w:r w:rsidRPr="00CD14A4">
              <w:rPr>
                <w:rFonts w:ascii="Verdana" w:hAnsi="Verdana" w:cs="Arial"/>
                <w:sz w:val="24"/>
                <w:szCs w:val="24"/>
              </w:rPr>
              <w:t xml:space="preserve">Members are asked to note that the HB’s time to hire performance is likely to continue to deteriorate over the coming months due to the ongoing changes to the recruitment process. To address this, a new paper-free process has been proposed to streamline the recruitment approval </w:t>
            </w:r>
            <w:proofErr w:type="gramStart"/>
            <w:r w:rsidRPr="00CD14A4">
              <w:rPr>
                <w:rFonts w:ascii="Verdana" w:hAnsi="Verdana" w:cs="Arial"/>
                <w:sz w:val="24"/>
                <w:szCs w:val="24"/>
              </w:rPr>
              <w:t>process</w:t>
            </w:r>
            <w:proofErr w:type="gramEnd"/>
            <w:r w:rsidRPr="00CD14A4">
              <w:rPr>
                <w:rFonts w:ascii="Verdana" w:hAnsi="Verdana" w:cs="Arial"/>
                <w:sz w:val="24"/>
                <w:szCs w:val="24"/>
              </w:rPr>
              <w:t xml:space="preserve"> and a focus group is being set up over the coming months to discuss the proposals with key stakeholders</w:t>
            </w:r>
          </w:p>
          <w:p w14:paraId="79CB8FB3" w14:textId="316D9C0E" w:rsidR="00837CDB" w:rsidRPr="00CD14A4" w:rsidRDefault="00837CDB" w:rsidP="00833384">
            <w:pPr>
              <w:numPr>
                <w:ilvl w:val="0"/>
                <w:numId w:val="2"/>
              </w:numPr>
              <w:spacing w:after="0" w:line="240" w:lineRule="auto"/>
              <w:ind w:left="360"/>
              <w:contextualSpacing/>
              <w:jc w:val="both"/>
              <w:rPr>
                <w:rFonts w:ascii="Verdana" w:hAnsi="Verdana" w:cs="Arial"/>
                <w:sz w:val="24"/>
                <w:szCs w:val="24"/>
              </w:rPr>
            </w:pPr>
            <w:r w:rsidRPr="00CD14A4">
              <w:rPr>
                <w:rFonts w:ascii="Verdana" w:hAnsi="Verdana" w:cs="Arial"/>
                <w:sz w:val="24"/>
                <w:szCs w:val="24"/>
              </w:rPr>
              <w:lastRenderedPageBreak/>
              <w:t>Since April 2025, the CRT have taken over the granting of all A4C posts in the HB, allowing them to be the final quality checker and ensure strong governance prior to publishing</w:t>
            </w:r>
          </w:p>
          <w:p w14:paraId="1154CFD3" w14:textId="14BB057C" w:rsidR="00837CDB" w:rsidRPr="00CD14A4" w:rsidRDefault="00837CDB" w:rsidP="00833384">
            <w:pPr>
              <w:numPr>
                <w:ilvl w:val="0"/>
                <w:numId w:val="2"/>
              </w:numPr>
              <w:spacing w:after="0" w:line="240" w:lineRule="auto"/>
              <w:ind w:left="360"/>
              <w:contextualSpacing/>
              <w:jc w:val="both"/>
              <w:rPr>
                <w:rFonts w:ascii="Verdana" w:hAnsi="Verdana" w:cs="Arial"/>
                <w:sz w:val="24"/>
                <w:szCs w:val="24"/>
              </w:rPr>
            </w:pPr>
            <w:r w:rsidRPr="00CD14A4">
              <w:rPr>
                <w:rFonts w:ascii="Verdana" w:hAnsi="Verdana" w:cs="Arial"/>
                <w:sz w:val="24"/>
                <w:szCs w:val="24"/>
              </w:rPr>
              <w:t>The CRT are now also aiming to work on an interview framework, to help support managers through the interview process</w:t>
            </w:r>
            <w:r w:rsidR="00833384" w:rsidRPr="00CD14A4">
              <w:rPr>
                <w:rFonts w:ascii="Verdana" w:hAnsi="Verdana" w:cs="Arial"/>
                <w:sz w:val="24"/>
                <w:szCs w:val="24"/>
              </w:rPr>
              <w:t>.</w:t>
            </w:r>
          </w:p>
          <w:p w14:paraId="175E1CC4" w14:textId="5E5AA130" w:rsidR="00837CDB" w:rsidRPr="00CD14A4" w:rsidRDefault="00837CDB" w:rsidP="00833384">
            <w:pPr>
              <w:spacing w:after="0" w:line="240" w:lineRule="auto"/>
              <w:contextualSpacing/>
              <w:rPr>
                <w:rFonts w:ascii="Verdana" w:hAnsi="Verdana" w:cs="Arial"/>
                <w:sz w:val="24"/>
                <w:szCs w:val="24"/>
              </w:rPr>
            </w:pPr>
          </w:p>
        </w:tc>
      </w:tr>
      <w:tr w:rsidR="00837CDB" w:rsidRPr="00833384" w14:paraId="07AF20CC" w14:textId="77777777" w:rsidTr="00C624E9">
        <w:tc>
          <w:tcPr>
            <w:tcW w:w="2117" w:type="dxa"/>
            <w:shd w:val="clear" w:color="auto" w:fill="DBE5F1" w:themeFill="accent1" w:themeFillTint="33"/>
          </w:tcPr>
          <w:p w14:paraId="3214E06A" w14:textId="77777777" w:rsidR="00837CDB" w:rsidRPr="00CD14A4" w:rsidRDefault="00837CDB" w:rsidP="00837CDB">
            <w:pPr>
              <w:spacing w:after="0" w:line="240" w:lineRule="auto"/>
              <w:rPr>
                <w:rFonts w:ascii="Verdana" w:hAnsi="Verdana" w:cs="Arial"/>
                <w:b/>
                <w:bCs/>
                <w:sz w:val="24"/>
                <w:szCs w:val="24"/>
              </w:rPr>
            </w:pPr>
            <w:r w:rsidRPr="00CD14A4">
              <w:rPr>
                <w:rFonts w:ascii="Verdana" w:hAnsi="Verdana" w:cs="Arial"/>
                <w:b/>
                <w:bCs/>
                <w:sz w:val="24"/>
                <w:szCs w:val="24"/>
              </w:rPr>
              <w:lastRenderedPageBreak/>
              <w:t>Turnover</w:t>
            </w:r>
          </w:p>
          <w:p w14:paraId="65F21E25" w14:textId="77777777" w:rsidR="00837CDB" w:rsidRPr="00833384" w:rsidRDefault="00837CDB" w:rsidP="00837CDB">
            <w:pPr>
              <w:spacing w:after="0" w:line="240" w:lineRule="auto"/>
              <w:rPr>
                <w:rFonts w:ascii="Verdana" w:hAnsi="Verdana" w:cs="Arial"/>
                <w:bCs/>
                <w:i/>
                <w:sz w:val="22"/>
                <w:szCs w:val="22"/>
              </w:rPr>
            </w:pPr>
            <w:r w:rsidRPr="00CD14A4">
              <w:rPr>
                <w:rFonts w:ascii="Verdana" w:hAnsi="Verdana" w:cs="Arial"/>
                <w:bCs/>
                <w:i/>
                <w:sz w:val="24"/>
                <w:szCs w:val="24"/>
              </w:rPr>
              <w:t>% turnover by occupational group</w:t>
            </w:r>
          </w:p>
        </w:tc>
        <w:tc>
          <w:tcPr>
            <w:tcW w:w="10730" w:type="dxa"/>
            <w:shd w:val="clear" w:color="auto" w:fill="auto"/>
          </w:tcPr>
          <w:p w14:paraId="147B50E7" w14:textId="08066F50" w:rsidR="00837CDB" w:rsidRPr="00833384" w:rsidRDefault="00837CDB" w:rsidP="00837CDB">
            <w:pPr>
              <w:spacing w:after="0" w:line="240" w:lineRule="auto"/>
              <w:jc w:val="center"/>
              <w:rPr>
                <w:rFonts w:ascii="Verdana" w:hAnsi="Verdana" w:cs="Arial"/>
                <w:b/>
                <w:bCs/>
                <w:color w:val="000000"/>
              </w:rPr>
            </w:pPr>
            <w:r w:rsidRPr="00833384">
              <w:rPr>
                <w:rFonts w:ascii="Verdana" w:hAnsi="Verdana" w:cs="Arial"/>
                <w:b/>
                <w:bCs/>
                <w:color w:val="000000"/>
              </w:rPr>
              <w:t xml:space="preserve">12 month rolling Turnover Rate (Swansea Bay) – 01 </w:t>
            </w:r>
            <w:r w:rsidR="00506037" w:rsidRPr="00833384">
              <w:rPr>
                <w:rFonts w:ascii="Verdana" w:hAnsi="Verdana" w:cs="Arial"/>
                <w:b/>
                <w:bCs/>
                <w:color w:val="000000"/>
              </w:rPr>
              <w:t>May</w:t>
            </w:r>
            <w:r w:rsidRPr="00833384">
              <w:rPr>
                <w:rFonts w:ascii="Verdana" w:hAnsi="Verdana" w:cs="Arial"/>
                <w:b/>
                <w:bCs/>
                <w:color w:val="000000"/>
              </w:rPr>
              <w:t xml:space="preserve"> 2024 – 28 </w:t>
            </w:r>
            <w:r w:rsidR="00506037" w:rsidRPr="00833384">
              <w:rPr>
                <w:rFonts w:ascii="Verdana" w:hAnsi="Verdana" w:cs="Arial"/>
                <w:b/>
                <w:bCs/>
                <w:color w:val="000000"/>
              </w:rPr>
              <w:t>Apr</w:t>
            </w:r>
            <w:r w:rsidRPr="00833384">
              <w:rPr>
                <w:rFonts w:ascii="Verdana" w:hAnsi="Verdana" w:cs="Arial"/>
                <w:b/>
                <w:bCs/>
                <w:color w:val="000000"/>
              </w:rPr>
              <w:t xml:space="preserve"> 2025</w:t>
            </w:r>
          </w:p>
          <w:p w14:paraId="59DB7121" w14:textId="77777777" w:rsidR="00837CDB" w:rsidRPr="00833384" w:rsidRDefault="00837CDB" w:rsidP="00837CDB">
            <w:pPr>
              <w:spacing w:after="0" w:line="240" w:lineRule="auto"/>
              <w:jc w:val="center"/>
              <w:rPr>
                <w:rFonts w:ascii="Verdana" w:hAnsi="Verdana" w:cs="Arial"/>
                <w:b/>
                <w:sz w:val="10"/>
                <w:szCs w:val="24"/>
              </w:rPr>
            </w:pPr>
          </w:p>
          <w:p w14:paraId="528FD634" w14:textId="3DE24E91" w:rsidR="00837CDB" w:rsidRPr="00833384" w:rsidRDefault="00F40BCB" w:rsidP="00837CDB">
            <w:pPr>
              <w:spacing w:after="0"/>
              <w:jc w:val="center"/>
              <w:rPr>
                <w:rFonts w:ascii="Verdana" w:hAnsi="Verdana"/>
              </w:rPr>
            </w:pPr>
            <w:r w:rsidRPr="00833384">
              <w:rPr>
                <w:rFonts w:ascii="Verdana" w:hAnsi="Verdana"/>
                <w:b/>
                <w:noProof/>
              </w:rPr>
              <w:drawing>
                <wp:inline distT="0" distB="0" distL="0" distR="0" wp14:anchorId="065A401B" wp14:editId="4CA5BA21">
                  <wp:extent cx="3967089" cy="1533785"/>
                  <wp:effectExtent l="0" t="0" r="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051730" cy="1566510"/>
                          </a:xfrm>
                          <a:prstGeom prst="rect">
                            <a:avLst/>
                          </a:prstGeom>
                        </pic:spPr>
                      </pic:pic>
                    </a:graphicData>
                  </a:graphic>
                </wp:inline>
              </w:drawing>
            </w:r>
            <w:r w:rsidR="00837CDB" w:rsidRPr="00833384">
              <w:rPr>
                <w:rFonts w:ascii="Verdana" w:hAnsi="Verdana"/>
                <w:noProof/>
              </w:rPr>
              <w:t xml:space="preserve">    </w:t>
            </w:r>
          </w:p>
          <w:p w14:paraId="73197336" w14:textId="77777777" w:rsidR="00837CDB" w:rsidRPr="00833384" w:rsidRDefault="00837CDB" w:rsidP="00837CDB">
            <w:pPr>
              <w:spacing w:after="0"/>
              <w:rPr>
                <w:rFonts w:ascii="Verdana" w:hAnsi="Verdana" w:cs="Arial"/>
                <w:i/>
                <w:sz w:val="18"/>
                <w:szCs w:val="18"/>
              </w:rPr>
            </w:pPr>
          </w:p>
          <w:p w14:paraId="3265D528" w14:textId="77809B2D" w:rsidR="00833384" w:rsidRPr="00CD14A4" w:rsidRDefault="00837CDB" w:rsidP="00833384">
            <w:pPr>
              <w:spacing w:after="0"/>
              <w:jc w:val="both"/>
              <w:rPr>
                <w:rFonts w:ascii="Verdana" w:hAnsi="Verdana" w:cs="Arial"/>
                <w:i/>
                <w:sz w:val="24"/>
                <w:szCs w:val="24"/>
              </w:rPr>
            </w:pPr>
            <w:r w:rsidRPr="00CD14A4">
              <w:rPr>
                <w:rFonts w:ascii="Verdana" w:hAnsi="Verdana" w:cs="Arial"/>
                <w:i/>
                <w:sz w:val="24"/>
                <w:szCs w:val="24"/>
              </w:rPr>
              <w:t>C&amp;</w:t>
            </w:r>
            <w:proofErr w:type="gramStart"/>
            <w:r w:rsidRPr="00CD14A4">
              <w:rPr>
                <w:rFonts w:ascii="Verdana" w:hAnsi="Verdana" w:cs="Arial"/>
                <w:i/>
                <w:sz w:val="24"/>
                <w:szCs w:val="24"/>
              </w:rPr>
              <w:t>L;-</w:t>
            </w:r>
            <w:proofErr w:type="gramEnd"/>
            <w:r w:rsidRPr="00CD14A4">
              <w:rPr>
                <w:rFonts w:ascii="Verdana" w:hAnsi="Verdana" w:cs="Arial"/>
                <w:i/>
                <w:sz w:val="24"/>
                <w:szCs w:val="24"/>
              </w:rPr>
              <w:t xml:space="preserve"> Report generated </w:t>
            </w:r>
            <w:r w:rsidR="00506037" w:rsidRPr="00CD14A4">
              <w:rPr>
                <w:rFonts w:ascii="Verdana" w:hAnsi="Verdana" w:cs="Arial"/>
                <w:i/>
                <w:sz w:val="24"/>
                <w:szCs w:val="24"/>
              </w:rPr>
              <w:t>May</w:t>
            </w:r>
            <w:r w:rsidRPr="00CD14A4">
              <w:rPr>
                <w:rFonts w:ascii="Verdana" w:hAnsi="Verdana" w:cs="Arial"/>
                <w:i/>
                <w:sz w:val="24"/>
                <w:szCs w:val="24"/>
              </w:rPr>
              <w:t xml:space="preserve"> 2025, within SBUHB (ESR Team). Data source – ESR (Workforce). Small risk of margin of error due to late communication of terminations. Report excludes Bank, Locum, Honorary &amp; Widow/Widower, Junior M&amp;D staff. Internal movement not included – measure is about leaving Swansea Bay UHB.</w:t>
            </w:r>
          </w:p>
        </w:tc>
      </w:tr>
      <w:tr w:rsidR="00837CDB" w:rsidRPr="00833384" w14:paraId="1A6D0F54" w14:textId="77777777" w:rsidTr="5E29146B">
        <w:tc>
          <w:tcPr>
            <w:tcW w:w="12847" w:type="dxa"/>
            <w:gridSpan w:val="2"/>
            <w:shd w:val="clear" w:color="auto" w:fill="EAF1DD" w:themeFill="accent3" w:themeFillTint="33"/>
          </w:tcPr>
          <w:p w14:paraId="6489ED9A" w14:textId="77777777" w:rsidR="00837CDB" w:rsidRPr="00CD14A4" w:rsidRDefault="00837CDB" w:rsidP="00837CDB">
            <w:pPr>
              <w:spacing w:after="0" w:line="240" w:lineRule="auto"/>
              <w:rPr>
                <w:rFonts w:ascii="Verdana" w:hAnsi="Verdana" w:cs="Arial"/>
                <w:b/>
                <w:sz w:val="24"/>
                <w:szCs w:val="24"/>
              </w:rPr>
            </w:pPr>
            <w:r w:rsidRPr="00CD14A4">
              <w:rPr>
                <w:rFonts w:ascii="Verdana" w:hAnsi="Verdana" w:cs="Arial"/>
                <w:b/>
                <w:sz w:val="24"/>
                <w:szCs w:val="24"/>
              </w:rPr>
              <w:t>Current Performance</w:t>
            </w:r>
          </w:p>
        </w:tc>
      </w:tr>
      <w:tr w:rsidR="00837CDB" w:rsidRPr="00833384" w14:paraId="57A6AA7C" w14:textId="77777777" w:rsidTr="00C624E9">
        <w:tc>
          <w:tcPr>
            <w:tcW w:w="12847" w:type="dxa"/>
            <w:gridSpan w:val="2"/>
            <w:shd w:val="clear" w:color="auto" w:fill="auto"/>
          </w:tcPr>
          <w:p w14:paraId="3596A79F" w14:textId="61B5C107" w:rsidR="00837CDB" w:rsidRPr="00CD14A4" w:rsidRDefault="00837CDB" w:rsidP="00833384">
            <w:pPr>
              <w:pStyle w:val="ListParagraph"/>
              <w:numPr>
                <w:ilvl w:val="0"/>
                <w:numId w:val="18"/>
              </w:numPr>
              <w:spacing w:after="0" w:line="240" w:lineRule="auto"/>
              <w:ind w:firstLine="0"/>
              <w:jc w:val="both"/>
              <w:rPr>
                <w:rFonts w:ascii="Verdana" w:hAnsi="Verdana" w:cs="Arial"/>
                <w:color w:val="000000" w:themeColor="text1"/>
                <w:sz w:val="24"/>
                <w:szCs w:val="24"/>
              </w:rPr>
            </w:pPr>
            <w:r w:rsidRPr="00CD14A4">
              <w:rPr>
                <w:rFonts w:ascii="Verdana" w:hAnsi="Verdana" w:cs="Arial"/>
                <w:color w:val="000000" w:themeColor="text1"/>
                <w:sz w:val="24"/>
                <w:szCs w:val="24"/>
              </w:rPr>
              <w:t>Organisationally, turnover has remained stable over the reporting period, with a 0.19% improvement in headcount and 0.15% in FTE, suggesting a continued, albeit modest, impact of retention initiatives</w:t>
            </w:r>
          </w:p>
          <w:p w14:paraId="6BBA9C78" w14:textId="01DBA0D5" w:rsidR="00837CDB" w:rsidRPr="00CD14A4" w:rsidRDefault="00837CDB" w:rsidP="00833384">
            <w:pPr>
              <w:pStyle w:val="ListParagraph"/>
              <w:numPr>
                <w:ilvl w:val="0"/>
                <w:numId w:val="18"/>
              </w:numPr>
              <w:spacing w:after="0" w:line="240" w:lineRule="auto"/>
              <w:ind w:firstLine="0"/>
              <w:jc w:val="both"/>
              <w:rPr>
                <w:rFonts w:ascii="Verdana" w:hAnsi="Verdana" w:cs="Arial"/>
                <w:color w:val="000000" w:themeColor="text1"/>
                <w:sz w:val="24"/>
                <w:szCs w:val="24"/>
              </w:rPr>
            </w:pPr>
            <w:r w:rsidRPr="00CD14A4">
              <w:rPr>
                <w:rFonts w:ascii="Verdana" w:hAnsi="Verdana" w:cs="Arial"/>
                <w:color w:val="000000" w:themeColor="text1"/>
                <w:sz w:val="24"/>
                <w:szCs w:val="24"/>
              </w:rPr>
              <w:t>Medical and Dental has demonstrated the most significant decrease in turnover, with a 0.87% reduction in headcount and 0.77% in FTE, highlighting successful retention efforts that should be reinforced moving forward</w:t>
            </w:r>
          </w:p>
          <w:p w14:paraId="48E70254" w14:textId="45A5B9F4" w:rsidR="00837CDB" w:rsidRPr="00CD14A4" w:rsidRDefault="00837CDB" w:rsidP="00833384">
            <w:pPr>
              <w:pStyle w:val="ListParagraph"/>
              <w:numPr>
                <w:ilvl w:val="0"/>
                <w:numId w:val="18"/>
              </w:numPr>
              <w:spacing w:after="0" w:line="240" w:lineRule="auto"/>
              <w:ind w:firstLine="0"/>
              <w:jc w:val="both"/>
              <w:rPr>
                <w:rFonts w:ascii="Verdana" w:hAnsi="Verdana" w:cs="Arial"/>
                <w:color w:val="000000" w:themeColor="text1"/>
                <w:sz w:val="24"/>
                <w:szCs w:val="24"/>
              </w:rPr>
            </w:pPr>
            <w:r w:rsidRPr="00CD14A4">
              <w:rPr>
                <w:rFonts w:ascii="Verdana" w:hAnsi="Verdana" w:cs="Arial"/>
                <w:color w:val="000000" w:themeColor="text1"/>
                <w:sz w:val="24"/>
                <w:szCs w:val="24"/>
              </w:rPr>
              <w:t>Estates and Facilities also showed a positive trend, with a 0.62% reduction in headcount turnover and a 0.79% reduction in FTE turnover, marking this as a standout area for continued investment in retention initiatives</w:t>
            </w:r>
          </w:p>
          <w:p w14:paraId="01657BA6" w14:textId="6CE91A60" w:rsidR="00837CDB" w:rsidRPr="00CD14A4" w:rsidRDefault="00837CDB" w:rsidP="00833384">
            <w:pPr>
              <w:pStyle w:val="ListParagraph"/>
              <w:numPr>
                <w:ilvl w:val="0"/>
                <w:numId w:val="18"/>
              </w:numPr>
              <w:spacing w:after="0" w:line="240" w:lineRule="auto"/>
              <w:ind w:firstLine="0"/>
              <w:jc w:val="both"/>
              <w:rPr>
                <w:rFonts w:ascii="Verdana" w:hAnsi="Verdana" w:cs="Arial"/>
                <w:color w:val="000000" w:themeColor="text1"/>
                <w:sz w:val="24"/>
                <w:szCs w:val="24"/>
              </w:rPr>
            </w:pPr>
            <w:r w:rsidRPr="00CD14A4">
              <w:rPr>
                <w:rFonts w:ascii="Verdana" w:hAnsi="Verdana" w:cs="Arial"/>
                <w:color w:val="000000" w:themeColor="text1"/>
                <w:sz w:val="24"/>
                <w:szCs w:val="24"/>
              </w:rPr>
              <w:t>Additional Clinical Services turnover has improved, with a 0.32% reduction in headcount and 0.25% in FTE, reinforcing the success of targeted workforce stability measures in this staff group</w:t>
            </w:r>
          </w:p>
          <w:p w14:paraId="55873FAC" w14:textId="3257C9E5" w:rsidR="00837CDB" w:rsidRPr="00CD14A4" w:rsidRDefault="00837CDB" w:rsidP="00833384">
            <w:pPr>
              <w:pStyle w:val="ListParagraph"/>
              <w:numPr>
                <w:ilvl w:val="0"/>
                <w:numId w:val="18"/>
              </w:numPr>
              <w:spacing w:after="0" w:line="240" w:lineRule="auto"/>
              <w:ind w:firstLine="0"/>
              <w:jc w:val="both"/>
              <w:rPr>
                <w:rFonts w:ascii="Verdana" w:hAnsi="Verdana" w:cs="Arial"/>
                <w:color w:val="000000" w:themeColor="text1"/>
                <w:sz w:val="24"/>
                <w:szCs w:val="24"/>
              </w:rPr>
            </w:pPr>
            <w:r w:rsidRPr="00CD14A4">
              <w:rPr>
                <w:rFonts w:ascii="Verdana" w:hAnsi="Verdana" w:cs="Arial"/>
                <w:color w:val="000000" w:themeColor="text1"/>
                <w:sz w:val="24"/>
                <w:szCs w:val="24"/>
              </w:rPr>
              <w:lastRenderedPageBreak/>
              <w:t>Allied Health Professionals (AHPs) saw a 0.27% decrease in both headcount and FTE turnover, suggesting effective and balanced retention strategies for this workforce segment</w:t>
            </w:r>
          </w:p>
          <w:p w14:paraId="38004CFE" w14:textId="48C46B5E" w:rsidR="00837CDB" w:rsidRPr="00CD14A4" w:rsidRDefault="00837CDB" w:rsidP="00833384">
            <w:pPr>
              <w:pStyle w:val="ListParagraph"/>
              <w:numPr>
                <w:ilvl w:val="0"/>
                <w:numId w:val="18"/>
              </w:numPr>
              <w:spacing w:after="0" w:line="240" w:lineRule="auto"/>
              <w:ind w:firstLine="0"/>
              <w:jc w:val="both"/>
              <w:rPr>
                <w:rFonts w:ascii="Verdana" w:hAnsi="Verdana" w:cs="Arial"/>
                <w:color w:val="000000" w:themeColor="text1"/>
                <w:sz w:val="24"/>
                <w:szCs w:val="24"/>
              </w:rPr>
            </w:pPr>
            <w:r w:rsidRPr="00CD14A4">
              <w:rPr>
                <w:rFonts w:ascii="Verdana" w:hAnsi="Verdana" w:cs="Arial"/>
                <w:color w:val="000000" w:themeColor="text1"/>
                <w:sz w:val="24"/>
                <w:szCs w:val="24"/>
              </w:rPr>
              <w:t>Add Prof Scientific &amp; Technical staff experienced a 0.27% decrease in headcount turnover and 0.37% decrease in FTE, reflecting positive progress in this group and demonstrating the impact of improved support or working conditions</w:t>
            </w:r>
          </w:p>
          <w:p w14:paraId="6F3C5CDC" w14:textId="07AE677A" w:rsidR="00837CDB" w:rsidRPr="00CD14A4" w:rsidRDefault="00837CDB" w:rsidP="00833384">
            <w:pPr>
              <w:pStyle w:val="ListParagraph"/>
              <w:numPr>
                <w:ilvl w:val="0"/>
                <w:numId w:val="18"/>
              </w:numPr>
              <w:spacing w:after="0" w:line="240" w:lineRule="auto"/>
              <w:ind w:firstLine="0"/>
              <w:jc w:val="both"/>
              <w:rPr>
                <w:rFonts w:ascii="Verdana" w:hAnsi="Verdana" w:cs="Arial"/>
                <w:color w:val="000000" w:themeColor="text1"/>
                <w:sz w:val="24"/>
                <w:szCs w:val="24"/>
              </w:rPr>
            </w:pPr>
            <w:r w:rsidRPr="00CD14A4">
              <w:rPr>
                <w:rFonts w:ascii="Verdana" w:hAnsi="Verdana" w:cs="Arial"/>
                <w:color w:val="000000" w:themeColor="text1"/>
                <w:sz w:val="24"/>
                <w:szCs w:val="24"/>
              </w:rPr>
              <w:t>Nursing and Midwifery remained relatively stable, with a marginal increase in headcount turnover (0.07%) and 0.03% in FTE, indicating minimal change and the need for continued monitoring to ensure this does not escalate</w:t>
            </w:r>
          </w:p>
          <w:p w14:paraId="5715FAAF" w14:textId="491D64BC" w:rsidR="00837CDB" w:rsidRPr="00CD14A4" w:rsidRDefault="00837CDB" w:rsidP="00833384">
            <w:pPr>
              <w:pStyle w:val="ListParagraph"/>
              <w:numPr>
                <w:ilvl w:val="0"/>
                <w:numId w:val="18"/>
              </w:numPr>
              <w:spacing w:after="0" w:line="240" w:lineRule="auto"/>
              <w:ind w:firstLine="0"/>
              <w:jc w:val="both"/>
              <w:rPr>
                <w:rFonts w:ascii="Verdana" w:hAnsi="Verdana" w:cs="Arial"/>
                <w:color w:val="000000" w:themeColor="text1"/>
                <w:sz w:val="24"/>
                <w:szCs w:val="24"/>
              </w:rPr>
            </w:pPr>
            <w:r w:rsidRPr="00CD14A4">
              <w:rPr>
                <w:rFonts w:ascii="Verdana" w:hAnsi="Verdana" w:cs="Arial"/>
                <w:color w:val="000000" w:themeColor="text1"/>
                <w:sz w:val="24"/>
                <w:szCs w:val="24"/>
              </w:rPr>
              <w:t>Admin and Clerical has seen a slight increase in FTE turnover by 0.18%, despite a 0.07% improvement in headcount turnover, suggesting that while fewer staff may be leaving, those who do may be in full-time roles, this may impact service delivery and is indicative of the current vacancy freeze within this group</w:t>
            </w:r>
          </w:p>
          <w:p w14:paraId="486EA46C" w14:textId="73D4E262" w:rsidR="00837CDB" w:rsidRPr="00CD14A4" w:rsidRDefault="00837CDB" w:rsidP="00833384">
            <w:pPr>
              <w:pStyle w:val="ListParagraph"/>
              <w:numPr>
                <w:ilvl w:val="0"/>
                <w:numId w:val="18"/>
              </w:numPr>
              <w:spacing w:after="0" w:line="240" w:lineRule="auto"/>
              <w:ind w:firstLine="0"/>
              <w:jc w:val="both"/>
              <w:rPr>
                <w:rFonts w:ascii="Verdana" w:hAnsi="Verdana" w:cs="Arial"/>
                <w:color w:val="000000" w:themeColor="text1"/>
                <w:sz w:val="24"/>
                <w:szCs w:val="24"/>
              </w:rPr>
            </w:pPr>
            <w:r w:rsidRPr="00CD14A4">
              <w:rPr>
                <w:rFonts w:ascii="Verdana" w:hAnsi="Verdana" w:cs="Arial"/>
                <w:color w:val="000000" w:themeColor="text1"/>
                <w:sz w:val="24"/>
                <w:szCs w:val="24"/>
              </w:rPr>
              <w:t>Healthcare Scientists have experienced the greatest increase in turnover, with headcount turnover rising by 0.55%, despite a slight 0.16% improvement in FTE. This reversal from previous positive trends warrants exploration to identify underlying causes.</w:t>
            </w:r>
          </w:p>
        </w:tc>
      </w:tr>
      <w:tr w:rsidR="00837CDB" w:rsidRPr="00833384" w14:paraId="5505F238" w14:textId="77777777" w:rsidTr="5E29146B">
        <w:tc>
          <w:tcPr>
            <w:tcW w:w="12847" w:type="dxa"/>
            <w:gridSpan w:val="2"/>
            <w:shd w:val="clear" w:color="auto" w:fill="EAF1DD" w:themeFill="accent3" w:themeFillTint="33"/>
          </w:tcPr>
          <w:p w14:paraId="2FE73C6D" w14:textId="77777777" w:rsidR="00837CDB" w:rsidRPr="00CD14A4" w:rsidRDefault="00837CDB" w:rsidP="00837CDB">
            <w:pPr>
              <w:spacing w:after="0" w:line="240" w:lineRule="auto"/>
              <w:rPr>
                <w:rFonts w:ascii="Verdana" w:hAnsi="Verdana" w:cs="Arial"/>
                <w:b/>
                <w:sz w:val="24"/>
                <w:szCs w:val="24"/>
              </w:rPr>
            </w:pPr>
            <w:r w:rsidRPr="00CD14A4">
              <w:rPr>
                <w:rFonts w:ascii="Verdana" w:hAnsi="Verdana" w:cs="Arial"/>
                <w:b/>
                <w:sz w:val="24"/>
                <w:szCs w:val="24"/>
              </w:rPr>
              <w:lastRenderedPageBreak/>
              <w:t>Actions for Next Period</w:t>
            </w:r>
          </w:p>
        </w:tc>
      </w:tr>
      <w:tr w:rsidR="00837CDB" w:rsidRPr="00833384" w14:paraId="69192ABF" w14:textId="77777777" w:rsidTr="00C624E9">
        <w:tc>
          <w:tcPr>
            <w:tcW w:w="12847" w:type="dxa"/>
            <w:gridSpan w:val="2"/>
            <w:shd w:val="clear" w:color="auto" w:fill="auto"/>
          </w:tcPr>
          <w:p w14:paraId="1D9320E4" w14:textId="78DCC924" w:rsidR="00837CDB" w:rsidRPr="00CD14A4" w:rsidRDefault="00837CDB" w:rsidP="00833384">
            <w:pPr>
              <w:pStyle w:val="ListParagraph"/>
              <w:numPr>
                <w:ilvl w:val="0"/>
                <w:numId w:val="40"/>
              </w:numPr>
              <w:spacing w:after="120" w:line="240" w:lineRule="auto"/>
              <w:ind w:left="360"/>
              <w:jc w:val="both"/>
              <w:rPr>
                <w:rFonts w:ascii="Verdana" w:hAnsi="Verdana" w:cs="Arial"/>
                <w:color w:val="000000" w:themeColor="text1"/>
                <w:sz w:val="24"/>
                <w:szCs w:val="24"/>
              </w:rPr>
            </w:pPr>
            <w:r w:rsidRPr="00CD14A4">
              <w:rPr>
                <w:rFonts w:ascii="Verdana" w:hAnsi="Verdana" w:cs="Arial"/>
                <w:color w:val="000000" w:themeColor="text1"/>
                <w:sz w:val="24"/>
                <w:szCs w:val="24"/>
              </w:rPr>
              <w:t xml:space="preserve">The organisational retention plan is currently being designed with an external company to ensure it is engaging </w:t>
            </w:r>
          </w:p>
          <w:p w14:paraId="30618559" w14:textId="35E04C52" w:rsidR="00837CDB" w:rsidRPr="00CD14A4" w:rsidRDefault="00837CDB" w:rsidP="00833384">
            <w:pPr>
              <w:pStyle w:val="ListParagraph"/>
              <w:numPr>
                <w:ilvl w:val="0"/>
                <w:numId w:val="40"/>
              </w:numPr>
              <w:spacing w:after="120" w:line="240" w:lineRule="auto"/>
              <w:jc w:val="both"/>
              <w:rPr>
                <w:rFonts w:ascii="Verdana" w:hAnsi="Verdana" w:cs="Arial"/>
                <w:color w:val="000000" w:themeColor="text1"/>
                <w:sz w:val="24"/>
                <w:szCs w:val="24"/>
              </w:rPr>
            </w:pPr>
            <w:r w:rsidRPr="00CD14A4">
              <w:rPr>
                <w:rFonts w:ascii="Verdana" w:hAnsi="Verdana" w:cs="Arial"/>
                <w:color w:val="000000" w:themeColor="text1"/>
                <w:sz w:val="24"/>
                <w:szCs w:val="24"/>
              </w:rPr>
              <w:t>The ESR flexible working request system launched in April will be further embedded, with dedicated sub-groups enhancing visibility, training, and review processes to improve staff experience and uptake</w:t>
            </w:r>
          </w:p>
          <w:p w14:paraId="28457BDA" w14:textId="1FF5DB07" w:rsidR="00837CDB" w:rsidRPr="00CD14A4" w:rsidRDefault="00837CDB" w:rsidP="00833384">
            <w:pPr>
              <w:pStyle w:val="ListParagraph"/>
              <w:numPr>
                <w:ilvl w:val="0"/>
                <w:numId w:val="40"/>
              </w:numPr>
              <w:spacing w:after="120" w:line="240" w:lineRule="auto"/>
              <w:jc w:val="both"/>
              <w:rPr>
                <w:rFonts w:ascii="Verdana" w:hAnsi="Verdana" w:cs="Arial"/>
                <w:color w:val="000000" w:themeColor="text1"/>
                <w:sz w:val="24"/>
                <w:szCs w:val="24"/>
              </w:rPr>
            </w:pPr>
            <w:r w:rsidRPr="00CD14A4">
              <w:rPr>
                <w:rFonts w:ascii="Verdana" w:hAnsi="Verdana" w:cs="Arial"/>
                <w:color w:val="000000" w:themeColor="text1"/>
                <w:sz w:val="24"/>
                <w:szCs w:val="24"/>
              </w:rPr>
              <w:t>The Retention Lead will continue collaborating with Workforce Business Partners to ensure effective rollout of targeted actions, particularly in hotspot areas of increased turnover</w:t>
            </w:r>
          </w:p>
          <w:p w14:paraId="0CAD2FD8" w14:textId="27486921" w:rsidR="00837CDB" w:rsidRPr="00CD14A4" w:rsidRDefault="00837CDB" w:rsidP="00833384">
            <w:pPr>
              <w:pStyle w:val="ListParagraph"/>
              <w:numPr>
                <w:ilvl w:val="0"/>
                <w:numId w:val="40"/>
              </w:numPr>
              <w:spacing w:after="120" w:line="240" w:lineRule="auto"/>
              <w:jc w:val="both"/>
              <w:rPr>
                <w:rFonts w:ascii="Verdana" w:hAnsi="Verdana" w:cs="Arial"/>
                <w:color w:val="000000" w:themeColor="text1"/>
                <w:sz w:val="24"/>
                <w:szCs w:val="24"/>
              </w:rPr>
            </w:pPr>
            <w:r w:rsidRPr="00CD14A4">
              <w:rPr>
                <w:rFonts w:ascii="Verdana" w:hAnsi="Verdana" w:cs="Arial"/>
                <w:color w:val="000000" w:themeColor="text1"/>
                <w:sz w:val="24"/>
                <w:szCs w:val="24"/>
              </w:rPr>
              <w:t>Particular attention will be paid to staff groups showing rising turnover: Healthcare Scientists, Admin and Clerical, and Nursing and Midwifery, with bespoke interventions and diagnostics to mitigate emerging risks</w:t>
            </w:r>
          </w:p>
          <w:p w14:paraId="6B11162E" w14:textId="77777777" w:rsidR="00837CDB" w:rsidRPr="00CD14A4" w:rsidRDefault="00837CDB" w:rsidP="00833384">
            <w:pPr>
              <w:pStyle w:val="ListParagraph"/>
              <w:spacing w:after="120" w:line="240" w:lineRule="auto"/>
              <w:ind w:left="360"/>
              <w:jc w:val="both"/>
              <w:rPr>
                <w:rFonts w:ascii="Verdana" w:hAnsi="Verdana" w:cs="Arial"/>
                <w:color w:val="000000" w:themeColor="text1"/>
                <w:sz w:val="24"/>
                <w:szCs w:val="24"/>
              </w:rPr>
            </w:pPr>
          </w:p>
          <w:p w14:paraId="2C1BFF25" w14:textId="77777777" w:rsidR="00837CDB" w:rsidRPr="00CD14A4" w:rsidRDefault="00837CDB" w:rsidP="00833384">
            <w:pPr>
              <w:pStyle w:val="ListParagraph"/>
              <w:numPr>
                <w:ilvl w:val="0"/>
                <w:numId w:val="40"/>
              </w:numPr>
              <w:spacing w:after="120" w:line="240" w:lineRule="auto"/>
              <w:ind w:left="360"/>
              <w:jc w:val="both"/>
              <w:rPr>
                <w:rFonts w:ascii="Verdana" w:hAnsi="Verdana" w:cs="Arial"/>
                <w:b/>
                <w:sz w:val="24"/>
                <w:szCs w:val="24"/>
              </w:rPr>
            </w:pPr>
            <w:r w:rsidRPr="00CD14A4">
              <w:rPr>
                <w:rFonts w:ascii="Verdana" w:hAnsi="Verdana" w:cs="Arial"/>
                <w:color w:val="000000" w:themeColor="text1"/>
                <w:sz w:val="24"/>
                <w:szCs w:val="24"/>
              </w:rPr>
              <w:t>Stakeholder engagement within Medical and Dental will remain a key focus, capitalising on current improvements to understand success factors and reinforce long-term workforce stability.</w:t>
            </w:r>
          </w:p>
          <w:p w14:paraId="4917F58C" w14:textId="77777777" w:rsidR="00CD14A4" w:rsidRPr="00CD14A4" w:rsidRDefault="00CD14A4" w:rsidP="00CD14A4">
            <w:pPr>
              <w:pStyle w:val="ListParagraph"/>
              <w:rPr>
                <w:rFonts w:ascii="Verdana" w:hAnsi="Verdana" w:cs="Arial"/>
                <w:b/>
                <w:sz w:val="24"/>
                <w:szCs w:val="24"/>
              </w:rPr>
            </w:pPr>
          </w:p>
          <w:p w14:paraId="4962DF03" w14:textId="77777777" w:rsidR="00CD14A4" w:rsidRDefault="00CD14A4" w:rsidP="00CD14A4">
            <w:pPr>
              <w:spacing w:after="120" w:line="240" w:lineRule="auto"/>
              <w:jc w:val="both"/>
              <w:rPr>
                <w:rFonts w:ascii="Verdana" w:hAnsi="Verdana" w:cs="Arial"/>
                <w:b/>
                <w:sz w:val="24"/>
                <w:szCs w:val="24"/>
              </w:rPr>
            </w:pPr>
          </w:p>
          <w:p w14:paraId="13601BDA" w14:textId="4516714E" w:rsidR="00CD14A4" w:rsidRPr="00CD14A4" w:rsidRDefault="00CD14A4" w:rsidP="00CD14A4">
            <w:pPr>
              <w:spacing w:after="120" w:line="240" w:lineRule="auto"/>
              <w:jc w:val="both"/>
              <w:rPr>
                <w:rFonts w:ascii="Verdana" w:hAnsi="Verdana" w:cs="Arial"/>
                <w:b/>
                <w:sz w:val="24"/>
                <w:szCs w:val="24"/>
              </w:rPr>
            </w:pPr>
          </w:p>
        </w:tc>
      </w:tr>
      <w:tr w:rsidR="00837CDB" w:rsidRPr="00833384" w14:paraId="48FAFB9B" w14:textId="77777777" w:rsidTr="00C624E9">
        <w:tc>
          <w:tcPr>
            <w:tcW w:w="2117" w:type="dxa"/>
            <w:shd w:val="clear" w:color="auto" w:fill="DBE5F1" w:themeFill="accent1" w:themeFillTint="33"/>
          </w:tcPr>
          <w:p w14:paraId="6E96F804" w14:textId="77777777" w:rsidR="00837CDB" w:rsidRPr="00CD14A4" w:rsidRDefault="00837CDB" w:rsidP="00837CDB">
            <w:pPr>
              <w:spacing w:after="0" w:line="240" w:lineRule="auto"/>
              <w:rPr>
                <w:rFonts w:ascii="Verdana" w:hAnsi="Verdana" w:cs="Arial"/>
                <w:b/>
                <w:bCs/>
                <w:sz w:val="24"/>
                <w:szCs w:val="24"/>
              </w:rPr>
            </w:pPr>
            <w:r w:rsidRPr="00CD14A4">
              <w:rPr>
                <w:rFonts w:ascii="Verdana" w:hAnsi="Verdana" w:cs="Arial"/>
                <w:b/>
                <w:bCs/>
                <w:sz w:val="24"/>
                <w:szCs w:val="24"/>
              </w:rPr>
              <w:lastRenderedPageBreak/>
              <w:t>PADR</w:t>
            </w:r>
          </w:p>
          <w:p w14:paraId="30B5A884" w14:textId="77777777" w:rsidR="00837CDB" w:rsidRPr="00CD14A4" w:rsidRDefault="00837CDB" w:rsidP="00837CDB">
            <w:pPr>
              <w:spacing w:after="0" w:line="240" w:lineRule="auto"/>
              <w:rPr>
                <w:rFonts w:ascii="Verdana" w:hAnsi="Verdana" w:cs="Arial"/>
                <w:bCs/>
                <w:i/>
                <w:sz w:val="24"/>
                <w:szCs w:val="24"/>
              </w:rPr>
            </w:pPr>
            <w:r w:rsidRPr="00CD14A4">
              <w:rPr>
                <w:rFonts w:ascii="Verdana" w:hAnsi="Verdana" w:cs="Arial"/>
                <w:bCs/>
                <w:i/>
                <w:sz w:val="24"/>
                <w:szCs w:val="24"/>
              </w:rPr>
              <w:t>% staff who have a current PADR review recorded</w:t>
            </w:r>
          </w:p>
          <w:p w14:paraId="531D3C89" w14:textId="77777777" w:rsidR="00837CDB" w:rsidRPr="00CD14A4" w:rsidRDefault="00837CDB" w:rsidP="00837CDB">
            <w:pPr>
              <w:spacing w:after="0" w:line="240" w:lineRule="auto"/>
              <w:rPr>
                <w:rFonts w:ascii="Verdana" w:hAnsi="Verdana" w:cs="Arial"/>
                <w:bCs/>
                <w:i/>
                <w:sz w:val="24"/>
                <w:szCs w:val="24"/>
              </w:rPr>
            </w:pPr>
          </w:p>
          <w:p w14:paraId="09E9DD4F" w14:textId="1C4D709E" w:rsidR="00837CDB" w:rsidRPr="00CD14A4" w:rsidRDefault="00837CDB" w:rsidP="00837CDB">
            <w:pPr>
              <w:spacing w:after="0" w:line="240" w:lineRule="auto"/>
              <w:rPr>
                <w:rFonts w:ascii="Verdana" w:hAnsi="Verdana" w:cs="Arial"/>
                <w:b/>
                <w:i/>
                <w:sz w:val="24"/>
                <w:szCs w:val="24"/>
              </w:rPr>
            </w:pPr>
            <w:r w:rsidRPr="00CD14A4">
              <w:rPr>
                <w:rFonts w:ascii="Verdana" w:hAnsi="Verdana" w:cs="Arial"/>
                <w:b/>
                <w:i/>
                <w:sz w:val="24"/>
                <w:szCs w:val="24"/>
              </w:rPr>
              <w:t>PADR target – 85%</w:t>
            </w:r>
          </w:p>
          <w:p w14:paraId="440E9B8E" w14:textId="77777777" w:rsidR="00837CDB" w:rsidRPr="00CD14A4" w:rsidRDefault="00837CDB" w:rsidP="00837CDB">
            <w:pPr>
              <w:spacing w:after="0" w:line="240" w:lineRule="auto"/>
              <w:rPr>
                <w:rFonts w:ascii="Verdana" w:hAnsi="Verdana" w:cs="Arial"/>
                <w:b/>
                <w:bCs/>
                <w:sz w:val="24"/>
                <w:szCs w:val="24"/>
              </w:rPr>
            </w:pPr>
          </w:p>
        </w:tc>
        <w:tc>
          <w:tcPr>
            <w:tcW w:w="10730" w:type="dxa"/>
            <w:shd w:val="clear" w:color="auto" w:fill="auto"/>
          </w:tcPr>
          <w:p w14:paraId="7F727AFC" w14:textId="0D224B1B" w:rsidR="00837CDB" w:rsidRPr="00CD14A4" w:rsidRDefault="00837CDB" w:rsidP="00837CDB">
            <w:pPr>
              <w:spacing w:after="0" w:line="240" w:lineRule="auto"/>
              <w:jc w:val="center"/>
              <w:rPr>
                <w:rFonts w:ascii="Verdana" w:hAnsi="Verdana" w:cs="Arial"/>
                <w:b/>
                <w:bCs/>
                <w:sz w:val="24"/>
                <w:szCs w:val="24"/>
              </w:rPr>
            </w:pPr>
            <w:r w:rsidRPr="00CD14A4">
              <w:rPr>
                <w:rFonts w:ascii="Verdana" w:hAnsi="Verdana" w:cs="Arial"/>
                <w:b/>
                <w:bCs/>
                <w:sz w:val="24"/>
                <w:szCs w:val="24"/>
              </w:rPr>
              <w:t>% of staff (Headcount) who have had a PADR in previous 12 months</w:t>
            </w:r>
          </w:p>
          <w:p w14:paraId="3D94D67F" w14:textId="278AD8AE" w:rsidR="00837CDB" w:rsidRPr="00CD14A4" w:rsidRDefault="00D85CC9" w:rsidP="00837CDB">
            <w:pPr>
              <w:spacing w:after="0" w:line="240" w:lineRule="auto"/>
              <w:jc w:val="center"/>
              <w:rPr>
                <w:rFonts w:ascii="Verdana" w:hAnsi="Verdana" w:cs="Arial"/>
                <w:b/>
                <w:sz w:val="24"/>
                <w:szCs w:val="24"/>
              </w:rPr>
            </w:pPr>
            <w:r w:rsidRPr="00CD14A4">
              <w:rPr>
                <w:rFonts w:ascii="Verdana" w:hAnsi="Verdana"/>
                <w:noProof/>
                <w:sz w:val="24"/>
                <w:szCs w:val="24"/>
              </w:rPr>
              <w:drawing>
                <wp:inline distT="0" distB="0" distL="0" distR="0" wp14:anchorId="14A74FDA" wp14:editId="02321E30">
                  <wp:extent cx="5809371" cy="3016250"/>
                  <wp:effectExtent l="0" t="0" r="1270" b="0"/>
                  <wp:docPr id="18" name="Chart 18">
                    <a:extLst xmlns:a="http://schemas.openxmlformats.org/drawingml/2006/main">
                      <a:ext uri="{FF2B5EF4-FFF2-40B4-BE49-F238E27FC236}">
                        <a16:creationId xmlns:a16="http://schemas.microsoft.com/office/drawing/2014/main" id="{4EB091F6-A1B9-4BC2-B738-96B2CEBD52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5E52508" w14:textId="6BFBF1E8" w:rsidR="00837CDB" w:rsidRPr="00CD14A4" w:rsidRDefault="00837CDB" w:rsidP="00837CDB">
            <w:pPr>
              <w:spacing w:after="0" w:line="240" w:lineRule="auto"/>
              <w:jc w:val="center"/>
              <w:rPr>
                <w:rFonts w:ascii="Verdana" w:hAnsi="Verdana"/>
                <w:sz w:val="24"/>
                <w:szCs w:val="24"/>
              </w:rPr>
            </w:pPr>
          </w:p>
          <w:p w14:paraId="486ED1C8" w14:textId="3AACEE13" w:rsidR="00837CDB" w:rsidRPr="00CD14A4" w:rsidRDefault="00837CDB" w:rsidP="00833384">
            <w:pPr>
              <w:spacing w:after="0" w:line="240" w:lineRule="auto"/>
              <w:jc w:val="both"/>
              <w:rPr>
                <w:rFonts w:ascii="Verdana" w:hAnsi="Verdana" w:cs="Arial"/>
                <w:i/>
                <w:iCs/>
                <w:sz w:val="24"/>
                <w:szCs w:val="24"/>
              </w:rPr>
            </w:pPr>
            <w:r w:rsidRPr="00CD14A4">
              <w:rPr>
                <w:rFonts w:ascii="Verdana" w:hAnsi="Verdana" w:cs="Arial"/>
                <w:i/>
                <w:sz w:val="24"/>
                <w:szCs w:val="24"/>
              </w:rPr>
              <w:t>C&amp;</w:t>
            </w:r>
            <w:proofErr w:type="gramStart"/>
            <w:r w:rsidRPr="00CD14A4">
              <w:rPr>
                <w:rFonts w:ascii="Verdana" w:hAnsi="Verdana" w:cs="Arial"/>
                <w:i/>
                <w:sz w:val="24"/>
                <w:szCs w:val="24"/>
              </w:rPr>
              <w:t>L;-</w:t>
            </w:r>
            <w:proofErr w:type="gramEnd"/>
            <w:r w:rsidRPr="00CD14A4">
              <w:rPr>
                <w:rFonts w:ascii="Verdana" w:hAnsi="Verdana" w:cs="Arial"/>
                <w:i/>
                <w:sz w:val="24"/>
                <w:szCs w:val="24"/>
              </w:rPr>
              <w:t xml:space="preserve"> Report generated </w:t>
            </w:r>
            <w:r w:rsidR="00D85CC9" w:rsidRPr="00CD14A4">
              <w:rPr>
                <w:rFonts w:ascii="Verdana" w:hAnsi="Verdana" w:cs="Arial"/>
                <w:i/>
                <w:sz w:val="24"/>
                <w:szCs w:val="24"/>
              </w:rPr>
              <w:t>May</w:t>
            </w:r>
            <w:r w:rsidRPr="00CD14A4">
              <w:rPr>
                <w:rFonts w:ascii="Verdana" w:hAnsi="Verdana" w:cs="Arial"/>
                <w:i/>
                <w:sz w:val="24"/>
                <w:szCs w:val="24"/>
              </w:rPr>
              <w:t xml:space="preserve"> 2025, within SBUHB (Performance Team). Data source – ESR</w:t>
            </w:r>
            <w:r w:rsidR="00CD14A4">
              <w:rPr>
                <w:rFonts w:ascii="Verdana" w:hAnsi="Verdana" w:cs="Arial"/>
                <w:i/>
                <w:sz w:val="24"/>
                <w:szCs w:val="24"/>
              </w:rPr>
              <w:t xml:space="preserve"> Optical Link Modules</w:t>
            </w:r>
            <w:r w:rsidRPr="00CD14A4">
              <w:rPr>
                <w:rFonts w:ascii="Verdana" w:hAnsi="Verdana" w:cs="Arial"/>
                <w:i/>
                <w:sz w:val="24"/>
                <w:szCs w:val="24"/>
              </w:rPr>
              <w:t xml:space="preserve"> (OLM Module). Accuracy levels subject to local maintenance and validation standards. </w:t>
            </w:r>
            <w:r w:rsidRPr="00CD14A4">
              <w:rPr>
                <w:rFonts w:ascii="Verdana" w:hAnsi="Verdana" w:cs="Arial"/>
                <w:i/>
                <w:iCs/>
                <w:sz w:val="24"/>
                <w:szCs w:val="24"/>
              </w:rPr>
              <w:t>Target of 85% added as blue line.</w:t>
            </w:r>
          </w:p>
          <w:p w14:paraId="5220A230" w14:textId="00AC91A7" w:rsidR="00837CDB" w:rsidRPr="00CD14A4" w:rsidRDefault="00837CDB" w:rsidP="00837CDB">
            <w:pPr>
              <w:spacing w:after="0" w:line="240" w:lineRule="auto"/>
              <w:rPr>
                <w:rFonts w:ascii="Verdana" w:hAnsi="Verdana" w:cs="Arial"/>
                <w:sz w:val="24"/>
                <w:szCs w:val="24"/>
              </w:rPr>
            </w:pPr>
          </w:p>
        </w:tc>
      </w:tr>
      <w:tr w:rsidR="00837CDB" w:rsidRPr="00833384" w14:paraId="2F08400A" w14:textId="77777777" w:rsidTr="5E29146B">
        <w:tc>
          <w:tcPr>
            <w:tcW w:w="12847" w:type="dxa"/>
            <w:gridSpan w:val="2"/>
            <w:shd w:val="clear" w:color="auto" w:fill="EAF1DD" w:themeFill="accent3" w:themeFillTint="33"/>
          </w:tcPr>
          <w:p w14:paraId="5F933FED" w14:textId="77777777" w:rsidR="00837CDB" w:rsidRPr="00CD14A4" w:rsidRDefault="00837CDB" w:rsidP="00837CDB">
            <w:pPr>
              <w:spacing w:after="0" w:line="240" w:lineRule="auto"/>
              <w:rPr>
                <w:rFonts w:ascii="Verdana" w:hAnsi="Verdana" w:cs="Arial"/>
                <w:b/>
                <w:sz w:val="24"/>
                <w:szCs w:val="24"/>
              </w:rPr>
            </w:pPr>
            <w:r w:rsidRPr="00CD14A4">
              <w:rPr>
                <w:rFonts w:ascii="Verdana" w:hAnsi="Verdana" w:cs="Arial"/>
                <w:b/>
                <w:sz w:val="24"/>
                <w:szCs w:val="24"/>
              </w:rPr>
              <w:t>Current Performance</w:t>
            </w:r>
          </w:p>
        </w:tc>
      </w:tr>
      <w:tr w:rsidR="00837CDB" w:rsidRPr="00833384" w14:paraId="301B5DD5" w14:textId="77777777" w:rsidTr="00C624E9">
        <w:tc>
          <w:tcPr>
            <w:tcW w:w="12847" w:type="dxa"/>
            <w:gridSpan w:val="2"/>
            <w:shd w:val="clear" w:color="auto" w:fill="auto"/>
          </w:tcPr>
          <w:p w14:paraId="6478A40E" w14:textId="0DEBB9ED" w:rsidR="00837CDB" w:rsidRPr="00CD14A4" w:rsidRDefault="00837CDB" w:rsidP="00833384">
            <w:pPr>
              <w:pStyle w:val="BodyTextIndent"/>
              <w:numPr>
                <w:ilvl w:val="0"/>
                <w:numId w:val="20"/>
              </w:numPr>
              <w:spacing w:after="0"/>
              <w:ind w:left="357" w:hanging="357"/>
              <w:jc w:val="both"/>
              <w:rPr>
                <w:rStyle w:val="normaltextrun"/>
                <w:rFonts w:ascii="Verdana" w:hAnsi="Verdana" w:cs="Arial"/>
                <w:sz w:val="24"/>
                <w:szCs w:val="24"/>
              </w:rPr>
            </w:pPr>
            <w:r w:rsidRPr="00CD14A4">
              <w:rPr>
                <w:rStyle w:val="normaltextrun"/>
                <w:rFonts w:ascii="Verdana" w:hAnsi="Verdana" w:cs="Arial"/>
                <w:sz w:val="24"/>
                <w:szCs w:val="24"/>
              </w:rPr>
              <w:t>Staff who have had a Personal Appraisal and Development Review (PADR) as of 30</w:t>
            </w:r>
            <w:r w:rsidRPr="00CD14A4">
              <w:rPr>
                <w:rStyle w:val="normaltextrun"/>
                <w:rFonts w:ascii="Verdana" w:hAnsi="Verdana" w:cs="Arial"/>
                <w:sz w:val="24"/>
                <w:szCs w:val="24"/>
                <w:vertAlign w:val="superscript"/>
              </w:rPr>
              <w:t>th</w:t>
            </w:r>
            <w:r w:rsidRPr="00CD14A4">
              <w:rPr>
                <w:rStyle w:val="normaltextrun"/>
                <w:rFonts w:ascii="Verdana" w:hAnsi="Verdana" w:cs="Arial"/>
                <w:sz w:val="24"/>
                <w:szCs w:val="24"/>
              </w:rPr>
              <w:t xml:space="preserve"> April 2025 is 72.04 %</w:t>
            </w:r>
          </w:p>
          <w:p w14:paraId="033A8C40" w14:textId="3F85DFE9" w:rsidR="00837CDB" w:rsidRPr="00CD14A4" w:rsidRDefault="00837CDB" w:rsidP="00833384">
            <w:pPr>
              <w:pStyle w:val="BodyTextIndent"/>
              <w:numPr>
                <w:ilvl w:val="0"/>
                <w:numId w:val="20"/>
              </w:numPr>
              <w:spacing w:after="0"/>
              <w:jc w:val="both"/>
              <w:rPr>
                <w:rStyle w:val="normaltextrun"/>
                <w:rFonts w:ascii="Verdana" w:hAnsi="Verdana" w:cs="Arial"/>
                <w:sz w:val="24"/>
                <w:szCs w:val="24"/>
              </w:rPr>
            </w:pPr>
            <w:r w:rsidRPr="00CD14A4">
              <w:rPr>
                <w:rStyle w:val="normaltextrun"/>
                <w:rFonts w:ascii="Verdana" w:hAnsi="Verdana" w:cs="Arial"/>
                <w:sz w:val="24"/>
                <w:szCs w:val="24"/>
              </w:rPr>
              <w:t>During March and April 2025, a total of 39 staff completed Personal Appraisal Review for Managers delivered by the Education and Learning Team. In addition, the How to Complete PADR Documentation and PADR Hints &amp; Tips bitesize learning modules have been added to the Brilliant Basics Platform from January 2025.  Colleagues are signposted to SBU ESR - ESR User Guides SharePoint Page for resources on how enter PADR Dates in ESR This is also linked to the Brilliant Basics platform</w:t>
            </w:r>
          </w:p>
          <w:p w14:paraId="175CF209" w14:textId="77777777" w:rsidR="00837CDB" w:rsidRPr="00CD14A4" w:rsidRDefault="00837CDB" w:rsidP="00833384">
            <w:pPr>
              <w:pStyle w:val="BodyTextIndent"/>
              <w:numPr>
                <w:ilvl w:val="0"/>
                <w:numId w:val="20"/>
              </w:numPr>
              <w:spacing w:after="0"/>
              <w:ind w:left="357" w:hanging="357"/>
              <w:jc w:val="both"/>
              <w:rPr>
                <w:rStyle w:val="normaltextrun"/>
                <w:rFonts w:ascii="Verdana" w:hAnsi="Verdana" w:cs="Arial"/>
                <w:sz w:val="24"/>
                <w:szCs w:val="24"/>
              </w:rPr>
            </w:pPr>
            <w:r w:rsidRPr="00CD14A4">
              <w:rPr>
                <w:rStyle w:val="normaltextrun"/>
                <w:rFonts w:ascii="Verdana" w:hAnsi="Verdana" w:cs="Arial"/>
                <w:sz w:val="24"/>
                <w:szCs w:val="24"/>
              </w:rPr>
              <w:lastRenderedPageBreak/>
              <w:t>Compliance figures per Service Group (excluding Medical and Dental Staff) – MH&amp;LD 72.20%, NPTS 78.85%, PCCT 81.66%, Morriston 62.43%, Finance and Estates 63.83%</w:t>
            </w:r>
          </w:p>
          <w:p w14:paraId="26053051" w14:textId="78231A96" w:rsidR="00833384" w:rsidRPr="00CD14A4" w:rsidRDefault="00833384" w:rsidP="00833384">
            <w:pPr>
              <w:pStyle w:val="BodyTextIndent"/>
              <w:spacing w:after="0"/>
              <w:ind w:left="0"/>
              <w:jc w:val="both"/>
              <w:rPr>
                <w:rFonts w:ascii="Verdana" w:hAnsi="Verdana" w:cs="Arial"/>
                <w:sz w:val="24"/>
                <w:szCs w:val="24"/>
              </w:rPr>
            </w:pPr>
          </w:p>
        </w:tc>
      </w:tr>
      <w:tr w:rsidR="00837CDB" w:rsidRPr="00833384" w14:paraId="781B55C9" w14:textId="77777777" w:rsidTr="5E29146B">
        <w:tc>
          <w:tcPr>
            <w:tcW w:w="12847" w:type="dxa"/>
            <w:gridSpan w:val="2"/>
            <w:shd w:val="clear" w:color="auto" w:fill="EAF1DD" w:themeFill="accent3" w:themeFillTint="33"/>
          </w:tcPr>
          <w:p w14:paraId="24EB7605" w14:textId="77777777" w:rsidR="00837CDB" w:rsidRPr="00CD14A4" w:rsidRDefault="00837CDB" w:rsidP="00837CDB">
            <w:pPr>
              <w:spacing w:after="0" w:line="240" w:lineRule="auto"/>
              <w:rPr>
                <w:rFonts w:ascii="Verdana" w:hAnsi="Verdana" w:cs="Arial"/>
                <w:b/>
                <w:sz w:val="24"/>
                <w:szCs w:val="24"/>
              </w:rPr>
            </w:pPr>
            <w:r w:rsidRPr="00CD14A4">
              <w:rPr>
                <w:rFonts w:ascii="Verdana" w:hAnsi="Verdana" w:cs="Arial"/>
                <w:b/>
                <w:sz w:val="24"/>
                <w:szCs w:val="24"/>
              </w:rPr>
              <w:lastRenderedPageBreak/>
              <w:t>Actions Planned for Next Period</w:t>
            </w:r>
          </w:p>
        </w:tc>
      </w:tr>
      <w:tr w:rsidR="00837CDB" w:rsidRPr="00833384" w14:paraId="7EA0A092" w14:textId="77777777" w:rsidTr="00C624E9">
        <w:tc>
          <w:tcPr>
            <w:tcW w:w="12847" w:type="dxa"/>
            <w:gridSpan w:val="2"/>
            <w:shd w:val="clear" w:color="auto" w:fill="auto"/>
          </w:tcPr>
          <w:p w14:paraId="7876BBD4" w14:textId="612A2D3E" w:rsidR="00837CDB" w:rsidRPr="00CD14A4" w:rsidRDefault="00837CDB" w:rsidP="00833384">
            <w:pPr>
              <w:pStyle w:val="ListParagraph"/>
              <w:numPr>
                <w:ilvl w:val="0"/>
                <w:numId w:val="22"/>
              </w:numPr>
              <w:spacing w:after="0" w:line="240" w:lineRule="auto"/>
              <w:jc w:val="both"/>
              <w:rPr>
                <w:rFonts w:ascii="Verdana" w:hAnsi="Verdana" w:cs="Arial"/>
                <w:sz w:val="24"/>
                <w:szCs w:val="24"/>
              </w:rPr>
            </w:pPr>
            <w:r w:rsidRPr="00CD14A4">
              <w:rPr>
                <w:rFonts w:ascii="Verdana" w:hAnsi="Verdana" w:cs="Arial"/>
                <w:sz w:val="24"/>
                <w:szCs w:val="24"/>
              </w:rPr>
              <w:t>Supporting activity outlined in previous reports continues, Service Groups continue to focus on highlighting areas for focus</w:t>
            </w:r>
            <w:r w:rsidR="00833384" w:rsidRPr="00CD14A4">
              <w:rPr>
                <w:rFonts w:ascii="Verdana" w:hAnsi="Verdana" w:cs="Arial"/>
                <w:sz w:val="24"/>
                <w:szCs w:val="24"/>
              </w:rPr>
              <w:t>.</w:t>
            </w:r>
          </w:p>
          <w:p w14:paraId="28F0B572" w14:textId="6E15C4C8" w:rsidR="00837CDB" w:rsidRPr="00CD14A4" w:rsidRDefault="00837CDB" w:rsidP="00833384">
            <w:pPr>
              <w:pStyle w:val="ListParagraph"/>
              <w:spacing w:after="0" w:line="240" w:lineRule="auto"/>
              <w:ind w:left="360"/>
              <w:jc w:val="both"/>
              <w:rPr>
                <w:rFonts w:ascii="Verdana" w:hAnsi="Verdana" w:cs="Arial"/>
                <w:sz w:val="24"/>
                <w:szCs w:val="24"/>
              </w:rPr>
            </w:pPr>
            <w:r w:rsidRPr="00CD14A4">
              <w:rPr>
                <w:rFonts w:ascii="Verdana" w:hAnsi="Verdana" w:cs="Arial"/>
                <w:b/>
                <w:bCs/>
                <w:sz w:val="24"/>
                <w:szCs w:val="24"/>
              </w:rPr>
              <w:t>NPT</w:t>
            </w:r>
            <w:r w:rsidR="00CD14A4">
              <w:rPr>
                <w:rFonts w:ascii="Verdana" w:hAnsi="Verdana" w:cs="Arial"/>
                <w:b/>
                <w:bCs/>
                <w:sz w:val="24"/>
                <w:szCs w:val="24"/>
              </w:rPr>
              <w:t>S</w:t>
            </w:r>
            <w:r w:rsidRPr="00CD14A4">
              <w:rPr>
                <w:rFonts w:ascii="Verdana" w:hAnsi="Verdana" w:cs="Arial"/>
                <w:b/>
                <w:bCs/>
                <w:sz w:val="24"/>
                <w:szCs w:val="24"/>
              </w:rPr>
              <w:t>SG</w:t>
            </w:r>
            <w:r w:rsidRPr="00CD14A4">
              <w:rPr>
                <w:rFonts w:ascii="Verdana" w:hAnsi="Verdana" w:cs="Arial"/>
                <w:sz w:val="24"/>
                <w:szCs w:val="24"/>
              </w:rPr>
              <w:t xml:space="preserve"> updated that Improvement plans should be in place for Divisions below the target of 85% (this is coordinated via the Divisional Workforce Groups) and that they are using PADRs as an enabler to support Quality and Safety Strategy</w:t>
            </w:r>
            <w:r w:rsidR="00833384" w:rsidRPr="00CD14A4">
              <w:rPr>
                <w:rFonts w:ascii="Verdana" w:hAnsi="Verdana" w:cs="Arial"/>
                <w:sz w:val="24"/>
                <w:szCs w:val="24"/>
              </w:rPr>
              <w:t>.</w:t>
            </w:r>
          </w:p>
          <w:p w14:paraId="68E39A3A" w14:textId="7E10A827" w:rsidR="00833384" w:rsidRPr="00CD14A4" w:rsidRDefault="00833384" w:rsidP="00833384">
            <w:pPr>
              <w:pStyle w:val="ListParagraph"/>
              <w:spacing w:after="0" w:line="240" w:lineRule="auto"/>
              <w:ind w:left="360"/>
              <w:jc w:val="both"/>
              <w:rPr>
                <w:rFonts w:ascii="Verdana" w:hAnsi="Verdana" w:cs="Calibri"/>
                <w:sz w:val="24"/>
                <w:szCs w:val="24"/>
              </w:rPr>
            </w:pPr>
          </w:p>
        </w:tc>
      </w:tr>
      <w:tr w:rsidR="00837CDB" w:rsidRPr="00833384" w14:paraId="6B2CD376" w14:textId="77777777" w:rsidTr="0050484A">
        <w:trPr>
          <w:trHeight w:val="3920"/>
        </w:trPr>
        <w:tc>
          <w:tcPr>
            <w:tcW w:w="2117" w:type="dxa"/>
            <w:shd w:val="clear" w:color="auto" w:fill="DBE5F1" w:themeFill="accent1" w:themeFillTint="33"/>
          </w:tcPr>
          <w:p w14:paraId="733D0AC1" w14:textId="77777777" w:rsidR="00837CDB" w:rsidRPr="00833384" w:rsidRDefault="00837CDB" w:rsidP="00837CDB">
            <w:pPr>
              <w:spacing w:after="0" w:line="240" w:lineRule="auto"/>
              <w:rPr>
                <w:rFonts w:ascii="Verdana" w:hAnsi="Verdana" w:cs="Arial"/>
                <w:b/>
                <w:bCs/>
                <w:sz w:val="24"/>
                <w:szCs w:val="24"/>
              </w:rPr>
            </w:pPr>
            <w:bookmarkStart w:id="1" w:name="Finance"/>
            <w:r w:rsidRPr="00833384">
              <w:rPr>
                <w:rFonts w:ascii="Verdana" w:hAnsi="Verdana" w:cs="Arial"/>
                <w:b/>
                <w:bCs/>
                <w:sz w:val="24"/>
                <w:szCs w:val="24"/>
              </w:rPr>
              <w:t>Operational Casework</w:t>
            </w:r>
          </w:p>
          <w:p w14:paraId="07D288ED" w14:textId="77777777" w:rsidR="00837CDB" w:rsidRPr="00833384" w:rsidRDefault="00837CDB" w:rsidP="00837CDB">
            <w:pPr>
              <w:spacing w:after="0" w:line="240" w:lineRule="auto"/>
              <w:rPr>
                <w:rFonts w:ascii="Verdana" w:hAnsi="Verdana" w:cs="Arial"/>
                <w:b/>
                <w:bCs/>
                <w:sz w:val="24"/>
                <w:szCs w:val="24"/>
              </w:rPr>
            </w:pPr>
            <w:r w:rsidRPr="00833384">
              <w:rPr>
                <w:rFonts w:ascii="Verdana" w:hAnsi="Verdana" w:cs="Arial"/>
                <w:bCs/>
                <w:i/>
                <w:sz w:val="24"/>
                <w:szCs w:val="24"/>
              </w:rPr>
              <w:t>Number of current operational cases.</w:t>
            </w:r>
          </w:p>
        </w:tc>
        <w:tc>
          <w:tcPr>
            <w:tcW w:w="10730" w:type="dxa"/>
            <w:shd w:val="clear" w:color="auto" w:fill="auto"/>
          </w:tcPr>
          <w:p w14:paraId="32DB947C" w14:textId="77777777" w:rsidR="00837CDB" w:rsidRPr="00833384" w:rsidRDefault="00837CDB" w:rsidP="00837CDB">
            <w:pPr>
              <w:spacing w:after="0"/>
              <w:rPr>
                <w:rFonts w:ascii="Verdana" w:hAnsi="Verdana" w:cs="Arial"/>
              </w:rPr>
            </w:pPr>
          </w:p>
          <w:p w14:paraId="2CDC2F37" w14:textId="31D0CA8E" w:rsidR="00837CDB" w:rsidRPr="00833384" w:rsidRDefault="008869E0" w:rsidP="00837CDB">
            <w:pPr>
              <w:spacing w:after="0"/>
              <w:jc w:val="center"/>
              <w:rPr>
                <w:rFonts w:ascii="Verdana" w:hAnsi="Verdana"/>
              </w:rPr>
            </w:pPr>
            <w:r w:rsidRPr="00833384">
              <w:rPr>
                <w:rFonts w:ascii="Verdana" w:hAnsi="Verdana"/>
                <w:noProof/>
              </w:rPr>
              <w:drawing>
                <wp:inline distT="0" distB="0" distL="0" distR="0" wp14:anchorId="31F7714B" wp14:editId="7CC21D90">
                  <wp:extent cx="5824025" cy="2131256"/>
                  <wp:effectExtent l="0" t="0" r="5715" b="254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7CF49AD" w14:textId="77777777" w:rsidR="00837CDB" w:rsidRPr="00CD14A4" w:rsidRDefault="00837CDB" w:rsidP="00837CDB">
            <w:pPr>
              <w:spacing w:after="0"/>
              <w:rPr>
                <w:rFonts w:ascii="Verdana" w:hAnsi="Verdana" w:cs="Arial"/>
                <w:i/>
                <w:sz w:val="24"/>
                <w:szCs w:val="24"/>
              </w:rPr>
            </w:pPr>
            <w:r w:rsidRPr="00CD14A4">
              <w:rPr>
                <w:rFonts w:ascii="Verdana" w:hAnsi="Verdana" w:cs="Arial"/>
                <w:i/>
                <w:sz w:val="24"/>
                <w:szCs w:val="24"/>
              </w:rPr>
              <w:t>C&amp;</w:t>
            </w:r>
            <w:proofErr w:type="gramStart"/>
            <w:r w:rsidRPr="00CD14A4">
              <w:rPr>
                <w:rFonts w:ascii="Verdana" w:hAnsi="Verdana" w:cs="Arial"/>
                <w:i/>
                <w:sz w:val="24"/>
                <w:szCs w:val="24"/>
              </w:rPr>
              <w:t>L;-</w:t>
            </w:r>
            <w:proofErr w:type="gramEnd"/>
            <w:r w:rsidRPr="00CD14A4">
              <w:rPr>
                <w:rFonts w:ascii="Verdana" w:hAnsi="Verdana" w:cs="Arial"/>
                <w:i/>
                <w:sz w:val="24"/>
                <w:szCs w:val="24"/>
              </w:rPr>
              <w:t xml:space="preserve"> Report generated March 2024, within SBUHB (Workforce Digital). Data source – ER Tracker. Accuracy levels subject to local maintenance and validation standards.</w:t>
            </w:r>
          </w:p>
          <w:p w14:paraId="160C267A" w14:textId="1FFC4ABE" w:rsidR="00833384" w:rsidRPr="00833384" w:rsidRDefault="00833384" w:rsidP="00837CDB">
            <w:pPr>
              <w:spacing w:after="0"/>
              <w:rPr>
                <w:rFonts w:ascii="Verdana" w:hAnsi="Verdana" w:cs="Arial"/>
              </w:rPr>
            </w:pPr>
          </w:p>
        </w:tc>
      </w:tr>
      <w:tr w:rsidR="00837CDB" w:rsidRPr="00833384" w14:paraId="29A9F605" w14:textId="77777777" w:rsidTr="5E29146B">
        <w:tc>
          <w:tcPr>
            <w:tcW w:w="12847" w:type="dxa"/>
            <w:gridSpan w:val="2"/>
            <w:shd w:val="clear" w:color="auto" w:fill="EAF1DD" w:themeFill="accent3" w:themeFillTint="33"/>
          </w:tcPr>
          <w:p w14:paraId="31B93819" w14:textId="77777777" w:rsidR="00837CDB" w:rsidRPr="00CD14A4" w:rsidRDefault="00837CDB" w:rsidP="00837CDB">
            <w:pPr>
              <w:spacing w:after="0" w:line="240" w:lineRule="auto"/>
              <w:rPr>
                <w:rFonts w:ascii="Verdana" w:hAnsi="Verdana" w:cs="Arial"/>
                <w:b/>
                <w:sz w:val="24"/>
                <w:szCs w:val="24"/>
              </w:rPr>
            </w:pPr>
            <w:r w:rsidRPr="00CD14A4">
              <w:rPr>
                <w:rFonts w:ascii="Verdana" w:hAnsi="Verdana" w:cs="Arial"/>
                <w:b/>
                <w:sz w:val="24"/>
                <w:szCs w:val="24"/>
              </w:rPr>
              <w:t>Current Performance</w:t>
            </w:r>
          </w:p>
        </w:tc>
      </w:tr>
      <w:tr w:rsidR="00837CDB" w:rsidRPr="00833384" w14:paraId="4096AA13" w14:textId="77777777" w:rsidTr="00C624E9">
        <w:tc>
          <w:tcPr>
            <w:tcW w:w="12847" w:type="dxa"/>
            <w:gridSpan w:val="2"/>
            <w:shd w:val="clear" w:color="auto" w:fill="auto"/>
          </w:tcPr>
          <w:p w14:paraId="1229511E" w14:textId="77777777" w:rsidR="00837CDB" w:rsidRPr="00CD14A4" w:rsidRDefault="00837CDB" w:rsidP="00833384">
            <w:pPr>
              <w:pStyle w:val="ListParagraph"/>
              <w:numPr>
                <w:ilvl w:val="0"/>
                <w:numId w:val="22"/>
              </w:numPr>
              <w:spacing w:after="0" w:line="240" w:lineRule="auto"/>
              <w:jc w:val="both"/>
              <w:rPr>
                <w:rFonts w:ascii="Verdana" w:hAnsi="Verdana" w:cs="Arial"/>
                <w:sz w:val="24"/>
                <w:szCs w:val="24"/>
              </w:rPr>
            </w:pPr>
            <w:r w:rsidRPr="00CD14A4">
              <w:rPr>
                <w:rFonts w:ascii="Verdana" w:hAnsi="Verdana" w:cs="Arial"/>
                <w:sz w:val="24"/>
                <w:szCs w:val="24"/>
              </w:rPr>
              <w:t>No. of open Formal Disciplinaries since the last reporting period have increased from 45 to 49 open cases</w:t>
            </w:r>
          </w:p>
          <w:p w14:paraId="56199841" w14:textId="1B68192C" w:rsidR="00837CDB" w:rsidRPr="00CD14A4" w:rsidRDefault="00837CDB" w:rsidP="00833384">
            <w:pPr>
              <w:pStyle w:val="ListParagraph"/>
              <w:numPr>
                <w:ilvl w:val="0"/>
                <w:numId w:val="22"/>
              </w:numPr>
              <w:spacing w:after="0" w:line="240" w:lineRule="auto"/>
              <w:jc w:val="both"/>
              <w:rPr>
                <w:rFonts w:ascii="Verdana" w:hAnsi="Verdana" w:cs="Arial"/>
                <w:sz w:val="24"/>
                <w:szCs w:val="24"/>
              </w:rPr>
            </w:pPr>
            <w:r w:rsidRPr="00CD14A4">
              <w:rPr>
                <w:rFonts w:ascii="Verdana" w:hAnsi="Verdana" w:cs="Arial"/>
                <w:sz w:val="24"/>
                <w:szCs w:val="24"/>
              </w:rPr>
              <w:t>Number of Formal requests for Resolution which remain open within this period have decreased from 41 to 37</w:t>
            </w:r>
          </w:p>
          <w:p w14:paraId="2EF2E3D6" w14:textId="77777777" w:rsidR="00837CDB" w:rsidRPr="00CD14A4" w:rsidRDefault="00837CDB" w:rsidP="00833384">
            <w:pPr>
              <w:pStyle w:val="ListParagraph"/>
              <w:numPr>
                <w:ilvl w:val="0"/>
                <w:numId w:val="22"/>
              </w:numPr>
              <w:spacing w:after="0" w:line="240" w:lineRule="auto"/>
              <w:jc w:val="both"/>
              <w:rPr>
                <w:rFonts w:ascii="Verdana" w:hAnsi="Verdana" w:cs="Arial"/>
                <w:sz w:val="24"/>
                <w:szCs w:val="24"/>
              </w:rPr>
            </w:pPr>
            <w:r w:rsidRPr="00CD14A4">
              <w:rPr>
                <w:rFonts w:ascii="Verdana" w:hAnsi="Verdana" w:cs="Arial"/>
                <w:sz w:val="24"/>
                <w:szCs w:val="24"/>
              </w:rPr>
              <w:t>Suspensions, since the last reporting period have decreased from 12 to 11</w:t>
            </w:r>
          </w:p>
          <w:p w14:paraId="12757F05" w14:textId="121B798E" w:rsidR="00837CDB" w:rsidRPr="00CD14A4" w:rsidRDefault="00837CDB" w:rsidP="00833384">
            <w:pPr>
              <w:pStyle w:val="ListParagraph"/>
              <w:numPr>
                <w:ilvl w:val="0"/>
                <w:numId w:val="22"/>
              </w:numPr>
              <w:spacing w:after="0" w:line="240" w:lineRule="auto"/>
              <w:jc w:val="both"/>
              <w:rPr>
                <w:rFonts w:ascii="Verdana" w:hAnsi="Verdana" w:cs="Arial"/>
                <w:sz w:val="24"/>
                <w:szCs w:val="24"/>
              </w:rPr>
            </w:pPr>
            <w:r w:rsidRPr="00CD14A4">
              <w:rPr>
                <w:rFonts w:ascii="Verdana" w:hAnsi="Verdana" w:cs="Arial"/>
                <w:sz w:val="24"/>
                <w:szCs w:val="24"/>
              </w:rPr>
              <w:lastRenderedPageBreak/>
              <w:t>ET’s have remained at 3</w:t>
            </w:r>
            <w:r w:rsidR="00833384" w:rsidRPr="00CD14A4">
              <w:rPr>
                <w:rFonts w:ascii="Verdana" w:hAnsi="Verdana" w:cs="Arial"/>
                <w:sz w:val="24"/>
                <w:szCs w:val="24"/>
              </w:rPr>
              <w:t>.</w:t>
            </w:r>
          </w:p>
        </w:tc>
      </w:tr>
      <w:tr w:rsidR="00837CDB" w:rsidRPr="00833384" w14:paraId="0A981FE6" w14:textId="77777777" w:rsidTr="5E29146B">
        <w:tc>
          <w:tcPr>
            <w:tcW w:w="12847" w:type="dxa"/>
            <w:gridSpan w:val="2"/>
            <w:shd w:val="clear" w:color="auto" w:fill="EAF1DD" w:themeFill="accent3" w:themeFillTint="33"/>
          </w:tcPr>
          <w:p w14:paraId="6F076AC6" w14:textId="77777777" w:rsidR="00837CDB" w:rsidRPr="00CD14A4" w:rsidRDefault="00837CDB" w:rsidP="00837CDB">
            <w:pPr>
              <w:spacing w:after="0" w:line="240" w:lineRule="auto"/>
              <w:rPr>
                <w:rFonts w:ascii="Verdana" w:hAnsi="Verdana" w:cs="Arial"/>
                <w:b/>
                <w:sz w:val="24"/>
                <w:szCs w:val="24"/>
              </w:rPr>
            </w:pPr>
            <w:r w:rsidRPr="00CD14A4">
              <w:rPr>
                <w:rFonts w:ascii="Verdana" w:hAnsi="Verdana" w:cs="Arial"/>
                <w:b/>
                <w:sz w:val="24"/>
                <w:szCs w:val="24"/>
              </w:rPr>
              <w:lastRenderedPageBreak/>
              <w:t>Actions for Next Period</w:t>
            </w:r>
          </w:p>
        </w:tc>
      </w:tr>
      <w:tr w:rsidR="00837CDB" w:rsidRPr="00833384" w14:paraId="35F6D1A1" w14:textId="77777777" w:rsidTr="00C624E9">
        <w:tc>
          <w:tcPr>
            <w:tcW w:w="12847" w:type="dxa"/>
            <w:gridSpan w:val="2"/>
            <w:shd w:val="clear" w:color="auto" w:fill="auto"/>
          </w:tcPr>
          <w:p w14:paraId="54F39759" w14:textId="77777777" w:rsidR="00837CDB" w:rsidRPr="00CD14A4" w:rsidRDefault="00837CDB" w:rsidP="00833384">
            <w:pPr>
              <w:pStyle w:val="ListParagraph"/>
              <w:numPr>
                <w:ilvl w:val="0"/>
                <w:numId w:val="43"/>
              </w:numPr>
              <w:spacing w:after="0" w:line="240" w:lineRule="auto"/>
              <w:jc w:val="both"/>
              <w:rPr>
                <w:rFonts w:ascii="Verdana" w:hAnsi="Verdana" w:cs="Arial"/>
                <w:sz w:val="24"/>
                <w:szCs w:val="24"/>
              </w:rPr>
            </w:pPr>
            <w:proofErr w:type="gramStart"/>
            <w:r w:rsidRPr="00CD14A4">
              <w:rPr>
                <w:rFonts w:ascii="Verdana" w:hAnsi="Verdana" w:cs="Arial"/>
                <w:sz w:val="24"/>
                <w:szCs w:val="24"/>
              </w:rPr>
              <w:t>A number of</w:t>
            </w:r>
            <w:proofErr w:type="gramEnd"/>
            <w:r w:rsidRPr="00CD14A4">
              <w:rPr>
                <w:rFonts w:ascii="Verdana" w:hAnsi="Verdana" w:cs="Arial"/>
                <w:sz w:val="24"/>
                <w:szCs w:val="24"/>
              </w:rPr>
              <w:t xml:space="preserve"> actions are on-going in line with the Best Practice Review </w:t>
            </w:r>
          </w:p>
          <w:p w14:paraId="20021537" w14:textId="6BDA2E02" w:rsidR="00837CDB" w:rsidRPr="00CD14A4" w:rsidRDefault="00837CDB" w:rsidP="00833384">
            <w:pPr>
              <w:numPr>
                <w:ilvl w:val="0"/>
                <w:numId w:val="2"/>
              </w:numPr>
              <w:spacing w:after="0" w:line="240" w:lineRule="auto"/>
              <w:contextualSpacing/>
              <w:jc w:val="both"/>
              <w:rPr>
                <w:rFonts w:ascii="Verdana" w:hAnsi="Verdana" w:cs="Arial"/>
                <w:sz w:val="24"/>
                <w:szCs w:val="24"/>
              </w:rPr>
            </w:pPr>
            <w:r w:rsidRPr="00CD14A4">
              <w:rPr>
                <w:rFonts w:ascii="Verdana" w:hAnsi="Verdana" w:cs="Arial"/>
                <w:sz w:val="24"/>
                <w:szCs w:val="24"/>
              </w:rPr>
              <w:t>The Best Practice Review project has been refreshed with the introduction of multidisciplinary subgroups focusing on priority areas of work, reporting into the Core Working Group</w:t>
            </w:r>
          </w:p>
          <w:p w14:paraId="645E3BC5" w14:textId="2C23E1D0" w:rsidR="00837CDB" w:rsidRPr="00CD14A4" w:rsidRDefault="008C0C36" w:rsidP="00833384">
            <w:pPr>
              <w:numPr>
                <w:ilvl w:val="0"/>
                <w:numId w:val="2"/>
              </w:numPr>
              <w:spacing w:after="0" w:line="240" w:lineRule="auto"/>
              <w:contextualSpacing/>
              <w:jc w:val="both"/>
              <w:rPr>
                <w:rFonts w:ascii="Verdana" w:hAnsi="Verdana" w:cs="Arial"/>
                <w:sz w:val="24"/>
                <w:szCs w:val="24"/>
              </w:rPr>
            </w:pPr>
            <w:r w:rsidRPr="00CD14A4">
              <w:rPr>
                <w:rFonts w:ascii="Verdana" w:hAnsi="Verdana" w:cs="Arial"/>
                <w:sz w:val="24"/>
                <w:szCs w:val="24"/>
              </w:rPr>
              <w:t>T</w:t>
            </w:r>
            <w:r w:rsidR="00837CDB" w:rsidRPr="00CD14A4">
              <w:rPr>
                <w:rFonts w:ascii="Verdana" w:hAnsi="Verdana" w:cs="Arial"/>
                <w:sz w:val="24"/>
                <w:szCs w:val="24"/>
              </w:rPr>
              <w:t>he Management Review document</w:t>
            </w:r>
            <w:r w:rsidRPr="00CD14A4">
              <w:rPr>
                <w:rFonts w:ascii="Verdana" w:hAnsi="Verdana" w:cs="Arial"/>
                <w:sz w:val="24"/>
                <w:szCs w:val="24"/>
              </w:rPr>
              <w:t xml:space="preserve"> was previously launched</w:t>
            </w:r>
            <w:r w:rsidR="00837CDB" w:rsidRPr="00CD14A4">
              <w:rPr>
                <w:rFonts w:ascii="Verdana" w:hAnsi="Verdana" w:cs="Arial"/>
                <w:sz w:val="24"/>
                <w:szCs w:val="24"/>
              </w:rPr>
              <w:t>, to replace the initial assessment</w:t>
            </w:r>
            <w:r w:rsidRPr="00CD14A4">
              <w:rPr>
                <w:rFonts w:ascii="Verdana" w:hAnsi="Verdana" w:cs="Arial"/>
                <w:sz w:val="24"/>
                <w:szCs w:val="24"/>
              </w:rPr>
              <w:t xml:space="preserve">. The intent was to </w:t>
            </w:r>
            <w:r w:rsidR="00837CDB" w:rsidRPr="00CD14A4">
              <w:rPr>
                <w:rFonts w:ascii="Verdana" w:hAnsi="Verdana" w:cs="Arial"/>
                <w:sz w:val="24"/>
                <w:szCs w:val="24"/>
              </w:rPr>
              <w:t>allow us to determine the most appropriate course of action at an early stage with the intention to resolve cases informally where possible – education and training ongoing with HR and leaders, this is being embedded and continually reviewed</w:t>
            </w:r>
            <w:r w:rsidR="00086293" w:rsidRPr="00CD14A4">
              <w:rPr>
                <w:rFonts w:ascii="Verdana" w:hAnsi="Verdana" w:cs="Arial"/>
                <w:sz w:val="24"/>
                <w:szCs w:val="24"/>
              </w:rPr>
              <w:t xml:space="preserve">. We will be reviewing the effectiveness of this now it has been used for a reasonable </w:t>
            </w:r>
            <w:proofErr w:type="gramStart"/>
            <w:r w:rsidR="00086293" w:rsidRPr="00CD14A4">
              <w:rPr>
                <w:rFonts w:ascii="Verdana" w:hAnsi="Verdana" w:cs="Arial"/>
                <w:sz w:val="24"/>
                <w:szCs w:val="24"/>
              </w:rPr>
              <w:t>period of time</w:t>
            </w:r>
            <w:proofErr w:type="gramEnd"/>
          </w:p>
          <w:p w14:paraId="01793BBB" w14:textId="779AAF5E" w:rsidR="00837CDB" w:rsidRPr="00CD14A4" w:rsidRDefault="00837CDB" w:rsidP="00833384">
            <w:pPr>
              <w:pStyle w:val="ListParagraph"/>
              <w:numPr>
                <w:ilvl w:val="0"/>
                <w:numId w:val="2"/>
              </w:numPr>
              <w:spacing w:after="0" w:line="240" w:lineRule="auto"/>
              <w:jc w:val="both"/>
              <w:rPr>
                <w:rFonts w:ascii="Verdana" w:hAnsi="Verdana" w:cs="Arial"/>
                <w:sz w:val="24"/>
                <w:szCs w:val="24"/>
              </w:rPr>
            </w:pPr>
            <w:r w:rsidRPr="00CD14A4">
              <w:rPr>
                <w:rFonts w:ascii="Verdana" w:hAnsi="Verdana" w:cs="Arial"/>
                <w:sz w:val="24"/>
                <w:szCs w:val="24"/>
              </w:rPr>
              <w:t>Suspension Guidance for leaders and employees has been shared for comment with the aim of supporting both groups and clarifying the process</w:t>
            </w:r>
            <w:r w:rsidR="00086293" w:rsidRPr="00CD14A4">
              <w:rPr>
                <w:rFonts w:ascii="Verdana" w:hAnsi="Verdana" w:cs="Arial"/>
                <w:sz w:val="24"/>
                <w:szCs w:val="24"/>
              </w:rPr>
              <w:t>. A comprehensive suspension checklist is utilised to help inform and record the right decisions</w:t>
            </w:r>
          </w:p>
          <w:p w14:paraId="1E4E1E8D" w14:textId="437322DB" w:rsidR="00B96338" w:rsidRPr="00CD14A4" w:rsidRDefault="00B96338" w:rsidP="00833384">
            <w:pPr>
              <w:pStyle w:val="ListParagraph"/>
              <w:numPr>
                <w:ilvl w:val="0"/>
                <w:numId w:val="2"/>
              </w:numPr>
              <w:spacing w:after="0" w:line="240" w:lineRule="auto"/>
              <w:jc w:val="both"/>
              <w:rPr>
                <w:rFonts w:ascii="Verdana" w:hAnsi="Verdana" w:cs="Arial"/>
                <w:sz w:val="24"/>
                <w:szCs w:val="24"/>
              </w:rPr>
            </w:pPr>
            <w:r w:rsidRPr="00CD14A4">
              <w:rPr>
                <w:rFonts w:ascii="Verdana" w:hAnsi="Verdana" w:cs="Arial"/>
                <w:sz w:val="24"/>
                <w:szCs w:val="24"/>
              </w:rPr>
              <w:t>Review of case reporting categorisation.</w:t>
            </w:r>
          </w:p>
        </w:tc>
      </w:tr>
      <w:bookmarkEnd w:id="1"/>
    </w:tbl>
    <w:p w14:paraId="58D4CF20" w14:textId="77777777" w:rsidR="006314C7" w:rsidRPr="00833384" w:rsidRDefault="006314C7" w:rsidP="0004342F">
      <w:pPr>
        <w:spacing w:after="0" w:line="240" w:lineRule="auto"/>
        <w:rPr>
          <w:rFonts w:ascii="Verdana" w:hAnsi="Verdana" w:cs="Arial"/>
          <w:b/>
          <w:caps/>
        </w:rPr>
      </w:pPr>
    </w:p>
    <w:sectPr w:rsidR="006314C7" w:rsidRPr="00833384" w:rsidSect="00CF7017">
      <w:footerReference w:type="default" r:id="rId19"/>
      <w:pgSz w:w="16840" w:h="11907" w:orient="landscape" w:code="9"/>
      <w:pgMar w:top="993" w:right="1440" w:bottom="1134" w:left="1440" w:header="709" w:footer="18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4DE412" w14:textId="77777777" w:rsidR="004C7F64" w:rsidRDefault="004C7F64" w:rsidP="00F000BB">
      <w:pPr>
        <w:spacing w:after="0" w:line="240" w:lineRule="auto"/>
      </w:pPr>
      <w:r>
        <w:separator/>
      </w:r>
    </w:p>
  </w:endnote>
  <w:endnote w:type="continuationSeparator" w:id="0">
    <w:p w14:paraId="7ECF76EA" w14:textId="77777777" w:rsidR="004C7F64" w:rsidRDefault="004C7F64" w:rsidP="00F000BB">
      <w:pPr>
        <w:spacing w:after="0" w:line="240" w:lineRule="auto"/>
      </w:pPr>
      <w:r>
        <w:continuationSeparator/>
      </w:r>
    </w:p>
  </w:endnote>
  <w:endnote w:type="continuationNotice" w:id="1">
    <w:p w14:paraId="621B877C" w14:textId="77777777" w:rsidR="004C7F64" w:rsidRDefault="004C7F6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charset w:val="59"/>
    <w:family w:val="auto"/>
    <w:pitch w:val="variable"/>
    <w:sig w:usb0="00000201" w:usb1="00000000" w:usb2="00000000" w:usb3="00000000" w:csb0="00000004"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45 Light">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3C6B23" w14:textId="07FF066C" w:rsidR="00757F8D" w:rsidRPr="008B56DF" w:rsidRDefault="00757F8D" w:rsidP="00D10B79">
    <w:pPr>
      <w:pStyle w:val="Footer"/>
      <w:pBdr>
        <w:top w:val="single" w:sz="4" w:space="1" w:color="auto"/>
      </w:pBdr>
      <w:rPr>
        <w:sz w:val="24"/>
        <w:szCs w:val="24"/>
      </w:rPr>
    </w:pPr>
    <w:r>
      <w:rPr>
        <w:rFonts w:ascii="Arial" w:hAnsi="Arial" w:cs="Arial"/>
      </w:rPr>
      <w:t>Appendix 1- Integrated Performance Report</w:t>
    </w:r>
    <w:r>
      <w:rPr>
        <w:rFonts w:ascii="Arial" w:hAnsi="Arial" w:cs="Arial"/>
      </w:rPr>
      <w:tab/>
    </w:r>
    <w:r w:rsidRPr="008B56DF">
      <w:rPr>
        <w:rFonts w:ascii="Arial" w:hAnsi="Arial" w:cs="Arial"/>
      </w:rPr>
      <w:tab/>
    </w:r>
    <w:r w:rsidRPr="008B56DF">
      <w:rPr>
        <w:rFonts w:ascii="Arial" w:hAnsi="Arial" w:cs="Arial"/>
      </w:rPr>
      <w:tab/>
    </w:r>
    <w:r w:rsidRPr="008B56DF">
      <w:rPr>
        <w:rFonts w:ascii="Arial" w:hAnsi="Arial" w:cs="Arial"/>
      </w:rPr>
      <w:tab/>
    </w:r>
    <w:proofErr w:type="gramStart"/>
    <w:r w:rsidRPr="008B56DF">
      <w:rPr>
        <w:rFonts w:ascii="Arial" w:hAnsi="Arial" w:cs="Arial"/>
      </w:rPr>
      <w:tab/>
      <w:t xml:space="preserve">  </w:t>
    </w:r>
    <w:r w:rsidRPr="008B56DF">
      <w:rPr>
        <w:rFonts w:ascii="Arial" w:hAnsi="Arial" w:cs="Arial"/>
      </w:rPr>
      <w:tab/>
    </w:r>
    <w:proofErr w:type="gramEnd"/>
    <w:r w:rsidRPr="008B56DF">
      <w:rPr>
        <w:rFonts w:ascii="Arial" w:hAnsi="Arial" w:cs="Arial"/>
      </w:rPr>
      <w:tab/>
    </w:r>
    <w:r w:rsidRPr="008B56DF">
      <w:rPr>
        <w:rFonts w:ascii="Arial" w:hAnsi="Arial" w:cs="Arial"/>
      </w:rPr>
      <w:fldChar w:fldCharType="begin"/>
    </w:r>
    <w:r w:rsidRPr="008B56DF">
      <w:rPr>
        <w:rFonts w:ascii="Arial" w:hAnsi="Arial" w:cs="Arial"/>
      </w:rPr>
      <w:instrText xml:space="preserve"> PAGE   \* MERGEFORMAT </w:instrText>
    </w:r>
    <w:r w:rsidRPr="008B56DF">
      <w:rPr>
        <w:rFonts w:ascii="Arial" w:hAnsi="Arial" w:cs="Arial"/>
      </w:rPr>
      <w:fldChar w:fldCharType="separate"/>
    </w:r>
    <w:r w:rsidR="00C624E9">
      <w:rPr>
        <w:rFonts w:ascii="Arial" w:hAnsi="Arial" w:cs="Arial"/>
        <w:noProof/>
      </w:rPr>
      <w:t>11</w:t>
    </w:r>
    <w:r w:rsidRPr="008B56DF">
      <w:rPr>
        <w:rFonts w:ascii="Arial" w:hAnsi="Arial" w:cs="Arial"/>
        <w:noProof/>
      </w:rPr>
      <w:fldChar w:fldCharType="end"/>
    </w:r>
    <w:r w:rsidRPr="008B56DF">
      <w:rPr>
        <w:rFonts w:ascii="Arial" w:hAnsi="Arial" w:cs="Arial"/>
      </w:rPr>
      <w:t xml:space="preserve"> | </w:t>
    </w:r>
    <w:r w:rsidRPr="008B56DF">
      <w:rPr>
        <w:rFonts w:ascii="Arial" w:hAnsi="Arial" w:cs="Arial"/>
        <w:color w:val="7F7F7F"/>
        <w:spacing w:val="60"/>
      </w:rPr>
      <w:t>Page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57EB35" w14:textId="77777777" w:rsidR="004C7F64" w:rsidRDefault="004C7F64" w:rsidP="00F000BB">
      <w:pPr>
        <w:spacing w:after="0" w:line="240" w:lineRule="auto"/>
      </w:pPr>
      <w:r>
        <w:separator/>
      </w:r>
    </w:p>
  </w:footnote>
  <w:footnote w:type="continuationSeparator" w:id="0">
    <w:p w14:paraId="59185770" w14:textId="77777777" w:rsidR="004C7F64" w:rsidRDefault="004C7F64" w:rsidP="00F000BB">
      <w:pPr>
        <w:spacing w:after="0" w:line="240" w:lineRule="auto"/>
      </w:pPr>
      <w:r>
        <w:continuationSeparator/>
      </w:r>
    </w:p>
  </w:footnote>
  <w:footnote w:type="continuationNotice" w:id="1">
    <w:p w14:paraId="33A68EEB" w14:textId="77777777" w:rsidR="004C7F64" w:rsidRDefault="004C7F64">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5D16BE"/>
    <w:multiLevelType w:val="hybridMultilevel"/>
    <w:tmpl w:val="7C7AD03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5B65896"/>
    <w:multiLevelType w:val="multilevel"/>
    <w:tmpl w:val="57E0ABD8"/>
    <w:styleLink w:val="List6"/>
    <w:lvl w:ilvl="0">
      <w:start w:val="1"/>
      <w:numFmt w:val="bullet"/>
      <w:lvlText w:val="•"/>
      <w:lvlJc w:val="left"/>
      <w:pPr>
        <w:tabs>
          <w:tab w:val="num" w:pos="360"/>
        </w:tabs>
        <w:ind w:left="360" w:hanging="360"/>
      </w:pPr>
      <w:rPr>
        <w:rFonts w:ascii="Arial" w:eastAsia="Arial" w:hAnsi="Arial" w:cs="Arial"/>
        <w:position w:val="0"/>
        <w:sz w:val="22"/>
        <w:szCs w:val="22"/>
      </w:rPr>
    </w:lvl>
    <w:lvl w:ilvl="1">
      <w:start w:val="1"/>
      <w:numFmt w:val="bullet"/>
      <w:lvlText w:val="o"/>
      <w:lvlJc w:val="left"/>
      <w:pPr>
        <w:tabs>
          <w:tab w:val="num" w:pos="1080"/>
        </w:tabs>
        <w:ind w:left="1080" w:hanging="360"/>
      </w:pPr>
      <w:rPr>
        <w:rFonts w:ascii="Arial" w:eastAsia="Arial" w:hAnsi="Arial" w:cs="Arial"/>
        <w:position w:val="0"/>
        <w:sz w:val="22"/>
        <w:szCs w:val="22"/>
      </w:rPr>
    </w:lvl>
    <w:lvl w:ilvl="2">
      <w:start w:val="1"/>
      <w:numFmt w:val="bullet"/>
      <w:lvlText w:val="▪"/>
      <w:lvlJc w:val="left"/>
      <w:pPr>
        <w:tabs>
          <w:tab w:val="num" w:pos="1800"/>
        </w:tabs>
        <w:ind w:left="1800" w:hanging="360"/>
      </w:pPr>
      <w:rPr>
        <w:rFonts w:ascii="Arial" w:eastAsia="Arial" w:hAnsi="Arial" w:cs="Arial"/>
        <w:position w:val="0"/>
        <w:sz w:val="24"/>
        <w:szCs w:val="24"/>
      </w:rPr>
    </w:lvl>
    <w:lvl w:ilvl="3">
      <w:start w:val="1"/>
      <w:numFmt w:val="bullet"/>
      <w:lvlText w:val="•"/>
      <w:lvlJc w:val="left"/>
      <w:pPr>
        <w:tabs>
          <w:tab w:val="num" w:pos="2520"/>
        </w:tabs>
        <w:ind w:left="2520" w:hanging="360"/>
      </w:pPr>
      <w:rPr>
        <w:rFonts w:ascii="Arial" w:eastAsia="Arial" w:hAnsi="Arial" w:cs="Arial"/>
        <w:position w:val="0"/>
        <w:sz w:val="24"/>
        <w:szCs w:val="24"/>
      </w:rPr>
    </w:lvl>
    <w:lvl w:ilvl="4">
      <w:start w:val="1"/>
      <w:numFmt w:val="bullet"/>
      <w:lvlText w:val="o"/>
      <w:lvlJc w:val="left"/>
      <w:pPr>
        <w:tabs>
          <w:tab w:val="num" w:pos="3240"/>
        </w:tabs>
        <w:ind w:left="3240" w:hanging="360"/>
      </w:pPr>
      <w:rPr>
        <w:rFonts w:ascii="Arial" w:eastAsia="Arial" w:hAnsi="Arial" w:cs="Arial"/>
        <w:position w:val="0"/>
        <w:sz w:val="24"/>
        <w:szCs w:val="24"/>
      </w:rPr>
    </w:lvl>
    <w:lvl w:ilvl="5">
      <w:start w:val="1"/>
      <w:numFmt w:val="bullet"/>
      <w:lvlText w:val="▪"/>
      <w:lvlJc w:val="left"/>
      <w:pPr>
        <w:tabs>
          <w:tab w:val="num" w:pos="3960"/>
        </w:tabs>
        <w:ind w:left="3960" w:hanging="360"/>
      </w:pPr>
      <w:rPr>
        <w:rFonts w:ascii="Arial" w:eastAsia="Arial" w:hAnsi="Arial" w:cs="Arial"/>
        <w:position w:val="0"/>
        <w:sz w:val="24"/>
        <w:szCs w:val="24"/>
      </w:rPr>
    </w:lvl>
    <w:lvl w:ilvl="6">
      <w:start w:val="1"/>
      <w:numFmt w:val="bullet"/>
      <w:lvlText w:val="•"/>
      <w:lvlJc w:val="left"/>
      <w:pPr>
        <w:tabs>
          <w:tab w:val="num" w:pos="4680"/>
        </w:tabs>
        <w:ind w:left="4680" w:hanging="360"/>
      </w:pPr>
      <w:rPr>
        <w:rFonts w:ascii="Arial" w:eastAsia="Arial" w:hAnsi="Arial" w:cs="Arial"/>
        <w:position w:val="0"/>
        <w:sz w:val="24"/>
        <w:szCs w:val="24"/>
      </w:rPr>
    </w:lvl>
    <w:lvl w:ilvl="7">
      <w:start w:val="1"/>
      <w:numFmt w:val="bullet"/>
      <w:lvlText w:val="o"/>
      <w:lvlJc w:val="left"/>
      <w:pPr>
        <w:tabs>
          <w:tab w:val="num" w:pos="5400"/>
        </w:tabs>
        <w:ind w:left="5400" w:hanging="360"/>
      </w:pPr>
      <w:rPr>
        <w:rFonts w:ascii="Arial" w:eastAsia="Arial" w:hAnsi="Arial" w:cs="Arial"/>
        <w:position w:val="0"/>
        <w:sz w:val="24"/>
        <w:szCs w:val="24"/>
      </w:rPr>
    </w:lvl>
    <w:lvl w:ilvl="8">
      <w:start w:val="1"/>
      <w:numFmt w:val="bullet"/>
      <w:lvlText w:val="▪"/>
      <w:lvlJc w:val="left"/>
      <w:pPr>
        <w:tabs>
          <w:tab w:val="num" w:pos="6120"/>
        </w:tabs>
        <w:ind w:left="6120" w:hanging="360"/>
      </w:pPr>
      <w:rPr>
        <w:rFonts w:ascii="Arial" w:eastAsia="Arial" w:hAnsi="Arial" w:cs="Arial"/>
        <w:position w:val="0"/>
        <w:sz w:val="24"/>
        <w:szCs w:val="24"/>
      </w:rPr>
    </w:lvl>
  </w:abstractNum>
  <w:abstractNum w:abstractNumId="2" w15:restartNumberingAfterBreak="0">
    <w:nsid w:val="064C3DB4"/>
    <w:multiLevelType w:val="multilevel"/>
    <w:tmpl w:val="A40023E2"/>
    <w:styleLink w:val="List8"/>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3"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4" w15:restartNumberingAfterBreak="0">
    <w:nsid w:val="0FC81F1F"/>
    <w:multiLevelType w:val="hybridMultilevel"/>
    <w:tmpl w:val="3572C940"/>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1FF0989"/>
    <w:multiLevelType w:val="hybridMultilevel"/>
    <w:tmpl w:val="C7049584"/>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5662065"/>
    <w:multiLevelType w:val="hybridMultilevel"/>
    <w:tmpl w:val="8188A0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B0C5284"/>
    <w:multiLevelType w:val="hybridMultilevel"/>
    <w:tmpl w:val="833878BC"/>
    <w:lvl w:ilvl="0" w:tplc="08090001">
      <w:start w:val="1"/>
      <w:numFmt w:val="bullet"/>
      <w:lvlText w:val=""/>
      <w:lvlJc w:val="left"/>
      <w:pPr>
        <w:ind w:left="720" w:hanging="360"/>
      </w:pPr>
      <w:rPr>
        <w:rFonts w:ascii="Symbol" w:hAnsi="Symbol" w:hint="default"/>
      </w:rPr>
    </w:lvl>
    <w:lvl w:ilvl="1" w:tplc="8E22511E">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0545D40"/>
    <w:multiLevelType w:val="hybridMultilevel"/>
    <w:tmpl w:val="4D08AC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1ED39A7"/>
    <w:multiLevelType w:val="hybridMultilevel"/>
    <w:tmpl w:val="76D098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1" w15:restartNumberingAfterBreak="0">
    <w:nsid w:val="24D52A62"/>
    <w:multiLevelType w:val="hybridMultilevel"/>
    <w:tmpl w:val="6CF8E08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2" w15:restartNumberingAfterBreak="0">
    <w:nsid w:val="26D16856"/>
    <w:multiLevelType w:val="hybridMultilevel"/>
    <w:tmpl w:val="36EEB8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7120F08"/>
    <w:multiLevelType w:val="hybridMultilevel"/>
    <w:tmpl w:val="715EB928"/>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737153E"/>
    <w:multiLevelType w:val="hybridMultilevel"/>
    <w:tmpl w:val="20F6F1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89059E9"/>
    <w:multiLevelType w:val="hybridMultilevel"/>
    <w:tmpl w:val="1C788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B6E5173"/>
    <w:multiLevelType w:val="hybridMultilevel"/>
    <w:tmpl w:val="ECF28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C020D9B"/>
    <w:multiLevelType w:val="hybridMultilevel"/>
    <w:tmpl w:val="C4103552"/>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3A90AB68"/>
    <w:multiLevelType w:val="hybridMultilevel"/>
    <w:tmpl w:val="C8CE0C18"/>
    <w:lvl w:ilvl="0" w:tplc="3E548D42">
      <w:start w:val="1"/>
      <w:numFmt w:val="bullet"/>
      <w:lvlText w:val=""/>
      <w:lvlJc w:val="left"/>
      <w:pPr>
        <w:ind w:left="360" w:hanging="360"/>
      </w:pPr>
      <w:rPr>
        <w:rFonts w:ascii="Symbol" w:hAnsi="Symbol" w:hint="default"/>
      </w:rPr>
    </w:lvl>
    <w:lvl w:ilvl="1" w:tplc="9E849B48">
      <w:start w:val="1"/>
      <w:numFmt w:val="bullet"/>
      <w:lvlText w:val="o"/>
      <w:lvlJc w:val="left"/>
      <w:pPr>
        <w:ind w:left="1080" w:hanging="360"/>
      </w:pPr>
      <w:rPr>
        <w:rFonts w:ascii="Courier New" w:hAnsi="Courier New" w:hint="default"/>
      </w:rPr>
    </w:lvl>
    <w:lvl w:ilvl="2" w:tplc="BB66BA6C">
      <w:start w:val="1"/>
      <w:numFmt w:val="bullet"/>
      <w:lvlText w:val=""/>
      <w:lvlJc w:val="left"/>
      <w:pPr>
        <w:ind w:left="1800" w:hanging="360"/>
      </w:pPr>
      <w:rPr>
        <w:rFonts w:ascii="Wingdings" w:hAnsi="Wingdings" w:hint="default"/>
      </w:rPr>
    </w:lvl>
    <w:lvl w:ilvl="3" w:tplc="7772E1C6">
      <w:start w:val="1"/>
      <w:numFmt w:val="bullet"/>
      <w:lvlText w:val=""/>
      <w:lvlJc w:val="left"/>
      <w:pPr>
        <w:ind w:left="2520" w:hanging="360"/>
      </w:pPr>
      <w:rPr>
        <w:rFonts w:ascii="Symbol" w:hAnsi="Symbol" w:hint="default"/>
      </w:rPr>
    </w:lvl>
    <w:lvl w:ilvl="4" w:tplc="0D6890AA">
      <w:start w:val="1"/>
      <w:numFmt w:val="bullet"/>
      <w:lvlText w:val="o"/>
      <w:lvlJc w:val="left"/>
      <w:pPr>
        <w:ind w:left="3240" w:hanging="360"/>
      </w:pPr>
      <w:rPr>
        <w:rFonts w:ascii="Courier New" w:hAnsi="Courier New" w:hint="default"/>
      </w:rPr>
    </w:lvl>
    <w:lvl w:ilvl="5" w:tplc="4B849234">
      <w:start w:val="1"/>
      <w:numFmt w:val="bullet"/>
      <w:lvlText w:val=""/>
      <w:lvlJc w:val="left"/>
      <w:pPr>
        <w:ind w:left="3960" w:hanging="360"/>
      </w:pPr>
      <w:rPr>
        <w:rFonts w:ascii="Wingdings" w:hAnsi="Wingdings" w:hint="default"/>
      </w:rPr>
    </w:lvl>
    <w:lvl w:ilvl="6" w:tplc="471E9DB6">
      <w:start w:val="1"/>
      <w:numFmt w:val="bullet"/>
      <w:lvlText w:val=""/>
      <w:lvlJc w:val="left"/>
      <w:pPr>
        <w:ind w:left="4680" w:hanging="360"/>
      </w:pPr>
      <w:rPr>
        <w:rFonts w:ascii="Symbol" w:hAnsi="Symbol" w:hint="default"/>
      </w:rPr>
    </w:lvl>
    <w:lvl w:ilvl="7" w:tplc="D67E3B78">
      <w:start w:val="1"/>
      <w:numFmt w:val="bullet"/>
      <w:lvlText w:val="o"/>
      <w:lvlJc w:val="left"/>
      <w:pPr>
        <w:ind w:left="5400" w:hanging="360"/>
      </w:pPr>
      <w:rPr>
        <w:rFonts w:ascii="Courier New" w:hAnsi="Courier New" w:hint="default"/>
      </w:rPr>
    </w:lvl>
    <w:lvl w:ilvl="8" w:tplc="E78209CE">
      <w:start w:val="1"/>
      <w:numFmt w:val="bullet"/>
      <w:lvlText w:val=""/>
      <w:lvlJc w:val="left"/>
      <w:pPr>
        <w:ind w:left="6120" w:hanging="360"/>
      </w:pPr>
      <w:rPr>
        <w:rFonts w:ascii="Wingdings" w:hAnsi="Wingdings" w:hint="default"/>
      </w:rPr>
    </w:lvl>
  </w:abstractNum>
  <w:abstractNum w:abstractNumId="19" w15:restartNumberingAfterBreak="0">
    <w:nsid w:val="3CFA77C6"/>
    <w:multiLevelType w:val="multilevel"/>
    <w:tmpl w:val="8BB8B9C8"/>
    <w:styleLink w:val="List1"/>
    <w:lvl w:ilvl="0">
      <w:start w:val="9"/>
      <w:numFmt w:val="lowerRoman"/>
      <w:lvlText w:val="%1."/>
      <w:lvlJc w:val="left"/>
      <w:pPr>
        <w:tabs>
          <w:tab w:val="num" w:pos="617"/>
        </w:tabs>
        <w:ind w:left="617" w:hanging="373"/>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20" w15:restartNumberingAfterBreak="0">
    <w:nsid w:val="3FCF3881"/>
    <w:multiLevelType w:val="multilevel"/>
    <w:tmpl w:val="F54867C8"/>
    <w:styleLink w:val="List10"/>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21" w15:restartNumberingAfterBreak="0">
    <w:nsid w:val="41E94BBD"/>
    <w:multiLevelType w:val="multilevel"/>
    <w:tmpl w:val="98B83348"/>
    <w:styleLink w:val="List51"/>
    <w:lvl w:ilvl="0">
      <w:start w:val="3"/>
      <w:numFmt w:val="lowerLetter"/>
      <w:lvlText w:val="%1."/>
      <w:lvlJc w:val="left"/>
      <w:pPr>
        <w:tabs>
          <w:tab w:val="num" w:pos="1440"/>
        </w:tabs>
        <w:ind w:left="1440" w:hanging="720"/>
      </w:pPr>
      <w:rPr>
        <w:rFonts w:ascii="Arial Bold" w:eastAsia="Arial Bold" w:hAnsi="Arial Bold" w:cs="Arial Bold"/>
        <w:position w:val="0"/>
        <w:sz w:val="24"/>
        <w:szCs w:val="24"/>
      </w:rPr>
    </w:lvl>
    <w:lvl w:ilvl="1">
      <w:start w:val="1"/>
      <w:numFmt w:val="lowerLetter"/>
      <w:lvlText w:val="%2."/>
      <w:lvlJc w:val="left"/>
      <w:pPr>
        <w:tabs>
          <w:tab w:val="num" w:pos="2160"/>
        </w:tabs>
        <w:ind w:left="2160" w:hanging="360"/>
      </w:pPr>
      <w:rPr>
        <w:rFonts w:ascii="Arial Bold" w:eastAsia="Arial Bold" w:hAnsi="Arial Bold" w:cs="Arial Bold"/>
        <w:position w:val="0"/>
        <w:sz w:val="24"/>
        <w:szCs w:val="24"/>
      </w:rPr>
    </w:lvl>
    <w:lvl w:ilvl="2">
      <w:start w:val="1"/>
      <w:numFmt w:val="lowerRoman"/>
      <w:lvlText w:val="%3."/>
      <w:lvlJc w:val="left"/>
      <w:pPr>
        <w:tabs>
          <w:tab w:val="num" w:pos="2880"/>
        </w:tabs>
        <w:ind w:left="2880" w:hanging="296"/>
      </w:pPr>
      <w:rPr>
        <w:rFonts w:ascii="Arial Bold" w:eastAsia="Arial Bold" w:hAnsi="Arial Bold" w:cs="Arial Bold"/>
        <w:position w:val="0"/>
        <w:sz w:val="24"/>
        <w:szCs w:val="24"/>
      </w:rPr>
    </w:lvl>
    <w:lvl w:ilvl="3">
      <w:start w:val="1"/>
      <w:numFmt w:val="decimal"/>
      <w:lvlText w:val="%4."/>
      <w:lvlJc w:val="left"/>
      <w:pPr>
        <w:tabs>
          <w:tab w:val="num" w:pos="3600"/>
        </w:tabs>
        <w:ind w:left="3600" w:hanging="360"/>
      </w:pPr>
      <w:rPr>
        <w:rFonts w:ascii="Arial Bold" w:eastAsia="Arial Bold" w:hAnsi="Arial Bold" w:cs="Arial Bold"/>
        <w:position w:val="0"/>
        <w:sz w:val="24"/>
        <w:szCs w:val="24"/>
      </w:rPr>
    </w:lvl>
    <w:lvl w:ilvl="4">
      <w:start w:val="1"/>
      <w:numFmt w:val="lowerLetter"/>
      <w:lvlText w:val="%5."/>
      <w:lvlJc w:val="left"/>
      <w:pPr>
        <w:tabs>
          <w:tab w:val="num" w:pos="4320"/>
        </w:tabs>
        <w:ind w:left="4320" w:hanging="360"/>
      </w:pPr>
      <w:rPr>
        <w:rFonts w:ascii="Arial Bold" w:eastAsia="Arial Bold" w:hAnsi="Arial Bold" w:cs="Arial Bold"/>
        <w:position w:val="0"/>
        <w:sz w:val="24"/>
        <w:szCs w:val="24"/>
      </w:rPr>
    </w:lvl>
    <w:lvl w:ilvl="5">
      <w:start w:val="1"/>
      <w:numFmt w:val="lowerRoman"/>
      <w:lvlText w:val="%6."/>
      <w:lvlJc w:val="left"/>
      <w:pPr>
        <w:tabs>
          <w:tab w:val="num" w:pos="5040"/>
        </w:tabs>
        <w:ind w:left="5040" w:hanging="296"/>
      </w:pPr>
      <w:rPr>
        <w:rFonts w:ascii="Arial Bold" w:eastAsia="Arial Bold" w:hAnsi="Arial Bold" w:cs="Arial Bold"/>
        <w:position w:val="0"/>
        <w:sz w:val="24"/>
        <w:szCs w:val="24"/>
      </w:rPr>
    </w:lvl>
    <w:lvl w:ilvl="6">
      <w:start w:val="1"/>
      <w:numFmt w:val="decimal"/>
      <w:lvlText w:val="%7."/>
      <w:lvlJc w:val="left"/>
      <w:pPr>
        <w:tabs>
          <w:tab w:val="num" w:pos="5760"/>
        </w:tabs>
        <w:ind w:left="5760" w:hanging="360"/>
      </w:pPr>
      <w:rPr>
        <w:rFonts w:ascii="Arial Bold" w:eastAsia="Arial Bold" w:hAnsi="Arial Bold" w:cs="Arial Bold"/>
        <w:position w:val="0"/>
        <w:sz w:val="24"/>
        <w:szCs w:val="24"/>
      </w:rPr>
    </w:lvl>
    <w:lvl w:ilvl="7">
      <w:start w:val="1"/>
      <w:numFmt w:val="lowerLetter"/>
      <w:lvlText w:val="%8."/>
      <w:lvlJc w:val="left"/>
      <w:pPr>
        <w:tabs>
          <w:tab w:val="num" w:pos="6480"/>
        </w:tabs>
        <w:ind w:left="6480" w:hanging="360"/>
      </w:pPr>
      <w:rPr>
        <w:rFonts w:ascii="Arial Bold" w:eastAsia="Arial Bold" w:hAnsi="Arial Bold" w:cs="Arial Bold"/>
        <w:position w:val="0"/>
        <w:sz w:val="24"/>
        <w:szCs w:val="24"/>
      </w:rPr>
    </w:lvl>
    <w:lvl w:ilvl="8">
      <w:start w:val="1"/>
      <w:numFmt w:val="lowerRoman"/>
      <w:lvlText w:val="%9."/>
      <w:lvlJc w:val="left"/>
      <w:pPr>
        <w:tabs>
          <w:tab w:val="num" w:pos="7200"/>
        </w:tabs>
        <w:ind w:left="7200" w:hanging="296"/>
      </w:pPr>
      <w:rPr>
        <w:rFonts w:ascii="Arial Bold" w:eastAsia="Arial Bold" w:hAnsi="Arial Bold" w:cs="Arial Bold"/>
        <w:position w:val="0"/>
        <w:sz w:val="24"/>
        <w:szCs w:val="24"/>
      </w:rPr>
    </w:lvl>
  </w:abstractNum>
  <w:abstractNum w:abstractNumId="22" w15:restartNumberingAfterBreak="0">
    <w:nsid w:val="44D7366F"/>
    <w:multiLevelType w:val="hybridMultilevel"/>
    <w:tmpl w:val="DFF0B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5406D09"/>
    <w:multiLevelType w:val="hybridMultilevel"/>
    <w:tmpl w:val="FBC68E28"/>
    <w:lvl w:ilvl="0" w:tplc="0C5A1F9A">
      <w:start w:val="1"/>
      <w:numFmt w:val="bullet"/>
      <w:pStyle w:val="kdjfjdkljkldjf"/>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4" w15:restartNumberingAfterBreak="0">
    <w:nsid w:val="535E0B34"/>
    <w:multiLevelType w:val="hybridMultilevel"/>
    <w:tmpl w:val="F9C0CE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5793C07"/>
    <w:multiLevelType w:val="multilevel"/>
    <w:tmpl w:val="0D6E7C98"/>
    <w:styleLink w:val="List41"/>
    <w:lvl w:ilvl="0">
      <w:start w:val="1"/>
      <w:numFmt w:val="lowerLetter"/>
      <w:lvlText w:val="%1."/>
      <w:lvlJc w:val="left"/>
      <w:rPr>
        <w:rFonts w:ascii="Arial Bold" w:eastAsia="Arial Bold" w:hAnsi="Arial Bold" w:cs="Arial Bold"/>
        <w:position w:val="0"/>
      </w:rPr>
    </w:lvl>
    <w:lvl w:ilvl="1">
      <w:start w:val="1"/>
      <w:numFmt w:val="lowerLetter"/>
      <w:lvlText w:val="%2."/>
      <w:lvlJc w:val="left"/>
      <w:rPr>
        <w:rFonts w:ascii="Arial Bold" w:eastAsia="Arial Bold" w:hAnsi="Arial Bold" w:cs="Arial Bold"/>
        <w:position w:val="0"/>
      </w:rPr>
    </w:lvl>
    <w:lvl w:ilvl="2">
      <w:start w:val="1"/>
      <w:numFmt w:val="lowerRoman"/>
      <w:lvlText w:val="%3."/>
      <w:lvlJc w:val="left"/>
      <w:rPr>
        <w:rFonts w:ascii="Arial Bold" w:eastAsia="Arial Bold" w:hAnsi="Arial Bold" w:cs="Arial Bold"/>
        <w:position w:val="0"/>
      </w:rPr>
    </w:lvl>
    <w:lvl w:ilvl="3">
      <w:start w:val="1"/>
      <w:numFmt w:val="decimal"/>
      <w:lvlText w:val="%4."/>
      <w:lvlJc w:val="left"/>
      <w:rPr>
        <w:rFonts w:ascii="Arial Bold" w:eastAsia="Arial Bold" w:hAnsi="Arial Bold" w:cs="Arial Bold"/>
        <w:position w:val="0"/>
      </w:rPr>
    </w:lvl>
    <w:lvl w:ilvl="4">
      <w:start w:val="1"/>
      <w:numFmt w:val="lowerLetter"/>
      <w:lvlText w:val="%5."/>
      <w:lvlJc w:val="left"/>
      <w:rPr>
        <w:rFonts w:ascii="Arial Bold" w:eastAsia="Arial Bold" w:hAnsi="Arial Bold" w:cs="Arial Bold"/>
        <w:position w:val="0"/>
      </w:rPr>
    </w:lvl>
    <w:lvl w:ilvl="5">
      <w:start w:val="1"/>
      <w:numFmt w:val="lowerRoman"/>
      <w:lvlText w:val="%6."/>
      <w:lvlJc w:val="left"/>
      <w:rPr>
        <w:rFonts w:ascii="Arial Bold" w:eastAsia="Arial Bold" w:hAnsi="Arial Bold" w:cs="Arial Bold"/>
        <w:position w:val="0"/>
      </w:rPr>
    </w:lvl>
    <w:lvl w:ilvl="6">
      <w:start w:val="1"/>
      <w:numFmt w:val="decimal"/>
      <w:lvlText w:val="%7."/>
      <w:lvlJc w:val="left"/>
      <w:rPr>
        <w:rFonts w:ascii="Arial Bold" w:eastAsia="Arial Bold" w:hAnsi="Arial Bold" w:cs="Arial Bold"/>
        <w:position w:val="0"/>
      </w:rPr>
    </w:lvl>
    <w:lvl w:ilvl="7">
      <w:start w:val="1"/>
      <w:numFmt w:val="lowerLetter"/>
      <w:lvlText w:val="%8."/>
      <w:lvlJc w:val="left"/>
      <w:rPr>
        <w:rFonts w:ascii="Arial Bold" w:eastAsia="Arial Bold" w:hAnsi="Arial Bold" w:cs="Arial Bold"/>
        <w:position w:val="0"/>
      </w:rPr>
    </w:lvl>
    <w:lvl w:ilvl="8">
      <w:start w:val="1"/>
      <w:numFmt w:val="lowerRoman"/>
      <w:lvlText w:val="%9."/>
      <w:lvlJc w:val="left"/>
      <w:rPr>
        <w:rFonts w:ascii="Arial Bold" w:eastAsia="Arial Bold" w:hAnsi="Arial Bold" w:cs="Arial Bold"/>
        <w:position w:val="0"/>
      </w:rPr>
    </w:lvl>
  </w:abstractNum>
  <w:abstractNum w:abstractNumId="26" w15:restartNumberingAfterBreak="0">
    <w:nsid w:val="566F1655"/>
    <w:multiLevelType w:val="hybridMultilevel"/>
    <w:tmpl w:val="5290CB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 w15:restartNumberingAfterBreak="0">
    <w:nsid w:val="5D705828"/>
    <w:multiLevelType w:val="hybridMultilevel"/>
    <w:tmpl w:val="750A5D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DE3143F"/>
    <w:multiLevelType w:val="multilevel"/>
    <w:tmpl w:val="D3BC76FE"/>
    <w:styleLink w:val="List9"/>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30" w15:restartNumberingAfterBreak="0">
    <w:nsid w:val="63655AD8"/>
    <w:multiLevelType w:val="hybridMultilevel"/>
    <w:tmpl w:val="AA1ED7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4EF7B0C"/>
    <w:multiLevelType w:val="hybridMultilevel"/>
    <w:tmpl w:val="8A708FCA"/>
    <w:lvl w:ilvl="0" w:tplc="FFFFFFFF">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676B327A"/>
    <w:multiLevelType w:val="multilevel"/>
    <w:tmpl w:val="5498ABAA"/>
    <w:styleLink w:val="List31"/>
    <w:lvl w:ilvl="0">
      <w:start w:val="4"/>
      <w:numFmt w:val="bullet"/>
      <w:lvlText w:val="•"/>
      <w:lvlJc w:val="left"/>
      <w:rPr>
        <w:rFonts w:ascii="Arial Bold" w:eastAsia="Arial Bold" w:hAnsi="Arial Bold" w:cs="Arial Bold"/>
        <w:position w:val="0"/>
      </w:rPr>
    </w:lvl>
    <w:lvl w:ilvl="1">
      <w:start w:val="1"/>
      <w:numFmt w:val="bullet"/>
      <w:lvlText w:val="o"/>
      <w:lvlJc w:val="left"/>
      <w:rPr>
        <w:rFonts w:ascii="Arial Bold" w:eastAsia="Arial Bold" w:hAnsi="Arial Bold" w:cs="Arial Bold"/>
        <w:position w:val="0"/>
      </w:rPr>
    </w:lvl>
    <w:lvl w:ilvl="2">
      <w:start w:val="1"/>
      <w:numFmt w:val="bullet"/>
      <w:lvlText w:val="▪"/>
      <w:lvlJc w:val="left"/>
      <w:rPr>
        <w:rFonts w:ascii="Arial Bold" w:eastAsia="Arial Bold" w:hAnsi="Arial Bold" w:cs="Arial Bold"/>
        <w:position w:val="0"/>
      </w:rPr>
    </w:lvl>
    <w:lvl w:ilvl="3">
      <w:start w:val="1"/>
      <w:numFmt w:val="bullet"/>
      <w:lvlText w:val="•"/>
      <w:lvlJc w:val="left"/>
      <w:rPr>
        <w:rFonts w:ascii="Arial Bold" w:eastAsia="Arial Bold" w:hAnsi="Arial Bold" w:cs="Arial Bold"/>
        <w:position w:val="0"/>
      </w:rPr>
    </w:lvl>
    <w:lvl w:ilvl="4">
      <w:start w:val="1"/>
      <w:numFmt w:val="bullet"/>
      <w:lvlText w:val="o"/>
      <w:lvlJc w:val="left"/>
      <w:rPr>
        <w:rFonts w:ascii="Arial Bold" w:eastAsia="Arial Bold" w:hAnsi="Arial Bold" w:cs="Arial Bold"/>
        <w:position w:val="0"/>
      </w:rPr>
    </w:lvl>
    <w:lvl w:ilvl="5">
      <w:start w:val="1"/>
      <w:numFmt w:val="bullet"/>
      <w:lvlText w:val="▪"/>
      <w:lvlJc w:val="left"/>
      <w:rPr>
        <w:rFonts w:ascii="Arial Bold" w:eastAsia="Arial Bold" w:hAnsi="Arial Bold" w:cs="Arial Bold"/>
        <w:position w:val="0"/>
      </w:rPr>
    </w:lvl>
    <w:lvl w:ilvl="6">
      <w:start w:val="1"/>
      <w:numFmt w:val="bullet"/>
      <w:lvlText w:val="•"/>
      <w:lvlJc w:val="left"/>
      <w:rPr>
        <w:rFonts w:ascii="Arial Bold" w:eastAsia="Arial Bold" w:hAnsi="Arial Bold" w:cs="Arial Bold"/>
        <w:position w:val="0"/>
      </w:rPr>
    </w:lvl>
    <w:lvl w:ilvl="7">
      <w:start w:val="1"/>
      <w:numFmt w:val="bullet"/>
      <w:lvlText w:val="o"/>
      <w:lvlJc w:val="left"/>
      <w:rPr>
        <w:rFonts w:ascii="Arial Bold" w:eastAsia="Arial Bold" w:hAnsi="Arial Bold" w:cs="Arial Bold"/>
        <w:position w:val="0"/>
      </w:rPr>
    </w:lvl>
    <w:lvl w:ilvl="8">
      <w:start w:val="1"/>
      <w:numFmt w:val="bullet"/>
      <w:lvlText w:val="▪"/>
      <w:lvlJc w:val="left"/>
      <w:rPr>
        <w:rFonts w:ascii="Arial Bold" w:eastAsia="Arial Bold" w:hAnsi="Arial Bold" w:cs="Arial Bold"/>
        <w:position w:val="0"/>
      </w:rPr>
    </w:lvl>
  </w:abstractNum>
  <w:abstractNum w:abstractNumId="33" w15:restartNumberingAfterBreak="0">
    <w:nsid w:val="69152ABC"/>
    <w:multiLevelType w:val="hybridMultilevel"/>
    <w:tmpl w:val="8514BFAC"/>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34" w15:restartNumberingAfterBreak="0">
    <w:nsid w:val="6A672F85"/>
    <w:multiLevelType w:val="hybridMultilevel"/>
    <w:tmpl w:val="61AEEC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DA47D08"/>
    <w:multiLevelType w:val="hybridMultilevel"/>
    <w:tmpl w:val="F32691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6" w15:restartNumberingAfterBreak="0">
    <w:nsid w:val="6F2648A1"/>
    <w:multiLevelType w:val="multilevel"/>
    <w:tmpl w:val="1D5CAD94"/>
    <w:styleLink w:val="List7"/>
    <w:lvl w:ilvl="0">
      <w:start w:val="11"/>
      <w:numFmt w:val="lowerRoman"/>
      <w:lvlText w:val="%1."/>
      <w:lvlJc w:val="left"/>
      <w:pPr>
        <w:tabs>
          <w:tab w:val="num" w:pos="617"/>
        </w:tabs>
        <w:ind w:left="617" w:hanging="475"/>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37" w15:restartNumberingAfterBreak="0">
    <w:nsid w:val="72A03E3B"/>
    <w:multiLevelType w:val="hybridMultilevel"/>
    <w:tmpl w:val="5B229C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3915167"/>
    <w:multiLevelType w:val="hybridMultilevel"/>
    <w:tmpl w:val="5F826C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4F64049"/>
    <w:multiLevelType w:val="hybridMultilevel"/>
    <w:tmpl w:val="D1647C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BFB0EAE"/>
    <w:multiLevelType w:val="hybridMultilevel"/>
    <w:tmpl w:val="A61E7D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90834558">
    <w:abstractNumId w:val="18"/>
  </w:num>
  <w:num w:numId="2" w16cid:durableId="1681079538">
    <w:abstractNumId w:val="37"/>
  </w:num>
  <w:num w:numId="3" w16cid:durableId="1028331927">
    <w:abstractNumId w:val="10"/>
  </w:num>
  <w:num w:numId="4" w16cid:durableId="848299106">
    <w:abstractNumId w:val="3"/>
  </w:num>
  <w:num w:numId="5" w16cid:durableId="818885453">
    <w:abstractNumId w:val="32"/>
  </w:num>
  <w:num w:numId="6" w16cid:durableId="917135409">
    <w:abstractNumId w:val="25"/>
  </w:num>
  <w:num w:numId="7" w16cid:durableId="1990666651">
    <w:abstractNumId w:val="21"/>
  </w:num>
  <w:num w:numId="8" w16cid:durableId="666638423">
    <w:abstractNumId w:val="1"/>
  </w:num>
  <w:num w:numId="9" w16cid:durableId="638190606">
    <w:abstractNumId w:val="2"/>
  </w:num>
  <w:num w:numId="10" w16cid:durableId="1690176419">
    <w:abstractNumId w:val="29"/>
  </w:num>
  <w:num w:numId="11" w16cid:durableId="1290745679">
    <w:abstractNumId w:val="19"/>
  </w:num>
  <w:num w:numId="12" w16cid:durableId="30618091">
    <w:abstractNumId w:val="36"/>
  </w:num>
  <w:num w:numId="13" w16cid:durableId="1949700817">
    <w:abstractNumId w:val="27"/>
  </w:num>
  <w:num w:numId="14" w16cid:durableId="110515139">
    <w:abstractNumId w:val="20"/>
  </w:num>
  <w:num w:numId="15" w16cid:durableId="381710786">
    <w:abstractNumId w:val="23"/>
  </w:num>
  <w:num w:numId="16" w16cid:durableId="523176460">
    <w:abstractNumId w:val="13"/>
  </w:num>
  <w:num w:numId="17" w16cid:durableId="222369902">
    <w:abstractNumId w:val="16"/>
  </w:num>
  <w:num w:numId="18" w16cid:durableId="202989474">
    <w:abstractNumId w:val="39"/>
  </w:num>
  <w:num w:numId="19" w16cid:durableId="814026630">
    <w:abstractNumId w:val="31"/>
  </w:num>
  <w:num w:numId="20" w16cid:durableId="1254900337">
    <w:abstractNumId w:val="28"/>
  </w:num>
  <w:num w:numId="21" w16cid:durableId="2024895437">
    <w:abstractNumId w:val="22"/>
  </w:num>
  <w:num w:numId="22" w16cid:durableId="475532089">
    <w:abstractNumId w:val="38"/>
  </w:num>
  <w:num w:numId="23" w16cid:durableId="956134388">
    <w:abstractNumId w:val="15"/>
  </w:num>
  <w:num w:numId="24" w16cid:durableId="1101729111">
    <w:abstractNumId w:val="34"/>
  </w:num>
  <w:num w:numId="25" w16cid:durableId="1710454810">
    <w:abstractNumId w:val="14"/>
  </w:num>
  <w:num w:numId="26" w16cid:durableId="954606040">
    <w:abstractNumId w:val="37"/>
  </w:num>
  <w:num w:numId="27" w16cid:durableId="923295251">
    <w:abstractNumId w:val="37"/>
  </w:num>
  <w:num w:numId="28" w16cid:durableId="1659843902">
    <w:abstractNumId w:val="6"/>
  </w:num>
  <w:num w:numId="29" w16cid:durableId="2118871176">
    <w:abstractNumId w:val="9"/>
  </w:num>
  <w:num w:numId="30" w16cid:durableId="1235631283">
    <w:abstractNumId w:val="35"/>
  </w:num>
  <w:num w:numId="31" w16cid:durableId="1192572516">
    <w:abstractNumId w:val="24"/>
  </w:num>
  <w:num w:numId="32" w16cid:durableId="1274703797">
    <w:abstractNumId w:val="33"/>
  </w:num>
  <w:num w:numId="33" w16cid:durableId="2082635676">
    <w:abstractNumId w:val="8"/>
  </w:num>
  <w:num w:numId="34" w16cid:durableId="876699842">
    <w:abstractNumId w:val="30"/>
  </w:num>
  <w:num w:numId="35" w16cid:durableId="241061934">
    <w:abstractNumId w:val="26"/>
  </w:num>
  <w:num w:numId="36" w16cid:durableId="1605461297">
    <w:abstractNumId w:val="12"/>
  </w:num>
  <w:num w:numId="37" w16cid:durableId="531110582">
    <w:abstractNumId w:val="4"/>
  </w:num>
  <w:num w:numId="38" w16cid:durableId="57703813">
    <w:abstractNumId w:val="5"/>
  </w:num>
  <w:num w:numId="39" w16cid:durableId="1544097826">
    <w:abstractNumId w:val="17"/>
  </w:num>
  <w:num w:numId="40" w16cid:durableId="1992173756">
    <w:abstractNumId w:val="0"/>
  </w:num>
  <w:num w:numId="41" w16cid:durableId="146868596">
    <w:abstractNumId w:val="7"/>
  </w:num>
  <w:num w:numId="42" w16cid:durableId="1552501608">
    <w:abstractNumId w:val="11"/>
  </w:num>
  <w:num w:numId="43" w16cid:durableId="1406804746">
    <w:abstractNumId w:val="40"/>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378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06B"/>
    <w:rsid w:val="000003AA"/>
    <w:rsid w:val="00000F7A"/>
    <w:rsid w:val="00001273"/>
    <w:rsid w:val="0000215A"/>
    <w:rsid w:val="000023DE"/>
    <w:rsid w:val="000031A4"/>
    <w:rsid w:val="00003387"/>
    <w:rsid w:val="000034F0"/>
    <w:rsid w:val="0000388E"/>
    <w:rsid w:val="0000443F"/>
    <w:rsid w:val="00004597"/>
    <w:rsid w:val="0000462C"/>
    <w:rsid w:val="00004EB7"/>
    <w:rsid w:val="000059A8"/>
    <w:rsid w:val="0000677D"/>
    <w:rsid w:val="00007934"/>
    <w:rsid w:val="00010017"/>
    <w:rsid w:val="0001080C"/>
    <w:rsid w:val="00010A9A"/>
    <w:rsid w:val="0001138A"/>
    <w:rsid w:val="000118F8"/>
    <w:rsid w:val="000121E4"/>
    <w:rsid w:val="00012562"/>
    <w:rsid w:val="00012A53"/>
    <w:rsid w:val="00012BEF"/>
    <w:rsid w:val="00012F4F"/>
    <w:rsid w:val="00013704"/>
    <w:rsid w:val="000151E2"/>
    <w:rsid w:val="00015240"/>
    <w:rsid w:val="000152EF"/>
    <w:rsid w:val="000153E7"/>
    <w:rsid w:val="00016A2A"/>
    <w:rsid w:val="00016FD6"/>
    <w:rsid w:val="00017089"/>
    <w:rsid w:val="000172C8"/>
    <w:rsid w:val="000178FE"/>
    <w:rsid w:val="00017EB2"/>
    <w:rsid w:val="0002025A"/>
    <w:rsid w:val="0002098E"/>
    <w:rsid w:val="00020FF0"/>
    <w:rsid w:val="000210B9"/>
    <w:rsid w:val="000215CD"/>
    <w:rsid w:val="00021B93"/>
    <w:rsid w:val="0002293B"/>
    <w:rsid w:val="00022F5A"/>
    <w:rsid w:val="0002309E"/>
    <w:rsid w:val="00023282"/>
    <w:rsid w:val="000237B4"/>
    <w:rsid w:val="00023AEC"/>
    <w:rsid w:val="00025EEB"/>
    <w:rsid w:val="000265A0"/>
    <w:rsid w:val="0002665D"/>
    <w:rsid w:val="00026BC1"/>
    <w:rsid w:val="00026D51"/>
    <w:rsid w:val="00026D98"/>
    <w:rsid w:val="00030341"/>
    <w:rsid w:val="00030615"/>
    <w:rsid w:val="0003092D"/>
    <w:rsid w:val="00030D55"/>
    <w:rsid w:val="00031189"/>
    <w:rsid w:val="000312E2"/>
    <w:rsid w:val="000314F8"/>
    <w:rsid w:val="00031787"/>
    <w:rsid w:val="00031D34"/>
    <w:rsid w:val="0003271D"/>
    <w:rsid w:val="000328D2"/>
    <w:rsid w:val="00032AD0"/>
    <w:rsid w:val="00032AFD"/>
    <w:rsid w:val="0003326C"/>
    <w:rsid w:val="00033A51"/>
    <w:rsid w:val="00033D79"/>
    <w:rsid w:val="000344DA"/>
    <w:rsid w:val="00034E22"/>
    <w:rsid w:val="00035ACD"/>
    <w:rsid w:val="00035DA0"/>
    <w:rsid w:val="00035ECD"/>
    <w:rsid w:val="000378B7"/>
    <w:rsid w:val="00037945"/>
    <w:rsid w:val="00037B77"/>
    <w:rsid w:val="00037D4E"/>
    <w:rsid w:val="00040053"/>
    <w:rsid w:val="00040735"/>
    <w:rsid w:val="00040CDE"/>
    <w:rsid w:val="00040D22"/>
    <w:rsid w:val="000411A3"/>
    <w:rsid w:val="000417E6"/>
    <w:rsid w:val="00041F5B"/>
    <w:rsid w:val="00042AAF"/>
    <w:rsid w:val="0004342F"/>
    <w:rsid w:val="00043C6B"/>
    <w:rsid w:val="00043CE6"/>
    <w:rsid w:val="00043E7E"/>
    <w:rsid w:val="000447FB"/>
    <w:rsid w:val="0004482B"/>
    <w:rsid w:val="000461CD"/>
    <w:rsid w:val="0004754E"/>
    <w:rsid w:val="000475BD"/>
    <w:rsid w:val="00047DE0"/>
    <w:rsid w:val="00047F42"/>
    <w:rsid w:val="00050048"/>
    <w:rsid w:val="0005089F"/>
    <w:rsid w:val="0005129B"/>
    <w:rsid w:val="00051B8B"/>
    <w:rsid w:val="0005314C"/>
    <w:rsid w:val="0005380A"/>
    <w:rsid w:val="000538BA"/>
    <w:rsid w:val="000542D1"/>
    <w:rsid w:val="0005452C"/>
    <w:rsid w:val="00054E8F"/>
    <w:rsid w:val="000559F3"/>
    <w:rsid w:val="00057A1A"/>
    <w:rsid w:val="00057A85"/>
    <w:rsid w:val="000606AB"/>
    <w:rsid w:val="00060969"/>
    <w:rsid w:val="000609A7"/>
    <w:rsid w:val="00060A1F"/>
    <w:rsid w:val="000615BD"/>
    <w:rsid w:val="00061F39"/>
    <w:rsid w:val="00061FAD"/>
    <w:rsid w:val="00062061"/>
    <w:rsid w:val="000620C5"/>
    <w:rsid w:val="000628AA"/>
    <w:rsid w:val="000628CD"/>
    <w:rsid w:val="000629FA"/>
    <w:rsid w:val="00062A3C"/>
    <w:rsid w:val="0006391D"/>
    <w:rsid w:val="00063BE4"/>
    <w:rsid w:val="00064586"/>
    <w:rsid w:val="000648F0"/>
    <w:rsid w:val="00064A96"/>
    <w:rsid w:val="00064C10"/>
    <w:rsid w:val="00064DC9"/>
    <w:rsid w:val="000657E6"/>
    <w:rsid w:val="00065C0B"/>
    <w:rsid w:val="00066F4F"/>
    <w:rsid w:val="0006764B"/>
    <w:rsid w:val="00071492"/>
    <w:rsid w:val="00071A07"/>
    <w:rsid w:val="00071D9C"/>
    <w:rsid w:val="00071E10"/>
    <w:rsid w:val="0007209C"/>
    <w:rsid w:val="000723C4"/>
    <w:rsid w:val="0007293A"/>
    <w:rsid w:val="00072CE9"/>
    <w:rsid w:val="00073A50"/>
    <w:rsid w:val="00073DAA"/>
    <w:rsid w:val="00074060"/>
    <w:rsid w:val="000745AB"/>
    <w:rsid w:val="00074678"/>
    <w:rsid w:val="00075166"/>
    <w:rsid w:val="00075297"/>
    <w:rsid w:val="00075623"/>
    <w:rsid w:val="000762F2"/>
    <w:rsid w:val="000762F4"/>
    <w:rsid w:val="00076571"/>
    <w:rsid w:val="00076AC3"/>
    <w:rsid w:val="00076DE4"/>
    <w:rsid w:val="00076E37"/>
    <w:rsid w:val="00077442"/>
    <w:rsid w:val="000776D6"/>
    <w:rsid w:val="0007786C"/>
    <w:rsid w:val="00080021"/>
    <w:rsid w:val="0008004C"/>
    <w:rsid w:val="000803DD"/>
    <w:rsid w:val="00080BD4"/>
    <w:rsid w:val="00080CD6"/>
    <w:rsid w:val="000816D6"/>
    <w:rsid w:val="00081FB5"/>
    <w:rsid w:val="00082D5B"/>
    <w:rsid w:val="00083306"/>
    <w:rsid w:val="000845A7"/>
    <w:rsid w:val="00084669"/>
    <w:rsid w:val="00084868"/>
    <w:rsid w:val="00084FD5"/>
    <w:rsid w:val="00085003"/>
    <w:rsid w:val="0008501F"/>
    <w:rsid w:val="000855A6"/>
    <w:rsid w:val="000860F6"/>
    <w:rsid w:val="00086293"/>
    <w:rsid w:val="000862D4"/>
    <w:rsid w:val="00086444"/>
    <w:rsid w:val="00086E75"/>
    <w:rsid w:val="00087CAB"/>
    <w:rsid w:val="00087F78"/>
    <w:rsid w:val="0009070A"/>
    <w:rsid w:val="000917C6"/>
    <w:rsid w:val="00091A59"/>
    <w:rsid w:val="00091F4B"/>
    <w:rsid w:val="00092669"/>
    <w:rsid w:val="00092A45"/>
    <w:rsid w:val="00092C0D"/>
    <w:rsid w:val="00092DE9"/>
    <w:rsid w:val="000933D9"/>
    <w:rsid w:val="00093A8E"/>
    <w:rsid w:val="000941E1"/>
    <w:rsid w:val="000942BB"/>
    <w:rsid w:val="000946F8"/>
    <w:rsid w:val="00095927"/>
    <w:rsid w:val="00096A0F"/>
    <w:rsid w:val="0009747C"/>
    <w:rsid w:val="000A009A"/>
    <w:rsid w:val="000A078D"/>
    <w:rsid w:val="000A0DE5"/>
    <w:rsid w:val="000A109F"/>
    <w:rsid w:val="000A1784"/>
    <w:rsid w:val="000A2490"/>
    <w:rsid w:val="000A3460"/>
    <w:rsid w:val="000A3CFE"/>
    <w:rsid w:val="000A41AE"/>
    <w:rsid w:val="000A41B4"/>
    <w:rsid w:val="000A451B"/>
    <w:rsid w:val="000A4E1E"/>
    <w:rsid w:val="000A55AD"/>
    <w:rsid w:val="000A5801"/>
    <w:rsid w:val="000A6FEB"/>
    <w:rsid w:val="000B0546"/>
    <w:rsid w:val="000B13EB"/>
    <w:rsid w:val="000B1620"/>
    <w:rsid w:val="000B1850"/>
    <w:rsid w:val="000B20D7"/>
    <w:rsid w:val="000B2358"/>
    <w:rsid w:val="000B2968"/>
    <w:rsid w:val="000B2AD8"/>
    <w:rsid w:val="000B3CCA"/>
    <w:rsid w:val="000B5473"/>
    <w:rsid w:val="000B62E8"/>
    <w:rsid w:val="000B65C4"/>
    <w:rsid w:val="000B6844"/>
    <w:rsid w:val="000B6D64"/>
    <w:rsid w:val="000B70D3"/>
    <w:rsid w:val="000C00AD"/>
    <w:rsid w:val="000C01C3"/>
    <w:rsid w:val="000C03ED"/>
    <w:rsid w:val="000C072A"/>
    <w:rsid w:val="000C07D3"/>
    <w:rsid w:val="000C2015"/>
    <w:rsid w:val="000C29A8"/>
    <w:rsid w:val="000C30B4"/>
    <w:rsid w:val="000C3F8A"/>
    <w:rsid w:val="000C4F25"/>
    <w:rsid w:val="000C5615"/>
    <w:rsid w:val="000C581B"/>
    <w:rsid w:val="000C6129"/>
    <w:rsid w:val="000C715C"/>
    <w:rsid w:val="000C73DC"/>
    <w:rsid w:val="000C7516"/>
    <w:rsid w:val="000C775E"/>
    <w:rsid w:val="000D001D"/>
    <w:rsid w:val="000D035B"/>
    <w:rsid w:val="000D07CF"/>
    <w:rsid w:val="000D0A56"/>
    <w:rsid w:val="000D0A81"/>
    <w:rsid w:val="000D1125"/>
    <w:rsid w:val="000D1149"/>
    <w:rsid w:val="000D1269"/>
    <w:rsid w:val="000D1918"/>
    <w:rsid w:val="000D1BA1"/>
    <w:rsid w:val="000D21DB"/>
    <w:rsid w:val="000D2C82"/>
    <w:rsid w:val="000D2E0C"/>
    <w:rsid w:val="000D2E43"/>
    <w:rsid w:val="000D303B"/>
    <w:rsid w:val="000D35B8"/>
    <w:rsid w:val="000D44A1"/>
    <w:rsid w:val="000D4676"/>
    <w:rsid w:val="000D54B4"/>
    <w:rsid w:val="000D5AEB"/>
    <w:rsid w:val="000D7233"/>
    <w:rsid w:val="000D79B1"/>
    <w:rsid w:val="000E0A60"/>
    <w:rsid w:val="000E1247"/>
    <w:rsid w:val="000E1369"/>
    <w:rsid w:val="000E1FEA"/>
    <w:rsid w:val="000E20BF"/>
    <w:rsid w:val="000E23C9"/>
    <w:rsid w:val="000E273F"/>
    <w:rsid w:val="000E282F"/>
    <w:rsid w:val="000E2956"/>
    <w:rsid w:val="000E33D2"/>
    <w:rsid w:val="000E4300"/>
    <w:rsid w:val="000E4A82"/>
    <w:rsid w:val="000E4B23"/>
    <w:rsid w:val="000E4CC2"/>
    <w:rsid w:val="000E56D1"/>
    <w:rsid w:val="000E5737"/>
    <w:rsid w:val="000E591E"/>
    <w:rsid w:val="000E595B"/>
    <w:rsid w:val="000E5A63"/>
    <w:rsid w:val="000E6A82"/>
    <w:rsid w:val="000E7190"/>
    <w:rsid w:val="000E7850"/>
    <w:rsid w:val="000E7D4F"/>
    <w:rsid w:val="000E7EE7"/>
    <w:rsid w:val="000F09E5"/>
    <w:rsid w:val="000F0A64"/>
    <w:rsid w:val="000F2A2C"/>
    <w:rsid w:val="000F3978"/>
    <w:rsid w:val="000F5456"/>
    <w:rsid w:val="000F6249"/>
    <w:rsid w:val="000F686E"/>
    <w:rsid w:val="000F6D03"/>
    <w:rsid w:val="000F6FD6"/>
    <w:rsid w:val="000F7448"/>
    <w:rsid w:val="000F7542"/>
    <w:rsid w:val="000F7AB2"/>
    <w:rsid w:val="000F7E56"/>
    <w:rsid w:val="00101CE7"/>
    <w:rsid w:val="00102C12"/>
    <w:rsid w:val="00103B4E"/>
    <w:rsid w:val="00103CF6"/>
    <w:rsid w:val="00103F10"/>
    <w:rsid w:val="001043DD"/>
    <w:rsid w:val="001046DB"/>
    <w:rsid w:val="00104977"/>
    <w:rsid w:val="00104AC4"/>
    <w:rsid w:val="00104DD2"/>
    <w:rsid w:val="0010522F"/>
    <w:rsid w:val="00106DD7"/>
    <w:rsid w:val="00106FEB"/>
    <w:rsid w:val="001070C3"/>
    <w:rsid w:val="00107AC9"/>
    <w:rsid w:val="0011091A"/>
    <w:rsid w:val="0011100D"/>
    <w:rsid w:val="00111226"/>
    <w:rsid w:val="001113DA"/>
    <w:rsid w:val="001115BA"/>
    <w:rsid w:val="001116AE"/>
    <w:rsid w:val="00111D93"/>
    <w:rsid w:val="00112A8B"/>
    <w:rsid w:val="00112BBD"/>
    <w:rsid w:val="00112C5F"/>
    <w:rsid w:val="00112E5D"/>
    <w:rsid w:val="00114390"/>
    <w:rsid w:val="0011478B"/>
    <w:rsid w:val="001158E9"/>
    <w:rsid w:val="00116324"/>
    <w:rsid w:val="00116DC8"/>
    <w:rsid w:val="00116EA3"/>
    <w:rsid w:val="00117034"/>
    <w:rsid w:val="0011755E"/>
    <w:rsid w:val="00117F2E"/>
    <w:rsid w:val="00120A71"/>
    <w:rsid w:val="00121177"/>
    <w:rsid w:val="0012169A"/>
    <w:rsid w:val="00121EEC"/>
    <w:rsid w:val="00121F2C"/>
    <w:rsid w:val="0012298A"/>
    <w:rsid w:val="00122A4E"/>
    <w:rsid w:val="0012415A"/>
    <w:rsid w:val="001248EA"/>
    <w:rsid w:val="00124B04"/>
    <w:rsid w:val="00125D0E"/>
    <w:rsid w:val="00126466"/>
    <w:rsid w:val="00126E0B"/>
    <w:rsid w:val="00127316"/>
    <w:rsid w:val="00127C04"/>
    <w:rsid w:val="00130309"/>
    <w:rsid w:val="00130D68"/>
    <w:rsid w:val="00131765"/>
    <w:rsid w:val="00131892"/>
    <w:rsid w:val="001320DB"/>
    <w:rsid w:val="0013281D"/>
    <w:rsid w:val="00132B4B"/>
    <w:rsid w:val="001335AA"/>
    <w:rsid w:val="00133B1C"/>
    <w:rsid w:val="00133BE7"/>
    <w:rsid w:val="0013468D"/>
    <w:rsid w:val="00134DD9"/>
    <w:rsid w:val="001358C9"/>
    <w:rsid w:val="00135C77"/>
    <w:rsid w:val="00135D78"/>
    <w:rsid w:val="00136088"/>
    <w:rsid w:val="00136DA0"/>
    <w:rsid w:val="00137A20"/>
    <w:rsid w:val="001400B6"/>
    <w:rsid w:val="00140327"/>
    <w:rsid w:val="0014084A"/>
    <w:rsid w:val="001409DC"/>
    <w:rsid w:val="00140E91"/>
    <w:rsid w:val="00140EE4"/>
    <w:rsid w:val="0014121D"/>
    <w:rsid w:val="001415F1"/>
    <w:rsid w:val="001416D4"/>
    <w:rsid w:val="0014290E"/>
    <w:rsid w:val="001431EC"/>
    <w:rsid w:val="00143F93"/>
    <w:rsid w:val="00144003"/>
    <w:rsid w:val="00144718"/>
    <w:rsid w:val="00145001"/>
    <w:rsid w:val="0014590E"/>
    <w:rsid w:val="0014593D"/>
    <w:rsid w:val="00145FD6"/>
    <w:rsid w:val="001462A3"/>
    <w:rsid w:val="00146317"/>
    <w:rsid w:val="00146ECA"/>
    <w:rsid w:val="00147195"/>
    <w:rsid w:val="001479F1"/>
    <w:rsid w:val="00147AF8"/>
    <w:rsid w:val="00147B44"/>
    <w:rsid w:val="00150052"/>
    <w:rsid w:val="001504C6"/>
    <w:rsid w:val="00150AA9"/>
    <w:rsid w:val="00150E89"/>
    <w:rsid w:val="00151186"/>
    <w:rsid w:val="00151E86"/>
    <w:rsid w:val="00152AFC"/>
    <w:rsid w:val="00152DC4"/>
    <w:rsid w:val="0015327B"/>
    <w:rsid w:val="001532F0"/>
    <w:rsid w:val="00153EAF"/>
    <w:rsid w:val="00154315"/>
    <w:rsid w:val="0015446D"/>
    <w:rsid w:val="0015452F"/>
    <w:rsid w:val="001552E0"/>
    <w:rsid w:val="001554B3"/>
    <w:rsid w:val="00155AE6"/>
    <w:rsid w:val="00156717"/>
    <w:rsid w:val="00156A2C"/>
    <w:rsid w:val="00156D2C"/>
    <w:rsid w:val="00156F1A"/>
    <w:rsid w:val="00157262"/>
    <w:rsid w:val="0015790B"/>
    <w:rsid w:val="00160017"/>
    <w:rsid w:val="00160288"/>
    <w:rsid w:val="00160C5A"/>
    <w:rsid w:val="00161167"/>
    <w:rsid w:val="001616A5"/>
    <w:rsid w:val="00162C62"/>
    <w:rsid w:val="00162FDA"/>
    <w:rsid w:val="001646BE"/>
    <w:rsid w:val="00164FD1"/>
    <w:rsid w:val="0016517C"/>
    <w:rsid w:val="00165EED"/>
    <w:rsid w:val="00166462"/>
    <w:rsid w:val="00166549"/>
    <w:rsid w:val="00166B69"/>
    <w:rsid w:val="00166F4D"/>
    <w:rsid w:val="00167191"/>
    <w:rsid w:val="0016736E"/>
    <w:rsid w:val="00170590"/>
    <w:rsid w:val="00171572"/>
    <w:rsid w:val="00171E46"/>
    <w:rsid w:val="00172EBD"/>
    <w:rsid w:val="0017343C"/>
    <w:rsid w:val="0017365F"/>
    <w:rsid w:val="001741C6"/>
    <w:rsid w:val="0017427B"/>
    <w:rsid w:val="00174427"/>
    <w:rsid w:val="0017456D"/>
    <w:rsid w:val="001749B0"/>
    <w:rsid w:val="0017513B"/>
    <w:rsid w:val="001755EE"/>
    <w:rsid w:val="001757D5"/>
    <w:rsid w:val="0017628B"/>
    <w:rsid w:val="001762B9"/>
    <w:rsid w:val="00177054"/>
    <w:rsid w:val="001773D2"/>
    <w:rsid w:val="001804F8"/>
    <w:rsid w:val="00180707"/>
    <w:rsid w:val="0018078E"/>
    <w:rsid w:val="00180BA0"/>
    <w:rsid w:val="00180DF0"/>
    <w:rsid w:val="00180F41"/>
    <w:rsid w:val="001810D2"/>
    <w:rsid w:val="001816E0"/>
    <w:rsid w:val="001817E9"/>
    <w:rsid w:val="0018190F"/>
    <w:rsid w:val="001819BB"/>
    <w:rsid w:val="0018254D"/>
    <w:rsid w:val="0018275F"/>
    <w:rsid w:val="001829B2"/>
    <w:rsid w:val="001836F9"/>
    <w:rsid w:val="00183748"/>
    <w:rsid w:val="0018412B"/>
    <w:rsid w:val="00185878"/>
    <w:rsid w:val="00185971"/>
    <w:rsid w:val="00186A94"/>
    <w:rsid w:val="00186FF7"/>
    <w:rsid w:val="0018718B"/>
    <w:rsid w:val="0018746F"/>
    <w:rsid w:val="00190269"/>
    <w:rsid w:val="001906BE"/>
    <w:rsid w:val="00190E16"/>
    <w:rsid w:val="00190FAB"/>
    <w:rsid w:val="00191AD0"/>
    <w:rsid w:val="00192813"/>
    <w:rsid w:val="001931A4"/>
    <w:rsid w:val="0019324B"/>
    <w:rsid w:val="00193508"/>
    <w:rsid w:val="00193E30"/>
    <w:rsid w:val="00194038"/>
    <w:rsid w:val="00194B1C"/>
    <w:rsid w:val="00195554"/>
    <w:rsid w:val="0019557F"/>
    <w:rsid w:val="0019599E"/>
    <w:rsid w:val="00195D52"/>
    <w:rsid w:val="00196FB8"/>
    <w:rsid w:val="0019724D"/>
    <w:rsid w:val="001973AB"/>
    <w:rsid w:val="00197791"/>
    <w:rsid w:val="001A158E"/>
    <w:rsid w:val="001A18F3"/>
    <w:rsid w:val="001A2504"/>
    <w:rsid w:val="001A2D5E"/>
    <w:rsid w:val="001A3255"/>
    <w:rsid w:val="001A34E0"/>
    <w:rsid w:val="001A4512"/>
    <w:rsid w:val="001A4536"/>
    <w:rsid w:val="001A46B3"/>
    <w:rsid w:val="001A4976"/>
    <w:rsid w:val="001A4F7C"/>
    <w:rsid w:val="001A5418"/>
    <w:rsid w:val="001A576C"/>
    <w:rsid w:val="001A5ECD"/>
    <w:rsid w:val="001A62D4"/>
    <w:rsid w:val="001A6579"/>
    <w:rsid w:val="001B007B"/>
    <w:rsid w:val="001B075E"/>
    <w:rsid w:val="001B12EC"/>
    <w:rsid w:val="001B21D8"/>
    <w:rsid w:val="001B287F"/>
    <w:rsid w:val="001B2C41"/>
    <w:rsid w:val="001B30F7"/>
    <w:rsid w:val="001B31D0"/>
    <w:rsid w:val="001B4657"/>
    <w:rsid w:val="001B4CDB"/>
    <w:rsid w:val="001B51DD"/>
    <w:rsid w:val="001B56CD"/>
    <w:rsid w:val="001B634F"/>
    <w:rsid w:val="001B65B0"/>
    <w:rsid w:val="001B65B6"/>
    <w:rsid w:val="001B6C1D"/>
    <w:rsid w:val="001B6EC3"/>
    <w:rsid w:val="001B74EC"/>
    <w:rsid w:val="001B7BB1"/>
    <w:rsid w:val="001C0ED9"/>
    <w:rsid w:val="001C14AF"/>
    <w:rsid w:val="001C1829"/>
    <w:rsid w:val="001C1ABE"/>
    <w:rsid w:val="001C1CE9"/>
    <w:rsid w:val="001C2A7B"/>
    <w:rsid w:val="001C2D09"/>
    <w:rsid w:val="001C3329"/>
    <w:rsid w:val="001C3D62"/>
    <w:rsid w:val="001C41E3"/>
    <w:rsid w:val="001C4445"/>
    <w:rsid w:val="001C53A4"/>
    <w:rsid w:val="001C6A10"/>
    <w:rsid w:val="001C6B72"/>
    <w:rsid w:val="001C7C09"/>
    <w:rsid w:val="001C7CC9"/>
    <w:rsid w:val="001C7FC0"/>
    <w:rsid w:val="001C7FD2"/>
    <w:rsid w:val="001D028C"/>
    <w:rsid w:val="001D0885"/>
    <w:rsid w:val="001D08C2"/>
    <w:rsid w:val="001D0C39"/>
    <w:rsid w:val="001D0DAB"/>
    <w:rsid w:val="001D1C59"/>
    <w:rsid w:val="001D1DF9"/>
    <w:rsid w:val="001D221E"/>
    <w:rsid w:val="001D2AFA"/>
    <w:rsid w:val="001D2B5D"/>
    <w:rsid w:val="001D2D11"/>
    <w:rsid w:val="001D34AB"/>
    <w:rsid w:val="001D3E45"/>
    <w:rsid w:val="001D4B2E"/>
    <w:rsid w:val="001D53EE"/>
    <w:rsid w:val="001D68D5"/>
    <w:rsid w:val="001D6B4B"/>
    <w:rsid w:val="001D6C95"/>
    <w:rsid w:val="001D7ECF"/>
    <w:rsid w:val="001E00D9"/>
    <w:rsid w:val="001E0565"/>
    <w:rsid w:val="001E05A2"/>
    <w:rsid w:val="001E060D"/>
    <w:rsid w:val="001E0A53"/>
    <w:rsid w:val="001E0EDD"/>
    <w:rsid w:val="001E14C5"/>
    <w:rsid w:val="001E1BF8"/>
    <w:rsid w:val="001E21BF"/>
    <w:rsid w:val="001E2999"/>
    <w:rsid w:val="001E312D"/>
    <w:rsid w:val="001E354D"/>
    <w:rsid w:val="001E4300"/>
    <w:rsid w:val="001E46A0"/>
    <w:rsid w:val="001E5F31"/>
    <w:rsid w:val="001E67A8"/>
    <w:rsid w:val="001E67D5"/>
    <w:rsid w:val="001E686F"/>
    <w:rsid w:val="001E76E9"/>
    <w:rsid w:val="001E7751"/>
    <w:rsid w:val="001E794B"/>
    <w:rsid w:val="001E7B21"/>
    <w:rsid w:val="001E7EBE"/>
    <w:rsid w:val="001E87B5"/>
    <w:rsid w:val="001F1507"/>
    <w:rsid w:val="001F1BF0"/>
    <w:rsid w:val="001F20BD"/>
    <w:rsid w:val="001F215A"/>
    <w:rsid w:val="001F2540"/>
    <w:rsid w:val="001F3049"/>
    <w:rsid w:val="001F3EB1"/>
    <w:rsid w:val="001F4452"/>
    <w:rsid w:val="001F4652"/>
    <w:rsid w:val="001F47E0"/>
    <w:rsid w:val="001F4AFF"/>
    <w:rsid w:val="001F4DE5"/>
    <w:rsid w:val="001F4E2A"/>
    <w:rsid w:val="001F553E"/>
    <w:rsid w:val="001F587C"/>
    <w:rsid w:val="001F5C31"/>
    <w:rsid w:val="001F5C99"/>
    <w:rsid w:val="001F5DC8"/>
    <w:rsid w:val="001F6541"/>
    <w:rsid w:val="001F68C6"/>
    <w:rsid w:val="001F7477"/>
    <w:rsid w:val="001F7DF6"/>
    <w:rsid w:val="001F7E05"/>
    <w:rsid w:val="001F7EC2"/>
    <w:rsid w:val="00200D27"/>
    <w:rsid w:val="002026C0"/>
    <w:rsid w:val="00202C4D"/>
    <w:rsid w:val="0020340C"/>
    <w:rsid w:val="00203841"/>
    <w:rsid w:val="002044F3"/>
    <w:rsid w:val="00204F59"/>
    <w:rsid w:val="00205126"/>
    <w:rsid w:val="002055AC"/>
    <w:rsid w:val="002059D4"/>
    <w:rsid w:val="00205B58"/>
    <w:rsid w:val="0020603F"/>
    <w:rsid w:val="00206289"/>
    <w:rsid w:val="00206291"/>
    <w:rsid w:val="00206625"/>
    <w:rsid w:val="00206832"/>
    <w:rsid w:val="002074E3"/>
    <w:rsid w:val="00207ADD"/>
    <w:rsid w:val="00207CE2"/>
    <w:rsid w:val="002103F6"/>
    <w:rsid w:val="00210B1C"/>
    <w:rsid w:val="0021127F"/>
    <w:rsid w:val="00211359"/>
    <w:rsid w:val="00212BFC"/>
    <w:rsid w:val="00212C97"/>
    <w:rsid w:val="00212EF5"/>
    <w:rsid w:val="00212FE9"/>
    <w:rsid w:val="00213247"/>
    <w:rsid w:val="00213A2C"/>
    <w:rsid w:val="002143E1"/>
    <w:rsid w:val="0021545C"/>
    <w:rsid w:val="0021592D"/>
    <w:rsid w:val="0021638C"/>
    <w:rsid w:val="00216399"/>
    <w:rsid w:val="00216A47"/>
    <w:rsid w:val="00216F03"/>
    <w:rsid w:val="002173BB"/>
    <w:rsid w:val="00217E20"/>
    <w:rsid w:val="0022011D"/>
    <w:rsid w:val="00220780"/>
    <w:rsid w:val="00220801"/>
    <w:rsid w:val="00220CC2"/>
    <w:rsid w:val="00220D38"/>
    <w:rsid w:val="00220F68"/>
    <w:rsid w:val="00220FC1"/>
    <w:rsid w:val="002222CA"/>
    <w:rsid w:val="00222362"/>
    <w:rsid w:val="00222654"/>
    <w:rsid w:val="00222E94"/>
    <w:rsid w:val="002233BB"/>
    <w:rsid w:val="0022399E"/>
    <w:rsid w:val="0022423A"/>
    <w:rsid w:val="00224818"/>
    <w:rsid w:val="00224FB2"/>
    <w:rsid w:val="00225C02"/>
    <w:rsid w:val="00226B8D"/>
    <w:rsid w:val="002270AC"/>
    <w:rsid w:val="002272E3"/>
    <w:rsid w:val="00227516"/>
    <w:rsid w:val="002307C3"/>
    <w:rsid w:val="002309A3"/>
    <w:rsid w:val="00230A83"/>
    <w:rsid w:val="00230ED8"/>
    <w:rsid w:val="00231350"/>
    <w:rsid w:val="002334A7"/>
    <w:rsid w:val="0023380D"/>
    <w:rsid w:val="00233A02"/>
    <w:rsid w:val="00233D8C"/>
    <w:rsid w:val="00233FBE"/>
    <w:rsid w:val="00234126"/>
    <w:rsid w:val="00234396"/>
    <w:rsid w:val="002344ED"/>
    <w:rsid w:val="00234625"/>
    <w:rsid w:val="00234653"/>
    <w:rsid w:val="00234893"/>
    <w:rsid w:val="00235654"/>
    <w:rsid w:val="0023651E"/>
    <w:rsid w:val="002373A2"/>
    <w:rsid w:val="00237590"/>
    <w:rsid w:val="002376B0"/>
    <w:rsid w:val="00240064"/>
    <w:rsid w:val="002401EF"/>
    <w:rsid w:val="00240332"/>
    <w:rsid w:val="002409A6"/>
    <w:rsid w:val="0024163B"/>
    <w:rsid w:val="00241A9F"/>
    <w:rsid w:val="0024216D"/>
    <w:rsid w:val="00242867"/>
    <w:rsid w:val="00242986"/>
    <w:rsid w:val="00243030"/>
    <w:rsid w:val="00243078"/>
    <w:rsid w:val="002435C5"/>
    <w:rsid w:val="0024394E"/>
    <w:rsid w:val="002439A4"/>
    <w:rsid w:val="00243A6B"/>
    <w:rsid w:val="00244E49"/>
    <w:rsid w:val="00244E50"/>
    <w:rsid w:val="0024608F"/>
    <w:rsid w:val="002461F9"/>
    <w:rsid w:val="002462B3"/>
    <w:rsid w:val="002473C7"/>
    <w:rsid w:val="002475C2"/>
    <w:rsid w:val="00247817"/>
    <w:rsid w:val="00250F74"/>
    <w:rsid w:val="0025118F"/>
    <w:rsid w:val="00251AE7"/>
    <w:rsid w:val="0025284B"/>
    <w:rsid w:val="00253BC7"/>
    <w:rsid w:val="00254068"/>
    <w:rsid w:val="00254844"/>
    <w:rsid w:val="00255075"/>
    <w:rsid w:val="002554C1"/>
    <w:rsid w:val="00255553"/>
    <w:rsid w:val="00255A5D"/>
    <w:rsid w:val="002564FE"/>
    <w:rsid w:val="00256F29"/>
    <w:rsid w:val="00257C43"/>
    <w:rsid w:val="00257CE9"/>
    <w:rsid w:val="0026081E"/>
    <w:rsid w:val="00260CC8"/>
    <w:rsid w:val="00260D21"/>
    <w:rsid w:val="00261F5B"/>
    <w:rsid w:val="00262303"/>
    <w:rsid w:val="00262450"/>
    <w:rsid w:val="00262B58"/>
    <w:rsid w:val="0026392F"/>
    <w:rsid w:val="00263C13"/>
    <w:rsid w:val="00263E8F"/>
    <w:rsid w:val="00263F86"/>
    <w:rsid w:val="00264739"/>
    <w:rsid w:val="00264788"/>
    <w:rsid w:val="002651C4"/>
    <w:rsid w:val="00266957"/>
    <w:rsid w:val="00266BA9"/>
    <w:rsid w:val="00266C1A"/>
    <w:rsid w:val="00266CD0"/>
    <w:rsid w:val="00267D00"/>
    <w:rsid w:val="00271B4A"/>
    <w:rsid w:val="00271BA8"/>
    <w:rsid w:val="00271D79"/>
    <w:rsid w:val="0027276E"/>
    <w:rsid w:val="00273154"/>
    <w:rsid w:val="002737FF"/>
    <w:rsid w:val="00274415"/>
    <w:rsid w:val="002745FC"/>
    <w:rsid w:val="00274B75"/>
    <w:rsid w:val="00274F85"/>
    <w:rsid w:val="00275220"/>
    <w:rsid w:val="0027583C"/>
    <w:rsid w:val="00276160"/>
    <w:rsid w:val="00276AFA"/>
    <w:rsid w:val="00277438"/>
    <w:rsid w:val="0027748B"/>
    <w:rsid w:val="0028006B"/>
    <w:rsid w:val="0028146E"/>
    <w:rsid w:val="00281805"/>
    <w:rsid w:val="0028198A"/>
    <w:rsid w:val="00282329"/>
    <w:rsid w:val="00282CB4"/>
    <w:rsid w:val="002832C8"/>
    <w:rsid w:val="00283421"/>
    <w:rsid w:val="00283624"/>
    <w:rsid w:val="00283974"/>
    <w:rsid w:val="002849AE"/>
    <w:rsid w:val="002856F3"/>
    <w:rsid w:val="0028584C"/>
    <w:rsid w:val="00285FB9"/>
    <w:rsid w:val="00286D46"/>
    <w:rsid w:val="00287D7C"/>
    <w:rsid w:val="002906D3"/>
    <w:rsid w:val="002906FD"/>
    <w:rsid w:val="00290E51"/>
    <w:rsid w:val="0029100F"/>
    <w:rsid w:val="002914A7"/>
    <w:rsid w:val="0029189E"/>
    <w:rsid w:val="0029234A"/>
    <w:rsid w:val="00292755"/>
    <w:rsid w:val="0029482F"/>
    <w:rsid w:val="00294A7B"/>
    <w:rsid w:val="002958FE"/>
    <w:rsid w:val="00295AFF"/>
    <w:rsid w:val="00295BDB"/>
    <w:rsid w:val="00296127"/>
    <w:rsid w:val="002961C0"/>
    <w:rsid w:val="0029655E"/>
    <w:rsid w:val="00296DD7"/>
    <w:rsid w:val="0029706A"/>
    <w:rsid w:val="00297A2F"/>
    <w:rsid w:val="00297E57"/>
    <w:rsid w:val="002A06C2"/>
    <w:rsid w:val="002A0732"/>
    <w:rsid w:val="002A0DAA"/>
    <w:rsid w:val="002A119D"/>
    <w:rsid w:val="002A126A"/>
    <w:rsid w:val="002A162F"/>
    <w:rsid w:val="002A1646"/>
    <w:rsid w:val="002A1918"/>
    <w:rsid w:val="002A269A"/>
    <w:rsid w:val="002A2C81"/>
    <w:rsid w:val="002A2F35"/>
    <w:rsid w:val="002A3829"/>
    <w:rsid w:val="002A3E9E"/>
    <w:rsid w:val="002A4A40"/>
    <w:rsid w:val="002A4EE7"/>
    <w:rsid w:val="002A55AB"/>
    <w:rsid w:val="002A564B"/>
    <w:rsid w:val="002A57E1"/>
    <w:rsid w:val="002A5C84"/>
    <w:rsid w:val="002A60FF"/>
    <w:rsid w:val="002A6457"/>
    <w:rsid w:val="002A6556"/>
    <w:rsid w:val="002A66E6"/>
    <w:rsid w:val="002A680E"/>
    <w:rsid w:val="002A6820"/>
    <w:rsid w:val="002A6A53"/>
    <w:rsid w:val="002A6B1B"/>
    <w:rsid w:val="002A7678"/>
    <w:rsid w:val="002A7B4E"/>
    <w:rsid w:val="002B09C7"/>
    <w:rsid w:val="002B0BE4"/>
    <w:rsid w:val="002B0F1C"/>
    <w:rsid w:val="002B1AB0"/>
    <w:rsid w:val="002B1C47"/>
    <w:rsid w:val="002B1CC9"/>
    <w:rsid w:val="002B257F"/>
    <w:rsid w:val="002B3485"/>
    <w:rsid w:val="002B351D"/>
    <w:rsid w:val="002B388A"/>
    <w:rsid w:val="002B3E37"/>
    <w:rsid w:val="002B4A4E"/>
    <w:rsid w:val="002B4C32"/>
    <w:rsid w:val="002B4EAA"/>
    <w:rsid w:val="002B597B"/>
    <w:rsid w:val="002B7167"/>
    <w:rsid w:val="002B785C"/>
    <w:rsid w:val="002B7DE8"/>
    <w:rsid w:val="002C13AE"/>
    <w:rsid w:val="002C2704"/>
    <w:rsid w:val="002C2DAA"/>
    <w:rsid w:val="002C35FF"/>
    <w:rsid w:val="002C36FF"/>
    <w:rsid w:val="002C4DA0"/>
    <w:rsid w:val="002C5D49"/>
    <w:rsid w:val="002C61A7"/>
    <w:rsid w:val="002C626C"/>
    <w:rsid w:val="002C6C0F"/>
    <w:rsid w:val="002C6C33"/>
    <w:rsid w:val="002C6E9D"/>
    <w:rsid w:val="002C7679"/>
    <w:rsid w:val="002C76E0"/>
    <w:rsid w:val="002C7E2F"/>
    <w:rsid w:val="002C7F55"/>
    <w:rsid w:val="002D078D"/>
    <w:rsid w:val="002D0C6A"/>
    <w:rsid w:val="002D12F4"/>
    <w:rsid w:val="002D2C75"/>
    <w:rsid w:val="002D308F"/>
    <w:rsid w:val="002D381E"/>
    <w:rsid w:val="002D383D"/>
    <w:rsid w:val="002D39A1"/>
    <w:rsid w:val="002D3F62"/>
    <w:rsid w:val="002D4A2B"/>
    <w:rsid w:val="002D4CC4"/>
    <w:rsid w:val="002D655E"/>
    <w:rsid w:val="002D754F"/>
    <w:rsid w:val="002D774B"/>
    <w:rsid w:val="002D7C58"/>
    <w:rsid w:val="002E090E"/>
    <w:rsid w:val="002E0B18"/>
    <w:rsid w:val="002E0E09"/>
    <w:rsid w:val="002E1399"/>
    <w:rsid w:val="002E19F9"/>
    <w:rsid w:val="002E1B62"/>
    <w:rsid w:val="002E282D"/>
    <w:rsid w:val="002E2841"/>
    <w:rsid w:val="002E3088"/>
    <w:rsid w:val="002E33C6"/>
    <w:rsid w:val="002E4132"/>
    <w:rsid w:val="002E47DA"/>
    <w:rsid w:val="002E4F74"/>
    <w:rsid w:val="002E73A1"/>
    <w:rsid w:val="002E776C"/>
    <w:rsid w:val="002E7A97"/>
    <w:rsid w:val="002F068A"/>
    <w:rsid w:val="002F09D9"/>
    <w:rsid w:val="002F10B1"/>
    <w:rsid w:val="002F182F"/>
    <w:rsid w:val="002F18F3"/>
    <w:rsid w:val="002F1D89"/>
    <w:rsid w:val="002F1F27"/>
    <w:rsid w:val="002F2DB5"/>
    <w:rsid w:val="002F32EE"/>
    <w:rsid w:val="002F3935"/>
    <w:rsid w:val="002F3A5B"/>
    <w:rsid w:val="002F45F5"/>
    <w:rsid w:val="002F49CA"/>
    <w:rsid w:val="002F4A38"/>
    <w:rsid w:val="002F4EA8"/>
    <w:rsid w:val="002F5DC7"/>
    <w:rsid w:val="002F762B"/>
    <w:rsid w:val="002F7F8B"/>
    <w:rsid w:val="00300176"/>
    <w:rsid w:val="003004BB"/>
    <w:rsid w:val="00301217"/>
    <w:rsid w:val="00301B4E"/>
    <w:rsid w:val="00301E49"/>
    <w:rsid w:val="00302344"/>
    <w:rsid w:val="0030357B"/>
    <w:rsid w:val="003039D2"/>
    <w:rsid w:val="00303F93"/>
    <w:rsid w:val="00304046"/>
    <w:rsid w:val="003053AD"/>
    <w:rsid w:val="00305C75"/>
    <w:rsid w:val="0031049B"/>
    <w:rsid w:val="0031050A"/>
    <w:rsid w:val="00311A4C"/>
    <w:rsid w:val="003120F4"/>
    <w:rsid w:val="00312351"/>
    <w:rsid w:val="003123BD"/>
    <w:rsid w:val="003128C0"/>
    <w:rsid w:val="003136AF"/>
    <w:rsid w:val="0031380F"/>
    <w:rsid w:val="0031433B"/>
    <w:rsid w:val="003149A8"/>
    <w:rsid w:val="003152C3"/>
    <w:rsid w:val="00315361"/>
    <w:rsid w:val="00315C1B"/>
    <w:rsid w:val="00315D66"/>
    <w:rsid w:val="0031690A"/>
    <w:rsid w:val="003169BF"/>
    <w:rsid w:val="003169C2"/>
    <w:rsid w:val="00316A62"/>
    <w:rsid w:val="00316F46"/>
    <w:rsid w:val="003170A5"/>
    <w:rsid w:val="0031716A"/>
    <w:rsid w:val="003172F8"/>
    <w:rsid w:val="0031751F"/>
    <w:rsid w:val="003211FD"/>
    <w:rsid w:val="0032142D"/>
    <w:rsid w:val="00321F2B"/>
    <w:rsid w:val="00322396"/>
    <w:rsid w:val="003227C3"/>
    <w:rsid w:val="00323148"/>
    <w:rsid w:val="00323BD5"/>
    <w:rsid w:val="003240B5"/>
    <w:rsid w:val="003243FA"/>
    <w:rsid w:val="00324BF4"/>
    <w:rsid w:val="003256DC"/>
    <w:rsid w:val="00325BCB"/>
    <w:rsid w:val="00326547"/>
    <w:rsid w:val="00326954"/>
    <w:rsid w:val="0033024C"/>
    <w:rsid w:val="00330910"/>
    <w:rsid w:val="00331967"/>
    <w:rsid w:val="00332034"/>
    <w:rsid w:val="00332784"/>
    <w:rsid w:val="00332B42"/>
    <w:rsid w:val="00332B50"/>
    <w:rsid w:val="00332C6C"/>
    <w:rsid w:val="00332F1E"/>
    <w:rsid w:val="003333D0"/>
    <w:rsid w:val="00334B85"/>
    <w:rsid w:val="0033710F"/>
    <w:rsid w:val="003378C1"/>
    <w:rsid w:val="00337FD2"/>
    <w:rsid w:val="00340AB8"/>
    <w:rsid w:val="00340D58"/>
    <w:rsid w:val="00340E79"/>
    <w:rsid w:val="00341C0D"/>
    <w:rsid w:val="00341F93"/>
    <w:rsid w:val="0034215E"/>
    <w:rsid w:val="0034272D"/>
    <w:rsid w:val="003442FF"/>
    <w:rsid w:val="0034440E"/>
    <w:rsid w:val="0034450E"/>
    <w:rsid w:val="00344FDB"/>
    <w:rsid w:val="00345E41"/>
    <w:rsid w:val="003466D5"/>
    <w:rsid w:val="0034686B"/>
    <w:rsid w:val="00346A92"/>
    <w:rsid w:val="00346D2F"/>
    <w:rsid w:val="00347114"/>
    <w:rsid w:val="00350555"/>
    <w:rsid w:val="0035085A"/>
    <w:rsid w:val="00351E32"/>
    <w:rsid w:val="003523CA"/>
    <w:rsid w:val="003531D7"/>
    <w:rsid w:val="003538B5"/>
    <w:rsid w:val="00353BB1"/>
    <w:rsid w:val="00354234"/>
    <w:rsid w:val="00354293"/>
    <w:rsid w:val="00354790"/>
    <w:rsid w:val="003554D1"/>
    <w:rsid w:val="00355CA5"/>
    <w:rsid w:val="00360995"/>
    <w:rsid w:val="00361725"/>
    <w:rsid w:val="00361BB3"/>
    <w:rsid w:val="00362490"/>
    <w:rsid w:val="00362EEF"/>
    <w:rsid w:val="003633D4"/>
    <w:rsid w:val="00363BA1"/>
    <w:rsid w:val="00363BD6"/>
    <w:rsid w:val="00364528"/>
    <w:rsid w:val="0036492C"/>
    <w:rsid w:val="00364CA3"/>
    <w:rsid w:val="00365122"/>
    <w:rsid w:val="00365691"/>
    <w:rsid w:val="003656A0"/>
    <w:rsid w:val="003659AE"/>
    <w:rsid w:val="00365A39"/>
    <w:rsid w:val="00365F48"/>
    <w:rsid w:val="003664CD"/>
    <w:rsid w:val="00366B83"/>
    <w:rsid w:val="00367736"/>
    <w:rsid w:val="0036794D"/>
    <w:rsid w:val="00370045"/>
    <w:rsid w:val="0037146F"/>
    <w:rsid w:val="00371637"/>
    <w:rsid w:val="00371AD0"/>
    <w:rsid w:val="003724C9"/>
    <w:rsid w:val="00372DD8"/>
    <w:rsid w:val="00373583"/>
    <w:rsid w:val="0037365E"/>
    <w:rsid w:val="003736ED"/>
    <w:rsid w:val="00373CD7"/>
    <w:rsid w:val="00373FFD"/>
    <w:rsid w:val="00374606"/>
    <w:rsid w:val="003748A2"/>
    <w:rsid w:val="00375223"/>
    <w:rsid w:val="003756B7"/>
    <w:rsid w:val="003757A6"/>
    <w:rsid w:val="0037692F"/>
    <w:rsid w:val="00376AE8"/>
    <w:rsid w:val="00376D8B"/>
    <w:rsid w:val="0037783B"/>
    <w:rsid w:val="0038095E"/>
    <w:rsid w:val="003816D0"/>
    <w:rsid w:val="0038220D"/>
    <w:rsid w:val="00382469"/>
    <w:rsid w:val="00382965"/>
    <w:rsid w:val="00382AB3"/>
    <w:rsid w:val="003835E6"/>
    <w:rsid w:val="00383EE7"/>
    <w:rsid w:val="0038416D"/>
    <w:rsid w:val="003841C3"/>
    <w:rsid w:val="00384AEC"/>
    <w:rsid w:val="00385194"/>
    <w:rsid w:val="0038541B"/>
    <w:rsid w:val="00385FA4"/>
    <w:rsid w:val="00386569"/>
    <w:rsid w:val="00386B24"/>
    <w:rsid w:val="00386EE8"/>
    <w:rsid w:val="00386F81"/>
    <w:rsid w:val="00387522"/>
    <w:rsid w:val="00390332"/>
    <w:rsid w:val="00390E28"/>
    <w:rsid w:val="003910DC"/>
    <w:rsid w:val="003919A0"/>
    <w:rsid w:val="00391C39"/>
    <w:rsid w:val="00392280"/>
    <w:rsid w:val="00392EC8"/>
    <w:rsid w:val="00392FFE"/>
    <w:rsid w:val="0039347E"/>
    <w:rsid w:val="00393BFD"/>
    <w:rsid w:val="00393D9C"/>
    <w:rsid w:val="003943EC"/>
    <w:rsid w:val="00394AC9"/>
    <w:rsid w:val="00394B94"/>
    <w:rsid w:val="00395668"/>
    <w:rsid w:val="003957F7"/>
    <w:rsid w:val="003958FD"/>
    <w:rsid w:val="00395BDD"/>
    <w:rsid w:val="00396143"/>
    <w:rsid w:val="00396B18"/>
    <w:rsid w:val="00396D30"/>
    <w:rsid w:val="00396D9F"/>
    <w:rsid w:val="003977C9"/>
    <w:rsid w:val="003A079A"/>
    <w:rsid w:val="003A1D2D"/>
    <w:rsid w:val="003A1E38"/>
    <w:rsid w:val="003A2376"/>
    <w:rsid w:val="003A29EC"/>
    <w:rsid w:val="003A3E1B"/>
    <w:rsid w:val="003A40EF"/>
    <w:rsid w:val="003A477C"/>
    <w:rsid w:val="003A4B89"/>
    <w:rsid w:val="003A57F2"/>
    <w:rsid w:val="003A5D5D"/>
    <w:rsid w:val="003A70C1"/>
    <w:rsid w:val="003B002F"/>
    <w:rsid w:val="003B00E1"/>
    <w:rsid w:val="003B0339"/>
    <w:rsid w:val="003B0632"/>
    <w:rsid w:val="003B0F94"/>
    <w:rsid w:val="003B184B"/>
    <w:rsid w:val="003B1B41"/>
    <w:rsid w:val="003B21D2"/>
    <w:rsid w:val="003B27AC"/>
    <w:rsid w:val="003B46B6"/>
    <w:rsid w:val="003B5028"/>
    <w:rsid w:val="003B5510"/>
    <w:rsid w:val="003B59CE"/>
    <w:rsid w:val="003B5D51"/>
    <w:rsid w:val="003B63B4"/>
    <w:rsid w:val="003C0F54"/>
    <w:rsid w:val="003C1DBD"/>
    <w:rsid w:val="003C3217"/>
    <w:rsid w:val="003C326C"/>
    <w:rsid w:val="003C3B8A"/>
    <w:rsid w:val="003C4066"/>
    <w:rsid w:val="003C429D"/>
    <w:rsid w:val="003C60F9"/>
    <w:rsid w:val="003C63A4"/>
    <w:rsid w:val="003C643F"/>
    <w:rsid w:val="003C721E"/>
    <w:rsid w:val="003C72EE"/>
    <w:rsid w:val="003C77DB"/>
    <w:rsid w:val="003C7E47"/>
    <w:rsid w:val="003D0C03"/>
    <w:rsid w:val="003D1FC2"/>
    <w:rsid w:val="003D4CB9"/>
    <w:rsid w:val="003D5CD4"/>
    <w:rsid w:val="003D5D78"/>
    <w:rsid w:val="003D760C"/>
    <w:rsid w:val="003E0C0A"/>
    <w:rsid w:val="003E114E"/>
    <w:rsid w:val="003E144F"/>
    <w:rsid w:val="003E18D6"/>
    <w:rsid w:val="003E19CC"/>
    <w:rsid w:val="003E1B97"/>
    <w:rsid w:val="003E1C97"/>
    <w:rsid w:val="003E1E19"/>
    <w:rsid w:val="003E1F95"/>
    <w:rsid w:val="003E2A99"/>
    <w:rsid w:val="003E39FA"/>
    <w:rsid w:val="003E3AD0"/>
    <w:rsid w:val="003E4B78"/>
    <w:rsid w:val="003E5055"/>
    <w:rsid w:val="003E5435"/>
    <w:rsid w:val="003E689B"/>
    <w:rsid w:val="003E6AF5"/>
    <w:rsid w:val="003E7494"/>
    <w:rsid w:val="003E7581"/>
    <w:rsid w:val="003E798A"/>
    <w:rsid w:val="003E7AA5"/>
    <w:rsid w:val="003F1539"/>
    <w:rsid w:val="003F1766"/>
    <w:rsid w:val="003F2210"/>
    <w:rsid w:val="003F2895"/>
    <w:rsid w:val="003F2D1D"/>
    <w:rsid w:val="003F2EEA"/>
    <w:rsid w:val="003F377F"/>
    <w:rsid w:val="003F3B79"/>
    <w:rsid w:val="003F4BD4"/>
    <w:rsid w:val="003F4E8F"/>
    <w:rsid w:val="003F6040"/>
    <w:rsid w:val="003F65EF"/>
    <w:rsid w:val="003F6E7C"/>
    <w:rsid w:val="00401AF2"/>
    <w:rsid w:val="00401D48"/>
    <w:rsid w:val="00401E41"/>
    <w:rsid w:val="00402A13"/>
    <w:rsid w:val="00402EA2"/>
    <w:rsid w:val="004039A3"/>
    <w:rsid w:val="004041F0"/>
    <w:rsid w:val="00404A08"/>
    <w:rsid w:val="00405A62"/>
    <w:rsid w:val="00405C43"/>
    <w:rsid w:val="00406322"/>
    <w:rsid w:val="004065A6"/>
    <w:rsid w:val="00406C07"/>
    <w:rsid w:val="00406F6B"/>
    <w:rsid w:val="00407172"/>
    <w:rsid w:val="0040764A"/>
    <w:rsid w:val="00407A0F"/>
    <w:rsid w:val="00407C3E"/>
    <w:rsid w:val="00407DC1"/>
    <w:rsid w:val="004103A5"/>
    <w:rsid w:val="004109EF"/>
    <w:rsid w:val="00410B2E"/>
    <w:rsid w:val="004110D8"/>
    <w:rsid w:val="00411B31"/>
    <w:rsid w:val="00411C12"/>
    <w:rsid w:val="00411DE8"/>
    <w:rsid w:val="004123BB"/>
    <w:rsid w:val="00412435"/>
    <w:rsid w:val="004128B0"/>
    <w:rsid w:val="00412D9E"/>
    <w:rsid w:val="00413D7A"/>
    <w:rsid w:val="00413F77"/>
    <w:rsid w:val="004142C3"/>
    <w:rsid w:val="004147D7"/>
    <w:rsid w:val="00415336"/>
    <w:rsid w:val="00415C9A"/>
    <w:rsid w:val="0041600D"/>
    <w:rsid w:val="004163D5"/>
    <w:rsid w:val="00416A79"/>
    <w:rsid w:val="0041700B"/>
    <w:rsid w:val="00417E24"/>
    <w:rsid w:val="00420255"/>
    <w:rsid w:val="004203D3"/>
    <w:rsid w:val="00420C5A"/>
    <w:rsid w:val="00420C88"/>
    <w:rsid w:val="00421281"/>
    <w:rsid w:val="004218E2"/>
    <w:rsid w:val="00421F13"/>
    <w:rsid w:val="00423426"/>
    <w:rsid w:val="00424141"/>
    <w:rsid w:val="00424682"/>
    <w:rsid w:val="00424C82"/>
    <w:rsid w:val="00425DA1"/>
    <w:rsid w:val="00426433"/>
    <w:rsid w:val="004264E4"/>
    <w:rsid w:val="004265D7"/>
    <w:rsid w:val="00427E22"/>
    <w:rsid w:val="004302A2"/>
    <w:rsid w:val="0043054B"/>
    <w:rsid w:val="00430AC4"/>
    <w:rsid w:val="00430B6C"/>
    <w:rsid w:val="00430D2F"/>
    <w:rsid w:val="00430E15"/>
    <w:rsid w:val="004312EA"/>
    <w:rsid w:val="0043156E"/>
    <w:rsid w:val="00431C64"/>
    <w:rsid w:val="004325A5"/>
    <w:rsid w:val="00432801"/>
    <w:rsid w:val="004328C2"/>
    <w:rsid w:val="00433435"/>
    <w:rsid w:val="00434449"/>
    <w:rsid w:val="004346C9"/>
    <w:rsid w:val="00434BD7"/>
    <w:rsid w:val="0043618B"/>
    <w:rsid w:val="004370DE"/>
    <w:rsid w:val="0043748C"/>
    <w:rsid w:val="004376B7"/>
    <w:rsid w:val="00437E67"/>
    <w:rsid w:val="00440382"/>
    <w:rsid w:val="004409B0"/>
    <w:rsid w:val="00441492"/>
    <w:rsid w:val="00441B91"/>
    <w:rsid w:val="00441BF8"/>
    <w:rsid w:val="00442F90"/>
    <w:rsid w:val="00444CDD"/>
    <w:rsid w:val="004453A6"/>
    <w:rsid w:val="004454A7"/>
    <w:rsid w:val="00446000"/>
    <w:rsid w:val="0044657C"/>
    <w:rsid w:val="00451CA1"/>
    <w:rsid w:val="004525D2"/>
    <w:rsid w:val="0045313F"/>
    <w:rsid w:val="004531D6"/>
    <w:rsid w:val="00453F87"/>
    <w:rsid w:val="00453FD2"/>
    <w:rsid w:val="00454794"/>
    <w:rsid w:val="0045488B"/>
    <w:rsid w:val="00455FF9"/>
    <w:rsid w:val="0045614C"/>
    <w:rsid w:val="00456623"/>
    <w:rsid w:val="00456AFB"/>
    <w:rsid w:val="00456D2B"/>
    <w:rsid w:val="00456E4E"/>
    <w:rsid w:val="00457512"/>
    <w:rsid w:val="00460320"/>
    <w:rsid w:val="004603FE"/>
    <w:rsid w:val="00461373"/>
    <w:rsid w:val="004623A8"/>
    <w:rsid w:val="0046249F"/>
    <w:rsid w:val="0046330C"/>
    <w:rsid w:val="004639C2"/>
    <w:rsid w:val="004639E3"/>
    <w:rsid w:val="00463CD2"/>
    <w:rsid w:val="00464C4A"/>
    <w:rsid w:val="00464CAC"/>
    <w:rsid w:val="00464F77"/>
    <w:rsid w:val="00465954"/>
    <w:rsid w:val="00465CA0"/>
    <w:rsid w:val="004660E1"/>
    <w:rsid w:val="0046635E"/>
    <w:rsid w:val="00466934"/>
    <w:rsid w:val="0047033D"/>
    <w:rsid w:val="00471599"/>
    <w:rsid w:val="00471F86"/>
    <w:rsid w:val="0047276B"/>
    <w:rsid w:val="00472DCC"/>
    <w:rsid w:val="00472F99"/>
    <w:rsid w:val="00473465"/>
    <w:rsid w:val="00473D2A"/>
    <w:rsid w:val="00474F6E"/>
    <w:rsid w:val="00475298"/>
    <w:rsid w:val="00475B9E"/>
    <w:rsid w:val="0047610D"/>
    <w:rsid w:val="0047660C"/>
    <w:rsid w:val="00476D3B"/>
    <w:rsid w:val="00476EA1"/>
    <w:rsid w:val="004779CA"/>
    <w:rsid w:val="004779F6"/>
    <w:rsid w:val="00480308"/>
    <w:rsid w:val="00480ADA"/>
    <w:rsid w:val="00480B2D"/>
    <w:rsid w:val="00480F5B"/>
    <w:rsid w:val="00480FD1"/>
    <w:rsid w:val="00481D35"/>
    <w:rsid w:val="00482615"/>
    <w:rsid w:val="00482E17"/>
    <w:rsid w:val="004830FA"/>
    <w:rsid w:val="004838C2"/>
    <w:rsid w:val="004844A4"/>
    <w:rsid w:val="0048522E"/>
    <w:rsid w:val="00485244"/>
    <w:rsid w:val="0048551D"/>
    <w:rsid w:val="00485845"/>
    <w:rsid w:val="00485E76"/>
    <w:rsid w:val="00486464"/>
    <w:rsid w:val="004867A9"/>
    <w:rsid w:val="00486F88"/>
    <w:rsid w:val="00487020"/>
    <w:rsid w:val="00490028"/>
    <w:rsid w:val="00490E70"/>
    <w:rsid w:val="004912FE"/>
    <w:rsid w:val="00491AFF"/>
    <w:rsid w:val="00491C21"/>
    <w:rsid w:val="00491CC9"/>
    <w:rsid w:val="00492003"/>
    <w:rsid w:val="004921BB"/>
    <w:rsid w:val="0049276E"/>
    <w:rsid w:val="00492E9B"/>
    <w:rsid w:val="0049363C"/>
    <w:rsid w:val="004946A4"/>
    <w:rsid w:val="00494FF7"/>
    <w:rsid w:val="00495396"/>
    <w:rsid w:val="004954CA"/>
    <w:rsid w:val="00495C89"/>
    <w:rsid w:val="004962B1"/>
    <w:rsid w:val="0049674A"/>
    <w:rsid w:val="004967A4"/>
    <w:rsid w:val="00496D8F"/>
    <w:rsid w:val="0049729F"/>
    <w:rsid w:val="00497377"/>
    <w:rsid w:val="0049740B"/>
    <w:rsid w:val="004974B2"/>
    <w:rsid w:val="00497889"/>
    <w:rsid w:val="004A0456"/>
    <w:rsid w:val="004A0A60"/>
    <w:rsid w:val="004A0F69"/>
    <w:rsid w:val="004A1624"/>
    <w:rsid w:val="004A2174"/>
    <w:rsid w:val="004A2277"/>
    <w:rsid w:val="004A25E3"/>
    <w:rsid w:val="004A26CB"/>
    <w:rsid w:val="004A375D"/>
    <w:rsid w:val="004A3AA4"/>
    <w:rsid w:val="004A3B6D"/>
    <w:rsid w:val="004A4568"/>
    <w:rsid w:val="004A46CA"/>
    <w:rsid w:val="004A4BBE"/>
    <w:rsid w:val="004A4EE0"/>
    <w:rsid w:val="004A5807"/>
    <w:rsid w:val="004A59E8"/>
    <w:rsid w:val="004A5D42"/>
    <w:rsid w:val="004A6222"/>
    <w:rsid w:val="004A69BC"/>
    <w:rsid w:val="004A7382"/>
    <w:rsid w:val="004A76D6"/>
    <w:rsid w:val="004A7723"/>
    <w:rsid w:val="004A778B"/>
    <w:rsid w:val="004A7BD9"/>
    <w:rsid w:val="004B038D"/>
    <w:rsid w:val="004B04E6"/>
    <w:rsid w:val="004B18A0"/>
    <w:rsid w:val="004B1AB9"/>
    <w:rsid w:val="004B2291"/>
    <w:rsid w:val="004B2623"/>
    <w:rsid w:val="004B3533"/>
    <w:rsid w:val="004B3E1E"/>
    <w:rsid w:val="004B4A0E"/>
    <w:rsid w:val="004B4B51"/>
    <w:rsid w:val="004B541F"/>
    <w:rsid w:val="004B5660"/>
    <w:rsid w:val="004B6AE6"/>
    <w:rsid w:val="004B7636"/>
    <w:rsid w:val="004C0296"/>
    <w:rsid w:val="004C060A"/>
    <w:rsid w:val="004C0C42"/>
    <w:rsid w:val="004C0C65"/>
    <w:rsid w:val="004C0EEF"/>
    <w:rsid w:val="004C1223"/>
    <w:rsid w:val="004C122A"/>
    <w:rsid w:val="004C1F33"/>
    <w:rsid w:val="004C24D1"/>
    <w:rsid w:val="004C2FCD"/>
    <w:rsid w:val="004C3EA9"/>
    <w:rsid w:val="004C4288"/>
    <w:rsid w:val="004C5166"/>
    <w:rsid w:val="004C52B8"/>
    <w:rsid w:val="004C5524"/>
    <w:rsid w:val="004C5AB8"/>
    <w:rsid w:val="004C63A3"/>
    <w:rsid w:val="004C6717"/>
    <w:rsid w:val="004C6AD2"/>
    <w:rsid w:val="004C6CA9"/>
    <w:rsid w:val="004C6E97"/>
    <w:rsid w:val="004C732B"/>
    <w:rsid w:val="004C7818"/>
    <w:rsid w:val="004C788D"/>
    <w:rsid w:val="004C7F64"/>
    <w:rsid w:val="004D0964"/>
    <w:rsid w:val="004D0F7A"/>
    <w:rsid w:val="004D0FCB"/>
    <w:rsid w:val="004D13A8"/>
    <w:rsid w:val="004D150D"/>
    <w:rsid w:val="004D16AA"/>
    <w:rsid w:val="004D1AA7"/>
    <w:rsid w:val="004D245C"/>
    <w:rsid w:val="004D2CC1"/>
    <w:rsid w:val="004D312F"/>
    <w:rsid w:val="004D3130"/>
    <w:rsid w:val="004D490A"/>
    <w:rsid w:val="004D54DA"/>
    <w:rsid w:val="004D563A"/>
    <w:rsid w:val="004D5A6C"/>
    <w:rsid w:val="004D66A0"/>
    <w:rsid w:val="004D683D"/>
    <w:rsid w:val="004D6ED9"/>
    <w:rsid w:val="004D72B6"/>
    <w:rsid w:val="004D79D4"/>
    <w:rsid w:val="004D7A65"/>
    <w:rsid w:val="004D7B7A"/>
    <w:rsid w:val="004E035C"/>
    <w:rsid w:val="004E07EA"/>
    <w:rsid w:val="004E0E9C"/>
    <w:rsid w:val="004E11D2"/>
    <w:rsid w:val="004E15E0"/>
    <w:rsid w:val="004E179A"/>
    <w:rsid w:val="004E199C"/>
    <w:rsid w:val="004E1B39"/>
    <w:rsid w:val="004E234A"/>
    <w:rsid w:val="004E28C9"/>
    <w:rsid w:val="004E3EBD"/>
    <w:rsid w:val="004E5205"/>
    <w:rsid w:val="004E5251"/>
    <w:rsid w:val="004E5918"/>
    <w:rsid w:val="004E5D23"/>
    <w:rsid w:val="004E6943"/>
    <w:rsid w:val="004E6E4B"/>
    <w:rsid w:val="004E7670"/>
    <w:rsid w:val="004F20FB"/>
    <w:rsid w:val="004F2D83"/>
    <w:rsid w:val="004F34A7"/>
    <w:rsid w:val="004F3E13"/>
    <w:rsid w:val="004F3E27"/>
    <w:rsid w:val="004F450C"/>
    <w:rsid w:val="004F49AA"/>
    <w:rsid w:val="004F4AF8"/>
    <w:rsid w:val="004F5F36"/>
    <w:rsid w:val="004F6358"/>
    <w:rsid w:val="004F6556"/>
    <w:rsid w:val="00500172"/>
    <w:rsid w:val="00500A88"/>
    <w:rsid w:val="00501838"/>
    <w:rsid w:val="005024E0"/>
    <w:rsid w:val="00502629"/>
    <w:rsid w:val="00502D16"/>
    <w:rsid w:val="00502DE2"/>
    <w:rsid w:val="005030DE"/>
    <w:rsid w:val="0050374C"/>
    <w:rsid w:val="00503800"/>
    <w:rsid w:val="00503CDE"/>
    <w:rsid w:val="005041AA"/>
    <w:rsid w:val="00504475"/>
    <w:rsid w:val="00504583"/>
    <w:rsid w:val="0050484A"/>
    <w:rsid w:val="005055BA"/>
    <w:rsid w:val="00505ED9"/>
    <w:rsid w:val="00505FE7"/>
    <w:rsid w:val="00506037"/>
    <w:rsid w:val="00506878"/>
    <w:rsid w:val="005068E3"/>
    <w:rsid w:val="00507F6D"/>
    <w:rsid w:val="00510135"/>
    <w:rsid w:val="005107B5"/>
    <w:rsid w:val="00510B0F"/>
    <w:rsid w:val="00510FA1"/>
    <w:rsid w:val="00510FD0"/>
    <w:rsid w:val="005112DA"/>
    <w:rsid w:val="005117AE"/>
    <w:rsid w:val="00512C79"/>
    <w:rsid w:val="00512E9C"/>
    <w:rsid w:val="005139D1"/>
    <w:rsid w:val="00513F5D"/>
    <w:rsid w:val="005141E0"/>
    <w:rsid w:val="0051434E"/>
    <w:rsid w:val="00514989"/>
    <w:rsid w:val="005149EB"/>
    <w:rsid w:val="00514CC0"/>
    <w:rsid w:val="0051532E"/>
    <w:rsid w:val="0051535A"/>
    <w:rsid w:val="0051550C"/>
    <w:rsid w:val="00515887"/>
    <w:rsid w:val="005163F7"/>
    <w:rsid w:val="005167A2"/>
    <w:rsid w:val="00516919"/>
    <w:rsid w:val="00516A23"/>
    <w:rsid w:val="00516C16"/>
    <w:rsid w:val="0051707C"/>
    <w:rsid w:val="005170CD"/>
    <w:rsid w:val="00517340"/>
    <w:rsid w:val="00517BEA"/>
    <w:rsid w:val="00517D70"/>
    <w:rsid w:val="0052060C"/>
    <w:rsid w:val="00520C8F"/>
    <w:rsid w:val="005214B6"/>
    <w:rsid w:val="0052223E"/>
    <w:rsid w:val="005227C6"/>
    <w:rsid w:val="00522B55"/>
    <w:rsid w:val="0052362D"/>
    <w:rsid w:val="00523970"/>
    <w:rsid w:val="00524C49"/>
    <w:rsid w:val="00525318"/>
    <w:rsid w:val="00526345"/>
    <w:rsid w:val="0052667E"/>
    <w:rsid w:val="00526C5E"/>
    <w:rsid w:val="00527176"/>
    <w:rsid w:val="005279DA"/>
    <w:rsid w:val="00530043"/>
    <w:rsid w:val="00530367"/>
    <w:rsid w:val="005307E3"/>
    <w:rsid w:val="00530872"/>
    <w:rsid w:val="00531B27"/>
    <w:rsid w:val="005320DC"/>
    <w:rsid w:val="00532102"/>
    <w:rsid w:val="00532171"/>
    <w:rsid w:val="00532F16"/>
    <w:rsid w:val="00533C1D"/>
    <w:rsid w:val="00535E70"/>
    <w:rsid w:val="00536812"/>
    <w:rsid w:val="005404D7"/>
    <w:rsid w:val="0054086C"/>
    <w:rsid w:val="00540DC9"/>
    <w:rsid w:val="00541916"/>
    <w:rsid w:val="00541A84"/>
    <w:rsid w:val="00543617"/>
    <w:rsid w:val="00543E83"/>
    <w:rsid w:val="005449DD"/>
    <w:rsid w:val="00544B58"/>
    <w:rsid w:val="00544D75"/>
    <w:rsid w:val="00545125"/>
    <w:rsid w:val="00545A18"/>
    <w:rsid w:val="00545D46"/>
    <w:rsid w:val="00545D5B"/>
    <w:rsid w:val="005469A4"/>
    <w:rsid w:val="00547608"/>
    <w:rsid w:val="00547788"/>
    <w:rsid w:val="0055189A"/>
    <w:rsid w:val="0055233B"/>
    <w:rsid w:val="005529FD"/>
    <w:rsid w:val="00552E9F"/>
    <w:rsid w:val="0055329E"/>
    <w:rsid w:val="00553BAF"/>
    <w:rsid w:val="00554605"/>
    <w:rsid w:val="00554B17"/>
    <w:rsid w:val="005564EF"/>
    <w:rsid w:val="00556E1A"/>
    <w:rsid w:val="00556F9A"/>
    <w:rsid w:val="00557972"/>
    <w:rsid w:val="00557B48"/>
    <w:rsid w:val="005603E2"/>
    <w:rsid w:val="00560F77"/>
    <w:rsid w:val="005612F0"/>
    <w:rsid w:val="0056159A"/>
    <w:rsid w:val="00561807"/>
    <w:rsid w:val="00561A8B"/>
    <w:rsid w:val="00561C03"/>
    <w:rsid w:val="005623C1"/>
    <w:rsid w:val="0056240C"/>
    <w:rsid w:val="005626CA"/>
    <w:rsid w:val="00562DBE"/>
    <w:rsid w:val="00563895"/>
    <w:rsid w:val="00563C17"/>
    <w:rsid w:val="00563FA0"/>
    <w:rsid w:val="00564093"/>
    <w:rsid w:val="00564323"/>
    <w:rsid w:val="00564413"/>
    <w:rsid w:val="005645F7"/>
    <w:rsid w:val="0056557C"/>
    <w:rsid w:val="0056568B"/>
    <w:rsid w:val="00565842"/>
    <w:rsid w:val="00565928"/>
    <w:rsid w:val="00565E13"/>
    <w:rsid w:val="0056673C"/>
    <w:rsid w:val="005667F3"/>
    <w:rsid w:val="00566931"/>
    <w:rsid w:val="00567F30"/>
    <w:rsid w:val="00567F6F"/>
    <w:rsid w:val="0057016D"/>
    <w:rsid w:val="005704BD"/>
    <w:rsid w:val="00570699"/>
    <w:rsid w:val="00570903"/>
    <w:rsid w:val="00570C11"/>
    <w:rsid w:val="00571DE8"/>
    <w:rsid w:val="005737B8"/>
    <w:rsid w:val="00573A9E"/>
    <w:rsid w:val="005741A4"/>
    <w:rsid w:val="005745AF"/>
    <w:rsid w:val="005746BF"/>
    <w:rsid w:val="005748DC"/>
    <w:rsid w:val="00575279"/>
    <w:rsid w:val="00575522"/>
    <w:rsid w:val="00575B62"/>
    <w:rsid w:val="00576939"/>
    <w:rsid w:val="00576AE6"/>
    <w:rsid w:val="005776A7"/>
    <w:rsid w:val="0057791C"/>
    <w:rsid w:val="005817F4"/>
    <w:rsid w:val="00581A66"/>
    <w:rsid w:val="00581DEB"/>
    <w:rsid w:val="00583589"/>
    <w:rsid w:val="0058373A"/>
    <w:rsid w:val="005840A0"/>
    <w:rsid w:val="00584363"/>
    <w:rsid w:val="00585151"/>
    <w:rsid w:val="00585213"/>
    <w:rsid w:val="005856E6"/>
    <w:rsid w:val="00586184"/>
    <w:rsid w:val="005861C0"/>
    <w:rsid w:val="00587080"/>
    <w:rsid w:val="00587102"/>
    <w:rsid w:val="00587F18"/>
    <w:rsid w:val="00590368"/>
    <w:rsid w:val="00590DCA"/>
    <w:rsid w:val="00591264"/>
    <w:rsid w:val="005918E2"/>
    <w:rsid w:val="00591A99"/>
    <w:rsid w:val="00592A19"/>
    <w:rsid w:val="00593219"/>
    <w:rsid w:val="00593AD4"/>
    <w:rsid w:val="00593E9F"/>
    <w:rsid w:val="00594F08"/>
    <w:rsid w:val="005952FA"/>
    <w:rsid w:val="00595B17"/>
    <w:rsid w:val="0059792E"/>
    <w:rsid w:val="005A0501"/>
    <w:rsid w:val="005A0807"/>
    <w:rsid w:val="005A0E70"/>
    <w:rsid w:val="005A123F"/>
    <w:rsid w:val="005A1426"/>
    <w:rsid w:val="005A1E91"/>
    <w:rsid w:val="005A2819"/>
    <w:rsid w:val="005A29D3"/>
    <w:rsid w:val="005A3143"/>
    <w:rsid w:val="005A3C92"/>
    <w:rsid w:val="005A4023"/>
    <w:rsid w:val="005A44C9"/>
    <w:rsid w:val="005A4576"/>
    <w:rsid w:val="005A4A26"/>
    <w:rsid w:val="005A4A9D"/>
    <w:rsid w:val="005A5D8C"/>
    <w:rsid w:val="005A694F"/>
    <w:rsid w:val="005A784B"/>
    <w:rsid w:val="005A7A6C"/>
    <w:rsid w:val="005A7D0E"/>
    <w:rsid w:val="005A7D81"/>
    <w:rsid w:val="005B051A"/>
    <w:rsid w:val="005B070A"/>
    <w:rsid w:val="005B0D29"/>
    <w:rsid w:val="005B0E6B"/>
    <w:rsid w:val="005B1AE4"/>
    <w:rsid w:val="005B22AA"/>
    <w:rsid w:val="005B2C5B"/>
    <w:rsid w:val="005B3339"/>
    <w:rsid w:val="005B3B5A"/>
    <w:rsid w:val="005B3E0E"/>
    <w:rsid w:val="005B4033"/>
    <w:rsid w:val="005B4CFC"/>
    <w:rsid w:val="005B4E9A"/>
    <w:rsid w:val="005B5224"/>
    <w:rsid w:val="005B5640"/>
    <w:rsid w:val="005B6BDD"/>
    <w:rsid w:val="005B72B6"/>
    <w:rsid w:val="005B796D"/>
    <w:rsid w:val="005B7A68"/>
    <w:rsid w:val="005C02AE"/>
    <w:rsid w:val="005C05AA"/>
    <w:rsid w:val="005C0AF2"/>
    <w:rsid w:val="005C1A2E"/>
    <w:rsid w:val="005C1F68"/>
    <w:rsid w:val="005C211A"/>
    <w:rsid w:val="005C21C7"/>
    <w:rsid w:val="005C2292"/>
    <w:rsid w:val="005C2F19"/>
    <w:rsid w:val="005C5B62"/>
    <w:rsid w:val="005C5CE1"/>
    <w:rsid w:val="005C6238"/>
    <w:rsid w:val="005C6553"/>
    <w:rsid w:val="005C7053"/>
    <w:rsid w:val="005C705B"/>
    <w:rsid w:val="005C7823"/>
    <w:rsid w:val="005D0A93"/>
    <w:rsid w:val="005D18A6"/>
    <w:rsid w:val="005D2164"/>
    <w:rsid w:val="005D25EC"/>
    <w:rsid w:val="005D3011"/>
    <w:rsid w:val="005D3099"/>
    <w:rsid w:val="005D355E"/>
    <w:rsid w:val="005D3893"/>
    <w:rsid w:val="005D3D03"/>
    <w:rsid w:val="005D446F"/>
    <w:rsid w:val="005D469F"/>
    <w:rsid w:val="005D46CC"/>
    <w:rsid w:val="005D47B9"/>
    <w:rsid w:val="005D48F8"/>
    <w:rsid w:val="005D4EC9"/>
    <w:rsid w:val="005D51CB"/>
    <w:rsid w:val="005D5830"/>
    <w:rsid w:val="005D5C5A"/>
    <w:rsid w:val="005D5E39"/>
    <w:rsid w:val="005D5E3B"/>
    <w:rsid w:val="005D65BA"/>
    <w:rsid w:val="005D698F"/>
    <w:rsid w:val="005D6E43"/>
    <w:rsid w:val="005D7012"/>
    <w:rsid w:val="005D778B"/>
    <w:rsid w:val="005E0B78"/>
    <w:rsid w:val="005E31E1"/>
    <w:rsid w:val="005E38DE"/>
    <w:rsid w:val="005E3962"/>
    <w:rsid w:val="005E3995"/>
    <w:rsid w:val="005E3C9F"/>
    <w:rsid w:val="005E4194"/>
    <w:rsid w:val="005E41BF"/>
    <w:rsid w:val="005E4778"/>
    <w:rsid w:val="005E55AA"/>
    <w:rsid w:val="005E5E7B"/>
    <w:rsid w:val="005E689C"/>
    <w:rsid w:val="005E6EC6"/>
    <w:rsid w:val="005E7112"/>
    <w:rsid w:val="005F00D8"/>
    <w:rsid w:val="005F04D9"/>
    <w:rsid w:val="005F1098"/>
    <w:rsid w:val="005F2A46"/>
    <w:rsid w:val="005F3001"/>
    <w:rsid w:val="005F349B"/>
    <w:rsid w:val="005F35D1"/>
    <w:rsid w:val="005F3704"/>
    <w:rsid w:val="005F3B12"/>
    <w:rsid w:val="005F3C4F"/>
    <w:rsid w:val="005F4DB3"/>
    <w:rsid w:val="005F4E5D"/>
    <w:rsid w:val="005F4E67"/>
    <w:rsid w:val="005F5D07"/>
    <w:rsid w:val="005F5DD8"/>
    <w:rsid w:val="005F63FA"/>
    <w:rsid w:val="005F6702"/>
    <w:rsid w:val="005F6BD5"/>
    <w:rsid w:val="005F6DD4"/>
    <w:rsid w:val="005F78ED"/>
    <w:rsid w:val="005F7AAE"/>
    <w:rsid w:val="005F7E19"/>
    <w:rsid w:val="005F7EB3"/>
    <w:rsid w:val="006007E7"/>
    <w:rsid w:val="00600AB1"/>
    <w:rsid w:val="006010B2"/>
    <w:rsid w:val="006015B7"/>
    <w:rsid w:val="00601DC1"/>
    <w:rsid w:val="00602D2E"/>
    <w:rsid w:val="0060368C"/>
    <w:rsid w:val="006040FE"/>
    <w:rsid w:val="0060466E"/>
    <w:rsid w:val="00604E6F"/>
    <w:rsid w:val="006050DD"/>
    <w:rsid w:val="0060592C"/>
    <w:rsid w:val="00605932"/>
    <w:rsid w:val="00605E4C"/>
    <w:rsid w:val="006073E3"/>
    <w:rsid w:val="0060773A"/>
    <w:rsid w:val="00607984"/>
    <w:rsid w:val="00607BC5"/>
    <w:rsid w:val="0061050D"/>
    <w:rsid w:val="006109BA"/>
    <w:rsid w:val="00610F95"/>
    <w:rsid w:val="006111EA"/>
    <w:rsid w:val="00611297"/>
    <w:rsid w:val="00611BD6"/>
    <w:rsid w:val="006140A8"/>
    <w:rsid w:val="00614509"/>
    <w:rsid w:val="006147EB"/>
    <w:rsid w:val="0061514C"/>
    <w:rsid w:val="00615257"/>
    <w:rsid w:val="00615474"/>
    <w:rsid w:val="0061557F"/>
    <w:rsid w:val="00616620"/>
    <w:rsid w:val="006173C4"/>
    <w:rsid w:val="00617D08"/>
    <w:rsid w:val="00620709"/>
    <w:rsid w:val="00620C6F"/>
    <w:rsid w:val="0062167D"/>
    <w:rsid w:val="00622001"/>
    <w:rsid w:val="006227BB"/>
    <w:rsid w:val="00622DA7"/>
    <w:rsid w:val="00623E5E"/>
    <w:rsid w:val="00624311"/>
    <w:rsid w:val="00625D0A"/>
    <w:rsid w:val="006262B9"/>
    <w:rsid w:val="00626CA0"/>
    <w:rsid w:val="00626ED5"/>
    <w:rsid w:val="006273B6"/>
    <w:rsid w:val="00627B8C"/>
    <w:rsid w:val="0063009C"/>
    <w:rsid w:val="006301F1"/>
    <w:rsid w:val="00630804"/>
    <w:rsid w:val="00630878"/>
    <w:rsid w:val="006314C7"/>
    <w:rsid w:val="006315C2"/>
    <w:rsid w:val="006324AB"/>
    <w:rsid w:val="00632CC4"/>
    <w:rsid w:val="0063308D"/>
    <w:rsid w:val="006330F9"/>
    <w:rsid w:val="00633F1A"/>
    <w:rsid w:val="00634098"/>
    <w:rsid w:val="006347B4"/>
    <w:rsid w:val="00634969"/>
    <w:rsid w:val="006349B5"/>
    <w:rsid w:val="00634FA9"/>
    <w:rsid w:val="006356A3"/>
    <w:rsid w:val="006356D2"/>
    <w:rsid w:val="0063631D"/>
    <w:rsid w:val="00636EF1"/>
    <w:rsid w:val="00637653"/>
    <w:rsid w:val="00637A48"/>
    <w:rsid w:val="00637CA5"/>
    <w:rsid w:val="00637D44"/>
    <w:rsid w:val="006405BE"/>
    <w:rsid w:val="00641634"/>
    <w:rsid w:val="0064185C"/>
    <w:rsid w:val="00641DAF"/>
    <w:rsid w:val="006421A2"/>
    <w:rsid w:val="006427EE"/>
    <w:rsid w:val="00642D35"/>
    <w:rsid w:val="00643046"/>
    <w:rsid w:val="00643D59"/>
    <w:rsid w:val="00643F7E"/>
    <w:rsid w:val="0064463B"/>
    <w:rsid w:val="0064526B"/>
    <w:rsid w:val="00646015"/>
    <w:rsid w:val="006460F2"/>
    <w:rsid w:val="0064616F"/>
    <w:rsid w:val="006464A8"/>
    <w:rsid w:val="00646E32"/>
    <w:rsid w:val="006477C4"/>
    <w:rsid w:val="00647A43"/>
    <w:rsid w:val="00647BCD"/>
    <w:rsid w:val="006502F2"/>
    <w:rsid w:val="00651A07"/>
    <w:rsid w:val="00651A79"/>
    <w:rsid w:val="006520D0"/>
    <w:rsid w:val="00652B5D"/>
    <w:rsid w:val="00653464"/>
    <w:rsid w:val="00653942"/>
    <w:rsid w:val="00653DF0"/>
    <w:rsid w:val="00654162"/>
    <w:rsid w:val="0065435D"/>
    <w:rsid w:val="006545D3"/>
    <w:rsid w:val="006547F5"/>
    <w:rsid w:val="006547FE"/>
    <w:rsid w:val="00654B3F"/>
    <w:rsid w:val="0065520C"/>
    <w:rsid w:val="00655F4B"/>
    <w:rsid w:val="00656794"/>
    <w:rsid w:val="0066099A"/>
    <w:rsid w:val="0066100C"/>
    <w:rsid w:val="0066145A"/>
    <w:rsid w:val="006617A7"/>
    <w:rsid w:val="006619F9"/>
    <w:rsid w:val="00661FC2"/>
    <w:rsid w:val="006620F4"/>
    <w:rsid w:val="00662B5D"/>
    <w:rsid w:val="0066304B"/>
    <w:rsid w:val="006647ED"/>
    <w:rsid w:val="00664BED"/>
    <w:rsid w:val="00664FE0"/>
    <w:rsid w:val="006650B0"/>
    <w:rsid w:val="0066538F"/>
    <w:rsid w:val="006656A8"/>
    <w:rsid w:val="0066634E"/>
    <w:rsid w:val="006666F7"/>
    <w:rsid w:val="0067088D"/>
    <w:rsid w:val="00670CD9"/>
    <w:rsid w:val="006714C4"/>
    <w:rsid w:val="00671A0D"/>
    <w:rsid w:val="00671B6B"/>
    <w:rsid w:val="00671E4E"/>
    <w:rsid w:val="00671FA6"/>
    <w:rsid w:val="00673A1A"/>
    <w:rsid w:val="00673AFE"/>
    <w:rsid w:val="00673FEC"/>
    <w:rsid w:val="006748BB"/>
    <w:rsid w:val="00674F75"/>
    <w:rsid w:val="006756B7"/>
    <w:rsid w:val="00675C9A"/>
    <w:rsid w:val="00675F8A"/>
    <w:rsid w:val="00676754"/>
    <w:rsid w:val="00676AF5"/>
    <w:rsid w:val="00676C39"/>
    <w:rsid w:val="00676EEF"/>
    <w:rsid w:val="00676F7C"/>
    <w:rsid w:val="006770CB"/>
    <w:rsid w:val="0067723C"/>
    <w:rsid w:val="00677E06"/>
    <w:rsid w:val="006807E1"/>
    <w:rsid w:val="00680FC0"/>
    <w:rsid w:val="0068137A"/>
    <w:rsid w:val="006815A3"/>
    <w:rsid w:val="006817F4"/>
    <w:rsid w:val="00681DAA"/>
    <w:rsid w:val="006826E3"/>
    <w:rsid w:val="00682730"/>
    <w:rsid w:val="0068342C"/>
    <w:rsid w:val="00683B39"/>
    <w:rsid w:val="00683B7D"/>
    <w:rsid w:val="00683C4C"/>
    <w:rsid w:val="006843CB"/>
    <w:rsid w:val="00684CD9"/>
    <w:rsid w:val="00684E6B"/>
    <w:rsid w:val="00685389"/>
    <w:rsid w:val="00685C79"/>
    <w:rsid w:val="006869E5"/>
    <w:rsid w:val="006869F7"/>
    <w:rsid w:val="00687A4F"/>
    <w:rsid w:val="00690E20"/>
    <w:rsid w:val="006910AC"/>
    <w:rsid w:val="00691D33"/>
    <w:rsid w:val="00691D68"/>
    <w:rsid w:val="006922BE"/>
    <w:rsid w:val="00692D4E"/>
    <w:rsid w:val="00693DB5"/>
    <w:rsid w:val="006942A6"/>
    <w:rsid w:val="00694847"/>
    <w:rsid w:val="00694D0F"/>
    <w:rsid w:val="00695732"/>
    <w:rsid w:val="006958BF"/>
    <w:rsid w:val="006962C7"/>
    <w:rsid w:val="0069635E"/>
    <w:rsid w:val="00696958"/>
    <w:rsid w:val="00696B05"/>
    <w:rsid w:val="00697D98"/>
    <w:rsid w:val="00697DE5"/>
    <w:rsid w:val="00697F02"/>
    <w:rsid w:val="00697F51"/>
    <w:rsid w:val="006A01D7"/>
    <w:rsid w:val="006A0354"/>
    <w:rsid w:val="006A151A"/>
    <w:rsid w:val="006A1989"/>
    <w:rsid w:val="006A1D5A"/>
    <w:rsid w:val="006A2221"/>
    <w:rsid w:val="006A22EC"/>
    <w:rsid w:val="006A27E8"/>
    <w:rsid w:val="006A2ADE"/>
    <w:rsid w:val="006A2E64"/>
    <w:rsid w:val="006A3E14"/>
    <w:rsid w:val="006A5A3B"/>
    <w:rsid w:val="006A5B39"/>
    <w:rsid w:val="006A5B6C"/>
    <w:rsid w:val="006A5C4B"/>
    <w:rsid w:val="006A6C30"/>
    <w:rsid w:val="006A6CC5"/>
    <w:rsid w:val="006A7093"/>
    <w:rsid w:val="006A7628"/>
    <w:rsid w:val="006A7926"/>
    <w:rsid w:val="006B05A7"/>
    <w:rsid w:val="006B08EE"/>
    <w:rsid w:val="006B0BDF"/>
    <w:rsid w:val="006B1023"/>
    <w:rsid w:val="006B1661"/>
    <w:rsid w:val="006B16A8"/>
    <w:rsid w:val="006B21E5"/>
    <w:rsid w:val="006B2771"/>
    <w:rsid w:val="006B2E46"/>
    <w:rsid w:val="006B305D"/>
    <w:rsid w:val="006B36ED"/>
    <w:rsid w:val="006B377E"/>
    <w:rsid w:val="006B39E1"/>
    <w:rsid w:val="006B42C1"/>
    <w:rsid w:val="006B4306"/>
    <w:rsid w:val="006B55AD"/>
    <w:rsid w:val="006B64C5"/>
    <w:rsid w:val="006B68A0"/>
    <w:rsid w:val="006B6D14"/>
    <w:rsid w:val="006B706C"/>
    <w:rsid w:val="006B77D7"/>
    <w:rsid w:val="006B7EFB"/>
    <w:rsid w:val="006B7F3F"/>
    <w:rsid w:val="006C10C5"/>
    <w:rsid w:val="006C10D3"/>
    <w:rsid w:val="006C1300"/>
    <w:rsid w:val="006C1383"/>
    <w:rsid w:val="006C1BDB"/>
    <w:rsid w:val="006C1DA9"/>
    <w:rsid w:val="006C354B"/>
    <w:rsid w:val="006C35A6"/>
    <w:rsid w:val="006C425A"/>
    <w:rsid w:val="006C4EBA"/>
    <w:rsid w:val="006C529A"/>
    <w:rsid w:val="006C7575"/>
    <w:rsid w:val="006C7B2C"/>
    <w:rsid w:val="006D0D89"/>
    <w:rsid w:val="006D0D91"/>
    <w:rsid w:val="006D11DC"/>
    <w:rsid w:val="006D1DCC"/>
    <w:rsid w:val="006D3473"/>
    <w:rsid w:val="006D39AD"/>
    <w:rsid w:val="006D3DA2"/>
    <w:rsid w:val="006D482D"/>
    <w:rsid w:val="006D5A36"/>
    <w:rsid w:val="006D6439"/>
    <w:rsid w:val="006D6865"/>
    <w:rsid w:val="006D72C3"/>
    <w:rsid w:val="006D7736"/>
    <w:rsid w:val="006D7821"/>
    <w:rsid w:val="006D7B0F"/>
    <w:rsid w:val="006D7C36"/>
    <w:rsid w:val="006D7EF7"/>
    <w:rsid w:val="006E041A"/>
    <w:rsid w:val="006E2210"/>
    <w:rsid w:val="006E3109"/>
    <w:rsid w:val="006E399B"/>
    <w:rsid w:val="006E52F2"/>
    <w:rsid w:val="006E5867"/>
    <w:rsid w:val="006E5A97"/>
    <w:rsid w:val="006E5E92"/>
    <w:rsid w:val="006E5EB1"/>
    <w:rsid w:val="006E6449"/>
    <w:rsid w:val="006E77A3"/>
    <w:rsid w:val="006F072A"/>
    <w:rsid w:val="006F178C"/>
    <w:rsid w:val="006F1C86"/>
    <w:rsid w:val="006F2348"/>
    <w:rsid w:val="006F2BD7"/>
    <w:rsid w:val="006F3191"/>
    <w:rsid w:val="006F3C5E"/>
    <w:rsid w:val="006F45CB"/>
    <w:rsid w:val="006F4D19"/>
    <w:rsid w:val="006F5278"/>
    <w:rsid w:val="006F540F"/>
    <w:rsid w:val="006F5507"/>
    <w:rsid w:val="006F6019"/>
    <w:rsid w:val="006F61E6"/>
    <w:rsid w:val="006F688B"/>
    <w:rsid w:val="006F6CAE"/>
    <w:rsid w:val="006F747D"/>
    <w:rsid w:val="006F7533"/>
    <w:rsid w:val="006F7743"/>
    <w:rsid w:val="00700B80"/>
    <w:rsid w:val="00700C21"/>
    <w:rsid w:val="00700C33"/>
    <w:rsid w:val="00701275"/>
    <w:rsid w:val="007017AC"/>
    <w:rsid w:val="00701949"/>
    <w:rsid w:val="00701AB6"/>
    <w:rsid w:val="0070229E"/>
    <w:rsid w:val="0070275F"/>
    <w:rsid w:val="00703704"/>
    <w:rsid w:val="0070408D"/>
    <w:rsid w:val="00704120"/>
    <w:rsid w:val="00704156"/>
    <w:rsid w:val="00704B17"/>
    <w:rsid w:val="00704FC7"/>
    <w:rsid w:val="007051C3"/>
    <w:rsid w:val="00705BDF"/>
    <w:rsid w:val="00705C35"/>
    <w:rsid w:val="007079E0"/>
    <w:rsid w:val="00710535"/>
    <w:rsid w:val="00710926"/>
    <w:rsid w:val="00710F1A"/>
    <w:rsid w:val="00711386"/>
    <w:rsid w:val="0071185A"/>
    <w:rsid w:val="00711F3D"/>
    <w:rsid w:val="007126C9"/>
    <w:rsid w:val="00712887"/>
    <w:rsid w:val="007129B8"/>
    <w:rsid w:val="007143D5"/>
    <w:rsid w:val="007148EB"/>
    <w:rsid w:val="0071493B"/>
    <w:rsid w:val="00714FAB"/>
    <w:rsid w:val="00715E8E"/>
    <w:rsid w:val="00716A31"/>
    <w:rsid w:val="00716ED6"/>
    <w:rsid w:val="007202E2"/>
    <w:rsid w:val="00720935"/>
    <w:rsid w:val="00720A99"/>
    <w:rsid w:val="007212E1"/>
    <w:rsid w:val="007217A6"/>
    <w:rsid w:val="007218BE"/>
    <w:rsid w:val="0072198B"/>
    <w:rsid w:val="00722BD5"/>
    <w:rsid w:val="00722D46"/>
    <w:rsid w:val="00723690"/>
    <w:rsid w:val="00723C20"/>
    <w:rsid w:val="00724129"/>
    <w:rsid w:val="00724557"/>
    <w:rsid w:val="00725F02"/>
    <w:rsid w:val="0072675E"/>
    <w:rsid w:val="00726E86"/>
    <w:rsid w:val="0072740D"/>
    <w:rsid w:val="007274B2"/>
    <w:rsid w:val="00727C88"/>
    <w:rsid w:val="00727E18"/>
    <w:rsid w:val="00730D5C"/>
    <w:rsid w:val="00731866"/>
    <w:rsid w:val="007324B9"/>
    <w:rsid w:val="0073250D"/>
    <w:rsid w:val="0073298A"/>
    <w:rsid w:val="00733017"/>
    <w:rsid w:val="00733506"/>
    <w:rsid w:val="00733A8A"/>
    <w:rsid w:val="00733E8E"/>
    <w:rsid w:val="0073453C"/>
    <w:rsid w:val="00735696"/>
    <w:rsid w:val="007360A8"/>
    <w:rsid w:val="00736345"/>
    <w:rsid w:val="0073664B"/>
    <w:rsid w:val="0073664D"/>
    <w:rsid w:val="0073696F"/>
    <w:rsid w:val="0073791A"/>
    <w:rsid w:val="00737AE3"/>
    <w:rsid w:val="00740536"/>
    <w:rsid w:val="00740A83"/>
    <w:rsid w:val="00740D60"/>
    <w:rsid w:val="00741397"/>
    <w:rsid w:val="007422F8"/>
    <w:rsid w:val="0074296E"/>
    <w:rsid w:val="00742B77"/>
    <w:rsid w:val="00742F1A"/>
    <w:rsid w:val="00743D73"/>
    <w:rsid w:val="00743EBE"/>
    <w:rsid w:val="00744A69"/>
    <w:rsid w:val="00744F5B"/>
    <w:rsid w:val="00744F6B"/>
    <w:rsid w:val="00745050"/>
    <w:rsid w:val="00745557"/>
    <w:rsid w:val="0074569E"/>
    <w:rsid w:val="007458CB"/>
    <w:rsid w:val="00745CC0"/>
    <w:rsid w:val="007467D7"/>
    <w:rsid w:val="00746A00"/>
    <w:rsid w:val="00747234"/>
    <w:rsid w:val="007472F5"/>
    <w:rsid w:val="007476AC"/>
    <w:rsid w:val="00747B07"/>
    <w:rsid w:val="007501D6"/>
    <w:rsid w:val="007504D1"/>
    <w:rsid w:val="00750B26"/>
    <w:rsid w:val="0075486C"/>
    <w:rsid w:val="00754C56"/>
    <w:rsid w:val="007554E7"/>
    <w:rsid w:val="007559CC"/>
    <w:rsid w:val="0075716C"/>
    <w:rsid w:val="00757871"/>
    <w:rsid w:val="00757F8D"/>
    <w:rsid w:val="00762B64"/>
    <w:rsid w:val="00762D33"/>
    <w:rsid w:val="00763ECB"/>
    <w:rsid w:val="00764006"/>
    <w:rsid w:val="00764998"/>
    <w:rsid w:val="00764F79"/>
    <w:rsid w:val="00765BD2"/>
    <w:rsid w:val="00765EFA"/>
    <w:rsid w:val="00765F33"/>
    <w:rsid w:val="0076665D"/>
    <w:rsid w:val="007668B0"/>
    <w:rsid w:val="00767769"/>
    <w:rsid w:val="00767A91"/>
    <w:rsid w:val="00767B16"/>
    <w:rsid w:val="00767D4C"/>
    <w:rsid w:val="00770C37"/>
    <w:rsid w:val="00771B06"/>
    <w:rsid w:val="00771E72"/>
    <w:rsid w:val="0077243B"/>
    <w:rsid w:val="0077261A"/>
    <w:rsid w:val="00772CE1"/>
    <w:rsid w:val="00773045"/>
    <w:rsid w:val="007731D4"/>
    <w:rsid w:val="007732A3"/>
    <w:rsid w:val="00773540"/>
    <w:rsid w:val="00773FF7"/>
    <w:rsid w:val="0077489E"/>
    <w:rsid w:val="00774AAB"/>
    <w:rsid w:val="00774B6C"/>
    <w:rsid w:val="0077554C"/>
    <w:rsid w:val="007755C9"/>
    <w:rsid w:val="00775652"/>
    <w:rsid w:val="00775AF2"/>
    <w:rsid w:val="00775E25"/>
    <w:rsid w:val="007765E4"/>
    <w:rsid w:val="0077749F"/>
    <w:rsid w:val="0077773B"/>
    <w:rsid w:val="00777AB5"/>
    <w:rsid w:val="00777DD3"/>
    <w:rsid w:val="0078004E"/>
    <w:rsid w:val="00780E36"/>
    <w:rsid w:val="00780E94"/>
    <w:rsid w:val="00781722"/>
    <w:rsid w:val="00781DF7"/>
    <w:rsid w:val="00782189"/>
    <w:rsid w:val="00782DB3"/>
    <w:rsid w:val="00783A68"/>
    <w:rsid w:val="007840D3"/>
    <w:rsid w:val="00784C3A"/>
    <w:rsid w:val="00784CA8"/>
    <w:rsid w:val="0078596D"/>
    <w:rsid w:val="00785AF7"/>
    <w:rsid w:val="007860A8"/>
    <w:rsid w:val="00786FBA"/>
    <w:rsid w:val="007876E0"/>
    <w:rsid w:val="00787AF1"/>
    <w:rsid w:val="00787B08"/>
    <w:rsid w:val="00787B4B"/>
    <w:rsid w:val="007901AC"/>
    <w:rsid w:val="007908F7"/>
    <w:rsid w:val="007914F1"/>
    <w:rsid w:val="00791767"/>
    <w:rsid w:val="00791774"/>
    <w:rsid w:val="00791CB2"/>
    <w:rsid w:val="00791E9B"/>
    <w:rsid w:val="00792865"/>
    <w:rsid w:val="00792ACF"/>
    <w:rsid w:val="00793128"/>
    <w:rsid w:val="00793779"/>
    <w:rsid w:val="007939A9"/>
    <w:rsid w:val="00793B15"/>
    <w:rsid w:val="007946BB"/>
    <w:rsid w:val="007946BE"/>
    <w:rsid w:val="00794A2A"/>
    <w:rsid w:val="00795068"/>
    <w:rsid w:val="0079541C"/>
    <w:rsid w:val="007956C1"/>
    <w:rsid w:val="00795B91"/>
    <w:rsid w:val="0079622D"/>
    <w:rsid w:val="00796F9A"/>
    <w:rsid w:val="00797087"/>
    <w:rsid w:val="0079787F"/>
    <w:rsid w:val="007A0673"/>
    <w:rsid w:val="007A0B3B"/>
    <w:rsid w:val="007A0CF6"/>
    <w:rsid w:val="007A0F6B"/>
    <w:rsid w:val="007A11D1"/>
    <w:rsid w:val="007A17B4"/>
    <w:rsid w:val="007A188A"/>
    <w:rsid w:val="007A1C69"/>
    <w:rsid w:val="007A31DC"/>
    <w:rsid w:val="007A48CF"/>
    <w:rsid w:val="007A538C"/>
    <w:rsid w:val="007A560B"/>
    <w:rsid w:val="007A5891"/>
    <w:rsid w:val="007A58CC"/>
    <w:rsid w:val="007A6101"/>
    <w:rsid w:val="007A6186"/>
    <w:rsid w:val="007A6F48"/>
    <w:rsid w:val="007A72B9"/>
    <w:rsid w:val="007A7363"/>
    <w:rsid w:val="007A73BC"/>
    <w:rsid w:val="007A7507"/>
    <w:rsid w:val="007B0334"/>
    <w:rsid w:val="007B0916"/>
    <w:rsid w:val="007B0C49"/>
    <w:rsid w:val="007B0EBB"/>
    <w:rsid w:val="007B117D"/>
    <w:rsid w:val="007B17C4"/>
    <w:rsid w:val="007B184C"/>
    <w:rsid w:val="007B19A1"/>
    <w:rsid w:val="007B19A3"/>
    <w:rsid w:val="007B19BD"/>
    <w:rsid w:val="007B1FBA"/>
    <w:rsid w:val="007B22E9"/>
    <w:rsid w:val="007B2410"/>
    <w:rsid w:val="007B33A3"/>
    <w:rsid w:val="007B366B"/>
    <w:rsid w:val="007B4784"/>
    <w:rsid w:val="007B49BA"/>
    <w:rsid w:val="007B6760"/>
    <w:rsid w:val="007B6D5A"/>
    <w:rsid w:val="007B72EF"/>
    <w:rsid w:val="007B7606"/>
    <w:rsid w:val="007C1022"/>
    <w:rsid w:val="007C1110"/>
    <w:rsid w:val="007C15EE"/>
    <w:rsid w:val="007C1E20"/>
    <w:rsid w:val="007C2A2C"/>
    <w:rsid w:val="007C2FA0"/>
    <w:rsid w:val="007C32C6"/>
    <w:rsid w:val="007C3388"/>
    <w:rsid w:val="007C3CE4"/>
    <w:rsid w:val="007C452E"/>
    <w:rsid w:val="007C4AEC"/>
    <w:rsid w:val="007C4E38"/>
    <w:rsid w:val="007C51FC"/>
    <w:rsid w:val="007C5840"/>
    <w:rsid w:val="007C5CF2"/>
    <w:rsid w:val="007C5FD0"/>
    <w:rsid w:val="007C6114"/>
    <w:rsid w:val="007C7714"/>
    <w:rsid w:val="007D0592"/>
    <w:rsid w:val="007D1024"/>
    <w:rsid w:val="007D20A4"/>
    <w:rsid w:val="007D2E3C"/>
    <w:rsid w:val="007D3227"/>
    <w:rsid w:val="007D363E"/>
    <w:rsid w:val="007D37B4"/>
    <w:rsid w:val="007D4499"/>
    <w:rsid w:val="007D4D4A"/>
    <w:rsid w:val="007D557E"/>
    <w:rsid w:val="007D60FB"/>
    <w:rsid w:val="007D6565"/>
    <w:rsid w:val="007D7443"/>
    <w:rsid w:val="007D78AE"/>
    <w:rsid w:val="007E1498"/>
    <w:rsid w:val="007E2553"/>
    <w:rsid w:val="007E2C3F"/>
    <w:rsid w:val="007E2E9F"/>
    <w:rsid w:val="007E3009"/>
    <w:rsid w:val="007E3176"/>
    <w:rsid w:val="007E3786"/>
    <w:rsid w:val="007E3A78"/>
    <w:rsid w:val="007E3ACA"/>
    <w:rsid w:val="007E4744"/>
    <w:rsid w:val="007E480B"/>
    <w:rsid w:val="007E4CBD"/>
    <w:rsid w:val="007E5A58"/>
    <w:rsid w:val="007E62DA"/>
    <w:rsid w:val="007E65F7"/>
    <w:rsid w:val="007F00EE"/>
    <w:rsid w:val="007F0FCF"/>
    <w:rsid w:val="007F1261"/>
    <w:rsid w:val="007F14A2"/>
    <w:rsid w:val="007F1AC6"/>
    <w:rsid w:val="007F2528"/>
    <w:rsid w:val="007F2849"/>
    <w:rsid w:val="007F29CA"/>
    <w:rsid w:val="007F2F33"/>
    <w:rsid w:val="007F345F"/>
    <w:rsid w:val="007F36FD"/>
    <w:rsid w:val="007F3944"/>
    <w:rsid w:val="007F405E"/>
    <w:rsid w:val="007F4271"/>
    <w:rsid w:val="007F44F6"/>
    <w:rsid w:val="007F4966"/>
    <w:rsid w:val="007F505B"/>
    <w:rsid w:val="007F5458"/>
    <w:rsid w:val="007F5574"/>
    <w:rsid w:val="007F64EB"/>
    <w:rsid w:val="007F6C8E"/>
    <w:rsid w:val="007F7916"/>
    <w:rsid w:val="007F7D6D"/>
    <w:rsid w:val="007F7E11"/>
    <w:rsid w:val="008018E4"/>
    <w:rsid w:val="00801C65"/>
    <w:rsid w:val="00802756"/>
    <w:rsid w:val="00802B36"/>
    <w:rsid w:val="00802D48"/>
    <w:rsid w:val="0080385C"/>
    <w:rsid w:val="00804504"/>
    <w:rsid w:val="0080481D"/>
    <w:rsid w:val="0080496C"/>
    <w:rsid w:val="00804D81"/>
    <w:rsid w:val="00805B49"/>
    <w:rsid w:val="00805BB6"/>
    <w:rsid w:val="00807158"/>
    <w:rsid w:val="008076A6"/>
    <w:rsid w:val="00810BEC"/>
    <w:rsid w:val="00811DCD"/>
    <w:rsid w:val="008123B0"/>
    <w:rsid w:val="0081355D"/>
    <w:rsid w:val="008137FB"/>
    <w:rsid w:val="00813BA6"/>
    <w:rsid w:val="00813DD2"/>
    <w:rsid w:val="00814021"/>
    <w:rsid w:val="0081425E"/>
    <w:rsid w:val="00814323"/>
    <w:rsid w:val="00814A60"/>
    <w:rsid w:val="0081588F"/>
    <w:rsid w:val="0081604E"/>
    <w:rsid w:val="00816593"/>
    <w:rsid w:val="00816BB0"/>
    <w:rsid w:val="00816DC4"/>
    <w:rsid w:val="00820725"/>
    <w:rsid w:val="00820FFC"/>
    <w:rsid w:val="008215E4"/>
    <w:rsid w:val="008219B8"/>
    <w:rsid w:val="00821D5E"/>
    <w:rsid w:val="00822177"/>
    <w:rsid w:val="00822795"/>
    <w:rsid w:val="008229FE"/>
    <w:rsid w:val="00822D27"/>
    <w:rsid w:val="00822F27"/>
    <w:rsid w:val="00823AA6"/>
    <w:rsid w:val="00823D8E"/>
    <w:rsid w:val="0082455B"/>
    <w:rsid w:val="00824623"/>
    <w:rsid w:val="008248D3"/>
    <w:rsid w:val="00825272"/>
    <w:rsid w:val="00825B71"/>
    <w:rsid w:val="00825BB7"/>
    <w:rsid w:val="00825CC6"/>
    <w:rsid w:val="00826892"/>
    <w:rsid w:val="00827B80"/>
    <w:rsid w:val="008305CB"/>
    <w:rsid w:val="008307A9"/>
    <w:rsid w:val="00830B70"/>
    <w:rsid w:val="00830E2B"/>
    <w:rsid w:val="008313BC"/>
    <w:rsid w:val="00832994"/>
    <w:rsid w:val="00832F70"/>
    <w:rsid w:val="008330F1"/>
    <w:rsid w:val="00833384"/>
    <w:rsid w:val="00833E93"/>
    <w:rsid w:val="00833F41"/>
    <w:rsid w:val="00834653"/>
    <w:rsid w:val="00834C0D"/>
    <w:rsid w:val="00834EED"/>
    <w:rsid w:val="008353B7"/>
    <w:rsid w:val="00835692"/>
    <w:rsid w:val="00836CD5"/>
    <w:rsid w:val="00836DD5"/>
    <w:rsid w:val="008374C5"/>
    <w:rsid w:val="008375FB"/>
    <w:rsid w:val="00837CDB"/>
    <w:rsid w:val="00840351"/>
    <w:rsid w:val="008412AD"/>
    <w:rsid w:val="00841C79"/>
    <w:rsid w:val="00841EF8"/>
    <w:rsid w:val="008427B2"/>
    <w:rsid w:val="00842BE9"/>
    <w:rsid w:val="0084361B"/>
    <w:rsid w:val="008437BB"/>
    <w:rsid w:val="00843903"/>
    <w:rsid w:val="00843EF3"/>
    <w:rsid w:val="00843FE7"/>
    <w:rsid w:val="00844797"/>
    <w:rsid w:val="00845302"/>
    <w:rsid w:val="00845668"/>
    <w:rsid w:val="00845690"/>
    <w:rsid w:val="00845C40"/>
    <w:rsid w:val="0084621B"/>
    <w:rsid w:val="008504E2"/>
    <w:rsid w:val="00850937"/>
    <w:rsid w:val="0085097D"/>
    <w:rsid w:val="008510F6"/>
    <w:rsid w:val="00851846"/>
    <w:rsid w:val="008518D6"/>
    <w:rsid w:val="00851BBB"/>
    <w:rsid w:val="008523A0"/>
    <w:rsid w:val="00852623"/>
    <w:rsid w:val="00852A3F"/>
    <w:rsid w:val="008532D3"/>
    <w:rsid w:val="00854A57"/>
    <w:rsid w:val="00855530"/>
    <w:rsid w:val="00855F25"/>
    <w:rsid w:val="008567D8"/>
    <w:rsid w:val="00856EAB"/>
    <w:rsid w:val="00857263"/>
    <w:rsid w:val="00857DC5"/>
    <w:rsid w:val="008601A3"/>
    <w:rsid w:val="008602B2"/>
    <w:rsid w:val="00860E4A"/>
    <w:rsid w:val="00860F44"/>
    <w:rsid w:val="00861097"/>
    <w:rsid w:val="00861340"/>
    <w:rsid w:val="0086273E"/>
    <w:rsid w:val="0086278C"/>
    <w:rsid w:val="00863A4E"/>
    <w:rsid w:val="00864BA6"/>
    <w:rsid w:val="00864BCD"/>
    <w:rsid w:val="00865DF9"/>
    <w:rsid w:val="008674C1"/>
    <w:rsid w:val="00867714"/>
    <w:rsid w:val="008703F1"/>
    <w:rsid w:val="008705C7"/>
    <w:rsid w:val="00870ABF"/>
    <w:rsid w:val="008725E9"/>
    <w:rsid w:val="00872D5A"/>
    <w:rsid w:val="00874895"/>
    <w:rsid w:val="00874BD8"/>
    <w:rsid w:val="00874DE5"/>
    <w:rsid w:val="0087625A"/>
    <w:rsid w:val="00876617"/>
    <w:rsid w:val="00876634"/>
    <w:rsid w:val="00876672"/>
    <w:rsid w:val="00876E54"/>
    <w:rsid w:val="0087731C"/>
    <w:rsid w:val="008774E6"/>
    <w:rsid w:val="00877518"/>
    <w:rsid w:val="008776D6"/>
    <w:rsid w:val="00877E3B"/>
    <w:rsid w:val="00877FBE"/>
    <w:rsid w:val="0088015F"/>
    <w:rsid w:val="00880405"/>
    <w:rsid w:val="008809B0"/>
    <w:rsid w:val="00880CC6"/>
    <w:rsid w:val="00880DBB"/>
    <w:rsid w:val="00881266"/>
    <w:rsid w:val="008813FB"/>
    <w:rsid w:val="00881EE3"/>
    <w:rsid w:val="00882BDA"/>
    <w:rsid w:val="008836E6"/>
    <w:rsid w:val="00885874"/>
    <w:rsid w:val="00885FB0"/>
    <w:rsid w:val="008869E0"/>
    <w:rsid w:val="00886B78"/>
    <w:rsid w:val="00886BDE"/>
    <w:rsid w:val="00886E7D"/>
    <w:rsid w:val="00886EA6"/>
    <w:rsid w:val="00886FBE"/>
    <w:rsid w:val="008875E0"/>
    <w:rsid w:val="00887803"/>
    <w:rsid w:val="008909C8"/>
    <w:rsid w:val="00890AB5"/>
    <w:rsid w:val="0089131E"/>
    <w:rsid w:val="0089146B"/>
    <w:rsid w:val="00891FF2"/>
    <w:rsid w:val="00892179"/>
    <w:rsid w:val="008922CE"/>
    <w:rsid w:val="00892939"/>
    <w:rsid w:val="00893258"/>
    <w:rsid w:val="008944EE"/>
    <w:rsid w:val="00894542"/>
    <w:rsid w:val="00894559"/>
    <w:rsid w:val="0089596C"/>
    <w:rsid w:val="0089643A"/>
    <w:rsid w:val="00896469"/>
    <w:rsid w:val="00897114"/>
    <w:rsid w:val="00897883"/>
    <w:rsid w:val="00897D6F"/>
    <w:rsid w:val="008A0544"/>
    <w:rsid w:val="008A0829"/>
    <w:rsid w:val="008A0C2E"/>
    <w:rsid w:val="008A113B"/>
    <w:rsid w:val="008A1E49"/>
    <w:rsid w:val="008A1F2F"/>
    <w:rsid w:val="008A2F47"/>
    <w:rsid w:val="008A3595"/>
    <w:rsid w:val="008A38E1"/>
    <w:rsid w:val="008A3DD0"/>
    <w:rsid w:val="008A4881"/>
    <w:rsid w:val="008A4FE4"/>
    <w:rsid w:val="008A530E"/>
    <w:rsid w:val="008A5602"/>
    <w:rsid w:val="008A63E3"/>
    <w:rsid w:val="008A6A1E"/>
    <w:rsid w:val="008A6B56"/>
    <w:rsid w:val="008A79B2"/>
    <w:rsid w:val="008B028E"/>
    <w:rsid w:val="008B1E5F"/>
    <w:rsid w:val="008B33FF"/>
    <w:rsid w:val="008B4D2D"/>
    <w:rsid w:val="008B54B2"/>
    <w:rsid w:val="008B56DF"/>
    <w:rsid w:val="008B5ACC"/>
    <w:rsid w:val="008B5C51"/>
    <w:rsid w:val="008B5E39"/>
    <w:rsid w:val="008B5E50"/>
    <w:rsid w:val="008B5F80"/>
    <w:rsid w:val="008B664C"/>
    <w:rsid w:val="008B6677"/>
    <w:rsid w:val="008B6ED3"/>
    <w:rsid w:val="008C0164"/>
    <w:rsid w:val="008C0C36"/>
    <w:rsid w:val="008C0E2A"/>
    <w:rsid w:val="008C18AB"/>
    <w:rsid w:val="008C1A5E"/>
    <w:rsid w:val="008C2B11"/>
    <w:rsid w:val="008C325B"/>
    <w:rsid w:val="008C3350"/>
    <w:rsid w:val="008C3730"/>
    <w:rsid w:val="008C3FB2"/>
    <w:rsid w:val="008C438B"/>
    <w:rsid w:val="008C4451"/>
    <w:rsid w:val="008C58B9"/>
    <w:rsid w:val="008C5C20"/>
    <w:rsid w:val="008C63EF"/>
    <w:rsid w:val="008C6CC1"/>
    <w:rsid w:val="008C6EBC"/>
    <w:rsid w:val="008C75E9"/>
    <w:rsid w:val="008C78B6"/>
    <w:rsid w:val="008C7F88"/>
    <w:rsid w:val="008D0044"/>
    <w:rsid w:val="008D0307"/>
    <w:rsid w:val="008D0548"/>
    <w:rsid w:val="008D07D0"/>
    <w:rsid w:val="008D1259"/>
    <w:rsid w:val="008D15C0"/>
    <w:rsid w:val="008D2793"/>
    <w:rsid w:val="008D2885"/>
    <w:rsid w:val="008D4514"/>
    <w:rsid w:val="008D4528"/>
    <w:rsid w:val="008D47A5"/>
    <w:rsid w:val="008D4813"/>
    <w:rsid w:val="008D51A2"/>
    <w:rsid w:val="008D5429"/>
    <w:rsid w:val="008D717B"/>
    <w:rsid w:val="008D7918"/>
    <w:rsid w:val="008D7C83"/>
    <w:rsid w:val="008D7CBF"/>
    <w:rsid w:val="008D7E53"/>
    <w:rsid w:val="008E000E"/>
    <w:rsid w:val="008E1A57"/>
    <w:rsid w:val="008E1ECD"/>
    <w:rsid w:val="008E2C76"/>
    <w:rsid w:val="008E370E"/>
    <w:rsid w:val="008E3E6E"/>
    <w:rsid w:val="008E3EC3"/>
    <w:rsid w:val="008E3F99"/>
    <w:rsid w:val="008E41DF"/>
    <w:rsid w:val="008E4451"/>
    <w:rsid w:val="008E4DE6"/>
    <w:rsid w:val="008E4F7F"/>
    <w:rsid w:val="008E5141"/>
    <w:rsid w:val="008E5320"/>
    <w:rsid w:val="008E56CD"/>
    <w:rsid w:val="008E613C"/>
    <w:rsid w:val="008E6596"/>
    <w:rsid w:val="008E6A18"/>
    <w:rsid w:val="008F023A"/>
    <w:rsid w:val="008F06D6"/>
    <w:rsid w:val="008F12F7"/>
    <w:rsid w:val="008F13FF"/>
    <w:rsid w:val="008F1CAD"/>
    <w:rsid w:val="008F1E46"/>
    <w:rsid w:val="008F2543"/>
    <w:rsid w:val="008F2741"/>
    <w:rsid w:val="008F4274"/>
    <w:rsid w:val="008F5C62"/>
    <w:rsid w:val="008F61D4"/>
    <w:rsid w:val="008F6FDB"/>
    <w:rsid w:val="008F72C7"/>
    <w:rsid w:val="00900E37"/>
    <w:rsid w:val="0090130A"/>
    <w:rsid w:val="0090151C"/>
    <w:rsid w:val="0090199A"/>
    <w:rsid w:val="00901BE5"/>
    <w:rsid w:val="00901C6E"/>
    <w:rsid w:val="0090222D"/>
    <w:rsid w:val="00903090"/>
    <w:rsid w:val="00904D6A"/>
    <w:rsid w:val="00904F06"/>
    <w:rsid w:val="00905016"/>
    <w:rsid w:val="00905161"/>
    <w:rsid w:val="009058AC"/>
    <w:rsid w:val="00905F10"/>
    <w:rsid w:val="00906310"/>
    <w:rsid w:val="00906CB3"/>
    <w:rsid w:val="00907015"/>
    <w:rsid w:val="009070A9"/>
    <w:rsid w:val="009078F0"/>
    <w:rsid w:val="00907F9D"/>
    <w:rsid w:val="00910281"/>
    <w:rsid w:val="00911197"/>
    <w:rsid w:val="009121F2"/>
    <w:rsid w:val="009123DE"/>
    <w:rsid w:val="00912486"/>
    <w:rsid w:val="00912C03"/>
    <w:rsid w:val="00913066"/>
    <w:rsid w:val="009133F3"/>
    <w:rsid w:val="009138B2"/>
    <w:rsid w:val="00913AB5"/>
    <w:rsid w:val="00913D63"/>
    <w:rsid w:val="00914003"/>
    <w:rsid w:val="0091416A"/>
    <w:rsid w:val="00914414"/>
    <w:rsid w:val="009149D9"/>
    <w:rsid w:val="00914CB6"/>
    <w:rsid w:val="00915143"/>
    <w:rsid w:val="009155AA"/>
    <w:rsid w:val="009157FE"/>
    <w:rsid w:val="00915ABC"/>
    <w:rsid w:val="00915DD4"/>
    <w:rsid w:val="00916CBC"/>
    <w:rsid w:val="00917210"/>
    <w:rsid w:val="00917806"/>
    <w:rsid w:val="0092001E"/>
    <w:rsid w:val="00920F06"/>
    <w:rsid w:val="00921F4F"/>
    <w:rsid w:val="009226ED"/>
    <w:rsid w:val="0092317F"/>
    <w:rsid w:val="0092517F"/>
    <w:rsid w:val="00925BDF"/>
    <w:rsid w:val="009263DB"/>
    <w:rsid w:val="00926AB0"/>
    <w:rsid w:val="00926C18"/>
    <w:rsid w:val="0092732B"/>
    <w:rsid w:val="00927528"/>
    <w:rsid w:val="009307A8"/>
    <w:rsid w:val="0093095D"/>
    <w:rsid w:val="00930E73"/>
    <w:rsid w:val="00930FBF"/>
    <w:rsid w:val="00931A0E"/>
    <w:rsid w:val="00931CF7"/>
    <w:rsid w:val="00931E98"/>
    <w:rsid w:val="00932F43"/>
    <w:rsid w:val="00933EA6"/>
    <w:rsid w:val="009344C4"/>
    <w:rsid w:val="00934578"/>
    <w:rsid w:val="009347A1"/>
    <w:rsid w:val="00934F83"/>
    <w:rsid w:val="00935638"/>
    <w:rsid w:val="00935C11"/>
    <w:rsid w:val="00936569"/>
    <w:rsid w:val="0093756E"/>
    <w:rsid w:val="009375F5"/>
    <w:rsid w:val="0093778F"/>
    <w:rsid w:val="009378A1"/>
    <w:rsid w:val="00937CF3"/>
    <w:rsid w:val="00940D38"/>
    <w:rsid w:val="0094210D"/>
    <w:rsid w:val="009427E5"/>
    <w:rsid w:val="0094297B"/>
    <w:rsid w:val="00942A28"/>
    <w:rsid w:val="0094323D"/>
    <w:rsid w:val="009432F6"/>
    <w:rsid w:val="00943489"/>
    <w:rsid w:val="00943E8A"/>
    <w:rsid w:val="009445B5"/>
    <w:rsid w:val="00945603"/>
    <w:rsid w:val="009458EC"/>
    <w:rsid w:val="00946F3D"/>
    <w:rsid w:val="0094725A"/>
    <w:rsid w:val="009505CE"/>
    <w:rsid w:val="00951237"/>
    <w:rsid w:val="009521C4"/>
    <w:rsid w:val="00952DDB"/>
    <w:rsid w:val="009530EE"/>
    <w:rsid w:val="009559D3"/>
    <w:rsid w:val="00955CFF"/>
    <w:rsid w:val="00955D4A"/>
    <w:rsid w:val="00955E15"/>
    <w:rsid w:val="00956A87"/>
    <w:rsid w:val="0095726D"/>
    <w:rsid w:val="00960537"/>
    <w:rsid w:val="0096063B"/>
    <w:rsid w:val="0096071C"/>
    <w:rsid w:val="00960AA5"/>
    <w:rsid w:val="00960FF8"/>
    <w:rsid w:val="009614CA"/>
    <w:rsid w:val="00961D8D"/>
    <w:rsid w:val="00962036"/>
    <w:rsid w:val="00962245"/>
    <w:rsid w:val="00962320"/>
    <w:rsid w:val="00962DD0"/>
    <w:rsid w:val="00962EA0"/>
    <w:rsid w:val="00963269"/>
    <w:rsid w:val="00963F4A"/>
    <w:rsid w:val="00963F5D"/>
    <w:rsid w:val="00964309"/>
    <w:rsid w:val="009646B0"/>
    <w:rsid w:val="00964AB9"/>
    <w:rsid w:val="009651D9"/>
    <w:rsid w:val="0096558B"/>
    <w:rsid w:val="00966509"/>
    <w:rsid w:val="00966679"/>
    <w:rsid w:val="0096684B"/>
    <w:rsid w:val="00966948"/>
    <w:rsid w:val="00967340"/>
    <w:rsid w:val="009673D4"/>
    <w:rsid w:val="00967622"/>
    <w:rsid w:val="009700AD"/>
    <w:rsid w:val="0097065E"/>
    <w:rsid w:val="00970B9B"/>
    <w:rsid w:val="00970D09"/>
    <w:rsid w:val="00971182"/>
    <w:rsid w:val="00971958"/>
    <w:rsid w:val="009733DC"/>
    <w:rsid w:val="0097437D"/>
    <w:rsid w:val="0097446E"/>
    <w:rsid w:val="00974613"/>
    <w:rsid w:val="00974843"/>
    <w:rsid w:val="00974B46"/>
    <w:rsid w:val="009750BE"/>
    <w:rsid w:val="009751D4"/>
    <w:rsid w:val="009752BA"/>
    <w:rsid w:val="009754D7"/>
    <w:rsid w:val="009760DA"/>
    <w:rsid w:val="00976916"/>
    <w:rsid w:val="00976BFD"/>
    <w:rsid w:val="0097782C"/>
    <w:rsid w:val="00977912"/>
    <w:rsid w:val="00977917"/>
    <w:rsid w:val="00980F4E"/>
    <w:rsid w:val="009814D9"/>
    <w:rsid w:val="00981A48"/>
    <w:rsid w:val="009822D2"/>
    <w:rsid w:val="00982563"/>
    <w:rsid w:val="009827B1"/>
    <w:rsid w:val="009827E9"/>
    <w:rsid w:val="00982AFF"/>
    <w:rsid w:val="0098317F"/>
    <w:rsid w:val="0098342E"/>
    <w:rsid w:val="00983BCD"/>
    <w:rsid w:val="009844FB"/>
    <w:rsid w:val="00984902"/>
    <w:rsid w:val="00984B02"/>
    <w:rsid w:val="00985681"/>
    <w:rsid w:val="00986258"/>
    <w:rsid w:val="00986FED"/>
    <w:rsid w:val="00987A92"/>
    <w:rsid w:val="009905BE"/>
    <w:rsid w:val="00991160"/>
    <w:rsid w:val="0099262B"/>
    <w:rsid w:val="009928E0"/>
    <w:rsid w:val="009934F9"/>
    <w:rsid w:val="00993587"/>
    <w:rsid w:val="00993F22"/>
    <w:rsid w:val="00994869"/>
    <w:rsid w:val="009948FD"/>
    <w:rsid w:val="00994D25"/>
    <w:rsid w:val="00995129"/>
    <w:rsid w:val="00995597"/>
    <w:rsid w:val="00996C31"/>
    <w:rsid w:val="0099706B"/>
    <w:rsid w:val="009977FF"/>
    <w:rsid w:val="009978C8"/>
    <w:rsid w:val="009A01E5"/>
    <w:rsid w:val="009A0370"/>
    <w:rsid w:val="009A0773"/>
    <w:rsid w:val="009A097C"/>
    <w:rsid w:val="009A0C17"/>
    <w:rsid w:val="009A0F5F"/>
    <w:rsid w:val="009A21EB"/>
    <w:rsid w:val="009A24D5"/>
    <w:rsid w:val="009A26ED"/>
    <w:rsid w:val="009A282C"/>
    <w:rsid w:val="009A2EB7"/>
    <w:rsid w:val="009A341A"/>
    <w:rsid w:val="009A5056"/>
    <w:rsid w:val="009A5AE3"/>
    <w:rsid w:val="009A6516"/>
    <w:rsid w:val="009A6918"/>
    <w:rsid w:val="009A7371"/>
    <w:rsid w:val="009A7AC9"/>
    <w:rsid w:val="009B00EB"/>
    <w:rsid w:val="009B0109"/>
    <w:rsid w:val="009B0265"/>
    <w:rsid w:val="009B08C7"/>
    <w:rsid w:val="009B0E3E"/>
    <w:rsid w:val="009B1893"/>
    <w:rsid w:val="009B24B6"/>
    <w:rsid w:val="009B297A"/>
    <w:rsid w:val="009B2A71"/>
    <w:rsid w:val="009B2D1B"/>
    <w:rsid w:val="009B2D22"/>
    <w:rsid w:val="009B2F03"/>
    <w:rsid w:val="009B4224"/>
    <w:rsid w:val="009B427A"/>
    <w:rsid w:val="009B4CB4"/>
    <w:rsid w:val="009B4F55"/>
    <w:rsid w:val="009B5722"/>
    <w:rsid w:val="009B57F8"/>
    <w:rsid w:val="009B68CA"/>
    <w:rsid w:val="009B6A46"/>
    <w:rsid w:val="009B7C03"/>
    <w:rsid w:val="009C01C1"/>
    <w:rsid w:val="009C0605"/>
    <w:rsid w:val="009C08B5"/>
    <w:rsid w:val="009C0F1D"/>
    <w:rsid w:val="009C138F"/>
    <w:rsid w:val="009C13CA"/>
    <w:rsid w:val="009C1DEB"/>
    <w:rsid w:val="009C1FCD"/>
    <w:rsid w:val="009C2032"/>
    <w:rsid w:val="009C209A"/>
    <w:rsid w:val="009C261E"/>
    <w:rsid w:val="009C262D"/>
    <w:rsid w:val="009C3D8C"/>
    <w:rsid w:val="009C3E7B"/>
    <w:rsid w:val="009C4788"/>
    <w:rsid w:val="009C4995"/>
    <w:rsid w:val="009C4E3C"/>
    <w:rsid w:val="009C5A69"/>
    <w:rsid w:val="009C5AA4"/>
    <w:rsid w:val="009C60E9"/>
    <w:rsid w:val="009C62B1"/>
    <w:rsid w:val="009C6D9D"/>
    <w:rsid w:val="009C6F8A"/>
    <w:rsid w:val="009C7595"/>
    <w:rsid w:val="009C75C6"/>
    <w:rsid w:val="009C7610"/>
    <w:rsid w:val="009D0A38"/>
    <w:rsid w:val="009D0F1C"/>
    <w:rsid w:val="009D1039"/>
    <w:rsid w:val="009D1320"/>
    <w:rsid w:val="009D1365"/>
    <w:rsid w:val="009D1587"/>
    <w:rsid w:val="009D1932"/>
    <w:rsid w:val="009D1E35"/>
    <w:rsid w:val="009D1F35"/>
    <w:rsid w:val="009D241C"/>
    <w:rsid w:val="009D2DA9"/>
    <w:rsid w:val="009D4CBD"/>
    <w:rsid w:val="009D70A8"/>
    <w:rsid w:val="009D76F7"/>
    <w:rsid w:val="009D7895"/>
    <w:rsid w:val="009D7CDB"/>
    <w:rsid w:val="009E0033"/>
    <w:rsid w:val="009E0A51"/>
    <w:rsid w:val="009E1982"/>
    <w:rsid w:val="009E27A2"/>
    <w:rsid w:val="009E27B6"/>
    <w:rsid w:val="009E2EDA"/>
    <w:rsid w:val="009E3966"/>
    <w:rsid w:val="009E3979"/>
    <w:rsid w:val="009E399C"/>
    <w:rsid w:val="009E3F5B"/>
    <w:rsid w:val="009E41E3"/>
    <w:rsid w:val="009E52F0"/>
    <w:rsid w:val="009E5601"/>
    <w:rsid w:val="009E5EFC"/>
    <w:rsid w:val="009E7A1F"/>
    <w:rsid w:val="009E7EE4"/>
    <w:rsid w:val="009F10B1"/>
    <w:rsid w:val="009F192A"/>
    <w:rsid w:val="009F1A0B"/>
    <w:rsid w:val="009F1A6D"/>
    <w:rsid w:val="009F2C0D"/>
    <w:rsid w:val="009F2ED2"/>
    <w:rsid w:val="009F2F29"/>
    <w:rsid w:val="009F3B95"/>
    <w:rsid w:val="009F4157"/>
    <w:rsid w:val="009F45F8"/>
    <w:rsid w:val="009F49F8"/>
    <w:rsid w:val="009F558F"/>
    <w:rsid w:val="009F5DB6"/>
    <w:rsid w:val="009F7A6C"/>
    <w:rsid w:val="009F7AA9"/>
    <w:rsid w:val="00A001DF"/>
    <w:rsid w:val="00A00910"/>
    <w:rsid w:val="00A00E02"/>
    <w:rsid w:val="00A01206"/>
    <w:rsid w:val="00A0149B"/>
    <w:rsid w:val="00A01602"/>
    <w:rsid w:val="00A016FA"/>
    <w:rsid w:val="00A01951"/>
    <w:rsid w:val="00A01CBD"/>
    <w:rsid w:val="00A01F16"/>
    <w:rsid w:val="00A03052"/>
    <w:rsid w:val="00A03108"/>
    <w:rsid w:val="00A03D3E"/>
    <w:rsid w:val="00A03F5F"/>
    <w:rsid w:val="00A0496B"/>
    <w:rsid w:val="00A04DC3"/>
    <w:rsid w:val="00A05334"/>
    <w:rsid w:val="00A056C3"/>
    <w:rsid w:val="00A056D7"/>
    <w:rsid w:val="00A05E76"/>
    <w:rsid w:val="00A06C8B"/>
    <w:rsid w:val="00A077B4"/>
    <w:rsid w:val="00A104D9"/>
    <w:rsid w:val="00A10ADE"/>
    <w:rsid w:val="00A11082"/>
    <w:rsid w:val="00A113D0"/>
    <w:rsid w:val="00A1189B"/>
    <w:rsid w:val="00A118C3"/>
    <w:rsid w:val="00A13A0C"/>
    <w:rsid w:val="00A14763"/>
    <w:rsid w:val="00A15286"/>
    <w:rsid w:val="00A152E7"/>
    <w:rsid w:val="00A158E5"/>
    <w:rsid w:val="00A15969"/>
    <w:rsid w:val="00A15F56"/>
    <w:rsid w:val="00A16181"/>
    <w:rsid w:val="00A16531"/>
    <w:rsid w:val="00A1672D"/>
    <w:rsid w:val="00A16819"/>
    <w:rsid w:val="00A201A9"/>
    <w:rsid w:val="00A20389"/>
    <w:rsid w:val="00A222CB"/>
    <w:rsid w:val="00A22FA7"/>
    <w:rsid w:val="00A235CD"/>
    <w:rsid w:val="00A236AF"/>
    <w:rsid w:val="00A24BA7"/>
    <w:rsid w:val="00A24DB4"/>
    <w:rsid w:val="00A251A2"/>
    <w:rsid w:val="00A25793"/>
    <w:rsid w:val="00A2627D"/>
    <w:rsid w:val="00A2685B"/>
    <w:rsid w:val="00A26917"/>
    <w:rsid w:val="00A26945"/>
    <w:rsid w:val="00A26FDD"/>
    <w:rsid w:val="00A27337"/>
    <w:rsid w:val="00A30B28"/>
    <w:rsid w:val="00A312B7"/>
    <w:rsid w:val="00A3137B"/>
    <w:rsid w:val="00A3180A"/>
    <w:rsid w:val="00A31A84"/>
    <w:rsid w:val="00A31ED1"/>
    <w:rsid w:val="00A324FE"/>
    <w:rsid w:val="00A32DE4"/>
    <w:rsid w:val="00A335A8"/>
    <w:rsid w:val="00A33B5C"/>
    <w:rsid w:val="00A34233"/>
    <w:rsid w:val="00A34858"/>
    <w:rsid w:val="00A350B5"/>
    <w:rsid w:val="00A37D0E"/>
    <w:rsid w:val="00A37F7A"/>
    <w:rsid w:val="00A40775"/>
    <w:rsid w:val="00A4090F"/>
    <w:rsid w:val="00A413B5"/>
    <w:rsid w:val="00A41739"/>
    <w:rsid w:val="00A423F4"/>
    <w:rsid w:val="00A42A0B"/>
    <w:rsid w:val="00A43CEF"/>
    <w:rsid w:val="00A44704"/>
    <w:rsid w:val="00A45408"/>
    <w:rsid w:val="00A46457"/>
    <w:rsid w:val="00A47694"/>
    <w:rsid w:val="00A47AF9"/>
    <w:rsid w:val="00A5055A"/>
    <w:rsid w:val="00A509D6"/>
    <w:rsid w:val="00A51D76"/>
    <w:rsid w:val="00A51E3A"/>
    <w:rsid w:val="00A532DF"/>
    <w:rsid w:val="00A53616"/>
    <w:rsid w:val="00A53995"/>
    <w:rsid w:val="00A54DC9"/>
    <w:rsid w:val="00A5508F"/>
    <w:rsid w:val="00A55417"/>
    <w:rsid w:val="00A55C17"/>
    <w:rsid w:val="00A566AB"/>
    <w:rsid w:val="00A566BA"/>
    <w:rsid w:val="00A5688D"/>
    <w:rsid w:val="00A56C93"/>
    <w:rsid w:val="00A57049"/>
    <w:rsid w:val="00A573F4"/>
    <w:rsid w:val="00A60391"/>
    <w:rsid w:val="00A60456"/>
    <w:rsid w:val="00A61941"/>
    <w:rsid w:val="00A61E88"/>
    <w:rsid w:val="00A621E8"/>
    <w:rsid w:val="00A625C7"/>
    <w:rsid w:val="00A62C21"/>
    <w:rsid w:val="00A62FDA"/>
    <w:rsid w:val="00A63096"/>
    <w:rsid w:val="00A63404"/>
    <w:rsid w:val="00A63442"/>
    <w:rsid w:val="00A6373C"/>
    <w:rsid w:val="00A640F6"/>
    <w:rsid w:val="00A64534"/>
    <w:rsid w:val="00A6472A"/>
    <w:rsid w:val="00A647CE"/>
    <w:rsid w:val="00A65369"/>
    <w:rsid w:val="00A655BC"/>
    <w:rsid w:val="00A65DAA"/>
    <w:rsid w:val="00A6698B"/>
    <w:rsid w:val="00A669DA"/>
    <w:rsid w:val="00A66A00"/>
    <w:rsid w:val="00A66C4C"/>
    <w:rsid w:val="00A66C78"/>
    <w:rsid w:val="00A670FF"/>
    <w:rsid w:val="00A67243"/>
    <w:rsid w:val="00A675CB"/>
    <w:rsid w:val="00A6768B"/>
    <w:rsid w:val="00A7029B"/>
    <w:rsid w:val="00A704DF"/>
    <w:rsid w:val="00A70D62"/>
    <w:rsid w:val="00A70EB7"/>
    <w:rsid w:val="00A7100E"/>
    <w:rsid w:val="00A718A6"/>
    <w:rsid w:val="00A71D02"/>
    <w:rsid w:val="00A725F3"/>
    <w:rsid w:val="00A7316E"/>
    <w:rsid w:val="00A7326D"/>
    <w:rsid w:val="00A73F84"/>
    <w:rsid w:val="00A756B5"/>
    <w:rsid w:val="00A76188"/>
    <w:rsid w:val="00A76AE1"/>
    <w:rsid w:val="00A76B12"/>
    <w:rsid w:val="00A76FA5"/>
    <w:rsid w:val="00A76FED"/>
    <w:rsid w:val="00A77548"/>
    <w:rsid w:val="00A802AB"/>
    <w:rsid w:val="00A80500"/>
    <w:rsid w:val="00A80605"/>
    <w:rsid w:val="00A80F6C"/>
    <w:rsid w:val="00A812A2"/>
    <w:rsid w:val="00A83479"/>
    <w:rsid w:val="00A83597"/>
    <w:rsid w:val="00A8370A"/>
    <w:rsid w:val="00A83B22"/>
    <w:rsid w:val="00A842ED"/>
    <w:rsid w:val="00A85146"/>
    <w:rsid w:val="00A852CC"/>
    <w:rsid w:val="00A85B7B"/>
    <w:rsid w:val="00A85F01"/>
    <w:rsid w:val="00A86B66"/>
    <w:rsid w:val="00A8713D"/>
    <w:rsid w:val="00A87C54"/>
    <w:rsid w:val="00A87FB2"/>
    <w:rsid w:val="00A906DA"/>
    <w:rsid w:val="00A90B09"/>
    <w:rsid w:val="00A91404"/>
    <w:rsid w:val="00A925F0"/>
    <w:rsid w:val="00A930DC"/>
    <w:rsid w:val="00A9326D"/>
    <w:rsid w:val="00A93595"/>
    <w:rsid w:val="00A936BD"/>
    <w:rsid w:val="00A93F51"/>
    <w:rsid w:val="00A9413D"/>
    <w:rsid w:val="00A94708"/>
    <w:rsid w:val="00A94C57"/>
    <w:rsid w:val="00A95159"/>
    <w:rsid w:val="00A97545"/>
    <w:rsid w:val="00A97C9A"/>
    <w:rsid w:val="00A97E7C"/>
    <w:rsid w:val="00AA0185"/>
    <w:rsid w:val="00AA03BD"/>
    <w:rsid w:val="00AA312C"/>
    <w:rsid w:val="00AA3449"/>
    <w:rsid w:val="00AA3641"/>
    <w:rsid w:val="00AA408D"/>
    <w:rsid w:val="00AA499A"/>
    <w:rsid w:val="00AA4CB7"/>
    <w:rsid w:val="00AA4F51"/>
    <w:rsid w:val="00AA5654"/>
    <w:rsid w:val="00AA5A27"/>
    <w:rsid w:val="00AA5EA9"/>
    <w:rsid w:val="00AA604F"/>
    <w:rsid w:val="00AA60ED"/>
    <w:rsid w:val="00AA6825"/>
    <w:rsid w:val="00AA69DF"/>
    <w:rsid w:val="00AA744D"/>
    <w:rsid w:val="00AA748B"/>
    <w:rsid w:val="00AA752A"/>
    <w:rsid w:val="00AA7CB8"/>
    <w:rsid w:val="00AB0CBD"/>
    <w:rsid w:val="00AB1B43"/>
    <w:rsid w:val="00AB2107"/>
    <w:rsid w:val="00AB2156"/>
    <w:rsid w:val="00AB24E6"/>
    <w:rsid w:val="00AB2BE1"/>
    <w:rsid w:val="00AB3532"/>
    <w:rsid w:val="00AB3C28"/>
    <w:rsid w:val="00AB4415"/>
    <w:rsid w:val="00AB4AAA"/>
    <w:rsid w:val="00AB5384"/>
    <w:rsid w:val="00AB5E72"/>
    <w:rsid w:val="00AB6A90"/>
    <w:rsid w:val="00AB6F27"/>
    <w:rsid w:val="00AB7B01"/>
    <w:rsid w:val="00AB7D48"/>
    <w:rsid w:val="00AC0CFD"/>
    <w:rsid w:val="00AC11B5"/>
    <w:rsid w:val="00AC11D2"/>
    <w:rsid w:val="00AC1553"/>
    <w:rsid w:val="00AC1ECE"/>
    <w:rsid w:val="00AC273F"/>
    <w:rsid w:val="00AC3333"/>
    <w:rsid w:val="00AC3EBD"/>
    <w:rsid w:val="00AC412A"/>
    <w:rsid w:val="00AC4A09"/>
    <w:rsid w:val="00AC4BD8"/>
    <w:rsid w:val="00AC6B5A"/>
    <w:rsid w:val="00AC6DBC"/>
    <w:rsid w:val="00AC7878"/>
    <w:rsid w:val="00AD0107"/>
    <w:rsid w:val="00AD0CC6"/>
    <w:rsid w:val="00AD1821"/>
    <w:rsid w:val="00AD1A97"/>
    <w:rsid w:val="00AD1CD7"/>
    <w:rsid w:val="00AD270E"/>
    <w:rsid w:val="00AD2719"/>
    <w:rsid w:val="00AD45E3"/>
    <w:rsid w:val="00AD540D"/>
    <w:rsid w:val="00AD574F"/>
    <w:rsid w:val="00AD5E5C"/>
    <w:rsid w:val="00AD5F5E"/>
    <w:rsid w:val="00AD622A"/>
    <w:rsid w:val="00AD6F67"/>
    <w:rsid w:val="00AD75BE"/>
    <w:rsid w:val="00AD7FDA"/>
    <w:rsid w:val="00AE040F"/>
    <w:rsid w:val="00AE12CC"/>
    <w:rsid w:val="00AE1D5A"/>
    <w:rsid w:val="00AE31A5"/>
    <w:rsid w:val="00AE3FF4"/>
    <w:rsid w:val="00AE51D3"/>
    <w:rsid w:val="00AE52EF"/>
    <w:rsid w:val="00AE55CC"/>
    <w:rsid w:val="00AE6F7B"/>
    <w:rsid w:val="00AE7313"/>
    <w:rsid w:val="00AF020B"/>
    <w:rsid w:val="00AF0840"/>
    <w:rsid w:val="00AF09C1"/>
    <w:rsid w:val="00AF0CE7"/>
    <w:rsid w:val="00AF1BCF"/>
    <w:rsid w:val="00AF20F8"/>
    <w:rsid w:val="00AF2A84"/>
    <w:rsid w:val="00AF354E"/>
    <w:rsid w:val="00AF3868"/>
    <w:rsid w:val="00AF49A3"/>
    <w:rsid w:val="00AF4F77"/>
    <w:rsid w:val="00AF5FBC"/>
    <w:rsid w:val="00AF6A87"/>
    <w:rsid w:val="00AF6C19"/>
    <w:rsid w:val="00AF7094"/>
    <w:rsid w:val="00AF7959"/>
    <w:rsid w:val="00AF7AB8"/>
    <w:rsid w:val="00B0030C"/>
    <w:rsid w:val="00B0091C"/>
    <w:rsid w:val="00B00B6C"/>
    <w:rsid w:val="00B00D9F"/>
    <w:rsid w:val="00B020CE"/>
    <w:rsid w:val="00B022B0"/>
    <w:rsid w:val="00B0252D"/>
    <w:rsid w:val="00B025C9"/>
    <w:rsid w:val="00B02A54"/>
    <w:rsid w:val="00B02AE6"/>
    <w:rsid w:val="00B0301A"/>
    <w:rsid w:val="00B04CD1"/>
    <w:rsid w:val="00B04E11"/>
    <w:rsid w:val="00B0515C"/>
    <w:rsid w:val="00B0694E"/>
    <w:rsid w:val="00B06A40"/>
    <w:rsid w:val="00B06AF1"/>
    <w:rsid w:val="00B07442"/>
    <w:rsid w:val="00B07961"/>
    <w:rsid w:val="00B07A2B"/>
    <w:rsid w:val="00B0D702"/>
    <w:rsid w:val="00B103EA"/>
    <w:rsid w:val="00B112CA"/>
    <w:rsid w:val="00B115F7"/>
    <w:rsid w:val="00B116EE"/>
    <w:rsid w:val="00B116FC"/>
    <w:rsid w:val="00B1176D"/>
    <w:rsid w:val="00B11F04"/>
    <w:rsid w:val="00B13563"/>
    <w:rsid w:val="00B1444C"/>
    <w:rsid w:val="00B147EE"/>
    <w:rsid w:val="00B15227"/>
    <w:rsid w:val="00B15424"/>
    <w:rsid w:val="00B16A2F"/>
    <w:rsid w:val="00B16E14"/>
    <w:rsid w:val="00B178AC"/>
    <w:rsid w:val="00B17F61"/>
    <w:rsid w:val="00B20053"/>
    <w:rsid w:val="00B201FC"/>
    <w:rsid w:val="00B20F8B"/>
    <w:rsid w:val="00B21AB3"/>
    <w:rsid w:val="00B21B6A"/>
    <w:rsid w:val="00B21D4A"/>
    <w:rsid w:val="00B21DD6"/>
    <w:rsid w:val="00B22811"/>
    <w:rsid w:val="00B23A46"/>
    <w:rsid w:val="00B244BB"/>
    <w:rsid w:val="00B24BC7"/>
    <w:rsid w:val="00B25BBC"/>
    <w:rsid w:val="00B26204"/>
    <w:rsid w:val="00B26ADA"/>
    <w:rsid w:val="00B26BAB"/>
    <w:rsid w:val="00B26D2B"/>
    <w:rsid w:val="00B27059"/>
    <w:rsid w:val="00B270F3"/>
    <w:rsid w:val="00B27231"/>
    <w:rsid w:val="00B27269"/>
    <w:rsid w:val="00B275EC"/>
    <w:rsid w:val="00B27829"/>
    <w:rsid w:val="00B27CEC"/>
    <w:rsid w:val="00B30146"/>
    <w:rsid w:val="00B3074B"/>
    <w:rsid w:val="00B31250"/>
    <w:rsid w:val="00B31F0F"/>
    <w:rsid w:val="00B31F69"/>
    <w:rsid w:val="00B325FD"/>
    <w:rsid w:val="00B329B3"/>
    <w:rsid w:val="00B33071"/>
    <w:rsid w:val="00B33E05"/>
    <w:rsid w:val="00B347A9"/>
    <w:rsid w:val="00B3498A"/>
    <w:rsid w:val="00B34AAC"/>
    <w:rsid w:val="00B34F20"/>
    <w:rsid w:val="00B3560D"/>
    <w:rsid w:val="00B35B28"/>
    <w:rsid w:val="00B36AD4"/>
    <w:rsid w:val="00B3719D"/>
    <w:rsid w:val="00B378F9"/>
    <w:rsid w:val="00B37A7B"/>
    <w:rsid w:val="00B37B04"/>
    <w:rsid w:val="00B4199E"/>
    <w:rsid w:val="00B41B20"/>
    <w:rsid w:val="00B41E42"/>
    <w:rsid w:val="00B423FF"/>
    <w:rsid w:val="00B424FC"/>
    <w:rsid w:val="00B42EA3"/>
    <w:rsid w:val="00B43027"/>
    <w:rsid w:val="00B439A9"/>
    <w:rsid w:val="00B43A89"/>
    <w:rsid w:val="00B43E4F"/>
    <w:rsid w:val="00B444A5"/>
    <w:rsid w:val="00B44F99"/>
    <w:rsid w:val="00B45316"/>
    <w:rsid w:val="00B456DC"/>
    <w:rsid w:val="00B45E48"/>
    <w:rsid w:val="00B46A3C"/>
    <w:rsid w:val="00B46AB7"/>
    <w:rsid w:val="00B46FF4"/>
    <w:rsid w:val="00B4706F"/>
    <w:rsid w:val="00B47703"/>
    <w:rsid w:val="00B47F9D"/>
    <w:rsid w:val="00B50121"/>
    <w:rsid w:val="00B50583"/>
    <w:rsid w:val="00B50A4F"/>
    <w:rsid w:val="00B50AAA"/>
    <w:rsid w:val="00B50F00"/>
    <w:rsid w:val="00B50FFE"/>
    <w:rsid w:val="00B51616"/>
    <w:rsid w:val="00B5199C"/>
    <w:rsid w:val="00B51AED"/>
    <w:rsid w:val="00B51B7C"/>
    <w:rsid w:val="00B51EB5"/>
    <w:rsid w:val="00B5217D"/>
    <w:rsid w:val="00B5226F"/>
    <w:rsid w:val="00B5249A"/>
    <w:rsid w:val="00B52E80"/>
    <w:rsid w:val="00B53EB0"/>
    <w:rsid w:val="00B53EE4"/>
    <w:rsid w:val="00B559B2"/>
    <w:rsid w:val="00B55C0B"/>
    <w:rsid w:val="00B55E77"/>
    <w:rsid w:val="00B56A06"/>
    <w:rsid w:val="00B573C8"/>
    <w:rsid w:val="00B5780D"/>
    <w:rsid w:val="00B57A61"/>
    <w:rsid w:val="00B605F5"/>
    <w:rsid w:val="00B61CFF"/>
    <w:rsid w:val="00B6237C"/>
    <w:rsid w:val="00B62EF5"/>
    <w:rsid w:val="00B62F3E"/>
    <w:rsid w:val="00B63C06"/>
    <w:rsid w:val="00B6444C"/>
    <w:rsid w:val="00B648C1"/>
    <w:rsid w:val="00B64EC0"/>
    <w:rsid w:val="00B6570C"/>
    <w:rsid w:val="00B65F35"/>
    <w:rsid w:val="00B65FD0"/>
    <w:rsid w:val="00B666B3"/>
    <w:rsid w:val="00B66DA9"/>
    <w:rsid w:val="00B6722B"/>
    <w:rsid w:val="00B67546"/>
    <w:rsid w:val="00B67DA6"/>
    <w:rsid w:val="00B71B0F"/>
    <w:rsid w:val="00B72D13"/>
    <w:rsid w:val="00B72E99"/>
    <w:rsid w:val="00B72F97"/>
    <w:rsid w:val="00B732AE"/>
    <w:rsid w:val="00B73FC8"/>
    <w:rsid w:val="00B743DC"/>
    <w:rsid w:val="00B74E90"/>
    <w:rsid w:val="00B74F64"/>
    <w:rsid w:val="00B74FF9"/>
    <w:rsid w:val="00B7622F"/>
    <w:rsid w:val="00B76287"/>
    <w:rsid w:val="00B7701C"/>
    <w:rsid w:val="00B77E47"/>
    <w:rsid w:val="00B77E53"/>
    <w:rsid w:val="00B77EEC"/>
    <w:rsid w:val="00B800A0"/>
    <w:rsid w:val="00B807EE"/>
    <w:rsid w:val="00B8083E"/>
    <w:rsid w:val="00B80BEE"/>
    <w:rsid w:val="00B80D56"/>
    <w:rsid w:val="00B8184C"/>
    <w:rsid w:val="00B81E31"/>
    <w:rsid w:val="00B835E8"/>
    <w:rsid w:val="00B83EF0"/>
    <w:rsid w:val="00B84212"/>
    <w:rsid w:val="00B84AFA"/>
    <w:rsid w:val="00B84ED9"/>
    <w:rsid w:val="00B85367"/>
    <w:rsid w:val="00B85B40"/>
    <w:rsid w:val="00B86476"/>
    <w:rsid w:val="00B86702"/>
    <w:rsid w:val="00B86754"/>
    <w:rsid w:val="00B87615"/>
    <w:rsid w:val="00B87840"/>
    <w:rsid w:val="00B907DF"/>
    <w:rsid w:val="00B91816"/>
    <w:rsid w:val="00B919E9"/>
    <w:rsid w:val="00B92038"/>
    <w:rsid w:val="00B936CF"/>
    <w:rsid w:val="00B93BE0"/>
    <w:rsid w:val="00B9403F"/>
    <w:rsid w:val="00B940CF"/>
    <w:rsid w:val="00B94120"/>
    <w:rsid w:val="00B94C06"/>
    <w:rsid w:val="00B94C85"/>
    <w:rsid w:val="00B96338"/>
    <w:rsid w:val="00B96ACE"/>
    <w:rsid w:val="00B96D5E"/>
    <w:rsid w:val="00B97075"/>
    <w:rsid w:val="00B9789E"/>
    <w:rsid w:val="00B97A46"/>
    <w:rsid w:val="00BA01DA"/>
    <w:rsid w:val="00BA02E0"/>
    <w:rsid w:val="00BA0508"/>
    <w:rsid w:val="00BA05C8"/>
    <w:rsid w:val="00BA0C60"/>
    <w:rsid w:val="00BA1197"/>
    <w:rsid w:val="00BA22AE"/>
    <w:rsid w:val="00BA2A96"/>
    <w:rsid w:val="00BA2BE9"/>
    <w:rsid w:val="00BA3842"/>
    <w:rsid w:val="00BA3EA0"/>
    <w:rsid w:val="00BA4418"/>
    <w:rsid w:val="00BA4C8B"/>
    <w:rsid w:val="00BA4FB9"/>
    <w:rsid w:val="00BA50AA"/>
    <w:rsid w:val="00BA51C5"/>
    <w:rsid w:val="00BA59F2"/>
    <w:rsid w:val="00BA625F"/>
    <w:rsid w:val="00BA6994"/>
    <w:rsid w:val="00BA7263"/>
    <w:rsid w:val="00BA7B72"/>
    <w:rsid w:val="00BA7B73"/>
    <w:rsid w:val="00BA7BF6"/>
    <w:rsid w:val="00BB06C8"/>
    <w:rsid w:val="00BB0BB6"/>
    <w:rsid w:val="00BB1AE8"/>
    <w:rsid w:val="00BB1FDA"/>
    <w:rsid w:val="00BB23CF"/>
    <w:rsid w:val="00BB266B"/>
    <w:rsid w:val="00BB2942"/>
    <w:rsid w:val="00BB32C0"/>
    <w:rsid w:val="00BB361C"/>
    <w:rsid w:val="00BB3C8C"/>
    <w:rsid w:val="00BB405A"/>
    <w:rsid w:val="00BB442A"/>
    <w:rsid w:val="00BB49D4"/>
    <w:rsid w:val="00BB5AE5"/>
    <w:rsid w:val="00BB5C43"/>
    <w:rsid w:val="00BB7709"/>
    <w:rsid w:val="00BC1677"/>
    <w:rsid w:val="00BC2C33"/>
    <w:rsid w:val="00BC36B2"/>
    <w:rsid w:val="00BC44CF"/>
    <w:rsid w:val="00BC4C12"/>
    <w:rsid w:val="00BC5591"/>
    <w:rsid w:val="00BC5B48"/>
    <w:rsid w:val="00BC64A4"/>
    <w:rsid w:val="00BC7059"/>
    <w:rsid w:val="00BC76D4"/>
    <w:rsid w:val="00BC7A01"/>
    <w:rsid w:val="00BC7D05"/>
    <w:rsid w:val="00BC7ED2"/>
    <w:rsid w:val="00BD02E1"/>
    <w:rsid w:val="00BD06A2"/>
    <w:rsid w:val="00BD13AA"/>
    <w:rsid w:val="00BD1C5C"/>
    <w:rsid w:val="00BD1D3C"/>
    <w:rsid w:val="00BD23E3"/>
    <w:rsid w:val="00BD2509"/>
    <w:rsid w:val="00BD259A"/>
    <w:rsid w:val="00BD27D9"/>
    <w:rsid w:val="00BD2B9A"/>
    <w:rsid w:val="00BD3161"/>
    <w:rsid w:val="00BD3A82"/>
    <w:rsid w:val="00BD409D"/>
    <w:rsid w:val="00BD49FE"/>
    <w:rsid w:val="00BD4A16"/>
    <w:rsid w:val="00BD4CB1"/>
    <w:rsid w:val="00BD5413"/>
    <w:rsid w:val="00BD5633"/>
    <w:rsid w:val="00BD5845"/>
    <w:rsid w:val="00BD5C99"/>
    <w:rsid w:val="00BD625D"/>
    <w:rsid w:val="00BD650F"/>
    <w:rsid w:val="00BD6A22"/>
    <w:rsid w:val="00BD735A"/>
    <w:rsid w:val="00BD74D5"/>
    <w:rsid w:val="00BD7C2B"/>
    <w:rsid w:val="00BE069E"/>
    <w:rsid w:val="00BE0B2B"/>
    <w:rsid w:val="00BE1742"/>
    <w:rsid w:val="00BE17CE"/>
    <w:rsid w:val="00BE197F"/>
    <w:rsid w:val="00BE19B6"/>
    <w:rsid w:val="00BE1D3D"/>
    <w:rsid w:val="00BE343A"/>
    <w:rsid w:val="00BE3A5E"/>
    <w:rsid w:val="00BE3AF1"/>
    <w:rsid w:val="00BE3BE8"/>
    <w:rsid w:val="00BE4665"/>
    <w:rsid w:val="00BE49AC"/>
    <w:rsid w:val="00BE4DEC"/>
    <w:rsid w:val="00BE4FF3"/>
    <w:rsid w:val="00BE56B8"/>
    <w:rsid w:val="00BE57EA"/>
    <w:rsid w:val="00BE5A7A"/>
    <w:rsid w:val="00BE5BED"/>
    <w:rsid w:val="00BE6112"/>
    <w:rsid w:val="00BE620B"/>
    <w:rsid w:val="00BE6801"/>
    <w:rsid w:val="00BE6D94"/>
    <w:rsid w:val="00BE7058"/>
    <w:rsid w:val="00BE75DA"/>
    <w:rsid w:val="00BE7647"/>
    <w:rsid w:val="00BE76E0"/>
    <w:rsid w:val="00BF0320"/>
    <w:rsid w:val="00BF0FEB"/>
    <w:rsid w:val="00BF1A1B"/>
    <w:rsid w:val="00BF2168"/>
    <w:rsid w:val="00BF2B80"/>
    <w:rsid w:val="00BF5C0F"/>
    <w:rsid w:val="00BF5ECA"/>
    <w:rsid w:val="00BF5F88"/>
    <w:rsid w:val="00BF6469"/>
    <w:rsid w:val="00BF64E9"/>
    <w:rsid w:val="00BF656A"/>
    <w:rsid w:val="00BF6E46"/>
    <w:rsid w:val="00BF6FAE"/>
    <w:rsid w:val="00BF77E2"/>
    <w:rsid w:val="00BF7AFF"/>
    <w:rsid w:val="00C00182"/>
    <w:rsid w:val="00C00962"/>
    <w:rsid w:val="00C02F82"/>
    <w:rsid w:val="00C032BE"/>
    <w:rsid w:val="00C035E5"/>
    <w:rsid w:val="00C03B67"/>
    <w:rsid w:val="00C041EB"/>
    <w:rsid w:val="00C05631"/>
    <w:rsid w:val="00C05870"/>
    <w:rsid w:val="00C0681C"/>
    <w:rsid w:val="00C06B20"/>
    <w:rsid w:val="00C074E3"/>
    <w:rsid w:val="00C1044B"/>
    <w:rsid w:val="00C10496"/>
    <w:rsid w:val="00C10F51"/>
    <w:rsid w:val="00C13258"/>
    <w:rsid w:val="00C132AA"/>
    <w:rsid w:val="00C1373A"/>
    <w:rsid w:val="00C13786"/>
    <w:rsid w:val="00C13F45"/>
    <w:rsid w:val="00C1419F"/>
    <w:rsid w:val="00C145E5"/>
    <w:rsid w:val="00C154F0"/>
    <w:rsid w:val="00C15594"/>
    <w:rsid w:val="00C15947"/>
    <w:rsid w:val="00C17C3B"/>
    <w:rsid w:val="00C20CD7"/>
    <w:rsid w:val="00C2330A"/>
    <w:rsid w:val="00C2483B"/>
    <w:rsid w:val="00C25A03"/>
    <w:rsid w:val="00C25F62"/>
    <w:rsid w:val="00C2624D"/>
    <w:rsid w:val="00C27099"/>
    <w:rsid w:val="00C2723B"/>
    <w:rsid w:val="00C27853"/>
    <w:rsid w:val="00C27BDA"/>
    <w:rsid w:val="00C27D37"/>
    <w:rsid w:val="00C317CB"/>
    <w:rsid w:val="00C31B45"/>
    <w:rsid w:val="00C321E9"/>
    <w:rsid w:val="00C33DBB"/>
    <w:rsid w:val="00C34CC7"/>
    <w:rsid w:val="00C3550F"/>
    <w:rsid w:val="00C35DC0"/>
    <w:rsid w:val="00C360FB"/>
    <w:rsid w:val="00C3652E"/>
    <w:rsid w:val="00C366F3"/>
    <w:rsid w:val="00C377FA"/>
    <w:rsid w:val="00C37970"/>
    <w:rsid w:val="00C40225"/>
    <w:rsid w:val="00C403FE"/>
    <w:rsid w:val="00C404BF"/>
    <w:rsid w:val="00C40562"/>
    <w:rsid w:val="00C40E5E"/>
    <w:rsid w:val="00C41886"/>
    <w:rsid w:val="00C41BA6"/>
    <w:rsid w:val="00C42014"/>
    <w:rsid w:val="00C43C4A"/>
    <w:rsid w:val="00C4504C"/>
    <w:rsid w:val="00C45476"/>
    <w:rsid w:val="00C45568"/>
    <w:rsid w:val="00C46210"/>
    <w:rsid w:val="00C46432"/>
    <w:rsid w:val="00C46571"/>
    <w:rsid w:val="00C47D44"/>
    <w:rsid w:val="00C50E85"/>
    <w:rsid w:val="00C513A7"/>
    <w:rsid w:val="00C5221F"/>
    <w:rsid w:val="00C526AB"/>
    <w:rsid w:val="00C52A16"/>
    <w:rsid w:val="00C533C1"/>
    <w:rsid w:val="00C53700"/>
    <w:rsid w:val="00C541C1"/>
    <w:rsid w:val="00C544FA"/>
    <w:rsid w:val="00C5459C"/>
    <w:rsid w:val="00C54761"/>
    <w:rsid w:val="00C55078"/>
    <w:rsid w:val="00C55870"/>
    <w:rsid w:val="00C55A5D"/>
    <w:rsid w:val="00C55A92"/>
    <w:rsid w:val="00C56FBD"/>
    <w:rsid w:val="00C57189"/>
    <w:rsid w:val="00C577B9"/>
    <w:rsid w:val="00C604FA"/>
    <w:rsid w:val="00C6085E"/>
    <w:rsid w:val="00C61FBB"/>
    <w:rsid w:val="00C624E9"/>
    <w:rsid w:val="00C632F3"/>
    <w:rsid w:val="00C6371D"/>
    <w:rsid w:val="00C63743"/>
    <w:rsid w:val="00C63818"/>
    <w:rsid w:val="00C63935"/>
    <w:rsid w:val="00C6398E"/>
    <w:rsid w:val="00C64905"/>
    <w:rsid w:val="00C64F59"/>
    <w:rsid w:val="00C64F6E"/>
    <w:rsid w:val="00C656FC"/>
    <w:rsid w:val="00C65769"/>
    <w:rsid w:val="00C65AC0"/>
    <w:rsid w:val="00C65BEE"/>
    <w:rsid w:val="00C65F5E"/>
    <w:rsid w:val="00C66209"/>
    <w:rsid w:val="00C662A9"/>
    <w:rsid w:val="00C663DF"/>
    <w:rsid w:val="00C6645B"/>
    <w:rsid w:val="00C6689D"/>
    <w:rsid w:val="00C66C46"/>
    <w:rsid w:val="00C672AB"/>
    <w:rsid w:val="00C67395"/>
    <w:rsid w:val="00C6775C"/>
    <w:rsid w:val="00C67B76"/>
    <w:rsid w:val="00C700DD"/>
    <w:rsid w:val="00C704AE"/>
    <w:rsid w:val="00C706F5"/>
    <w:rsid w:val="00C70B06"/>
    <w:rsid w:val="00C711F7"/>
    <w:rsid w:val="00C71406"/>
    <w:rsid w:val="00C714C7"/>
    <w:rsid w:val="00C7150B"/>
    <w:rsid w:val="00C71B6C"/>
    <w:rsid w:val="00C71DE6"/>
    <w:rsid w:val="00C71E3F"/>
    <w:rsid w:val="00C72335"/>
    <w:rsid w:val="00C72863"/>
    <w:rsid w:val="00C73645"/>
    <w:rsid w:val="00C73DCC"/>
    <w:rsid w:val="00C741E9"/>
    <w:rsid w:val="00C75D69"/>
    <w:rsid w:val="00C76E0C"/>
    <w:rsid w:val="00C779F3"/>
    <w:rsid w:val="00C77F92"/>
    <w:rsid w:val="00C809FC"/>
    <w:rsid w:val="00C80DE9"/>
    <w:rsid w:val="00C81364"/>
    <w:rsid w:val="00C81B4E"/>
    <w:rsid w:val="00C824D6"/>
    <w:rsid w:val="00C82ABE"/>
    <w:rsid w:val="00C83CC8"/>
    <w:rsid w:val="00C83DCF"/>
    <w:rsid w:val="00C8492C"/>
    <w:rsid w:val="00C84EA5"/>
    <w:rsid w:val="00C85C0F"/>
    <w:rsid w:val="00C865BC"/>
    <w:rsid w:val="00C872FE"/>
    <w:rsid w:val="00C875C4"/>
    <w:rsid w:val="00C90599"/>
    <w:rsid w:val="00C910F0"/>
    <w:rsid w:val="00C91196"/>
    <w:rsid w:val="00C914AB"/>
    <w:rsid w:val="00C91F1C"/>
    <w:rsid w:val="00C925F5"/>
    <w:rsid w:val="00C92654"/>
    <w:rsid w:val="00C92B65"/>
    <w:rsid w:val="00C93171"/>
    <w:rsid w:val="00C93B20"/>
    <w:rsid w:val="00C93F8A"/>
    <w:rsid w:val="00C943FD"/>
    <w:rsid w:val="00C9483A"/>
    <w:rsid w:val="00C94BF6"/>
    <w:rsid w:val="00C94CEA"/>
    <w:rsid w:val="00C955BD"/>
    <w:rsid w:val="00C95ED4"/>
    <w:rsid w:val="00C96683"/>
    <w:rsid w:val="00C966EE"/>
    <w:rsid w:val="00C96936"/>
    <w:rsid w:val="00C969C4"/>
    <w:rsid w:val="00C97938"/>
    <w:rsid w:val="00CA02F4"/>
    <w:rsid w:val="00CA10B8"/>
    <w:rsid w:val="00CA1131"/>
    <w:rsid w:val="00CA138D"/>
    <w:rsid w:val="00CA1E5A"/>
    <w:rsid w:val="00CA201B"/>
    <w:rsid w:val="00CA302C"/>
    <w:rsid w:val="00CA43BC"/>
    <w:rsid w:val="00CA4B6A"/>
    <w:rsid w:val="00CA5605"/>
    <w:rsid w:val="00CA5689"/>
    <w:rsid w:val="00CA5B35"/>
    <w:rsid w:val="00CA6269"/>
    <w:rsid w:val="00CA63F8"/>
    <w:rsid w:val="00CA68A3"/>
    <w:rsid w:val="00CA6E17"/>
    <w:rsid w:val="00CA721F"/>
    <w:rsid w:val="00CA742E"/>
    <w:rsid w:val="00CA7B15"/>
    <w:rsid w:val="00CA7EA0"/>
    <w:rsid w:val="00CB0E8E"/>
    <w:rsid w:val="00CB142C"/>
    <w:rsid w:val="00CB163A"/>
    <w:rsid w:val="00CB28B7"/>
    <w:rsid w:val="00CB2A04"/>
    <w:rsid w:val="00CB2A42"/>
    <w:rsid w:val="00CB2D32"/>
    <w:rsid w:val="00CB3933"/>
    <w:rsid w:val="00CB4884"/>
    <w:rsid w:val="00CB4E64"/>
    <w:rsid w:val="00CB512B"/>
    <w:rsid w:val="00CB554D"/>
    <w:rsid w:val="00CB62BA"/>
    <w:rsid w:val="00CB6702"/>
    <w:rsid w:val="00CB684C"/>
    <w:rsid w:val="00CB6E5D"/>
    <w:rsid w:val="00CB78C8"/>
    <w:rsid w:val="00CC0174"/>
    <w:rsid w:val="00CC02F1"/>
    <w:rsid w:val="00CC165F"/>
    <w:rsid w:val="00CC170C"/>
    <w:rsid w:val="00CC1FB9"/>
    <w:rsid w:val="00CC23E6"/>
    <w:rsid w:val="00CC2C5B"/>
    <w:rsid w:val="00CC31DA"/>
    <w:rsid w:val="00CC3840"/>
    <w:rsid w:val="00CC3F53"/>
    <w:rsid w:val="00CC3F5E"/>
    <w:rsid w:val="00CC4208"/>
    <w:rsid w:val="00CC4339"/>
    <w:rsid w:val="00CC46B5"/>
    <w:rsid w:val="00CC4AAA"/>
    <w:rsid w:val="00CC4EF1"/>
    <w:rsid w:val="00CC536B"/>
    <w:rsid w:val="00CC581A"/>
    <w:rsid w:val="00CC5C1E"/>
    <w:rsid w:val="00CC6FE0"/>
    <w:rsid w:val="00CD0C75"/>
    <w:rsid w:val="00CD14A4"/>
    <w:rsid w:val="00CD2A65"/>
    <w:rsid w:val="00CD30C8"/>
    <w:rsid w:val="00CD352C"/>
    <w:rsid w:val="00CD3A7B"/>
    <w:rsid w:val="00CD3BD9"/>
    <w:rsid w:val="00CD3E30"/>
    <w:rsid w:val="00CD4656"/>
    <w:rsid w:val="00CD4CC4"/>
    <w:rsid w:val="00CD53A1"/>
    <w:rsid w:val="00CD5632"/>
    <w:rsid w:val="00CD7AEC"/>
    <w:rsid w:val="00CD7C62"/>
    <w:rsid w:val="00CE029A"/>
    <w:rsid w:val="00CE04F2"/>
    <w:rsid w:val="00CE0D88"/>
    <w:rsid w:val="00CE10AD"/>
    <w:rsid w:val="00CE18E6"/>
    <w:rsid w:val="00CE1A19"/>
    <w:rsid w:val="00CE2236"/>
    <w:rsid w:val="00CE228C"/>
    <w:rsid w:val="00CE250A"/>
    <w:rsid w:val="00CE2773"/>
    <w:rsid w:val="00CE2B18"/>
    <w:rsid w:val="00CE30AB"/>
    <w:rsid w:val="00CE3249"/>
    <w:rsid w:val="00CE3625"/>
    <w:rsid w:val="00CE4770"/>
    <w:rsid w:val="00CE4964"/>
    <w:rsid w:val="00CE4F76"/>
    <w:rsid w:val="00CE52B8"/>
    <w:rsid w:val="00CE561E"/>
    <w:rsid w:val="00CE56FB"/>
    <w:rsid w:val="00CE58CF"/>
    <w:rsid w:val="00CE5907"/>
    <w:rsid w:val="00CE61BE"/>
    <w:rsid w:val="00CE67F9"/>
    <w:rsid w:val="00CE720E"/>
    <w:rsid w:val="00CE796B"/>
    <w:rsid w:val="00CE7A59"/>
    <w:rsid w:val="00CF2B8B"/>
    <w:rsid w:val="00CF348A"/>
    <w:rsid w:val="00CF3BEB"/>
    <w:rsid w:val="00CF43BA"/>
    <w:rsid w:val="00CF457A"/>
    <w:rsid w:val="00CF459C"/>
    <w:rsid w:val="00CF4682"/>
    <w:rsid w:val="00CF4A67"/>
    <w:rsid w:val="00CF4E07"/>
    <w:rsid w:val="00CF50F4"/>
    <w:rsid w:val="00CF518E"/>
    <w:rsid w:val="00CF55EF"/>
    <w:rsid w:val="00CF5853"/>
    <w:rsid w:val="00CF586A"/>
    <w:rsid w:val="00CF5D3C"/>
    <w:rsid w:val="00CF5FE1"/>
    <w:rsid w:val="00CF61AE"/>
    <w:rsid w:val="00CF6347"/>
    <w:rsid w:val="00CF6DDE"/>
    <w:rsid w:val="00CF7017"/>
    <w:rsid w:val="00D00E31"/>
    <w:rsid w:val="00D01BC7"/>
    <w:rsid w:val="00D02324"/>
    <w:rsid w:val="00D02C9E"/>
    <w:rsid w:val="00D02E37"/>
    <w:rsid w:val="00D02FDF"/>
    <w:rsid w:val="00D037E9"/>
    <w:rsid w:val="00D03D1F"/>
    <w:rsid w:val="00D04242"/>
    <w:rsid w:val="00D04871"/>
    <w:rsid w:val="00D04EA3"/>
    <w:rsid w:val="00D05062"/>
    <w:rsid w:val="00D0559E"/>
    <w:rsid w:val="00D05A8E"/>
    <w:rsid w:val="00D05C87"/>
    <w:rsid w:val="00D05CB8"/>
    <w:rsid w:val="00D06284"/>
    <w:rsid w:val="00D065CC"/>
    <w:rsid w:val="00D06895"/>
    <w:rsid w:val="00D069E0"/>
    <w:rsid w:val="00D07FD0"/>
    <w:rsid w:val="00D10463"/>
    <w:rsid w:val="00D104CD"/>
    <w:rsid w:val="00D10B79"/>
    <w:rsid w:val="00D11256"/>
    <w:rsid w:val="00D11614"/>
    <w:rsid w:val="00D11C15"/>
    <w:rsid w:val="00D120F0"/>
    <w:rsid w:val="00D12950"/>
    <w:rsid w:val="00D13458"/>
    <w:rsid w:val="00D134E2"/>
    <w:rsid w:val="00D13704"/>
    <w:rsid w:val="00D140FA"/>
    <w:rsid w:val="00D14E4C"/>
    <w:rsid w:val="00D1524C"/>
    <w:rsid w:val="00D15459"/>
    <w:rsid w:val="00D15819"/>
    <w:rsid w:val="00D16187"/>
    <w:rsid w:val="00D167C7"/>
    <w:rsid w:val="00D169FB"/>
    <w:rsid w:val="00D16EB0"/>
    <w:rsid w:val="00D17598"/>
    <w:rsid w:val="00D20649"/>
    <w:rsid w:val="00D20906"/>
    <w:rsid w:val="00D21754"/>
    <w:rsid w:val="00D21DD2"/>
    <w:rsid w:val="00D22252"/>
    <w:rsid w:val="00D22306"/>
    <w:rsid w:val="00D22B36"/>
    <w:rsid w:val="00D23470"/>
    <w:rsid w:val="00D236E9"/>
    <w:rsid w:val="00D23BBB"/>
    <w:rsid w:val="00D24013"/>
    <w:rsid w:val="00D2435D"/>
    <w:rsid w:val="00D2449F"/>
    <w:rsid w:val="00D2475E"/>
    <w:rsid w:val="00D24F81"/>
    <w:rsid w:val="00D250F6"/>
    <w:rsid w:val="00D25415"/>
    <w:rsid w:val="00D2644F"/>
    <w:rsid w:val="00D2729E"/>
    <w:rsid w:val="00D27FE3"/>
    <w:rsid w:val="00D301DD"/>
    <w:rsid w:val="00D3037D"/>
    <w:rsid w:val="00D31005"/>
    <w:rsid w:val="00D314A5"/>
    <w:rsid w:val="00D31A9A"/>
    <w:rsid w:val="00D328F3"/>
    <w:rsid w:val="00D32968"/>
    <w:rsid w:val="00D3344E"/>
    <w:rsid w:val="00D335DB"/>
    <w:rsid w:val="00D34248"/>
    <w:rsid w:val="00D3478B"/>
    <w:rsid w:val="00D34907"/>
    <w:rsid w:val="00D352CB"/>
    <w:rsid w:val="00D35A94"/>
    <w:rsid w:val="00D36782"/>
    <w:rsid w:val="00D37E0A"/>
    <w:rsid w:val="00D40496"/>
    <w:rsid w:val="00D4074D"/>
    <w:rsid w:val="00D40A65"/>
    <w:rsid w:val="00D41014"/>
    <w:rsid w:val="00D41474"/>
    <w:rsid w:val="00D420DA"/>
    <w:rsid w:val="00D42412"/>
    <w:rsid w:val="00D4272E"/>
    <w:rsid w:val="00D43205"/>
    <w:rsid w:val="00D4392A"/>
    <w:rsid w:val="00D44994"/>
    <w:rsid w:val="00D44CA6"/>
    <w:rsid w:val="00D460A7"/>
    <w:rsid w:val="00D4654B"/>
    <w:rsid w:val="00D46881"/>
    <w:rsid w:val="00D46CD1"/>
    <w:rsid w:val="00D46D05"/>
    <w:rsid w:val="00D46F8D"/>
    <w:rsid w:val="00D47F8E"/>
    <w:rsid w:val="00D500AD"/>
    <w:rsid w:val="00D50FD1"/>
    <w:rsid w:val="00D51481"/>
    <w:rsid w:val="00D52488"/>
    <w:rsid w:val="00D52DDE"/>
    <w:rsid w:val="00D52E79"/>
    <w:rsid w:val="00D5314A"/>
    <w:rsid w:val="00D53B23"/>
    <w:rsid w:val="00D53D70"/>
    <w:rsid w:val="00D5468E"/>
    <w:rsid w:val="00D54F7A"/>
    <w:rsid w:val="00D55AB0"/>
    <w:rsid w:val="00D55F21"/>
    <w:rsid w:val="00D56113"/>
    <w:rsid w:val="00D566E1"/>
    <w:rsid w:val="00D57D09"/>
    <w:rsid w:val="00D57E1E"/>
    <w:rsid w:val="00D60D71"/>
    <w:rsid w:val="00D61809"/>
    <w:rsid w:val="00D62B7D"/>
    <w:rsid w:val="00D62E39"/>
    <w:rsid w:val="00D62ECD"/>
    <w:rsid w:val="00D62EF7"/>
    <w:rsid w:val="00D63159"/>
    <w:rsid w:val="00D63A6D"/>
    <w:rsid w:val="00D63B19"/>
    <w:rsid w:val="00D642B9"/>
    <w:rsid w:val="00D647F0"/>
    <w:rsid w:val="00D6491D"/>
    <w:rsid w:val="00D65730"/>
    <w:rsid w:val="00D659EF"/>
    <w:rsid w:val="00D65C91"/>
    <w:rsid w:val="00D66268"/>
    <w:rsid w:val="00D662D6"/>
    <w:rsid w:val="00D66704"/>
    <w:rsid w:val="00D66B9C"/>
    <w:rsid w:val="00D66C92"/>
    <w:rsid w:val="00D6791A"/>
    <w:rsid w:val="00D67BFA"/>
    <w:rsid w:val="00D70019"/>
    <w:rsid w:val="00D700CA"/>
    <w:rsid w:val="00D702F8"/>
    <w:rsid w:val="00D70851"/>
    <w:rsid w:val="00D70965"/>
    <w:rsid w:val="00D70E32"/>
    <w:rsid w:val="00D72C2C"/>
    <w:rsid w:val="00D72FF4"/>
    <w:rsid w:val="00D743DA"/>
    <w:rsid w:val="00D744C9"/>
    <w:rsid w:val="00D7458C"/>
    <w:rsid w:val="00D74F95"/>
    <w:rsid w:val="00D76FB1"/>
    <w:rsid w:val="00D77904"/>
    <w:rsid w:val="00D77F00"/>
    <w:rsid w:val="00D800BC"/>
    <w:rsid w:val="00D80A8E"/>
    <w:rsid w:val="00D80D6C"/>
    <w:rsid w:val="00D80F58"/>
    <w:rsid w:val="00D8177B"/>
    <w:rsid w:val="00D81A19"/>
    <w:rsid w:val="00D81BE7"/>
    <w:rsid w:val="00D8272D"/>
    <w:rsid w:val="00D82801"/>
    <w:rsid w:val="00D8425E"/>
    <w:rsid w:val="00D84A4F"/>
    <w:rsid w:val="00D84ECE"/>
    <w:rsid w:val="00D85B6F"/>
    <w:rsid w:val="00D85CC9"/>
    <w:rsid w:val="00D85E6F"/>
    <w:rsid w:val="00D86070"/>
    <w:rsid w:val="00D86F77"/>
    <w:rsid w:val="00D87B19"/>
    <w:rsid w:val="00D87FA6"/>
    <w:rsid w:val="00D904C5"/>
    <w:rsid w:val="00D90D21"/>
    <w:rsid w:val="00D917AE"/>
    <w:rsid w:val="00D91919"/>
    <w:rsid w:val="00D92497"/>
    <w:rsid w:val="00D9257D"/>
    <w:rsid w:val="00D9259F"/>
    <w:rsid w:val="00D92A6E"/>
    <w:rsid w:val="00D93910"/>
    <w:rsid w:val="00D93B29"/>
    <w:rsid w:val="00D9534A"/>
    <w:rsid w:val="00D9555A"/>
    <w:rsid w:val="00D9645E"/>
    <w:rsid w:val="00D96554"/>
    <w:rsid w:val="00D97828"/>
    <w:rsid w:val="00D97B78"/>
    <w:rsid w:val="00D97D90"/>
    <w:rsid w:val="00DA0653"/>
    <w:rsid w:val="00DA07A5"/>
    <w:rsid w:val="00DA092D"/>
    <w:rsid w:val="00DA168F"/>
    <w:rsid w:val="00DA1D23"/>
    <w:rsid w:val="00DA25EC"/>
    <w:rsid w:val="00DA2AB4"/>
    <w:rsid w:val="00DA2B58"/>
    <w:rsid w:val="00DA2BD8"/>
    <w:rsid w:val="00DA2D41"/>
    <w:rsid w:val="00DA2DC9"/>
    <w:rsid w:val="00DA676E"/>
    <w:rsid w:val="00DA6B6E"/>
    <w:rsid w:val="00DA6DC1"/>
    <w:rsid w:val="00DA763E"/>
    <w:rsid w:val="00DA79DF"/>
    <w:rsid w:val="00DB0D6A"/>
    <w:rsid w:val="00DB244A"/>
    <w:rsid w:val="00DB28FB"/>
    <w:rsid w:val="00DB2957"/>
    <w:rsid w:val="00DB3089"/>
    <w:rsid w:val="00DB3189"/>
    <w:rsid w:val="00DB3CC2"/>
    <w:rsid w:val="00DB414B"/>
    <w:rsid w:val="00DB4965"/>
    <w:rsid w:val="00DB539D"/>
    <w:rsid w:val="00DB5957"/>
    <w:rsid w:val="00DB5E34"/>
    <w:rsid w:val="00DB5F42"/>
    <w:rsid w:val="00DB677A"/>
    <w:rsid w:val="00DB6945"/>
    <w:rsid w:val="00DB6D8F"/>
    <w:rsid w:val="00DB6DAD"/>
    <w:rsid w:val="00DB6FAB"/>
    <w:rsid w:val="00DC0229"/>
    <w:rsid w:val="00DC03AA"/>
    <w:rsid w:val="00DC0C43"/>
    <w:rsid w:val="00DC1F34"/>
    <w:rsid w:val="00DC2305"/>
    <w:rsid w:val="00DC294E"/>
    <w:rsid w:val="00DC38ED"/>
    <w:rsid w:val="00DC3BD3"/>
    <w:rsid w:val="00DC3E9D"/>
    <w:rsid w:val="00DC4562"/>
    <w:rsid w:val="00DC48C7"/>
    <w:rsid w:val="00DC49F1"/>
    <w:rsid w:val="00DC4C48"/>
    <w:rsid w:val="00DC5142"/>
    <w:rsid w:val="00DC5A03"/>
    <w:rsid w:val="00DC5ABE"/>
    <w:rsid w:val="00DC700D"/>
    <w:rsid w:val="00DC747C"/>
    <w:rsid w:val="00DD015E"/>
    <w:rsid w:val="00DD14AA"/>
    <w:rsid w:val="00DD160C"/>
    <w:rsid w:val="00DD19C6"/>
    <w:rsid w:val="00DD2205"/>
    <w:rsid w:val="00DD242C"/>
    <w:rsid w:val="00DD25D9"/>
    <w:rsid w:val="00DD28FD"/>
    <w:rsid w:val="00DD36BC"/>
    <w:rsid w:val="00DD3D72"/>
    <w:rsid w:val="00DD44B1"/>
    <w:rsid w:val="00DD4744"/>
    <w:rsid w:val="00DD4BF9"/>
    <w:rsid w:val="00DD52B9"/>
    <w:rsid w:val="00DD5C58"/>
    <w:rsid w:val="00DD7008"/>
    <w:rsid w:val="00DD72E8"/>
    <w:rsid w:val="00DD77F7"/>
    <w:rsid w:val="00DD7825"/>
    <w:rsid w:val="00DE09A9"/>
    <w:rsid w:val="00DE0CC1"/>
    <w:rsid w:val="00DE11B5"/>
    <w:rsid w:val="00DE18E8"/>
    <w:rsid w:val="00DE2E7F"/>
    <w:rsid w:val="00DE2EE2"/>
    <w:rsid w:val="00DE43A7"/>
    <w:rsid w:val="00DE4B52"/>
    <w:rsid w:val="00DE5592"/>
    <w:rsid w:val="00DE5B85"/>
    <w:rsid w:val="00DE5CD3"/>
    <w:rsid w:val="00DE6837"/>
    <w:rsid w:val="00DE6BB2"/>
    <w:rsid w:val="00DE7003"/>
    <w:rsid w:val="00DE7812"/>
    <w:rsid w:val="00DE781F"/>
    <w:rsid w:val="00DE78A0"/>
    <w:rsid w:val="00DF035F"/>
    <w:rsid w:val="00DF154D"/>
    <w:rsid w:val="00DF3BC4"/>
    <w:rsid w:val="00DF4845"/>
    <w:rsid w:val="00DF53DA"/>
    <w:rsid w:val="00DF5872"/>
    <w:rsid w:val="00DF5AA1"/>
    <w:rsid w:val="00DF5C49"/>
    <w:rsid w:val="00DF5D6A"/>
    <w:rsid w:val="00DF60CC"/>
    <w:rsid w:val="00DF6EC4"/>
    <w:rsid w:val="00DF7677"/>
    <w:rsid w:val="00DF7C00"/>
    <w:rsid w:val="00E0184B"/>
    <w:rsid w:val="00E02D6C"/>
    <w:rsid w:val="00E02EFD"/>
    <w:rsid w:val="00E031A6"/>
    <w:rsid w:val="00E037CF"/>
    <w:rsid w:val="00E04143"/>
    <w:rsid w:val="00E04739"/>
    <w:rsid w:val="00E0491A"/>
    <w:rsid w:val="00E056DD"/>
    <w:rsid w:val="00E0599D"/>
    <w:rsid w:val="00E05CCD"/>
    <w:rsid w:val="00E06143"/>
    <w:rsid w:val="00E06BE5"/>
    <w:rsid w:val="00E06DA3"/>
    <w:rsid w:val="00E06E5A"/>
    <w:rsid w:val="00E070F8"/>
    <w:rsid w:val="00E07270"/>
    <w:rsid w:val="00E0774C"/>
    <w:rsid w:val="00E07B75"/>
    <w:rsid w:val="00E07C9E"/>
    <w:rsid w:val="00E11549"/>
    <w:rsid w:val="00E115CF"/>
    <w:rsid w:val="00E11685"/>
    <w:rsid w:val="00E116A2"/>
    <w:rsid w:val="00E125C7"/>
    <w:rsid w:val="00E127F1"/>
    <w:rsid w:val="00E12814"/>
    <w:rsid w:val="00E12A97"/>
    <w:rsid w:val="00E13963"/>
    <w:rsid w:val="00E13FE9"/>
    <w:rsid w:val="00E14633"/>
    <w:rsid w:val="00E153BC"/>
    <w:rsid w:val="00E15E5F"/>
    <w:rsid w:val="00E169ED"/>
    <w:rsid w:val="00E16B37"/>
    <w:rsid w:val="00E16B40"/>
    <w:rsid w:val="00E16BBB"/>
    <w:rsid w:val="00E17786"/>
    <w:rsid w:val="00E17993"/>
    <w:rsid w:val="00E17AA2"/>
    <w:rsid w:val="00E17F43"/>
    <w:rsid w:val="00E17FAD"/>
    <w:rsid w:val="00E20DF8"/>
    <w:rsid w:val="00E214E4"/>
    <w:rsid w:val="00E2160E"/>
    <w:rsid w:val="00E21F1D"/>
    <w:rsid w:val="00E21F62"/>
    <w:rsid w:val="00E2328B"/>
    <w:rsid w:val="00E234FE"/>
    <w:rsid w:val="00E23911"/>
    <w:rsid w:val="00E24A25"/>
    <w:rsid w:val="00E24C4B"/>
    <w:rsid w:val="00E254D6"/>
    <w:rsid w:val="00E2584D"/>
    <w:rsid w:val="00E26043"/>
    <w:rsid w:val="00E265C4"/>
    <w:rsid w:val="00E26D7E"/>
    <w:rsid w:val="00E2790B"/>
    <w:rsid w:val="00E27B98"/>
    <w:rsid w:val="00E27E4F"/>
    <w:rsid w:val="00E3064A"/>
    <w:rsid w:val="00E309A3"/>
    <w:rsid w:val="00E30A40"/>
    <w:rsid w:val="00E30EB8"/>
    <w:rsid w:val="00E3125F"/>
    <w:rsid w:val="00E317DD"/>
    <w:rsid w:val="00E31C2B"/>
    <w:rsid w:val="00E32225"/>
    <w:rsid w:val="00E32229"/>
    <w:rsid w:val="00E32482"/>
    <w:rsid w:val="00E3286E"/>
    <w:rsid w:val="00E32CC6"/>
    <w:rsid w:val="00E33E07"/>
    <w:rsid w:val="00E33F2B"/>
    <w:rsid w:val="00E3460E"/>
    <w:rsid w:val="00E34D4D"/>
    <w:rsid w:val="00E35382"/>
    <w:rsid w:val="00E35851"/>
    <w:rsid w:val="00E3594F"/>
    <w:rsid w:val="00E35A98"/>
    <w:rsid w:val="00E35F66"/>
    <w:rsid w:val="00E367A4"/>
    <w:rsid w:val="00E3696E"/>
    <w:rsid w:val="00E36FDA"/>
    <w:rsid w:val="00E37295"/>
    <w:rsid w:val="00E37786"/>
    <w:rsid w:val="00E3782C"/>
    <w:rsid w:val="00E41221"/>
    <w:rsid w:val="00E41E28"/>
    <w:rsid w:val="00E42587"/>
    <w:rsid w:val="00E429BC"/>
    <w:rsid w:val="00E42B91"/>
    <w:rsid w:val="00E42D1A"/>
    <w:rsid w:val="00E42DC7"/>
    <w:rsid w:val="00E436F7"/>
    <w:rsid w:val="00E43CAD"/>
    <w:rsid w:val="00E442C4"/>
    <w:rsid w:val="00E44976"/>
    <w:rsid w:val="00E44E6E"/>
    <w:rsid w:val="00E451B3"/>
    <w:rsid w:val="00E453A1"/>
    <w:rsid w:val="00E45DE9"/>
    <w:rsid w:val="00E45FA2"/>
    <w:rsid w:val="00E46007"/>
    <w:rsid w:val="00E46027"/>
    <w:rsid w:val="00E46118"/>
    <w:rsid w:val="00E46A99"/>
    <w:rsid w:val="00E46C85"/>
    <w:rsid w:val="00E470C6"/>
    <w:rsid w:val="00E4799D"/>
    <w:rsid w:val="00E5000E"/>
    <w:rsid w:val="00E50399"/>
    <w:rsid w:val="00E511D5"/>
    <w:rsid w:val="00E5133B"/>
    <w:rsid w:val="00E5198F"/>
    <w:rsid w:val="00E52363"/>
    <w:rsid w:val="00E533AA"/>
    <w:rsid w:val="00E53DDB"/>
    <w:rsid w:val="00E54469"/>
    <w:rsid w:val="00E54F44"/>
    <w:rsid w:val="00E55452"/>
    <w:rsid w:val="00E55DE1"/>
    <w:rsid w:val="00E5608B"/>
    <w:rsid w:val="00E56352"/>
    <w:rsid w:val="00E56485"/>
    <w:rsid w:val="00E56C1D"/>
    <w:rsid w:val="00E56CF8"/>
    <w:rsid w:val="00E5720E"/>
    <w:rsid w:val="00E57730"/>
    <w:rsid w:val="00E57794"/>
    <w:rsid w:val="00E577D7"/>
    <w:rsid w:val="00E6019F"/>
    <w:rsid w:val="00E605CF"/>
    <w:rsid w:val="00E61016"/>
    <w:rsid w:val="00E61241"/>
    <w:rsid w:val="00E62CA2"/>
    <w:rsid w:val="00E63E29"/>
    <w:rsid w:val="00E64739"/>
    <w:rsid w:val="00E64B7D"/>
    <w:rsid w:val="00E64C0E"/>
    <w:rsid w:val="00E64FBB"/>
    <w:rsid w:val="00E6560C"/>
    <w:rsid w:val="00E6584B"/>
    <w:rsid w:val="00E66C03"/>
    <w:rsid w:val="00E66DEA"/>
    <w:rsid w:val="00E677D8"/>
    <w:rsid w:val="00E67FF2"/>
    <w:rsid w:val="00E70469"/>
    <w:rsid w:val="00E70686"/>
    <w:rsid w:val="00E707B7"/>
    <w:rsid w:val="00E70E5E"/>
    <w:rsid w:val="00E710A5"/>
    <w:rsid w:val="00E712A7"/>
    <w:rsid w:val="00E71ADB"/>
    <w:rsid w:val="00E71B59"/>
    <w:rsid w:val="00E72A45"/>
    <w:rsid w:val="00E73DAD"/>
    <w:rsid w:val="00E747A9"/>
    <w:rsid w:val="00E74855"/>
    <w:rsid w:val="00E74B76"/>
    <w:rsid w:val="00E757CE"/>
    <w:rsid w:val="00E75BDF"/>
    <w:rsid w:val="00E75C20"/>
    <w:rsid w:val="00E75E8D"/>
    <w:rsid w:val="00E76411"/>
    <w:rsid w:val="00E77775"/>
    <w:rsid w:val="00E8024D"/>
    <w:rsid w:val="00E80307"/>
    <w:rsid w:val="00E80320"/>
    <w:rsid w:val="00E80471"/>
    <w:rsid w:val="00E819A1"/>
    <w:rsid w:val="00E81D48"/>
    <w:rsid w:val="00E82382"/>
    <w:rsid w:val="00E82E64"/>
    <w:rsid w:val="00E832DE"/>
    <w:rsid w:val="00E833DD"/>
    <w:rsid w:val="00E83549"/>
    <w:rsid w:val="00E83856"/>
    <w:rsid w:val="00E83D09"/>
    <w:rsid w:val="00E85231"/>
    <w:rsid w:val="00E853D4"/>
    <w:rsid w:val="00E85AB8"/>
    <w:rsid w:val="00E85D2A"/>
    <w:rsid w:val="00E85E47"/>
    <w:rsid w:val="00E86358"/>
    <w:rsid w:val="00E867CD"/>
    <w:rsid w:val="00E867FF"/>
    <w:rsid w:val="00E86A1F"/>
    <w:rsid w:val="00E86BC4"/>
    <w:rsid w:val="00E86FD6"/>
    <w:rsid w:val="00E87674"/>
    <w:rsid w:val="00E87E9B"/>
    <w:rsid w:val="00E90758"/>
    <w:rsid w:val="00E90DEA"/>
    <w:rsid w:val="00E91828"/>
    <w:rsid w:val="00E92A00"/>
    <w:rsid w:val="00E92B6F"/>
    <w:rsid w:val="00E92D8A"/>
    <w:rsid w:val="00E932F7"/>
    <w:rsid w:val="00E93F2B"/>
    <w:rsid w:val="00E94933"/>
    <w:rsid w:val="00E953D4"/>
    <w:rsid w:val="00E95CAE"/>
    <w:rsid w:val="00E961F9"/>
    <w:rsid w:val="00E968E7"/>
    <w:rsid w:val="00E96FA0"/>
    <w:rsid w:val="00E97176"/>
    <w:rsid w:val="00E971CD"/>
    <w:rsid w:val="00E9798F"/>
    <w:rsid w:val="00E97ABD"/>
    <w:rsid w:val="00E97BF2"/>
    <w:rsid w:val="00E97C41"/>
    <w:rsid w:val="00E97F72"/>
    <w:rsid w:val="00EA0FBB"/>
    <w:rsid w:val="00EA0FFF"/>
    <w:rsid w:val="00EA146C"/>
    <w:rsid w:val="00EA1DB2"/>
    <w:rsid w:val="00EA213E"/>
    <w:rsid w:val="00EA2327"/>
    <w:rsid w:val="00EA2482"/>
    <w:rsid w:val="00EA2490"/>
    <w:rsid w:val="00EA259B"/>
    <w:rsid w:val="00EA264D"/>
    <w:rsid w:val="00EA2F00"/>
    <w:rsid w:val="00EA32F5"/>
    <w:rsid w:val="00EA3EF6"/>
    <w:rsid w:val="00EA4016"/>
    <w:rsid w:val="00EA4121"/>
    <w:rsid w:val="00EA4511"/>
    <w:rsid w:val="00EA4EF5"/>
    <w:rsid w:val="00EA5431"/>
    <w:rsid w:val="00EA5A15"/>
    <w:rsid w:val="00EA5DA2"/>
    <w:rsid w:val="00EA6534"/>
    <w:rsid w:val="00EA6BFC"/>
    <w:rsid w:val="00EA6F63"/>
    <w:rsid w:val="00EA7E01"/>
    <w:rsid w:val="00EB03F0"/>
    <w:rsid w:val="00EB0D5B"/>
    <w:rsid w:val="00EB1142"/>
    <w:rsid w:val="00EB1751"/>
    <w:rsid w:val="00EB1D14"/>
    <w:rsid w:val="00EB1DDC"/>
    <w:rsid w:val="00EB1FF6"/>
    <w:rsid w:val="00EB259A"/>
    <w:rsid w:val="00EB2F12"/>
    <w:rsid w:val="00EB30D1"/>
    <w:rsid w:val="00EB32EC"/>
    <w:rsid w:val="00EB351B"/>
    <w:rsid w:val="00EB384A"/>
    <w:rsid w:val="00EB3F45"/>
    <w:rsid w:val="00EB4066"/>
    <w:rsid w:val="00EB407A"/>
    <w:rsid w:val="00EB46F3"/>
    <w:rsid w:val="00EB4709"/>
    <w:rsid w:val="00EB49C3"/>
    <w:rsid w:val="00EB4A4B"/>
    <w:rsid w:val="00EB5CC6"/>
    <w:rsid w:val="00EB6A17"/>
    <w:rsid w:val="00EB7A90"/>
    <w:rsid w:val="00EB7F93"/>
    <w:rsid w:val="00EC0C48"/>
    <w:rsid w:val="00EC130C"/>
    <w:rsid w:val="00EC157C"/>
    <w:rsid w:val="00EC2D1C"/>
    <w:rsid w:val="00EC4631"/>
    <w:rsid w:val="00EC591E"/>
    <w:rsid w:val="00EC6039"/>
    <w:rsid w:val="00EC6B2A"/>
    <w:rsid w:val="00EC6CFF"/>
    <w:rsid w:val="00EC6D57"/>
    <w:rsid w:val="00EC6DF5"/>
    <w:rsid w:val="00EC7CD7"/>
    <w:rsid w:val="00EC7D5A"/>
    <w:rsid w:val="00EC7F87"/>
    <w:rsid w:val="00ED1143"/>
    <w:rsid w:val="00ED149E"/>
    <w:rsid w:val="00ED1B39"/>
    <w:rsid w:val="00ED2B3B"/>
    <w:rsid w:val="00ED2D2A"/>
    <w:rsid w:val="00ED2D9D"/>
    <w:rsid w:val="00ED2F1B"/>
    <w:rsid w:val="00ED3223"/>
    <w:rsid w:val="00ED3958"/>
    <w:rsid w:val="00ED4399"/>
    <w:rsid w:val="00ED4472"/>
    <w:rsid w:val="00ED7026"/>
    <w:rsid w:val="00ED7620"/>
    <w:rsid w:val="00ED7EE6"/>
    <w:rsid w:val="00ED7F84"/>
    <w:rsid w:val="00EE0418"/>
    <w:rsid w:val="00EE0B17"/>
    <w:rsid w:val="00EE1544"/>
    <w:rsid w:val="00EE1629"/>
    <w:rsid w:val="00EE1B96"/>
    <w:rsid w:val="00EE1BC0"/>
    <w:rsid w:val="00EE1C37"/>
    <w:rsid w:val="00EE217D"/>
    <w:rsid w:val="00EE2759"/>
    <w:rsid w:val="00EE3140"/>
    <w:rsid w:val="00EE31E4"/>
    <w:rsid w:val="00EE32E3"/>
    <w:rsid w:val="00EE385A"/>
    <w:rsid w:val="00EE4067"/>
    <w:rsid w:val="00EE44D8"/>
    <w:rsid w:val="00EE49AD"/>
    <w:rsid w:val="00EE4DD8"/>
    <w:rsid w:val="00EE53B4"/>
    <w:rsid w:val="00EE57EC"/>
    <w:rsid w:val="00EE6B63"/>
    <w:rsid w:val="00EE776B"/>
    <w:rsid w:val="00EE7BF4"/>
    <w:rsid w:val="00EE7BF7"/>
    <w:rsid w:val="00EE7CDF"/>
    <w:rsid w:val="00EF0106"/>
    <w:rsid w:val="00EF07BD"/>
    <w:rsid w:val="00EF09F8"/>
    <w:rsid w:val="00EF0B31"/>
    <w:rsid w:val="00EF0F7D"/>
    <w:rsid w:val="00EF10BA"/>
    <w:rsid w:val="00EF167F"/>
    <w:rsid w:val="00EF1868"/>
    <w:rsid w:val="00EF1C60"/>
    <w:rsid w:val="00EF2197"/>
    <w:rsid w:val="00EF24A3"/>
    <w:rsid w:val="00EF2A7D"/>
    <w:rsid w:val="00EF2B8D"/>
    <w:rsid w:val="00EF2F58"/>
    <w:rsid w:val="00EF324B"/>
    <w:rsid w:val="00EF38BF"/>
    <w:rsid w:val="00EF3D41"/>
    <w:rsid w:val="00EF48D3"/>
    <w:rsid w:val="00EF5F12"/>
    <w:rsid w:val="00EF6058"/>
    <w:rsid w:val="00EF6F01"/>
    <w:rsid w:val="00EF6F76"/>
    <w:rsid w:val="00EF7279"/>
    <w:rsid w:val="00EF73AB"/>
    <w:rsid w:val="00EF7847"/>
    <w:rsid w:val="00EF7A25"/>
    <w:rsid w:val="00EF7ACC"/>
    <w:rsid w:val="00F000BB"/>
    <w:rsid w:val="00F004BC"/>
    <w:rsid w:val="00F006C3"/>
    <w:rsid w:val="00F00E3E"/>
    <w:rsid w:val="00F0137B"/>
    <w:rsid w:val="00F016F9"/>
    <w:rsid w:val="00F02BC7"/>
    <w:rsid w:val="00F031BB"/>
    <w:rsid w:val="00F050FC"/>
    <w:rsid w:val="00F06055"/>
    <w:rsid w:val="00F06F22"/>
    <w:rsid w:val="00F079D1"/>
    <w:rsid w:val="00F10731"/>
    <w:rsid w:val="00F10F2F"/>
    <w:rsid w:val="00F11851"/>
    <w:rsid w:val="00F11959"/>
    <w:rsid w:val="00F127C8"/>
    <w:rsid w:val="00F13357"/>
    <w:rsid w:val="00F13A07"/>
    <w:rsid w:val="00F13A99"/>
    <w:rsid w:val="00F13D9B"/>
    <w:rsid w:val="00F143F9"/>
    <w:rsid w:val="00F147BD"/>
    <w:rsid w:val="00F14915"/>
    <w:rsid w:val="00F14A27"/>
    <w:rsid w:val="00F14D6A"/>
    <w:rsid w:val="00F151BA"/>
    <w:rsid w:val="00F1548C"/>
    <w:rsid w:val="00F15655"/>
    <w:rsid w:val="00F15E3D"/>
    <w:rsid w:val="00F1702B"/>
    <w:rsid w:val="00F170BD"/>
    <w:rsid w:val="00F174B0"/>
    <w:rsid w:val="00F17581"/>
    <w:rsid w:val="00F21ECC"/>
    <w:rsid w:val="00F222AD"/>
    <w:rsid w:val="00F222DB"/>
    <w:rsid w:val="00F223D9"/>
    <w:rsid w:val="00F23448"/>
    <w:rsid w:val="00F238A0"/>
    <w:rsid w:val="00F2413F"/>
    <w:rsid w:val="00F242C8"/>
    <w:rsid w:val="00F249F0"/>
    <w:rsid w:val="00F24BA5"/>
    <w:rsid w:val="00F24FB4"/>
    <w:rsid w:val="00F257FC"/>
    <w:rsid w:val="00F26AFA"/>
    <w:rsid w:val="00F26B94"/>
    <w:rsid w:val="00F26DC6"/>
    <w:rsid w:val="00F27A5F"/>
    <w:rsid w:val="00F27FC1"/>
    <w:rsid w:val="00F300B8"/>
    <w:rsid w:val="00F30689"/>
    <w:rsid w:val="00F30B77"/>
    <w:rsid w:val="00F313F7"/>
    <w:rsid w:val="00F31844"/>
    <w:rsid w:val="00F3220F"/>
    <w:rsid w:val="00F326E0"/>
    <w:rsid w:val="00F328BA"/>
    <w:rsid w:val="00F340EB"/>
    <w:rsid w:val="00F34DA2"/>
    <w:rsid w:val="00F351CD"/>
    <w:rsid w:val="00F36986"/>
    <w:rsid w:val="00F369A9"/>
    <w:rsid w:val="00F36E74"/>
    <w:rsid w:val="00F3776B"/>
    <w:rsid w:val="00F400B2"/>
    <w:rsid w:val="00F4016B"/>
    <w:rsid w:val="00F40253"/>
    <w:rsid w:val="00F406E0"/>
    <w:rsid w:val="00F40BCB"/>
    <w:rsid w:val="00F40D74"/>
    <w:rsid w:val="00F42417"/>
    <w:rsid w:val="00F43047"/>
    <w:rsid w:val="00F433C9"/>
    <w:rsid w:val="00F44133"/>
    <w:rsid w:val="00F441D0"/>
    <w:rsid w:val="00F448FA"/>
    <w:rsid w:val="00F44CEC"/>
    <w:rsid w:val="00F44EB3"/>
    <w:rsid w:val="00F45998"/>
    <w:rsid w:val="00F460FE"/>
    <w:rsid w:val="00F46CC1"/>
    <w:rsid w:val="00F4757F"/>
    <w:rsid w:val="00F47A67"/>
    <w:rsid w:val="00F507FA"/>
    <w:rsid w:val="00F52253"/>
    <w:rsid w:val="00F5226C"/>
    <w:rsid w:val="00F526B7"/>
    <w:rsid w:val="00F536B9"/>
    <w:rsid w:val="00F5402E"/>
    <w:rsid w:val="00F54D30"/>
    <w:rsid w:val="00F55091"/>
    <w:rsid w:val="00F55126"/>
    <w:rsid w:val="00F55F88"/>
    <w:rsid w:val="00F5603E"/>
    <w:rsid w:val="00F5611B"/>
    <w:rsid w:val="00F56AC9"/>
    <w:rsid w:val="00F56BC0"/>
    <w:rsid w:val="00F56C84"/>
    <w:rsid w:val="00F56E92"/>
    <w:rsid w:val="00F571B6"/>
    <w:rsid w:val="00F57653"/>
    <w:rsid w:val="00F57CC1"/>
    <w:rsid w:val="00F57DCA"/>
    <w:rsid w:val="00F600EA"/>
    <w:rsid w:val="00F60176"/>
    <w:rsid w:val="00F606BF"/>
    <w:rsid w:val="00F608AF"/>
    <w:rsid w:val="00F60EFA"/>
    <w:rsid w:val="00F60FD6"/>
    <w:rsid w:val="00F62633"/>
    <w:rsid w:val="00F6336F"/>
    <w:rsid w:val="00F63647"/>
    <w:rsid w:val="00F63794"/>
    <w:rsid w:val="00F63860"/>
    <w:rsid w:val="00F63DA2"/>
    <w:rsid w:val="00F63E31"/>
    <w:rsid w:val="00F63EE0"/>
    <w:rsid w:val="00F64644"/>
    <w:rsid w:val="00F648CC"/>
    <w:rsid w:val="00F65032"/>
    <w:rsid w:val="00F65043"/>
    <w:rsid w:val="00F652CD"/>
    <w:rsid w:val="00F65516"/>
    <w:rsid w:val="00F65BD0"/>
    <w:rsid w:val="00F6619F"/>
    <w:rsid w:val="00F705E5"/>
    <w:rsid w:val="00F70826"/>
    <w:rsid w:val="00F70BDE"/>
    <w:rsid w:val="00F71BE6"/>
    <w:rsid w:val="00F71D08"/>
    <w:rsid w:val="00F71D7D"/>
    <w:rsid w:val="00F71DC0"/>
    <w:rsid w:val="00F71F89"/>
    <w:rsid w:val="00F7490F"/>
    <w:rsid w:val="00F752D5"/>
    <w:rsid w:val="00F760C2"/>
    <w:rsid w:val="00F772E6"/>
    <w:rsid w:val="00F7741D"/>
    <w:rsid w:val="00F80953"/>
    <w:rsid w:val="00F80DAA"/>
    <w:rsid w:val="00F810C9"/>
    <w:rsid w:val="00F81526"/>
    <w:rsid w:val="00F81A9D"/>
    <w:rsid w:val="00F825A9"/>
    <w:rsid w:val="00F82817"/>
    <w:rsid w:val="00F82D2C"/>
    <w:rsid w:val="00F8445D"/>
    <w:rsid w:val="00F84471"/>
    <w:rsid w:val="00F8470E"/>
    <w:rsid w:val="00F84760"/>
    <w:rsid w:val="00F8492A"/>
    <w:rsid w:val="00F849B9"/>
    <w:rsid w:val="00F84A4B"/>
    <w:rsid w:val="00F858D8"/>
    <w:rsid w:val="00F85B52"/>
    <w:rsid w:val="00F85BE5"/>
    <w:rsid w:val="00F85CB0"/>
    <w:rsid w:val="00F85E7D"/>
    <w:rsid w:val="00F87145"/>
    <w:rsid w:val="00F874CA"/>
    <w:rsid w:val="00F90588"/>
    <w:rsid w:val="00F908A7"/>
    <w:rsid w:val="00F92A3A"/>
    <w:rsid w:val="00F92AF6"/>
    <w:rsid w:val="00F92E41"/>
    <w:rsid w:val="00F9361C"/>
    <w:rsid w:val="00F937B6"/>
    <w:rsid w:val="00F93844"/>
    <w:rsid w:val="00F9412D"/>
    <w:rsid w:val="00F94318"/>
    <w:rsid w:val="00F946DB"/>
    <w:rsid w:val="00F95061"/>
    <w:rsid w:val="00F95775"/>
    <w:rsid w:val="00F95C54"/>
    <w:rsid w:val="00F95CE9"/>
    <w:rsid w:val="00F95E22"/>
    <w:rsid w:val="00F96413"/>
    <w:rsid w:val="00F964F1"/>
    <w:rsid w:val="00F9688D"/>
    <w:rsid w:val="00FA150F"/>
    <w:rsid w:val="00FA1F0D"/>
    <w:rsid w:val="00FA25ED"/>
    <w:rsid w:val="00FA2FD9"/>
    <w:rsid w:val="00FA3CFA"/>
    <w:rsid w:val="00FA44C4"/>
    <w:rsid w:val="00FA4512"/>
    <w:rsid w:val="00FA4557"/>
    <w:rsid w:val="00FA47B4"/>
    <w:rsid w:val="00FA4C7F"/>
    <w:rsid w:val="00FA538C"/>
    <w:rsid w:val="00FA5CEB"/>
    <w:rsid w:val="00FA64CD"/>
    <w:rsid w:val="00FA666C"/>
    <w:rsid w:val="00FA6843"/>
    <w:rsid w:val="00FA70C5"/>
    <w:rsid w:val="00FA75BE"/>
    <w:rsid w:val="00FA7E29"/>
    <w:rsid w:val="00FB0056"/>
    <w:rsid w:val="00FB04F4"/>
    <w:rsid w:val="00FB06C1"/>
    <w:rsid w:val="00FB1970"/>
    <w:rsid w:val="00FB20F8"/>
    <w:rsid w:val="00FB21A3"/>
    <w:rsid w:val="00FB23A0"/>
    <w:rsid w:val="00FB2B43"/>
    <w:rsid w:val="00FB2D32"/>
    <w:rsid w:val="00FB36D6"/>
    <w:rsid w:val="00FB3CCD"/>
    <w:rsid w:val="00FB48C5"/>
    <w:rsid w:val="00FB49FA"/>
    <w:rsid w:val="00FB4C96"/>
    <w:rsid w:val="00FB55F3"/>
    <w:rsid w:val="00FB56BB"/>
    <w:rsid w:val="00FB62CB"/>
    <w:rsid w:val="00FB670E"/>
    <w:rsid w:val="00FB67A9"/>
    <w:rsid w:val="00FB688D"/>
    <w:rsid w:val="00FB69F8"/>
    <w:rsid w:val="00FB7315"/>
    <w:rsid w:val="00FB736A"/>
    <w:rsid w:val="00FB7755"/>
    <w:rsid w:val="00FC00FB"/>
    <w:rsid w:val="00FC0584"/>
    <w:rsid w:val="00FC05AA"/>
    <w:rsid w:val="00FC05D7"/>
    <w:rsid w:val="00FC165F"/>
    <w:rsid w:val="00FC18BB"/>
    <w:rsid w:val="00FC1BB7"/>
    <w:rsid w:val="00FC1FBC"/>
    <w:rsid w:val="00FC2A54"/>
    <w:rsid w:val="00FC327D"/>
    <w:rsid w:val="00FC3CA0"/>
    <w:rsid w:val="00FC44FE"/>
    <w:rsid w:val="00FC4AD2"/>
    <w:rsid w:val="00FC4B21"/>
    <w:rsid w:val="00FC4C39"/>
    <w:rsid w:val="00FC52C9"/>
    <w:rsid w:val="00FC6964"/>
    <w:rsid w:val="00FC6E78"/>
    <w:rsid w:val="00FC7852"/>
    <w:rsid w:val="00FC79A0"/>
    <w:rsid w:val="00FC7FDC"/>
    <w:rsid w:val="00FD08D9"/>
    <w:rsid w:val="00FD2A3E"/>
    <w:rsid w:val="00FD2BE3"/>
    <w:rsid w:val="00FD3148"/>
    <w:rsid w:val="00FD3232"/>
    <w:rsid w:val="00FD6627"/>
    <w:rsid w:val="00FD75AC"/>
    <w:rsid w:val="00FE0654"/>
    <w:rsid w:val="00FE0EF2"/>
    <w:rsid w:val="00FE157B"/>
    <w:rsid w:val="00FE1DB0"/>
    <w:rsid w:val="00FE1DBC"/>
    <w:rsid w:val="00FE2CD8"/>
    <w:rsid w:val="00FE2F63"/>
    <w:rsid w:val="00FE31C6"/>
    <w:rsid w:val="00FE36A4"/>
    <w:rsid w:val="00FE4081"/>
    <w:rsid w:val="00FE53B7"/>
    <w:rsid w:val="00FE58DE"/>
    <w:rsid w:val="00FE5B5F"/>
    <w:rsid w:val="00FE70EE"/>
    <w:rsid w:val="00FE7207"/>
    <w:rsid w:val="00FE7793"/>
    <w:rsid w:val="00FE7A51"/>
    <w:rsid w:val="00FE7B34"/>
    <w:rsid w:val="00FE7F21"/>
    <w:rsid w:val="00FF044E"/>
    <w:rsid w:val="00FF04CA"/>
    <w:rsid w:val="00FF0553"/>
    <w:rsid w:val="00FF0D5C"/>
    <w:rsid w:val="00FF1532"/>
    <w:rsid w:val="00FF1651"/>
    <w:rsid w:val="00FF18F1"/>
    <w:rsid w:val="00FF1B2B"/>
    <w:rsid w:val="00FF30C9"/>
    <w:rsid w:val="00FF3126"/>
    <w:rsid w:val="00FF3A9D"/>
    <w:rsid w:val="00FF3CA1"/>
    <w:rsid w:val="00FF4625"/>
    <w:rsid w:val="00FF467C"/>
    <w:rsid w:val="00FF5C03"/>
    <w:rsid w:val="00FF5F41"/>
    <w:rsid w:val="00FF625C"/>
    <w:rsid w:val="00FF627B"/>
    <w:rsid w:val="00FF7230"/>
    <w:rsid w:val="00FF72CC"/>
    <w:rsid w:val="00FF73C4"/>
    <w:rsid w:val="00FF74A6"/>
    <w:rsid w:val="00FF782D"/>
    <w:rsid w:val="00FF7B36"/>
    <w:rsid w:val="0137B631"/>
    <w:rsid w:val="0159BB65"/>
    <w:rsid w:val="019B8684"/>
    <w:rsid w:val="0202CF4A"/>
    <w:rsid w:val="020A03E9"/>
    <w:rsid w:val="02361981"/>
    <w:rsid w:val="02577615"/>
    <w:rsid w:val="0274466C"/>
    <w:rsid w:val="02989EB4"/>
    <w:rsid w:val="02A6D709"/>
    <w:rsid w:val="02A7A720"/>
    <w:rsid w:val="02A7AEE0"/>
    <w:rsid w:val="02CBF29B"/>
    <w:rsid w:val="02EA5FB4"/>
    <w:rsid w:val="031F1DF3"/>
    <w:rsid w:val="032B94A4"/>
    <w:rsid w:val="03D7D7B5"/>
    <w:rsid w:val="03DDCAB2"/>
    <w:rsid w:val="03E6ABF0"/>
    <w:rsid w:val="03FAACBC"/>
    <w:rsid w:val="0412E7A4"/>
    <w:rsid w:val="0414110D"/>
    <w:rsid w:val="04863015"/>
    <w:rsid w:val="049DFE79"/>
    <w:rsid w:val="04DD4E5B"/>
    <w:rsid w:val="0509C40D"/>
    <w:rsid w:val="051A4F5A"/>
    <w:rsid w:val="0530B71F"/>
    <w:rsid w:val="053B625C"/>
    <w:rsid w:val="05444EAC"/>
    <w:rsid w:val="05C54F6E"/>
    <w:rsid w:val="05D29780"/>
    <w:rsid w:val="060CFFCB"/>
    <w:rsid w:val="06179A5A"/>
    <w:rsid w:val="0655FD81"/>
    <w:rsid w:val="069AA775"/>
    <w:rsid w:val="071F6639"/>
    <w:rsid w:val="073FCB34"/>
    <w:rsid w:val="078E1D94"/>
    <w:rsid w:val="07DEC5E8"/>
    <w:rsid w:val="07F28F16"/>
    <w:rsid w:val="082B1337"/>
    <w:rsid w:val="08562E7E"/>
    <w:rsid w:val="085C6520"/>
    <w:rsid w:val="08CC2786"/>
    <w:rsid w:val="0929EDF5"/>
    <w:rsid w:val="09407D66"/>
    <w:rsid w:val="0955E7A7"/>
    <w:rsid w:val="098E5F77"/>
    <w:rsid w:val="0A01154E"/>
    <w:rsid w:val="0A0AF2EF"/>
    <w:rsid w:val="0A2892CB"/>
    <w:rsid w:val="0A4FC718"/>
    <w:rsid w:val="0A7A321C"/>
    <w:rsid w:val="0A8B3252"/>
    <w:rsid w:val="0AC1B30F"/>
    <w:rsid w:val="0AD6A2D1"/>
    <w:rsid w:val="0AF57199"/>
    <w:rsid w:val="0AFC2AF9"/>
    <w:rsid w:val="0B18E96E"/>
    <w:rsid w:val="0B463318"/>
    <w:rsid w:val="0B62B3F9"/>
    <w:rsid w:val="0BA86EC2"/>
    <w:rsid w:val="0C1ABF91"/>
    <w:rsid w:val="0D25DCDF"/>
    <w:rsid w:val="0D2A9467"/>
    <w:rsid w:val="0D68F9D1"/>
    <w:rsid w:val="0D8504ED"/>
    <w:rsid w:val="0DD26567"/>
    <w:rsid w:val="0E00363F"/>
    <w:rsid w:val="0E508A30"/>
    <w:rsid w:val="0E782D89"/>
    <w:rsid w:val="0E9EF3CE"/>
    <w:rsid w:val="0F1D7C9E"/>
    <w:rsid w:val="0F6A8FB6"/>
    <w:rsid w:val="0F7B329B"/>
    <w:rsid w:val="0F9AD453"/>
    <w:rsid w:val="0FE4789E"/>
    <w:rsid w:val="104A86A7"/>
    <w:rsid w:val="106124AB"/>
    <w:rsid w:val="10670808"/>
    <w:rsid w:val="107112DB"/>
    <w:rsid w:val="107CD666"/>
    <w:rsid w:val="10C3A303"/>
    <w:rsid w:val="10D73786"/>
    <w:rsid w:val="10FD8EE6"/>
    <w:rsid w:val="1129B29D"/>
    <w:rsid w:val="1172FA7F"/>
    <w:rsid w:val="11793121"/>
    <w:rsid w:val="11AEDD10"/>
    <w:rsid w:val="128DE524"/>
    <w:rsid w:val="12A5950F"/>
    <w:rsid w:val="13616B7F"/>
    <w:rsid w:val="1367D5A3"/>
    <w:rsid w:val="139A584A"/>
    <w:rsid w:val="13B93C85"/>
    <w:rsid w:val="141BE70B"/>
    <w:rsid w:val="1427CBEE"/>
    <w:rsid w:val="143A021E"/>
    <w:rsid w:val="1472C3A8"/>
    <w:rsid w:val="152AD28C"/>
    <w:rsid w:val="1548DC0E"/>
    <w:rsid w:val="154F8A79"/>
    <w:rsid w:val="15940F88"/>
    <w:rsid w:val="15AB9142"/>
    <w:rsid w:val="15D5D27F"/>
    <w:rsid w:val="15E430D5"/>
    <w:rsid w:val="15F56BAC"/>
    <w:rsid w:val="164456C9"/>
    <w:rsid w:val="1653BA22"/>
    <w:rsid w:val="167D55B9"/>
    <w:rsid w:val="167ED3A9"/>
    <w:rsid w:val="16CB00D0"/>
    <w:rsid w:val="16CF362B"/>
    <w:rsid w:val="16D8247E"/>
    <w:rsid w:val="16E92E9F"/>
    <w:rsid w:val="17338A00"/>
    <w:rsid w:val="1771A2E0"/>
    <w:rsid w:val="17A29C71"/>
    <w:rsid w:val="17AC2EE4"/>
    <w:rsid w:val="17E13D71"/>
    <w:rsid w:val="180087F1"/>
    <w:rsid w:val="181AB6B4"/>
    <w:rsid w:val="183708AE"/>
    <w:rsid w:val="18634E4B"/>
    <w:rsid w:val="1873EF70"/>
    <w:rsid w:val="189AF5B2"/>
    <w:rsid w:val="18D20807"/>
    <w:rsid w:val="18F339DC"/>
    <w:rsid w:val="190D7341"/>
    <w:rsid w:val="194081B6"/>
    <w:rsid w:val="1946C022"/>
    <w:rsid w:val="19C6DAE7"/>
    <w:rsid w:val="1A0999CE"/>
    <w:rsid w:val="1A32958F"/>
    <w:rsid w:val="1A4A5F98"/>
    <w:rsid w:val="1A6DA4A4"/>
    <w:rsid w:val="1A6F392E"/>
    <w:rsid w:val="1A86FFCA"/>
    <w:rsid w:val="1AE29B13"/>
    <w:rsid w:val="1AEF570A"/>
    <w:rsid w:val="1B17982E"/>
    <w:rsid w:val="1B59BF2B"/>
    <w:rsid w:val="1B72E788"/>
    <w:rsid w:val="1B86ECC8"/>
    <w:rsid w:val="1B8B418A"/>
    <w:rsid w:val="1BA56A2F"/>
    <w:rsid w:val="1BBD121B"/>
    <w:rsid w:val="1BC46B4A"/>
    <w:rsid w:val="1C236F9D"/>
    <w:rsid w:val="1C334EF8"/>
    <w:rsid w:val="1C424825"/>
    <w:rsid w:val="1C993CB6"/>
    <w:rsid w:val="1CC0F7E1"/>
    <w:rsid w:val="1CDE231C"/>
    <w:rsid w:val="1CF7931A"/>
    <w:rsid w:val="1D1A2A27"/>
    <w:rsid w:val="1D286341"/>
    <w:rsid w:val="1D524D17"/>
    <w:rsid w:val="1D56CB42"/>
    <w:rsid w:val="1D84E5D2"/>
    <w:rsid w:val="1D989376"/>
    <w:rsid w:val="1DA3E6CA"/>
    <w:rsid w:val="1DAB520F"/>
    <w:rsid w:val="1DE175ED"/>
    <w:rsid w:val="1E085F0A"/>
    <w:rsid w:val="1E1B092F"/>
    <w:rsid w:val="1E1B85AF"/>
    <w:rsid w:val="1E650E9E"/>
    <w:rsid w:val="1E7BB5B6"/>
    <w:rsid w:val="1E86FE24"/>
    <w:rsid w:val="1E8BCB7C"/>
    <w:rsid w:val="1EB17676"/>
    <w:rsid w:val="1EB90057"/>
    <w:rsid w:val="1EE47618"/>
    <w:rsid w:val="1EE940C0"/>
    <w:rsid w:val="1EEE1D78"/>
    <w:rsid w:val="1F08754E"/>
    <w:rsid w:val="1F283E86"/>
    <w:rsid w:val="1F742572"/>
    <w:rsid w:val="1F87CDE1"/>
    <w:rsid w:val="1F8D5833"/>
    <w:rsid w:val="1FA42F6B"/>
    <w:rsid w:val="20C38232"/>
    <w:rsid w:val="20D1DA20"/>
    <w:rsid w:val="20DD19EC"/>
    <w:rsid w:val="20EF890B"/>
    <w:rsid w:val="20F619F2"/>
    <w:rsid w:val="21400BD9"/>
    <w:rsid w:val="21494FDB"/>
    <w:rsid w:val="2176F2BF"/>
    <w:rsid w:val="2186C237"/>
    <w:rsid w:val="219F765D"/>
    <w:rsid w:val="21CB043D"/>
    <w:rsid w:val="221AA66F"/>
    <w:rsid w:val="2231F6E6"/>
    <w:rsid w:val="226E99DA"/>
    <w:rsid w:val="229E9979"/>
    <w:rsid w:val="22A35C23"/>
    <w:rsid w:val="22A6C947"/>
    <w:rsid w:val="22CAA163"/>
    <w:rsid w:val="22D0AE17"/>
    <w:rsid w:val="22F6CA62"/>
    <w:rsid w:val="23363FB4"/>
    <w:rsid w:val="23625CCD"/>
    <w:rsid w:val="237D2B12"/>
    <w:rsid w:val="238C93E6"/>
    <w:rsid w:val="23A98D9F"/>
    <w:rsid w:val="2402D234"/>
    <w:rsid w:val="244154A9"/>
    <w:rsid w:val="247261F0"/>
    <w:rsid w:val="24C03371"/>
    <w:rsid w:val="24D55D07"/>
    <w:rsid w:val="24D9C4FE"/>
    <w:rsid w:val="24E02969"/>
    <w:rsid w:val="25FD9A8B"/>
    <w:rsid w:val="269018D7"/>
    <w:rsid w:val="26A2BBA2"/>
    <w:rsid w:val="26D5BC44"/>
    <w:rsid w:val="27C8B80C"/>
    <w:rsid w:val="27F4CCE9"/>
    <w:rsid w:val="28001EF6"/>
    <w:rsid w:val="286BD47E"/>
    <w:rsid w:val="2880FDBB"/>
    <w:rsid w:val="28CCA087"/>
    <w:rsid w:val="29D8F180"/>
    <w:rsid w:val="29FDE70F"/>
    <w:rsid w:val="2A28EDEC"/>
    <w:rsid w:val="2A3B14F4"/>
    <w:rsid w:val="2A5F9409"/>
    <w:rsid w:val="2ACDC5C2"/>
    <w:rsid w:val="2AD5746A"/>
    <w:rsid w:val="2AEF070C"/>
    <w:rsid w:val="2B0B3DBE"/>
    <w:rsid w:val="2B209B97"/>
    <w:rsid w:val="2BD170EB"/>
    <w:rsid w:val="2BF837FE"/>
    <w:rsid w:val="2C044149"/>
    <w:rsid w:val="2C2E16C8"/>
    <w:rsid w:val="2CD0A367"/>
    <w:rsid w:val="2CF18030"/>
    <w:rsid w:val="2D18BEBA"/>
    <w:rsid w:val="2D4A7403"/>
    <w:rsid w:val="2D4B3D3D"/>
    <w:rsid w:val="2D5853A4"/>
    <w:rsid w:val="2D715BC2"/>
    <w:rsid w:val="2DC5F93E"/>
    <w:rsid w:val="2E1F839B"/>
    <w:rsid w:val="2E7085DF"/>
    <w:rsid w:val="2EAF5EEC"/>
    <w:rsid w:val="2ECBA5B0"/>
    <w:rsid w:val="2EE64464"/>
    <w:rsid w:val="2F029C55"/>
    <w:rsid w:val="2F98BD8B"/>
    <w:rsid w:val="2FB5C671"/>
    <w:rsid w:val="2FEE3FEC"/>
    <w:rsid w:val="302056E9"/>
    <w:rsid w:val="304861BA"/>
    <w:rsid w:val="30564459"/>
    <w:rsid w:val="305BAE1A"/>
    <w:rsid w:val="3068814D"/>
    <w:rsid w:val="3074D677"/>
    <w:rsid w:val="30752117"/>
    <w:rsid w:val="3075BF7D"/>
    <w:rsid w:val="307BD17B"/>
    <w:rsid w:val="3098C47B"/>
    <w:rsid w:val="30F5529A"/>
    <w:rsid w:val="310EB212"/>
    <w:rsid w:val="3185C5A4"/>
    <w:rsid w:val="3192E434"/>
    <w:rsid w:val="31E5EA6B"/>
    <w:rsid w:val="32064C81"/>
    <w:rsid w:val="3217A1DC"/>
    <w:rsid w:val="3218E031"/>
    <w:rsid w:val="3218F55E"/>
    <w:rsid w:val="323A3D17"/>
    <w:rsid w:val="323BED57"/>
    <w:rsid w:val="326C9440"/>
    <w:rsid w:val="328E5112"/>
    <w:rsid w:val="3290E64C"/>
    <w:rsid w:val="32FE71D7"/>
    <w:rsid w:val="3330D470"/>
    <w:rsid w:val="336F166F"/>
    <w:rsid w:val="339610E9"/>
    <w:rsid w:val="344919D1"/>
    <w:rsid w:val="349FDAD3"/>
    <w:rsid w:val="34AD7FDA"/>
    <w:rsid w:val="34C48575"/>
    <w:rsid w:val="34C84AF4"/>
    <w:rsid w:val="34F8935A"/>
    <w:rsid w:val="353048B9"/>
    <w:rsid w:val="3531E14A"/>
    <w:rsid w:val="3548479A"/>
    <w:rsid w:val="357A3129"/>
    <w:rsid w:val="35B888F7"/>
    <w:rsid w:val="35CD09FF"/>
    <w:rsid w:val="35F36409"/>
    <w:rsid w:val="361C5474"/>
    <w:rsid w:val="3622E230"/>
    <w:rsid w:val="3623059E"/>
    <w:rsid w:val="366F871A"/>
    <w:rsid w:val="369609A3"/>
    <w:rsid w:val="36CC191A"/>
    <w:rsid w:val="36D547A9"/>
    <w:rsid w:val="36E91E90"/>
    <w:rsid w:val="379EC62A"/>
    <w:rsid w:val="37C5FC7E"/>
    <w:rsid w:val="37C84EAD"/>
    <w:rsid w:val="37DC98E6"/>
    <w:rsid w:val="38EC7C06"/>
    <w:rsid w:val="3968FCCD"/>
    <w:rsid w:val="39786947"/>
    <w:rsid w:val="3993CEB0"/>
    <w:rsid w:val="39AE027D"/>
    <w:rsid w:val="39F6345B"/>
    <w:rsid w:val="3A36D958"/>
    <w:rsid w:val="3A46FF3C"/>
    <w:rsid w:val="3A9A2A94"/>
    <w:rsid w:val="3B0391A1"/>
    <w:rsid w:val="3B3BE655"/>
    <w:rsid w:val="3BA513D5"/>
    <w:rsid w:val="3BAB4A77"/>
    <w:rsid w:val="3BD7A072"/>
    <w:rsid w:val="3C1260F9"/>
    <w:rsid w:val="3C1A6513"/>
    <w:rsid w:val="3C1F1F5B"/>
    <w:rsid w:val="3C87A773"/>
    <w:rsid w:val="3D3A3122"/>
    <w:rsid w:val="3D41C400"/>
    <w:rsid w:val="3D6038EE"/>
    <w:rsid w:val="3D74216D"/>
    <w:rsid w:val="3D8456DF"/>
    <w:rsid w:val="3DB63574"/>
    <w:rsid w:val="3DD25F81"/>
    <w:rsid w:val="3DFBF121"/>
    <w:rsid w:val="3E10E64D"/>
    <w:rsid w:val="3E4BE9B0"/>
    <w:rsid w:val="3EDA8A72"/>
    <w:rsid w:val="3EEF29E0"/>
    <w:rsid w:val="3F014802"/>
    <w:rsid w:val="3F60A8D4"/>
    <w:rsid w:val="3F7AC7CE"/>
    <w:rsid w:val="3F9D2103"/>
    <w:rsid w:val="3FE689FF"/>
    <w:rsid w:val="4015BDBC"/>
    <w:rsid w:val="4023C38C"/>
    <w:rsid w:val="408C2645"/>
    <w:rsid w:val="40909C44"/>
    <w:rsid w:val="409AB3ED"/>
    <w:rsid w:val="41192B9D"/>
    <w:rsid w:val="4138F164"/>
    <w:rsid w:val="415F8318"/>
    <w:rsid w:val="4180B2C6"/>
    <w:rsid w:val="4185B838"/>
    <w:rsid w:val="418A3C2B"/>
    <w:rsid w:val="418EA875"/>
    <w:rsid w:val="41913C22"/>
    <w:rsid w:val="41AA9061"/>
    <w:rsid w:val="41B57C10"/>
    <w:rsid w:val="41BD0BFC"/>
    <w:rsid w:val="41CB1B77"/>
    <w:rsid w:val="41F73BF5"/>
    <w:rsid w:val="41FF577A"/>
    <w:rsid w:val="421F3D78"/>
    <w:rsid w:val="423E48D8"/>
    <w:rsid w:val="4247E2BD"/>
    <w:rsid w:val="42624C07"/>
    <w:rsid w:val="427B19F9"/>
    <w:rsid w:val="42A307E0"/>
    <w:rsid w:val="42DF844D"/>
    <w:rsid w:val="42F0F8BC"/>
    <w:rsid w:val="431121B9"/>
    <w:rsid w:val="4388F964"/>
    <w:rsid w:val="43ADFB95"/>
    <w:rsid w:val="43B854EA"/>
    <w:rsid w:val="43E3B31E"/>
    <w:rsid w:val="43EDE182"/>
    <w:rsid w:val="4400A7FD"/>
    <w:rsid w:val="4409FD3F"/>
    <w:rsid w:val="44104751"/>
    <w:rsid w:val="4452DEAD"/>
    <w:rsid w:val="44B88580"/>
    <w:rsid w:val="44BCF977"/>
    <w:rsid w:val="44EEE210"/>
    <w:rsid w:val="44F9C69C"/>
    <w:rsid w:val="452D083B"/>
    <w:rsid w:val="457BAE1B"/>
    <w:rsid w:val="45ADAA44"/>
    <w:rsid w:val="45EA5865"/>
    <w:rsid w:val="469596FD"/>
    <w:rsid w:val="46A059C0"/>
    <w:rsid w:val="46E900EE"/>
    <w:rsid w:val="46F2205C"/>
    <w:rsid w:val="473E03C4"/>
    <w:rsid w:val="47697D11"/>
    <w:rsid w:val="4789AB0A"/>
    <w:rsid w:val="47A3AB56"/>
    <w:rsid w:val="47B12901"/>
    <w:rsid w:val="47DE64DD"/>
    <w:rsid w:val="47F942B3"/>
    <w:rsid w:val="4855163B"/>
    <w:rsid w:val="48922D0C"/>
    <w:rsid w:val="489716EF"/>
    <w:rsid w:val="48A84840"/>
    <w:rsid w:val="48CFE33B"/>
    <w:rsid w:val="48F8E81B"/>
    <w:rsid w:val="48FE7352"/>
    <w:rsid w:val="49662A7B"/>
    <w:rsid w:val="498E615E"/>
    <w:rsid w:val="49D201EE"/>
    <w:rsid w:val="49D395D5"/>
    <w:rsid w:val="49DC3DDE"/>
    <w:rsid w:val="49EB5E22"/>
    <w:rsid w:val="4A077953"/>
    <w:rsid w:val="4A171B1F"/>
    <w:rsid w:val="4A389431"/>
    <w:rsid w:val="4A3D2297"/>
    <w:rsid w:val="4A621C9B"/>
    <w:rsid w:val="4A62A716"/>
    <w:rsid w:val="4A88B4F8"/>
    <w:rsid w:val="4AADA632"/>
    <w:rsid w:val="4AAF7850"/>
    <w:rsid w:val="4ACC5024"/>
    <w:rsid w:val="4AF4783C"/>
    <w:rsid w:val="4B8806C4"/>
    <w:rsid w:val="4BCA7999"/>
    <w:rsid w:val="4BDE7ADA"/>
    <w:rsid w:val="4BEDD049"/>
    <w:rsid w:val="4BFE7777"/>
    <w:rsid w:val="4C22C572"/>
    <w:rsid w:val="4C5CCB13"/>
    <w:rsid w:val="4C98950E"/>
    <w:rsid w:val="4CA14DE6"/>
    <w:rsid w:val="4D45DF4E"/>
    <w:rsid w:val="4D4ACEB8"/>
    <w:rsid w:val="4D61AA13"/>
    <w:rsid w:val="4D67E0B5"/>
    <w:rsid w:val="4D692159"/>
    <w:rsid w:val="4DCD8F8E"/>
    <w:rsid w:val="4E124504"/>
    <w:rsid w:val="4E34D4CC"/>
    <w:rsid w:val="4E4A42CC"/>
    <w:rsid w:val="4E4D05AD"/>
    <w:rsid w:val="4E6D7C48"/>
    <w:rsid w:val="4E779906"/>
    <w:rsid w:val="4E885EC1"/>
    <w:rsid w:val="4E9010D4"/>
    <w:rsid w:val="4E985BBC"/>
    <w:rsid w:val="4EDAEA76"/>
    <w:rsid w:val="4F1F5952"/>
    <w:rsid w:val="4F75E567"/>
    <w:rsid w:val="4F9C2041"/>
    <w:rsid w:val="4FC9961E"/>
    <w:rsid w:val="4FDDF3D1"/>
    <w:rsid w:val="4FF482CD"/>
    <w:rsid w:val="502D3591"/>
    <w:rsid w:val="505E5A17"/>
    <w:rsid w:val="507E04C4"/>
    <w:rsid w:val="5081D7F9"/>
    <w:rsid w:val="50CA14D3"/>
    <w:rsid w:val="50CA5433"/>
    <w:rsid w:val="50E23C17"/>
    <w:rsid w:val="5105B81B"/>
    <w:rsid w:val="51070AD4"/>
    <w:rsid w:val="5135ECD1"/>
    <w:rsid w:val="516C068D"/>
    <w:rsid w:val="51713C60"/>
    <w:rsid w:val="5184A66F"/>
    <w:rsid w:val="51A6FF20"/>
    <w:rsid w:val="51C2E846"/>
    <w:rsid w:val="51D0984B"/>
    <w:rsid w:val="51FA2A78"/>
    <w:rsid w:val="52065811"/>
    <w:rsid w:val="5242D821"/>
    <w:rsid w:val="5258404F"/>
    <w:rsid w:val="529BE639"/>
    <w:rsid w:val="52EDF429"/>
    <w:rsid w:val="5308323C"/>
    <w:rsid w:val="53995B96"/>
    <w:rsid w:val="5449568A"/>
    <w:rsid w:val="54933DD2"/>
    <w:rsid w:val="54C57785"/>
    <w:rsid w:val="54C66F7B"/>
    <w:rsid w:val="54D99AFE"/>
    <w:rsid w:val="5542A024"/>
    <w:rsid w:val="55578075"/>
    <w:rsid w:val="5566B20E"/>
    <w:rsid w:val="557D877D"/>
    <w:rsid w:val="55FD6ACF"/>
    <w:rsid w:val="565B1931"/>
    <w:rsid w:val="56887582"/>
    <w:rsid w:val="5698E25F"/>
    <w:rsid w:val="56C2D91F"/>
    <w:rsid w:val="56F33AA9"/>
    <w:rsid w:val="572A05D5"/>
    <w:rsid w:val="5784F21D"/>
    <w:rsid w:val="5796431F"/>
    <w:rsid w:val="57B64CDC"/>
    <w:rsid w:val="57B8CEF8"/>
    <w:rsid w:val="5801C5CB"/>
    <w:rsid w:val="58130B0C"/>
    <w:rsid w:val="58379335"/>
    <w:rsid w:val="5876549B"/>
    <w:rsid w:val="5892E0B3"/>
    <w:rsid w:val="58A1F01D"/>
    <w:rsid w:val="58BB84C4"/>
    <w:rsid w:val="58EFF23A"/>
    <w:rsid w:val="59114ECE"/>
    <w:rsid w:val="591CC7AD"/>
    <w:rsid w:val="59215036"/>
    <w:rsid w:val="59267297"/>
    <w:rsid w:val="59591136"/>
    <w:rsid w:val="595F393B"/>
    <w:rsid w:val="59604194"/>
    <w:rsid w:val="596DC7AB"/>
    <w:rsid w:val="598747D6"/>
    <w:rsid w:val="59956657"/>
    <w:rsid w:val="59E9A67B"/>
    <w:rsid w:val="59EE1E4C"/>
    <w:rsid w:val="5A1AAC8F"/>
    <w:rsid w:val="5A1E12CE"/>
    <w:rsid w:val="5A61F74C"/>
    <w:rsid w:val="5ADAF5B7"/>
    <w:rsid w:val="5ADCE846"/>
    <w:rsid w:val="5ADD696E"/>
    <w:rsid w:val="5B1A0495"/>
    <w:rsid w:val="5B7E1EEA"/>
    <w:rsid w:val="5BCE77F4"/>
    <w:rsid w:val="5BF2B93C"/>
    <w:rsid w:val="5BF92E73"/>
    <w:rsid w:val="5C01F566"/>
    <w:rsid w:val="5C0A73CB"/>
    <w:rsid w:val="5C3E1E06"/>
    <w:rsid w:val="5CB0B0BD"/>
    <w:rsid w:val="5CDCD261"/>
    <w:rsid w:val="5E29146B"/>
    <w:rsid w:val="5E32AA5E"/>
    <w:rsid w:val="5E870B67"/>
    <w:rsid w:val="5E920BB7"/>
    <w:rsid w:val="5EA5546C"/>
    <w:rsid w:val="5EFC8160"/>
    <w:rsid w:val="5F1131A1"/>
    <w:rsid w:val="5F4D351C"/>
    <w:rsid w:val="5F9E18A6"/>
    <w:rsid w:val="5FF01AF0"/>
    <w:rsid w:val="5FF20F81"/>
    <w:rsid w:val="6058E7FF"/>
    <w:rsid w:val="60B4EF88"/>
    <w:rsid w:val="610EB135"/>
    <w:rsid w:val="6134EC0F"/>
    <w:rsid w:val="61761946"/>
    <w:rsid w:val="61C6B904"/>
    <w:rsid w:val="6214F0DA"/>
    <w:rsid w:val="6218D8F9"/>
    <w:rsid w:val="623697EE"/>
    <w:rsid w:val="624DDD0A"/>
    <w:rsid w:val="6268BF60"/>
    <w:rsid w:val="6297A383"/>
    <w:rsid w:val="62E4C8D2"/>
    <w:rsid w:val="63AFC197"/>
    <w:rsid w:val="64279AAC"/>
    <w:rsid w:val="6431C8B4"/>
    <w:rsid w:val="6433A6B5"/>
    <w:rsid w:val="64419320"/>
    <w:rsid w:val="6485C47A"/>
    <w:rsid w:val="6498C517"/>
    <w:rsid w:val="649F19F9"/>
    <w:rsid w:val="64A28048"/>
    <w:rsid w:val="64AE5D01"/>
    <w:rsid w:val="650C2296"/>
    <w:rsid w:val="652C5922"/>
    <w:rsid w:val="6586E70E"/>
    <w:rsid w:val="66361A65"/>
    <w:rsid w:val="665412B7"/>
    <w:rsid w:val="667F5936"/>
    <w:rsid w:val="67011C65"/>
    <w:rsid w:val="67176293"/>
    <w:rsid w:val="6723F22E"/>
    <w:rsid w:val="6724357F"/>
    <w:rsid w:val="6730D312"/>
    <w:rsid w:val="676AAD53"/>
    <w:rsid w:val="67854433"/>
    <w:rsid w:val="67EFE318"/>
    <w:rsid w:val="6815EE3A"/>
    <w:rsid w:val="685138BD"/>
    <w:rsid w:val="685CB418"/>
    <w:rsid w:val="68C52C5E"/>
    <w:rsid w:val="68FA82E5"/>
    <w:rsid w:val="690122FD"/>
    <w:rsid w:val="699CF76A"/>
    <w:rsid w:val="69A80400"/>
    <w:rsid w:val="6A4CE944"/>
    <w:rsid w:val="6A4EB87A"/>
    <w:rsid w:val="6A6CF45B"/>
    <w:rsid w:val="6ABEBF9C"/>
    <w:rsid w:val="6B49259B"/>
    <w:rsid w:val="6B990D75"/>
    <w:rsid w:val="6BCB94BF"/>
    <w:rsid w:val="6BCEFAE5"/>
    <w:rsid w:val="6C044435"/>
    <w:rsid w:val="6C4CA505"/>
    <w:rsid w:val="6C76353C"/>
    <w:rsid w:val="6C8085AF"/>
    <w:rsid w:val="6C8C0841"/>
    <w:rsid w:val="6CAA2BDE"/>
    <w:rsid w:val="6CB41128"/>
    <w:rsid w:val="6CC1F5B1"/>
    <w:rsid w:val="6CC3543B"/>
    <w:rsid w:val="6CD75C31"/>
    <w:rsid w:val="6D0699C1"/>
    <w:rsid w:val="6D5AEE6F"/>
    <w:rsid w:val="6D6EB131"/>
    <w:rsid w:val="6D7D90E6"/>
    <w:rsid w:val="6D860985"/>
    <w:rsid w:val="6D92B1E6"/>
    <w:rsid w:val="6E2D5698"/>
    <w:rsid w:val="6E68DC5B"/>
    <w:rsid w:val="6EBA130B"/>
    <w:rsid w:val="6F033581"/>
    <w:rsid w:val="6FA208BB"/>
    <w:rsid w:val="6FADA911"/>
    <w:rsid w:val="6FD14DD3"/>
    <w:rsid w:val="6FD60C5A"/>
    <w:rsid w:val="6FD98F12"/>
    <w:rsid w:val="7025BA2C"/>
    <w:rsid w:val="703F022A"/>
    <w:rsid w:val="70ADB17D"/>
    <w:rsid w:val="70B53E85"/>
    <w:rsid w:val="70C53498"/>
    <w:rsid w:val="7149A65F"/>
    <w:rsid w:val="71555798"/>
    <w:rsid w:val="717EC67D"/>
    <w:rsid w:val="7180E5B3"/>
    <w:rsid w:val="71C8AEED"/>
    <w:rsid w:val="71F1D67E"/>
    <w:rsid w:val="71FF6F95"/>
    <w:rsid w:val="722A335E"/>
    <w:rsid w:val="72510EE6"/>
    <w:rsid w:val="7292F3C0"/>
    <w:rsid w:val="72E810D0"/>
    <w:rsid w:val="7328B404"/>
    <w:rsid w:val="736CD637"/>
    <w:rsid w:val="737D9358"/>
    <w:rsid w:val="73C70E7B"/>
    <w:rsid w:val="74317B9E"/>
    <w:rsid w:val="7452C7CD"/>
    <w:rsid w:val="7507B1DE"/>
    <w:rsid w:val="751423B1"/>
    <w:rsid w:val="755596C5"/>
    <w:rsid w:val="755B8B9A"/>
    <w:rsid w:val="756BBF08"/>
    <w:rsid w:val="761D1782"/>
    <w:rsid w:val="7628FBD3"/>
    <w:rsid w:val="765C7A3B"/>
    <w:rsid w:val="76B30591"/>
    <w:rsid w:val="76D4A594"/>
    <w:rsid w:val="76FA6D7E"/>
    <w:rsid w:val="76FE188A"/>
    <w:rsid w:val="77003185"/>
    <w:rsid w:val="7701763A"/>
    <w:rsid w:val="775E1C28"/>
    <w:rsid w:val="77B7EEDE"/>
    <w:rsid w:val="77E2BBD9"/>
    <w:rsid w:val="77F3E2FA"/>
    <w:rsid w:val="7814EF6C"/>
    <w:rsid w:val="7856053C"/>
    <w:rsid w:val="78D034FC"/>
    <w:rsid w:val="78FD6689"/>
    <w:rsid w:val="79194D7F"/>
    <w:rsid w:val="79406E1A"/>
    <w:rsid w:val="79437D6D"/>
    <w:rsid w:val="7997D5F3"/>
    <w:rsid w:val="79CD1DC2"/>
    <w:rsid w:val="79FE666A"/>
    <w:rsid w:val="7A49E4B1"/>
    <w:rsid w:val="7A583220"/>
    <w:rsid w:val="7A9FD6F8"/>
    <w:rsid w:val="7ACE2B28"/>
    <w:rsid w:val="7B2A1ACC"/>
    <w:rsid w:val="7B606270"/>
    <w:rsid w:val="7B680C83"/>
    <w:rsid w:val="7B68EE23"/>
    <w:rsid w:val="7BA651DB"/>
    <w:rsid w:val="7BB5C7CE"/>
    <w:rsid w:val="7C2F7628"/>
    <w:rsid w:val="7C4CCC3B"/>
    <w:rsid w:val="7C55DB62"/>
    <w:rsid w:val="7C58D47D"/>
    <w:rsid w:val="7C5CB116"/>
    <w:rsid w:val="7D0979C9"/>
    <w:rsid w:val="7D1039D2"/>
    <w:rsid w:val="7DAD1147"/>
    <w:rsid w:val="7DB0EC43"/>
    <w:rsid w:val="7DC2B56F"/>
    <w:rsid w:val="7DF188B2"/>
    <w:rsid w:val="7E3016ED"/>
    <w:rsid w:val="7E3BB358"/>
    <w:rsid w:val="7E538EC2"/>
    <w:rsid w:val="7E7D7DCE"/>
    <w:rsid w:val="7EF95204"/>
    <w:rsid w:val="7F3F7680"/>
    <w:rsid w:val="7F6E11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7889"/>
    <o:shapelayout v:ext="edit">
      <o:idmap v:ext="edit" data="1"/>
    </o:shapelayout>
  </w:shapeDefaults>
  <w:decimalSymbol w:val="."/>
  <w:listSeparator w:val=","/>
  <w14:docId w14:val="7AF3A6F0"/>
  <w15:chartTrackingRefBased/>
  <w15:docId w15:val="{212E1F20-F77A-4FED-9B29-54FEC48302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36"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5E39"/>
    <w:pPr>
      <w:spacing w:after="200" w:line="276" w:lineRule="auto"/>
    </w:pPr>
    <w:rPr>
      <w:rFonts w:ascii="Calibri" w:eastAsia="Calibri" w:hAnsi="Calibri" w:cs="Times New Roman"/>
    </w:rPr>
  </w:style>
  <w:style w:type="paragraph" w:styleId="Heading1">
    <w:name w:val="heading 1"/>
    <w:basedOn w:val="Normal"/>
    <w:next w:val="Normal"/>
    <w:link w:val="Heading1Char"/>
    <w:uiPriority w:val="99"/>
    <w:qFormat/>
    <w:rsid w:val="005F349B"/>
    <w:pPr>
      <w:keepNext/>
      <w:spacing w:before="240" w:after="60" w:line="240" w:lineRule="auto"/>
      <w:outlineLvl w:val="0"/>
    </w:pPr>
    <w:rPr>
      <w:rFonts w:ascii="Arial" w:eastAsia="Times New Roman" w:hAnsi="Arial"/>
      <w:b/>
      <w:bCs/>
      <w:kern w:val="32"/>
      <w:sz w:val="32"/>
      <w:szCs w:val="3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B378F9"/>
    <w:pPr>
      <w:ind w:left="720"/>
      <w:contextualSpacing/>
    </w:pPr>
  </w:style>
  <w:style w:type="table" w:styleId="TableGrid">
    <w:name w:val="Table Grid"/>
    <w:basedOn w:val="TableNormal"/>
    <w:uiPriority w:val="39"/>
    <w:rsid w:val="00B378F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B378F9"/>
    <w:rPr>
      <w:rFonts w:ascii="Calibri" w:eastAsia="Calibri" w:hAnsi="Calibri" w:cs="Times New Roman"/>
    </w:rPr>
  </w:style>
  <w:style w:type="paragraph" w:customStyle="1" w:styleId="BodyText2">
    <w:name w:val="Body Text2"/>
    <w:basedOn w:val="Normal"/>
    <w:uiPriority w:val="99"/>
    <w:locked/>
    <w:rsid w:val="00B378F9"/>
    <w:pPr>
      <w:keepLines/>
      <w:spacing w:before="60" w:after="60" w:line="240" w:lineRule="auto"/>
    </w:pPr>
    <w:rPr>
      <w:rFonts w:ascii="Arial" w:eastAsia="Times New Roman" w:hAnsi="Arial"/>
      <w:sz w:val="24"/>
      <w:szCs w:val="24"/>
      <w:lang w:eastAsia="en-GB"/>
    </w:rPr>
  </w:style>
  <w:style w:type="paragraph" w:customStyle="1" w:styleId="BodyA">
    <w:name w:val="Body A"/>
    <w:rsid w:val="00B025C9"/>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Heading1Char">
    <w:name w:val="Heading 1 Char"/>
    <w:basedOn w:val="DefaultParagraphFont"/>
    <w:link w:val="Heading1"/>
    <w:uiPriority w:val="99"/>
    <w:rsid w:val="005F349B"/>
    <w:rPr>
      <w:rFonts w:ascii="Arial" w:eastAsia="Times New Roman" w:hAnsi="Arial" w:cs="Times New Roman"/>
      <w:b/>
      <w:bCs/>
      <w:kern w:val="32"/>
      <w:sz w:val="32"/>
      <w:szCs w:val="32"/>
      <w:lang w:eastAsia="en-GB"/>
    </w:rPr>
  </w:style>
  <w:style w:type="paragraph" w:styleId="BodyTextIndent2">
    <w:name w:val="Body Text Indent 2"/>
    <w:basedOn w:val="Normal"/>
    <w:link w:val="BodyTextIndent2Char"/>
    <w:rsid w:val="005F349B"/>
    <w:pPr>
      <w:spacing w:after="120" w:line="480" w:lineRule="auto"/>
      <w:ind w:left="283"/>
    </w:pPr>
    <w:rPr>
      <w:rFonts w:ascii="Times New Roman" w:eastAsia="Times New Roman" w:hAnsi="Times New Roman"/>
      <w:sz w:val="24"/>
      <w:szCs w:val="24"/>
    </w:rPr>
  </w:style>
  <w:style w:type="character" w:customStyle="1" w:styleId="BodyTextIndent2Char">
    <w:name w:val="Body Text Indent 2 Char"/>
    <w:basedOn w:val="DefaultParagraphFont"/>
    <w:link w:val="BodyTextIndent2"/>
    <w:rsid w:val="005F349B"/>
    <w:rPr>
      <w:rFonts w:ascii="Times New Roman" w:eastAsia="Times New Roman" w:hAnsi="Times New Roman" w:cs="Times New Roman"/>
      <w:sz w:val="24"/>
      <w:szCs w:val="24"/>
    </w:rPr>
  </w:style>
  <w:style w:type="paragraph" w:customStyle="1" w:styleId="BodyText1">
    <w:name w:val="Body Text1"/>
    <w:basedOn w:val="Normal"/>
    <w:link w:val="BodytextChar"/>
    <w:uiPriority w:val="99"/>
    <w:locked/>
    <w:rsid w:val="005F349B"/>
    <w:pPr>
      <w:keepLines/>
      <w:spacing w:before="60" w:after="60" w:line="240" w:lineRule="auto"/>
    </w:pPr>
    <w:rPr>
      <w:rFonts w:ascii="Arial" w:eastAsia="Times New Roman" w:hAnsi="Arial"/>
      <w:sz w:val="24"/>
      <w:szCs w:val="24"/>
      <w:lang w:eastAsia="en-GB"/>
    </w:rPr>
  </w:style>
  <w:style w:type="character" w:customStyle="1" w:styleId="BodytextChar">
    <w:name w:val="Body text Char"/>
    <w:link w:val="BodyText1"/>
    <w:uiPriority w:val="99"/>
    <w:locked/>
    <w:rsid w:val="005F349B"/>
    <w:rPr>
      <w:rFonts w:ascii="Arial" w:eastAsia="Times New Roman" w:hAnsi="Arial" w:cs="Times New Roman"/>
      <w:sz w:val="24"/>
      <w:szCs w:val="24"/>
      <w:lang w:eastAsia="en-GB"/>
    </w:rPr>
  </w:style>
  <w:style w:type="paragraph" w:styleId="Header">
    <w:name w:val="header"/>
    <w:basedOn w:val="Normal"/>
    <w:link w:val="HeaderChar"/>
    <w:uiPriority w:val="99"/>
    <w:unhideWhenUsed/>
    <w:rsid w:val="005F349B"/>
    <w:pPr>
      <w:tabs>
        <w:tab w:val="center" w:pos="4513"/>
        <w:tab w:val="right" w:pos="9026"/>
      </w:tabs>
    </w:pPr>
  </w:style>
  <w:style w:type="character" w:customStyle="1" w:styleId="HeaderChar">
    <w:name w:val="Header Char"/>
    <w:basedOn w:val="DefaultParagraphFont"/>
    <w:link w:val="Header"/>
    <w:uiPriority w:val="99"/>
    <w:rsid w:val="005F349B"/>
    <w:rPr>
      <w:rFonts w:ascii="Calibri" w:eastAsia="Calibri" w:hAnsi="Calibri" w:cs="Times New Roman"/>
    </w:rPr>
  </w:style>
  <w:style w:type="paragraph" w:styleId="Footer">
    <w:name w:val="footer"/>
    <w:basedOn w:val="Normal"/>
    <w:link w:val="FooterChar"/>
    <w:unhideWhenUsed/>
    <w:rsid w:val="005F349B"/>
    <w:pPr>
      <w:tabs>
        <w:tab w:val="center" w:pos="4513"/>
        <w:tab w:val="right" w:pos="9026"/>
      </w:tabs>
    </w:pPr>
  </w:style>
  <w:style w:type="character" w:customStyle="1" w:styleId="FooterChar">
    <w:name w:val="Footer Char"/>
    <w:basedOn w:val="DefaultParagraphFont"/>
    <w:link w:val="Footer"/>
    <w:rsid w:val="005F349B"/>
    <w:rPr>
      <w:rFonts w:ascii="Calibri" w:eastAsia="Calibri" w:hAnsi="Calibri" w:cs="Times New Roman"/>
    </w:rPr>
  </w:style>
  <w:style w:type="paragraph" w:styleId="BalloonText">
    <w:name w:val="Balloon Text"/>
    <w:basedOn w:val="Normal"/>
    <w:link w:val="BalloonTextChar"/>
    <w:uiPriority w:val="99"/>
    <w:semiHidden/>
    <w:unhideWhenUsed/>
    <w:rsid w:val="005F34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349B"/>
    <w:rPr>
      <w:rFonts w:ascii="Tahoma" w:eastAsia="Calibri" w:hAnsi="Tahoma" w:cs="Tahoma"/>
      <w:sz w:val="16"/>
      <w:szCs w:val="16"/>
    </w:rPr>
  </w:style>
  <w:style w:type="paragraph" w:customStyle="1" w:styleId="Default">
    <w:name w:val="Default"/>
    <w:rsid w:val="005F349B"/>
    <w:pPr>
      <w:autoSpaceDE w:val="0"/>
      <w:autoSpaceDN w:val="0"/>
      <w:adjustRightInd w:val="0"/>
      <w:spacing w:after="0" w:line="240" w:lineRule="auto"/>
    </w:pPr>
    <w:rPr>
      <w:rFonts w:ascii="Arial" w:eastAsia="Calibri" w:hAnsi="Arial" w:cs="Arial"/>
      <w:color w:val="000000"/>
      <w:sz w:val="24"/>
      <w:szCs w:val="24"/>
      <w:lang w:eastAsia="en-GB"/>
    </w:rPr>
  </w:style>
  <w:style w:type="character" w:styleId="PageNumber">
    <w:name w:val="page number"/>
    <w:uiPriority w:val="99"/>
    <w:rsid w:val="005F349B"/>
    <w:rPr>
      <w:rFonts w:cs="Times New Roman"/>
    </w:rPr>
  </w:style>
  <w:style w:type="paragraph" w:customStyle="1" w:styleId="HeaderPrompt">
    <w:name w:val="HeaderPrompt"/>
    <w:basedOn w:val="Normal"/>
    <w:uiPriority w:val="99"/>
    <w:locked/>
    <w:rsid w:val="005F349B"/>
    <w:pPr>
      <w:keepLines/>
      <w:tabs>
        <w:tab w:val="center" w:pos="4547"/>
        <w:tab w:val="right" w:pos="8760"/>
      </w:tabs>
      <w:spacing w:before="60" w:after="60" w:line="240" w:lineRule="auto"/>
    </w:pPr>
    <w:rPr>
      <w:rFonts w:ascii="Arial" w:eastAsia="Times New Roman" w:hAnsi="Arial"/>
      <w:b/>
      <w:color w:val="708C85"/>
      <w:sz w:val="24"/>
      <w:szCs w:val="20"/>
      <w:lang w:eastAsia="en-GB"/>
    </w:rPr>
  </w:style>
  <w:style w:type="paragraph" w:styleId="NoSpacing">
    <w:name w:val="No Spacing"/>
    <w:uiPriority w:val="36"/>
    <w:qFormat/>
    <w:rsid w:val="005F349B"/>
    <w:pPr>
      <w:spacing w:after="0" w:line="240" w:lineRule="auto"/>
    </w:pPr>
    <w:rPr>
      <w:rFonts w:ascii="Calibri" w:eastAsia="Calibri" w:hAnsi="Calibri" w:cs="Times New Roman"/>
    </w:rPr>
  </w:style>
  <w:style w:type="paragraph" w:styleId="PlainText">
    <w:name w:val="Plain Text"/>
    <w:basedOn w:val="Normal"/>
    <w:link w:val="PlainTextChar"/>
    <w:semiHidden/>
    <w:unhideWhenUsed/>
    <w:rsid w:val="005F349B"/>
    <w:pPr>
      <w:spacing w:after="0" w:line="240" w:lineRule="auto"/>
    </w:pPr>
    <w:rPr>
      <w:rFonts w:ascii="Consolas" w:hAnsi="Consolas"/>
      <w:sz w:val="21"/>
      <w:szCs w:val="21"/>
    </w:rPr>
  </w:style>
  <w:style w:type="character" w:customStyle="1" w:styleId="PlainTextChar">
    <w:name w:val="Plain Text Char"/>
    <w:basedOn w:val="DefaultParagraphFont"/>
    <w:link w:val="PlainText"/>
    <w:semiHidden/>
    <w:rsid w:val="005F349B"/>
    <w:rPr>
      <w:rFonts w:ascii="Consolas" w:eastAsia="Calibri" w:hAnsi="Consolas" w:cs="Times New Roman"/>
      <w:sz w:val="21"/>
      <w:szCs w:val="21"/>
    </w:rPr>
  </w:style>
  <w:style w:type="character" w:customStyle="1" w:styleId="Characterstyleboldcyan">
    <w:name w:val="Character style: bold cyan"/>
    <w:uiPriority w:val="1"/>
    <w:qFormat/>
    <w:rsid w:val="005F349B"/>
    <w:rPr>
      <w:rFonts w:ascii="Arial" w:hAnsi="Arial"/>
      <w:b/>
      <w:color w:val="27AAE1"/>
    </w:rPr>
  </w:style>
  <w:style w:type="paragraph" w:styleId="NormalWeb">
    <w:name w:val="Normal (Web)"/>
    <w:basedOn w:val="Normal"/>
    <w:uiPriority w:val="99"/>
    <w:unhideWhenUsed/>
    <w:rsid w:val="005F349B"/>
    <w:pPr>
      <w:spacing w:before="100" w:beforeAutospacing="1" w:after="100" w:afterAutospacing="1" w:line="240" w:lineRule="auto"/>
    </w:pPr>
    <w:rPr>
      <w:rFonts w:ascii="Times New Roman" w:eastAsia="Times New Roman" w:hAnsi="Times New Roman"/>
      <w:sz w:val="24"/>
      <w:szCs w:val="24"/>
      <w:lang w:eastAsia="en-GB"/>
    </w:rPr>
  </w:style>
  <w:style w:type="table" w:customStyle="1" w:styleId="TableGrid1">
    <w:name w:val="Table Grid1"/>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nhideWhenUsed/>
    <w:rsid w:val="005F349B"/>
    <w:rPr>
      <w:color w:val="0563C1"/>
      <w:u w:val="single"/>
    </w:rPr>
  </w:style>
  <w:style w:type="character" w:styleId="FollowedHyperlink">
    <w:name w:val="FollowedHyperlink"/>
    <w:uiPriority w:val="99"/>
    <w:semiHidden/>
    <w:unhideWhenUsed/>
    <w:rsid w:val="005F349B"/>
    <w:rPr>
      <w:color w:val="954F72"/>
      <w:u w:val="single"/>
    </w:rPr>
  </w:style>
  <w:style w:type="paragraph" w:customStyle="1" w:styleId="font5">
    <w:name w:val="font5"/>
    <w:basedOn w:val="Normal"/>
    <w:rsid w:val="005F349B"/>
    <w:pPr>
      <w:spacing w:before="100" w:beforeAutospacing="1" w:after="100" w:afterAutospacing="1" w:line="240" w:lineRule="auto"/>
    </w:pPr>
    <w:rPr>
      <w:rFonts w:ascii="Arial" w:eastAsia="Times New Roman" w:hAnsi="Arial" w:cs="Arial"/>
      <w:sz w:val="20"/>
      <w:szCs w:val="20"/>
      <w:lang w:eastAsia="en-GB"/>
    </w:rPr>
  </w:style>
  <w:style w:type="paragraph" w:customStyle="1" w:styleId="font6">
    <w:name w:val="font6"/>
    <w:basedOn w:val="Normal"/>
    <w:rsid w:val="005F349B"/>
    <w:pPr>
      <w:spacing w:before="100" w:beforeAutospacing="1" w:after="100" w:afterAutospacing="1" w:line="240" w:lineRule="auto"/>
    </w:pPr>
    <w:rPr>
      <w:rFonts w:ascii="Arial" w:eastAsia="Times New Roman" w:hAnsi="Arial" w:cs="Arial"/>
      <w:i/>
      <w:iCs/>
      <w:sz w:val="20"/>
      <w:szCs w:val="20"/>
      <w:lang w:eastAsia="en-GB"/>
    </w:rPr>
  </w:style>
  <w:style w:type="paragraph" w:customStyle="1" w:styleId="xl63">
    <w:name w:val="xl63"/>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64">
    <w:name w:val="xl64"/>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both"/>
      <w:textAlignment w:val="center"/>
    </w:pPr>
    <w:rPr>
      <w:rFonts w:ascii="Arial" w:eastAsia="Times New Roman" w:hAnsi="Arial" w:cs="Arial"/>
      <w:b/>
      <w:bCs/>
      <w:sz w:val="20"/>
      <w:szCs w:val="20"/>
      <w:lang w:eastAsia="en-GB"/>
    </w:rPr>
  </w:style>
  <w:style w:type="paragraph" w:customStyle="1" w:styleId="xl65">
    <w:name w:val="xl65"/>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66">
    <w:name w:val="xl6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7">
    <w:name w:val="xl6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8">
    <w:name w:val="xl68"/>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textAlignment w:val="center"/>
    </w:pPr>
    <w:rPr>
      <w:rFonts w:ascii="Arial" w:eastAsia="Times New Roman" w:hAnsi="Arial" w:cs="Arial"/>
      <w:b/>
      <w:bCs/>
      <w:sz w:val="20"/>
      <w:szCs w:val="20"/>
      <w:lang w:eastAsia="en-GB"/>
    </w:rPr>
  </w:style>
  <w:style w:type="paragraph" w:customStyle="1" w:styleId="xl69">
    <w:name w:val="xl6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70">
    <w:name w:val="xl70"/>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1">
    <w:name w:val="xl71"/>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2">
    <w:name w:val="xl7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3">
    <w:name w:val="xl7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4">
    <w:name w:val="xl7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5">
    <w:name w:val="xl7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6">
    <w:name w:val="xl7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7">
    <w:name w:val="xl7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8">
    <w:name w:val="xl7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9">
    <w:name w:val="xl79"/>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0">
    <w:name w:val="xl8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1">
    <w:name w:val="xl81"/>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2">
    <w:name w:val="xl82"/>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3">
    <w:name w:val="xl83"/>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4">
    <w:name w:val="xl84"/>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5">
    <w:name w:val="xl85"/>
    <w:basedOn w:val="Normal"/>
    <w:rsid w:val="005F349B"/>
    <w:pPr>
      <w:pBdr>
        <w:top w:val="single" w:sz="4" w:space="0" w:color="auto"/>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6">
    <w:name w:val="xl86"/>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87">
    <w:name w:val="xl87"/>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8">
    <w:name w:val="xl88"/>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9">
    <w:name w:val="xl89"/>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0">
    <w:name w:val="xl90"/>
    <w:basedOn w:val="Normal"/>
    <w:rsid w:val="005F349B"/>
    <w:pPr>
      <w:pBdr>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1">
    <w:name w:val="xl91"/>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2">
    <w:name w:val="xl92"/>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3">
    <w:name w:val="xl93"/>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4">
    <w:name w:val="xl94"/>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95">
    <w:name w:val="xl95"/>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6">
    <w:name w:val="xl96"/>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7">
    <w:name w:val="xl97"/>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8">
    <w:name w:val="xl98"/>
    <w:basedOn w:val="Normal"/>
    <w:rsid w:val="005F349B"/>
    <w:pPr>
      <w:pBdr>
        <w:left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9">
    <w:name w:val="xl9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0">
    <w:name w:val="xl100"/>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1">
    <w:name w:val="xl101"/>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2">
    <w:name w:val="xl102"/>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103">
    <w:name w:val="xl103"/>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4">
    <w:name w:val="xl104"/>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105">
    <w:name w:val="xl105"/>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sz w:val="20"/>
      <w:szCs w:val="20"/>
      <w:lang w:eastAsia="en-GB"/>
    </w:rPr>
  </w:style>
  <w:style w:type="paragraph" w:customStyle="1" w:styleId="xl106">
    <w:name w:val="xl106"/>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07">
    <w:name w:val="xl10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b/>
      <w:bCs/>
      <w:sz w:val="20"/>
      <w:szCs w:val="20"/>
      <w:lang w:eastAsia="en-GB"/>
    </w:rPr>
  </w:style>
  <w:style w:type="paragraph" w:customStyle="1" w:styleId="xl108">
    <w:name w:val="xl108"/>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9">
    <w:name w:val="xl10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0">
    <w:name w:val="xl11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1">
    <w:name w:val="xl11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12">
    <w:name w:val="xl11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3">
    <w:name w:val="xl113"/>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en-GB"/>
    </w:rPr>
  </w:style>
  <w:style w:type="paragraph" w:customStyle="1" w:styleId="xl114">
    <w:name w:val="xl114"/>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5">
    <w:name w:val="xl115"/>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6">
    <w:name w:val="xl11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0"/>
      <w:szCs w:val="20"/>
      <w:lang w:eastAsia="en-GB"/>
    </w:rPr>
  </w:style>
  <w:style w:type="paragraph" w:customStyle="1" w:styleId="xl117">
    <w:name w:val="xl11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8">
    <w:name w:val="xl11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9">
    <w:name w:val="xl119"/>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0">
    <w:name w:val="xl12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1">
    <w:name w:val="xl12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2">
    <w:name w:val="xl12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3">
    <w:name w:val="xl12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4">
    <w:name w:val="xl12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5">
    <w:name w:val="xl12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6">
    <w:name w:val="xl12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7">
    <w:name w:val="xl12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8">
    <w:name w:val="xl128"/>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9">
    <w:name w:val="xl12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30">
    <w:name w:val="xl130"/>
    <w:basedOn w:val="Normal"/>
    <w:rsid w:val="005F349B"/>
    <w:pPr>
      <w:pBdr>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131">
    <w:name w:val="xl131"/>
    <w:basedOn w:val="Normal"/>
    <w:rsid w:val="005F349B"/>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2">
    <w:name w:val="xl132"/>
    <w:basedOn w:val="Normal"/>
    <w:rsid w:val="005F349B"/>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3">
    <w:name w:val="xl133"/>
    <w:basedOn w:val="Normal"/>
    <w:rsid w:val="005F349B"/>
    <w:pPr>
      <w:pBdr>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4">
    <w:name w:val="xl134"/>
    <w:basedOn w:val="Normal"/>
    <w:rsid w:val="005F349B"/>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5">
    <w:name w:val="xl135"/>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6">
    <w:name w:val="xl136"/>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7">
    <w:name w:val="xl137"/>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8">
    <w:name w:val="xl138"/>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9">
    <w:name w:val="xl139"/>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0">
    <w:name w:val="xl140"/>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41">
    <w:name w:val="xl141"/>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42">
    <w:name w:val="xl142"/>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3">
    <w:name w:val="xl143"/>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4">
    <w:name w:val="xl144"/>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table" w:customStyle="1" w:styleId="TableGrid0">
    <w:name w:val="TableGrid"/>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
    <w:name w:val="TableGrid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2">
    <w:name w:val="TableGrid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3">
    <w:name w:val="TableGrid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4">
    <w:name w:val="TableGrid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5">
    <w:name w:val="TableGrid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numbering" w:customStyle="1" w:styleId="NoList1">
    <w:name w:val="No List1"/>
    <w:next w:val="NoList"/>
    <w:uiPriority w:val="99"/>
    <w:semiHidden/>
    <w:unhideWhenUsed/>
    <w:rsid w:val="005F349B"/>
  </w:style>
  <w:style w:type="table" w:customStyle="1" w:styleId="TableGrid6">
    <w:name w:val="TableGrid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7">
    <w:name w:val="TableGrid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character" w:styleId="CommentReference">
    <w:name w:val="annotation reference"/>
    <w:uiPriority w:val="99"/>
    <w:semiHidden/>
    <w:unhideWhenUsed/>
    <w:rsid w:val="005F349B"/>
    <w:rPr>
      <w:sz w:val="16"/>
      <w:szCs w:val="16"/>
    </w:rPr>
  </w:style>
  <w:style w:type="paragraph" w:styleId="CommentText">
    <w:name w:val="annotation text"/>
    <w:basedOn w:val="Normal"/>
    <w:link w:val="CommentTextChar"/>
    <w:uiPriority w:val="99"/>
    <w:unhideWhenUsed/>
    <w:rsid w:val="005F349B"/>
    <w:rPr>
      <w:sz w:val="20"/>
      <w:szCs w:val="20"/>
    </w:rPr>
  </w:style>
  <w:style w:type="character" w:customStyle="1" w:styleId="CommentTextChar">
    <w:name w:val="Comment Text Char"/>
    <w:basedOn w:val="DefaultParagraphFont"/>
    <w:link w:val="CommentText"/>
    <w:uiPriority w:val="99"/>
    <w:rsid w:val="005F349B"/>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5F349B"/>
    <w:rPr>
      <w:b/>
      <w:bCs/>
    </w:rPr>
  </w:style>
  <w:style w:type="character" w:customStyle="1" w:styleId="CommentSubjectChar">
    <w:name w:val="Comment Subject Char"/>
    <w:basedOn w:val="CommentTextChar"/>
    <w:link w:val="CommentSubject"/>
    <w:uiPriority w:val="99"/>
    <w:semiHidden/>
    <w:rsid w:val="005F349B"/>
    <w:rPr>
      <w:rFonts w:ascii="Calibri" w:eastAsia="Calibri" w:hAnsi="Calibri" w:cs="Times New Roman"/>
      <w:b/>
      <w:bCs/>
      <w:sz w:val="20"/>
      <w:szCs w:val="20"/>
    </w:rPr>
  </w:style>
  <w:style w:type="table" w:customStyle="1" w:styleId="TableGrid8">
    <w:name w:val="TableGrid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9">
    <w:name w:val="TableGrid9"/>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0">
    <w:name w:val="TableGrid10"/>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1">
    <w:name w:val="TableGrid1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2">
    <w:name w:val="TableGrid1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3">
    <w:name w:val="TableGrid1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4">
    <w:name w:val="TableGrid1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5">
    <w:name w:val="TableGrid1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6">
    <w:name w:val="TableGrid1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7">
    <w:name w:val="TableGrid1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8">
    <w:name w:val="TableGrid1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9">
    <w:name w:val="TableGrid1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0">
    <w:name w:val="TableGrid2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
    <w:name w:val="TableGrid2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2">
    <w:name w:val="TableGrid22"/>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3">
    <w:name w:val="TableGrid23"/>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4">
    <w:name w:val="TableGrid24"/>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5">
    <w:name w:val="TableGrid25"/>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6">
    <w:name w:val="TableGrid26"/>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7">
    <w:name w:val="TableGrid27"/>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8">
    <w:name w:val="TableGrid28"/>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9">
    <w:name w:val="TableGrid2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0">
    <w:name w:val="TableGrid3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1">
    <w:name w:val="TableGrid3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a">
    <w:name w:val="Table Grid2"/>
    <w:basedOn w:val="TableNormal"/>
    <w:next w:val="TableGrid"/>
    <w:uiPriority w:val="39"/>
    <w:rsid w:val="005F349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Grid32"/>
    <w:rsid w:val="005F349B"/>
    <w:pPr>
      <w:spacing w:after="0" w:line="240" w:lineRule="auto"/>
    </w:pPr>
    <w:rPr>
      <w:rFonts w:eastAsiaTheme="minorEastAsia"/>
      <w:lang w:eastAsia="en-GB"/>
    </w:rPr>
    <w:tblPr>
      <w:tblCellMar>
        <w:top w:w="0" w:type="dxa"/>
        <w:left w:w="0" w:type="dxa"/>
        <w:bottom w:w="0" w:type="dxa"/>
        <w:right w:w="0" w:type="dxa"/>
      </w:tblCellMar>
    </w:tblPr>
  </w:style>
  <w:style w:type="character" w:styleId="Strong">
    <w:name w:val="Strong"/>
    <w:basedOn w:val="DefaultParagraphFont"/>
    <w:uiPriority w:val="22"/>
    <w:qFormat/>
    <w:rsid w:val="005F349B"/>
    <w:rPr>
      <w:b/>
      <w:bCs/>
    </w:rPr>
  </w:style>
  <w:style w:type="paragraph" w:customStyle="1" w:styleId="HeaderFooter">
    <w:name w:val="Header &amp; Footer"/>
    <w:rsid w:val="005F349B"/>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eastAsia="en-GB"/>
    </w:rPr>
  </w:style>
  <w:style w:type="paragraph" w:customStyle="1" w:styleId="Body">
    <w:name w:val="Body"/>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numbering" w:customStyle="1" w:styleId="List0">
    <w:name w:val="List 0"/>
    <w:basedOn w:val="ImportedStyle2"/>
    <w:rsid w:val="005F349B"/>
    <w:pPr>
      <w:numPr>
        <w:numId w:val="3"/>
      </w:numPr>
    </w:pPr>
  </w:style>
  <w:style w:type="numbering" w:customStyle="1" w:styleId="ImportedStyle2">
    <w:name w:val="Imported Style 2"/>
    <w:rsid w:val="005F349B"/>
  </w:style>
  <w:style w:type="numbering" w:customStyle="1" w:styleId="List1">
    <w:name w:val="List 1"/>
    <w:basedOn w:val="ImportedStyle3"/>
    <w:rsid w:val="005F349B"/>
    <w:pPr>
      <w:numPr>
        <w:numId w:val="11"/>
      </w:numPr>
    </w:pPr>
  </w:style>
  <w:style w:type="numbering" w:customStyle="1" w:styleId="ImportedStyle3">
    <w:name w:val="Imported Style 3"/>
    <w:rsid w:val="005F349B"/>
  </w:style>
  <w:style w:type="numbering" w:customStyle="1" w:styleId="List21">
    <w:name w:val="List 21"/>
    <w:basedOn w:val="ImportedStyle4"/>
    <w:rsid w:val="005F349B"/>
    <w:pPr>
      <w:numPr>
        <w:numId w:val="4"/>
      </w:numPr>
    </w:pPr>
  </w:style>
  <w:style w:type="numbering" w:customStyle="1" w:styleId="ImportedStyle4">
    <w:name w:val="Imported Style 4"/>
    <w:rsid w:val="005F349B"/>
  </w:style>
  <w:style w:type="numbering" w:customStyle="1" w:styleId="List31">
    <w:name w:val="List 31"/>
    <w:basedOn w:val="ImportedStyle4"/>
    <w:rsid w:val="005F349B"/>
    <w:pPr>
      <w:numPr>
        <w:numId w:val="5"/>
      </w:numPr>
    </w:pPr>
  </w:style>
  <w:style w:type="numbering" w:customStyle="1" w:styleId="List41">
    <w:name w:val="List 41"/>
    <w:basedOn w:val="ImportedStyle5"/>
    <w:rsid w:val="005F349B"/>
    <w:pPr>
      <w:numPr>
        <w:numId w:val="6"/>
      </w:numPr>
    </w:pPr>
  </w:style>
  <w:style w:type="numbering" w:customStyle="1" w:styleId="ImportedStyle5">
    <w:name w:val="Imported Style 5"/>
    <w:rsid w:val="005F349B"/>
  </w:style>
  <w:style w:type="numbering" w:customStyle="1" w:styleId="List51">
    <w:name w:val="List 51"/>
    <w:basedOn w:val="ImportedStyle5"/>
    <w:rsid w:val="005F349B"/>
    <w:pPr>
      <w:numPr>
        <w:numId w:val="7"/>
      </w:numPr>
    </w:pPr>
  </w:style>
  <w:style w:type="numbering" w:customStyle="1" w:styleId="List6">
    <w:name w:val="List 6"/>
    <w:basedOn w:val="ImportedStyle6"/>
    <w:rsid w:val="005F349B"/>
    <w:pPr>
      <w:numPr>
        <w:numId w:val="8"/>
      </w:numPr>
    </w:pPr>
  </w:style>
  <w:style w:type="numbering" w:customStyle="1" w:styleId="ImportedStyle6">
    <w:name w:val="Imported Style 6"/>
    <w:rsid w:val="005F349B"/>
  </w:style>
  <w:style w:type="numbering" w:customStyle="1" w:styleId="List7">
    <w:name w:val="List 7"/>
    <w:basedOn w:val="ImportedStyle3"/>
    <w:rsid w:val="005F349B"/>
    <w:pPr>
      <w:numPr>
        <w:numId w:val="12"/>
      </w:numPr>
    </w:pPr>
  </w:style>
  <w:style w:type="numbering" w:customStyle="1" w:styleId="List8">
    <w:name w:val="List 8"/>
    <w:basedOn w:val="ImportedStyle7"/>
    <w:rsid w:val="005F349B"/>
    <w:pPr>
      <w:numPr>
        <w:numId w:val="9"/>
      </w:numPr>
    </w:pPr>
  </w:style>
  <w:style w:type="numbering" w:customStyle="1" w:styleId="ImportedStyle7">
    <w:name w:val="Imported Style 7"/>
    <w:rsid w:val="005F349B"/>
  </w:style>
  <w:style w:type="paragraph" w:styleId="ListBullet">
    <w:name w:val="List Bullet"/>
    <w:rsid w:val="005F349B"/>
    <w:pPr>
      <w:pBdr>
        <w:top w:val="nil"/>
        <w:left w:val="nil"/>
        <w:bottom w:val="nil"/>
        <w:right w:val="nil"/>
        <w:between w:val="nil"/>
        <w:bar w:val="nil"/>
      </w:pBdr>
      <w:tabs>
        <w:tab w:val="left" w:pos="360"/>
      </w:tabs>
      <w:spacing w:before="120" w:after="0" w:line="240" w:lineRule="auto"/>
      <w:ind w:left="360" w:hanging="360"/>
      <w:jc w:val="both"/>
    </w:pPr>
    <w:rPr>
      <w:rFonts w:ascii="Verdana" w:eastAsia="Arial Unicode MS" w:hAnsi="Arial Unicode MS" w:cs="Arial Unicode MS"/>
      <w:color w:val="000000"/>
      <w:sz w:val="24"/>
      <w:szCs w:val="24"/>
      <w:u w:color="000000"/>
      <w:bdr w:val="nil"/>
      <w:lang w:val="en-US" w:eastAsia="en-GB"/>
    </w:rPr>
  </w:style>
  <w:style w:type="numbering" w:customStyle="1" w:styleId="List9">
    <w:name w:val="List 9"/>
    <w:basedOn w:val="ImportedStyle9"/>
    <w:rsid w:val="005F349B"/>
    <w:pPr>
      <w:numPr>
        <w:numId w:val="10"/>
      </w:numPr>
    </w:pPr>
  </w:style>
  <w:style w:type="numbering" w:customStyle="1" w:styleId="ImportedStyle9">
    <w:name w:val="Imported Style 9"/>
    <w:rsid w:val="005F349B"/>
  </w:style>
  <w:style w:type="paragraph" w:customStyle="1" w:styleId="annotation">
    <w:name w:val="annotation"/>
    <w:basedOn w:val="Normal"/>
    <w:rsid w:val="005F349B"/>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textspan2">
    <w:name w:val="textspan_2"/>
    <w:rsid w:val="005F349B"/>
  </w:style>
  <w:style w:type="paragraph" w:styleId="Subtitle">
    <w:name w:val="Subtitle"/>
    <w:basedOn w:val="Normal"/>
    <w:link w:val="SubtitleChar"/>
    <w:qFormat/>
    <w:rsid w:val="005F349B"/>
    <w:pPr>
      <w:spacing w:after="0" w:line="240" w:lineRule="auto"/>
    </w:pPr>
    <w:rPr>
      <w:rFonts w:ascii="Arial" w:eastAsia="Times New Roman" w:hAnsi="Arial"/>
      <w:b/>
      <w:bCs/>
      <w:sz w:val="24"/>
      <w:szCs w:val="24"/>
      <w:u w:val="single"/>
    </w:rPr>
  </w:style>
  <w:style w:type="character" w:customStyle="1" w:styleId="SubtitleChar">
    <w:name w:val="Subtitle Char"/>
    <w:basedOn w:val="DefaultParagraphFont"/>
    <w:link w:val="Subtitle"/>
    <w:rsid w:val="005F349B"/>
    <w:rPr>
      <w:rFonts w:ascii="Arial" w:eastAsia="Times New Roman" w:hAnsi="Arial" w:cs="Times New Roman"/>
      <w:b/>
      <w:bCs/>
      <w:sz w:val="24"/>
      <w:szCs w:val="24"/>
      <w:u w:val="single"/>
    </w:rPr>
  </w:style>
  <w:style w:type="numbering" w:customStyle="1" w:styleId="OutlinenumberedArialOutlinenumberedArial11">
    <w:name w:val="Outline numbered Arial + Outline numbered Arial 1...1"/>
    <w:basedOn w:val="NoList"/>
    <w:rsid w:val="005F349B"/>
    <w:pPr>
      <w:numPr>
        <w:numId w:val="13"/>
      </w:numPr>
    </w:pPr>
  </w:style>
  <w:style w:type="paragraph" w:customStyle="1" w:styleId="StyleOutlinenumberedArialOutlinenumberedArial11Outli">
    <w:name w:val="Style Outline numbered Arial + Outline numbered Arial 1...1 + Outli..."/>
    <w:basedOn w:val="Normal"/>
    <w:rsid w:val="005F349B"/>
    <w:pPr>
      <w:widowControl w:val="0"/>
      <w:numPr>
        <w:ilvl w:val="2"/>
        <w:numId w:val="13"/>
      </w:numPr>
      <w:autoSpaceDE w:val="0"/>
      <w:autoSpaceDN w:val="0"/>
      <w:adjustRightInd w:val="0"/>
      <w:spacing w:after="0" w:line="240" w:lineRule="auto"/>
    </w:pPr>
    <w:rPr>
      <w:rFonts w:ascii="Arial" w:eastAsia="Times New Roman" w:hAnsi="Arial" w:cs="Arial"/>
      <w:b/>
      <w:bCs/>
      <w:sz w:val="24"/>
      <w:szCs w:val="24"/>
    </w:rPr>
  </w:style>
  <w:style w:type="paragraph" w:styleId="List2">
    <w:name w:val="List 2"/>
    <w:basedOn w:val="Normal"/>
    <w:rsid w:val="005F349B"/>
    <w:pPr>
      <w:spacing w:after="0" w:line="240" w:lineRule="auto"/>
      <w:ind w:left="566" w:hanging="283"/>
      <w:contextualSpacing/>
    </w:pPr>
    <w:rPr>
      <w:rFonts w:ascii="Times New Roman" w:eastAsia="Times New Roman" w:hAnsi="Times New Roman"/>
      <w:sz w:val="24"/>
      <w:szCs w:val="24"/>
      <w:lang w:eastAsia="en-GB"/>
    </w:rPr>
  </w:style>
  <w:style w:type="character" w:styleId="FootnoteReference">
    <w:name w:val="footnote reference"/>
    <w:uiPriority w:val="99"/>
    <w:semiHidden/>
    <w:rsid w:val="005F349B"/>
  </w:style>
  <w:style w:type="paragraph" w:styleId="FootnoteText">
    <w:name w:val="footnote text"/>
    <w:basedOn w:val="Normal"/>
    <w:link w:val="FootnoteTextChar"/>
    <w:uiPriority w:val="99"/>
    <w:semiHidden/>
    <w:rsid w:val="005F349B"/>
    <w:pPr>
      <w:spacing w:after="0" w:line="240" w:lineRule="auto"/>
    </w:pPr>
    <w:rPr>
      <w:rFonts w:ascii="Times New Roman" w:eastAsia="Times New Roman" w:hAnsi="Times New Roman"/>
      <w:sz w:val="20"/>
      <w:szCs w:val="20"/>
      <w:lang w:eastAsia="en-GB"/>
    </w:rPr>
  </w:style>
  <w:style w:type="character" w:customStyle="1" w:styleId="FootnoteTextChar">
    <w:name w:val="Footnote Text Char"/>
    <w:basedOn w:val="DefaultParagraphFont"/>
    <w:link w:val="FootnoteText"/>
    <w:uiPriority w:val="99"/>
    <w:semiHidden/>
    <w:rsid w:val="005F349B"/>
    <w:rPr>
      <w:rFonts w:ascii="Times New Roman" w:eastAsia="Times New Roman" w:hAnsi="Times New Roman" w:cs="Times New Roman"/>
      <w:sz w:val="20"/>
      <w:szCs w:val="20"/>
      <w:lang w:eastAsia="en-GB"/>
    </w:rPr>
  </w:style>
  <w:style w:type="paragraph" w:customStyle="1" w:styleId="BodyB">
    <w:name w:val="Body B"/>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0">
    <w:name w:val="List 10"/>
    <w:basedOn w:val="ImportedStyle6"/>
    <w:rsid w:val="005F349B"/>
    <w:pPr>
      <w:numPr>
        <w:numId w:val="14"/>
      </w:numPr>
    </w:pPr>
  </w:style>
  <w:style w:type="paragraph" w:customStyle="1" w:styleId="MediumGrid1-Accent21">
    <w:name w:val="Medium Grid 1 - Accent 21"/>
    <w:basedOn w:val="Normal"/>
    <w:uiPriority w:val="34"/>
    <w:qFormat/>
    <w:rsid w:val="005F349B"/>
    <w:pPr>
      <w:spacing w:after="0" w:line="240" w:lineRule="auto"/>
      <w:ind w:left="720"/>
      <w:contextualSpacing/>
    </w:pPr>
    <w:rPr>
      <w:rFonts w:ascii="Times New Roman" w:eastAsia="Times New Roman" w:hAnsi="Times New Roman"/>
      <w:sz w:val="24"/>
      <w:szCs w:val="24"/>
    </w:rPr>
  </w:style>
  <w:style w:type="paragraph" w:customStyle="1" w:styleId="NoSpacing1">
    <w:name w:val="No Spacing1"/>
    <w:uiPriority w:val="1"/>
    <w:qFormat/>
    <w:rsid w:val="005F349B"/>
    <w:pPr>
      <w:spacing w:after="0" w:line="240" w:lineRule="auto"/>
    </w:pPr>
    <w:rPr>
      <w:rFonts w:ascii="Times New Roman" w:eastAsia="Times New Roman" w:hAnsi="Times New Roman" w:cs="Times New Roman"/>
      <w:sz w:val="24"/>
      <w:szCs w:val="24"/>
      <w:lang w:eastAsia="en-GB"/>
    </w:rPr>
  </w:style>
  <w:style w:type="table" w:customStyle="1" w:styleId="TableGrid33">
    <w:name w:val="Table Grid3"/>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0">
    <w:name w:val="Table Grid4"/>
    <w:basedOn w:val="TableNormal"/>
    <w:next w:val="TableGrid"/>
    <w:uiPriority w:val="39"/>
    <w:rsid w:val="006D0D91"/>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0">
    <w:name w:val="TableGrid33"/>
    <w:rsid w:val="005741A4"/>
    <w:pPr>
      <w:spacing w:after="0" w:line="240" w:lineRule="auto"/>
    </w:pPr>
    <w:rPr>
      <w:rFonts w:eastAsiaTheme="minorEastAsia"/>
      <w:lang w:eastAsia="en-GB"/>
    </w:rPr>
    <w:tblPr>
      <w:tblCellMar>
        <w:top w:w="0" w:type="dxa"/>
        <w:left w:w="0" w:type="dxa"/>
        <w:bottom w:w="0" w:type="dxa"/>
        <w:right w:w="0" w:type="dxa"/>
      </w:tblCellMar>
    </w:tblPr>
  </w:style>
  <w:style w:type="numbering" w:customStyle="1" w:styleId="NoList2">
    <w:name w:val="No List2"/>
    <w:next w:val="NoList"/>
    <w:uiPriority w:val="99"/>
    <w:semiHidden/>
    <w:unhideWhenUsed/>
    <w:rsid w:val="00A725F3"/>
  </w:style>
  <w:style w:type="table" w:customStyle="1" w:styleId="TableGrid34">
    <w:name w:val="TableGrid34"/>
    <w:rsid w:val="00A725F3"/>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0">
    <w:name w:val="TableGrid1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5">
    <w:name w:val="TableGrid3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6">
    <w:name w:val="TableGrid3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7">
    <w:name w:val="TableGrid3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8">
    <w:name w:val="TableGrid3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9">
    <w:name w:val="TableGrid3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00">
    <w:name w:val="TableGrid4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1">
    <w:name w:val="TableGrid4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2">
    <w:name w:val="TableGrid4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1">
    <w:name w:val="TableGrid11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0">
    <w:name w:val="TableGrid2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3">
    <w:name w:val="TableGrid43"/>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4">
    <w:name w:val="TableGrid44"/>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5">
    <w:name w:val="TableGrid4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6">
    <w:name w:val="TableGrid4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7">
    <w:name w:val="TableGrid4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2">
    <w:name w:val="TableGrid11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8">
    <w:name w:val="TableGrid4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9">
    <w:name w:val="TableGrid4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0">
    <w:name w:val="TableGrid5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1">
    <w:name w:val="TableGrid5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2">
    <w:name w:val="TableGrid52"/>
    <w:rsid w:val="0002293B"/>
    <w:pPr>
      <w:spacing w:after="0" w:line="240" w:lineRule="auto"/>
    </w:pPr>
    <w:rPr>
      <w:rFonts w:eastAsiaTheme="minorEastAsia"/>
      <w:lang w:eastAsia="en-GB"/>
    </w:rPr>
    <w:tblPr>
      <w:tblCellMar>
        <w:top w:w="0" w:type="dxa"/>
        <w:left w:w="0" w:type="dxa"/>
        <w:bottom w:w="0" w:type="dxa"/>
        <w:right w:w="0" w:type="dxa"/>
      </w:tblCellMar>
    </w:tblPr>
  </w:style>
  <w:style w:type="paragraph" w:customStyle="1" w:styleId="kdjfjdkljkldjf">
    <w:name w:val="kdjfjdkljkldjf"/>
    <w:basedOn w:val="ListParagraph"/>
    <w:link w:val="kdjfjdkljkldjfChar"/>
    <w:qFormat/>
    <w:rsid w:val="001741C6"/>
    <w:pPr>
      <w:numPr>
        <w:numId w:val="15"/>
      </w:numPr>
      <w:spacing w:after="0" w:line="240" w:lineRule="auto"/>
    </w:pPr>
    <w:rPr>
      <w:rFonts w:ascii="Arial" w:hAnsi="Arial" w:cs="Arial"/>
      <w:sz w:val="18"/>
      <w:szCs w:val="18"/>
      <w:lang w:eastAsia="en-GB"/>
    </w:rPr>
  </w:style>
  <w:style w:type="character" w:customStyle="1" w:styleId="kdjfjdkljkldjfChar">
    <w:name w:val="kdjfjdkljkldjf Char"/>
    <w:basedOn w:val="ListParagraphChar"/>
    <w:link w:val="kdjfjdkljkldjf"/>
    <w:rsid w:val="001741C6"/>
    <w:rPr>
      <w:rFonts w:ascii="Arial" w:eastAsia="Calibri" w:hAnsi="Arial" w:cs="Arial"/>
      <w:sz w:val="18"/>
      <w:szCs w:val="18"/>
      <w:lang w:eastAsia="en-GB"/>
    </w:rPr>
  </w:style>
  <w:style w:type="table" w:customStyle="1" w:styleId="TableGrid53">
    <w:name w:val="Table Grid5"/>
    <w:basedOn w:val="TableNormal"/>
    <w:next w:val="TableGrid"/>
    <w:uiPriority w:val="39"/>
    <w:rsid w:val="008137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0">
    <w:name w:val="Table Grid6"/>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0">
    <w:name w:val="Table Grid7"/>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0">
    <w:name w:val="Table Grid8"/>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qFormat/>
    <w:rsid w:val="008813FB"/>
    <w:pPr>
      <w:widowControl w:val="0"/>
      <w:spacing w:after="0" w:line="240" w:lineRule="auto"/>
    </w:pPr>
    <w:rPr>
      <w:lang w:val="en-US"/>
    </w:rPr>
  </w:style>
  <w:style w:type="paragraph" w:styleId="BodyText">
    <w:name w:val="Body Text"/>
    <w:basedOn w:val="Normal"/>
    <w:link w:val="BodyTextChar0"/>
    <w:uiPriority w:val="1"/>
    <w:qFormat/>
    <w:rsid w:val="008813FB"/>
    <w:pPr>
      <w:widowControl w:val="0"/>
      <w:spacing w:after="0" w:line="240" w:lineRule="auto"/>
      <w:ind w:left="140"/>
    </w:pPr>
    <w:rPr>
      <w:rFonts w:ascii="Verdana" w:eastAsia="Verdana" w:hAnsi="Verdana"/>
      <w:sz w:val="24"/>
      <w:szCs w:val="24"/>
      <w:lang w:val="en-US"/>
    </w:rPr>
  </w:style>
  <w:style w:type="character" w:customStyle="1" w:styleId="BodyTextChar0">
    <w:name w:val="Body Text Char"/>
    <w:basedOn w:val="DefaultParagraphFont"/>
    <w:link w:val="BodyText"/>
    <w:uiPriority w:val="1"/>
    <w:rsid w:val="008813FB"/>
    <w:rPr>
      <w:rFonts w:ascii="Verdana" w:eastAsia="Verdana" w:hAnsi="Verdana" w:cs="Times New Roman"/>
      <w:sz w:val="24"/>
      <w:szCs w:val="24"/>
      <w:lang w:val="en-US"/>
    </w:rPr>
  </w:style>
  <w:style w:type="table" w:customStyle="1" w:styleId="TableGrid90">
    <w:name w:val="Table Grid9"/>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3">
    <w:name w:val="Table Grid11"/>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0">
    <w:name w:val="Table Grid12"/>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0">
    <w:name w:val="Table Grid13"/>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E3594F"/>
    <w:rPr>
      <w:color w:val="808080"/>
    </w:rPr>
  </w:style>
  <w:style w:type="paragraph" w:customStyle="1" w:styleId="C">
    <w:name w:val="C"/>
    <w:basedOn w:val="kdjfjdkljkldjf"/>
    <w:link w:val="CChar"/>
    <w:qFormat/>
    <w:rsid w:val="0037146F"/>
    <w:pPr>
      <w:ind w:left="179" w:hanging="179"/>
    </w:pPr>
    <w:rPr>
      <w:spacing w:val="-3"/>
    </w:rPr>
  </w:style>
  <w:style w:type="character" w:customStyle="1" w:styleId="CChar">
    <w:name w:val="C Char"/>
    <w:basedOn w:val="kdjfjdkljkldjfChar"/>
    <w:link w:val="C"/>
    <w:rsid w:val="0037146F"/>
    <w:rPr>
      <w:rFonts w:ascii="Arial" w:eastAsia="Calibri" w:hAnsi="Arial" w:cs="Arial"/>
      <w:spacing w:val="-3"/>
      <w:sz w:val="18"/>
      <w:szCs w:val="18"/>
      <w:lang w:eastAsia="en-GB"/>
    </w:rPr>
  </w:style>
  <w:style w:type="paragraph" w:styleId="Revision">
    <w:name w:val="Revision"/>
    <w:hidden/>
    <w:uiPriority w:val="99"/>
    <w:semiHidden/>
    <w:rsid w:val="005C6238"/>
    <w:pPr>
      <w:spacing w:after="0" w:line="240" w:lineRule="auto"/>
    </w:pPr>
    <w:rPr>
      <w:rFonts w:ascii="Calibri" w:eastAsia="Calibri" w:hAnsi="Calibri" w:cs="Times New Roman"/>
    </w:rPr>
  </w:style>
  <w:style w:type="character" w:customStyle="1" w:styleId="A0">
    <w:name w:val="A0"/>
    <w:basedOn w:val="DefaultParagraphFont"/>
    <w:uiPriority w:val="99"/>
    <w:rsid w:val="00E56C1D"/>
    <w:rPr>
      <w:rFonts w:ascii="Helvetica 45 Light" w:hAnsi="Helvetica 45 Light" w:hint="default"/>
      <w:color w:val="000000"/>
    </w:rPr>
  </w:style>
  <w:style w:type="character" w:customStyle="1" w:styleId="s97facb0b1">
    <w:name w:val="s_97facb0b1"/>
    <w:rsid w:val="00B73FC8"/>
    <w:rPr>
      <w:rFonts w:ascii="Verdana" w:hAnsi="Verdana" w:hint="default"/>
      <w:sz w:val="20"/>
      <w:szCs w:val="20"/>
    </w:rPr>
  </w:style>
  <w:style w:type="paragraph" w:customStyle="1" w:styleId="paragraph">
    <w:name w:val="paragraph"/>
    <w:basedOn w:val="Normal"/>
    <w:uiPriority w:val="99"/>
    <w:rsid w:val="00A73F84"/>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normaltextrun">
    <w:name w:val="normaltextrun"/>
    <w:basedOn w:val="DefaultParagraphFont"/>
    <w:rsid w:val="00A73F84"/>
  </w:style>
  <w:style w:type="character" w:customStyle="1" w:styleId="eop">
    <w:name w:val="eop"/>
    <w:basedOn w:val="DefaultParagraphFont"/>
    <w:rsid w:val="00A73F84"/>
  </w:style>
  <w:style w:type="paragraph" w:styleId="BodyTextIndent">
    <w:name w:val="Body Text Indent"/>
    <w:basedOn w:val="Normal"/>
    <w:link w:val="BodyTextIndentChar"/>
    <w:uiPriority w:val="99"/>
    <w:unhideWhenUsed/>
    <w:rsid w:val="00431C64"/>
    <w:pPr>
      <w:spacing w:after="120"/>
      <w:ind w:left="283"/>
    </w:pPr>
  </w:style>
  <w:style w:type="character" w:customStyle="1" w:styleId="BodyTextIndentChar">
    <w:name w:val="Body Text Indent Char"/>
    <w:basedOn w:val="DefaultParagraphFont"/>
    <w:link w:val="BodyTextIndent"/>
    <w:uiPriority w:val="99"/>
    <w:rsid w:val="00431C64"/>
    <w:rPr>
      <w:rFonts w:ascii="Calibri" w:eastAsia="Calibri" w:hAnsi="Calibri" w:cs="Times New Roman"/>
    </w:rPr>
  </w:style>
  <w:style w:type="table" w:styleId="TableGridLight">
    <w:name w:val="Grid Table Light"/>
    <w:basedOn w:val="TableNormal"/>
    <w:uiPriority w:val="40"/>
    <w:rsid w:val="00C3652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60867">
      <w:bodyDiv w:val="1"/>
      <w:marLeft w:val="0"/>
      <w:marRight w:val="0"/>
      <w:marTop w:val="0"/>
      <w:marBottom w:val="0"/>
      <w:divBdr>
        <w:top w:val="none" w:sz="0" w:space="0" w:color="auto"/>
        <w:left w:val="none" w:sz="0" w:space="0" w:color="auto"/>
        <w:bottom w:val="none" w:sz="0" w:space="0" w:color="auto"/>
        <w:right w:val="none" w:sz="0" w:space="0" w:color="auto"/>
      </w:divBdr>
    </w:div>
    <w:div w:id="39087743">
      <w:bodyDiv w:val="1"/>
      <w:marLeft w:val="0"/>
      <w:marRight w:val="0"/>
      <w:marTop w:val="0"/>
      <w:marBottom w:val="0"/>
      <w:divBdr>
        <w:top w:val="none" w:sz="0" w:space="0" w:color="auto"/>
        <w:left w:val="none" w:sz="0" w:space="0" w:color="auto"/>
        <w:bottom w:val="none" w:sz="0" w:space="0" w:color="auto"/>
        <w:right w:val="none" w:sz="0" w:space="0" w:color="auto"/>
      </w:divBdr>
    </w:div>
    <w:div w:id="82263485">
      <w:bodyDiv w:val="1"/>
      <w:marLeft w:val="0"/>
      <w:marRight w:val="0"/>
      <w:marTop w:val="0"/>
      <w:marBottom w:val="0"/>
      <w:divBdr>
        <w:top w:val="none" w:sz="0" w:space="0" w:color="auto"/>
        <w:left w:val="none" w:sz="0" w:space="0" w:color="auto"/>
        <w:bottom w:val="none" w:sz="0" w:space="0" w:color="auto"/>
        <w:right w:val="none" w:sz="0" w:space="0" w:color="auto"/>
      </w:divBdr>
    </w:div>
    <w:div w:id="96487052">
      <w:bodyDiv w:val="1"/>
      <w:marLeft w:val="0"/>
      <w:marRight w:val="0"/>
      <w:marTop w:val="0"/>
      <w:marBottom w:val="0"/>
      <w:divBdr>
        <w:top w:val="none" w:sz="0" w:space="0" w:color="auto"/>
        <w:left w:val="none" w:sz="0" w:space="0" w:color="auto"/>
        <w:bottom w:val="none" w:sz="0" w:space="0" w:color="auto"/>
        <w:right w:val="none" w:sz="0" w:space="0" w:color="auto"/>
      </w:divBdr>
    </w:div>
    <w:div w:id="101843070">
      <w:bodyDiv w:val="1"/>
      <w:marLeft w:val="0"/>
      <w:marRight w:val="0"/>
      <w:marTop w:val="0"/>
      <w:marBottom w:val="0"/>
      <w:divBdr>
        <w:top w:val="none" w:sz="0" w:space="0" w:color="auto"/>
        <w:left w:val="none" w:sz="0" w:space="0" w:color="auto"/>
        <w:bottom w:val="none" w:sz="0" w:space="0" w:color="auto"/>
        <w:right w:val="none" w:sz="0" w:space="0" w:color="auto"/>
      </w:divBdr>
    </w:div>
    <w:div w:id="115409672">
      <w:bodyDiv w:val="1"/>
      <w:marLeft w:val="0"/>
      <w:marRight w:val="0"/>
      <w:marTop w:val="0"/>
      <w:marBottom w:val="0"/>
      <w:divBdr>
        <w:top w:val="none" w:sz="0" w:space="0" w:color="auto"/>
        <w:left w:val="none" w:sz="0" w:space="0" w:color="auto"/>
        <w:bottom w:val="none" w:sz="0" w:space="0" w:color="auto"/>
        <w:right w:val="none" w:sz="0" w:space="0" w:color="auto"/>
      </w:divBdr>
    </w:div>
    <w:div w:id="120342194">
      <w:bodyDiv w:val="1"/>
      <w:marLeft w:val="0"/>
      <w:marRight w:val="0"/>
      <w:marTop w:val="0"/>
      <w:marBottom w:val="0"/>
      <w:divBdr>
        <w:top w:val="none" w:sz="0" w:space="0" w:color="auto"/>
        <w:left w:val="none" w:sz="0" w:space="0" w:color="auto"/>
        <w:bottom w:val="none" w:sz="0" w:space="0" w:color="auto"/>
        <w:right w:val="none" w:sz="0" w:space="0" w:color="auto"/>
      </w:divBdr>
    </w:div>
    <w:div w:id="135880798">
      <w:bodyDiv w:val="1"/>
      <w:marLeft w:val="0"/>
      <w:marRight w:val="0"/>
      <w:marTop w:val="0"/>
      <w:marBottom w:val="0"/>
      <w:divBdr>
        <w:top w:val="none" w:sz="0" w:space="0" w:color="auto"/>
        <w:left w:val="none" w:sz="0" w:space="0" w:color="auto"/>
        <w:bottom w:val="none" w:sz="0" w:space="0" w:color="auto"/>
        <w:right w:val="none" w:sz="0" w:space="0" w:color="auto"/>
      </w:divBdr>
    </w:div>
    <w:div w:id="156307166">
      <w:bodyDiv w:val="1"/>
      <w:marLeft w:val="0"/>
      <w:marRight w:val="0"/>
      <w:marTop w:val="0"/>
      <w:marBottom w:val="0"/>
      <w:divBdr>
        <w:top w:val="none" w:sz="0" w:space="0" w:color="auto"/>
        <w:left w:val="none" w:sz="0" w:space="0" w:color="auto"/>
        <w:bottom w:val="none" w:sz="0" w:space="0" w:color="auto"/>
        <w:right w:val="none" w:sz="0" w:space="0" w:color="auto"/>
      </w:divBdr>
    </w:div>
    <w:div w:id="167604913">
      <w:bodyDiv w:val="1"/>
      <w:marLeft w:val="0"/>
      <w:marRight w:val="0"/>
      <w:marTop w:val="0"/>
      <w:marBottom w:val="0"/>
      <w:divBdr>
        <w:top w:val="none" w:sz="0" w:space="0" w:color="auto"/>
        <w:left w:val="none" w:sz="0" w:space="0" w:color="auto"/>
        <w:bottom w:val="none" w:sz="0" w:space="0" w:color="auto"/>
        <w:right w:val="none" w:sz="0" w:space="0" w:color="auto"/>
      </w:divBdr>
    </w:div>
    <w:div w:id="208686218">
      <w:bodyDiv w:val="1"/>
      <w:marLeft w:val="0"/>
      <w:marRight w:val="0"/>
      <w:marTop w:val="0"/>
      <w:marBottom w:val="0"/>
      <w:divBdr>
        <w:top w:val="none" w:sz="0" w:space="0" w:color="auto"/>
        <w:left w:val="none" w:sz="0" w:space="0" w:color="auto"/>
        <w:bottom w:val="none" w:sz="0" w:space="0" w:color="auto"/>
        <w:right w:val="none" w:sz="0" w:space="0" w:color="auto"/>
      </w:divBdr>
    </w:div>
    <w:div w:id="248933110">
      <w:bodyDiv w:val="1"/>
      <w:marLeft w:val="0"/>
      <w:marRight w:val="0"/>
      <w:marTop w:val="0"/>
      <w:marBottom w:val="0"/>
      <w:divBdr>
        <w:top w:val="none" w:sz="0" w:space="0" w:color="auto"/>
        <w:left w:val="none" w:sz="0" w:space="0" w:color="auto"/>
        <w:bottom w:val="none" w:sz="0" w:space="0" w:color="auto"/>
        <w:right w:val="none" w:sz="0" w:space="0" w:color="auto"/>
      </w:divBdr>
    </w:div>
    <w:div w:id="272248047">
      <w:bodyDiv w:val="1"/>
      <w:marLeft w:val="0"/>
      <w:marRight w:val="0"/>
      <w:marTop w:val="0"/>
      <w:marBottom w:val="0"/>
      <w:divBdr>
        <w:top w:val="none" w:sz="0" w:space="0" w:color="auto"/>
        <w:left w:val="none" w:sz="0" w:space="0" w:color="auto"/>
        <w:bottom w:val="none" w:sz="0" w:space="0" w:color="auto"/>
        <w:right w:val="none" w:sz="0" w:space="0" w:color="auto"/>
      </w:divBdr>
    </w:div>
    <w:div w:id="276377435">
      <w:bodyDiv w:val="1"/>
      <w:marLeft w:val="0"/>
      <w:marRight w:val="0"/>
      <w:marTop w:val="0"/>
      <w:marBottom w:val="0"/>
      <w:divBdr>
        <w:top w:val="none" w:sz="0" w:space="0" w:color="auto"/>
        <w:left w:val="none" w:sz="0" w:space="0" w:color="auto"/>
        <w:bottom w:val="none" w:sz="0" w:space="0" w:color="auto"/>
        <w:right w:val="none" w:sz="0" w:space="0" w:color="auto"/>
      </w:divBdr>
    </w:div>
    <w:div w:id="295069952">
      <w:bodyDiv w:val="1"/>
      <w:marLeft w:val="0"/>
      <w:marRight w:val="0"/>
      <w:marTop w:val="0"/>
      <w:marBottom w:val="0"/>
      <w:divBdr>
        <w:top w:val="none" w:sz="0" w:space="0" w:color="auto"/>
        <w:left w:val="none" w:sz="0" w:space="0" w:color="auto"/>
        <w:bottom w:val="none" w:sz="0" w:space="0" w:color="auto"/>
        <w:right w:val="none" w:sz="0" w:space="0" w:color="auto"/>
      </w:divBdr>
    </w:div>
    <w:div w:id="314992470">
      <w:bodyDiv w:val="1"/>
      <w:marLeft w:val="0"/>
      <w:marRight w:val="0"/>
      <w:marTop w:val="0"/>
      <w:marBottom w:val="0"/>
      <w:divBdr>
        <w:top w:val="none" w:sz="0" w:space="0" w:color="auto"/>
        <w:left w:val="none" w:sz="0" w:space="0" w:color="auto"/>
        <w:bottom w:val="none" w:sz="0" w:space="0" w:color="auto"/>
        <w:right w:val="none" w:sz="0" w:space="0" w:color="auto"/>
      </w:divBdr>
    </w:div>
    <w:div w:id="335957482">
      <w:bodyDiv w:val="1"/>
      <w:marLeft w:val="0"/>
      <w:marRight w:val="0"/>
      <w:marTop w:val="0"/>
      <w:marBottom w:val="0"/>
      <w:divBdr>
        <w:top w:val="none" w:sz="0" w:space="0" w:color="auto"/>
        <w:left w:val="none" w:sz="0" w:space="0" w:color="auto"/>
        <w:bottom w:val="none" w:sz="0" w:space="0" w:color="auto"/>
        <w:right w:val="none" w:sz="0" w:space="0" w:color="auto"/>
      </w:divBdr>
    </w:div>
    <w:div w:id="336345485">
      <w:bodyDiv w:val="1"/>
      <w:marLeft w:val="0"/>
      <w:marRight w:val="0"/>
      <w:marTop w:val="0"/>
      <w:marBottom w:val="0"/>
      <w:divBdr>
        <w:top w:val="none" w:sz="0" w:space="0" w:color="auto"/>
        <w:left w:val="none" w:sz="0" w:space="0" w:color="auto"/>
        <w:bottom w:val="none" w:sz="0" w:space="0" w:color="auto"/>
        <w:right w:val="none" w:sz="0" w:space="0" w:color="auto"/>
      </w:divBdr>
    </w:div>
    <w:div w:id="345136269">
      <w:bodyDiv w:val="1"/>
      <w:marLeft w:val="0"/>
      <w:marRight w:val="0"/>
      <w:marTop w:val="0"/>
      <w:marBottom w:val="0"/>
      <w:divBdr>
        <w:top w:val="none" w:sz="0" w:space="0" w:color="auto"/>
        <w:left w:val="none" w:sz="0" w:space="0" w:color="auto"/>
        <w:bottom w:val="none" w:sz="0" w:space="0" w:color="auto"/>
        <w:right w:val="none" w:sz="0" w:space="0" w:color="auto"/>
      </w:divBdr>
    </w:div>
    <w:div w:id="392317224">
      <w:bodyDiv w:val="1"/>
      <w:marLeft w:val="0"/>
      <w:marRight w:val="0"/>
      <w:marTop w:val="0"/>
      <w:marBottom w:val="0"/>
      <w:divBdr>
        <w:top w:val="none" w:sz="0" w:space="0" w:color="auto"/>
        <w:left w:val="none" w:sz="0" w:space="0" w:color="auto"/>
        <w:bottom w:val="none" w:sz="0" w:space="0" w:color="auto"/>
        <w:right w:val="none" w:sz="0" w:space="0" w:color="auto"/>
      </w:divBdr>
    </w:div>
    <w:div w:id="477380773">
      <w:bodyDiv w:val="1"/>
      <w:marLeft w:val="0"/>
      <w:marRight w:val="0"/>
      <w:marTop w:val="0"/>
      <w:marBottom w:val="0"/>
      <w:divBdr>
        <w:top w:val="none" w:sz="0" w:space="0" w:color="auto"/>
        <w:left w:val="none" w:sz="0" w:space="0" w:color="auto"/>
        <w:bottom w:val="none" w:sz="0" w:space="0" w:color="auto"/>
        <w:right w:val="none" w:sz="0" w:space="0" w:color="auto"/>
      </w:divBdr>
    </w:div>
    <w:div w:id="510418470">
      <w:bodyDiv w:val="1"/>
      <w:marLeft w:val="0"/>
      <w:marRight w:val="0"/>
      <w:marTop w:val="0"/>
      <w:marBottom w:val="0"/>
      <w:divBdr>
        <w:top w:val="none" w:sz="0" w:space="0" w:color="auto"/>
        <w:left w:val="none" w:sz="0" w:space="0" w:color="auto"/>
        <w:bottom w:val="none" w:sz="0" w:space="0" w:color="auto"/>
        <w:right w:val="none" w:sz="0" w:space="0" w:color="auto"/>
      </w:divBdr>
    </w:div>
    <w:div w:id="532307306">
      <w:bodyDiv w:val="1"/>
      <w:marLeft w:val="0"/>
      <w:marRight w:val="0"/>
      <w:marTop w:val="0"/>
      <w:marBottom w:val="0"/>
      <w:divBdr>
        <w:top w:val="none" w:sz="0" w:space="0" w:color="auto"/>
        <w:left w:val="none" w:sz="0" w:space="0" w:color="auto"/>
        <w:bottom w:val="none" w:sz="0" w:space="0" w:color="auto"/>
        <w:right w:val="none" w:sz="0" w:space="0" w:color="auto"/>
      </w:divBdr>
      <w:divsChild>
        <w:div w:id="1386561598">
          <w:marLeft w:val="994"/>
          <w:marRight w:val="0"/>
          <w:marTop w:val="0"/>
          <w:marBottom w:val="0"/>
          <w:divBdr>
            <w:top w:val="none" w:sz="0" w:space="0" w:color="auto"/>
            <w:left w:val="none" w:sz="0" w:space="0" w:color="auto"/>
            <w:bottom w:val="none" w:sz="0" w:space="0" w:color="auto"/>
            <w:right w:val="none" w:sz="0" w:space="0" w:color="auto"/>
          </w:divBdr>
        </w:div>
      </w:divsChild>
    </w:div>
    <w:div w:id="549613235">
      <w:bodyDiv w:val="1"/>
      <w:marLeft w:val="0"/>
      <w:marRight w:val="0"/>
      <w:marTop w:val="0"/>
      <w:marBottom w:val="0"/>
      <w:divBdr>
        <w:top w:val="none" w:sz="0" w:space="0" w:color="auto"/>
        <w:left w:val="none" w:sz="0" w:space="0" w:color="auto"/>
        <w:bottom w:val="none" w:sz="0" w:space="0" w:color="auto"/>
        <w:right w:val="none" w:sz="0" w:space="0" w:color="auto"/>
      </w:divBdr>
    </w:div>
    <w:div w:id="561602311">
      <w:bodyDiv w:val="1"/>
      <w:marLeft w:val="0"/>
      <w:marRight w:val="0"/>
      <w:marTop w:val="0"/>
      <w:marBottom w:val="0"/>
      <w:divBdr>
        <w:top w:val="none" w:sz="0" w:space="0" w:color="auto"/>
        <w:left w:val="none" w:sz="0" w:space="0" w:color="auto"/>
        <w:bottom w:val="none" w:sz="0" w:space="0" w:color="auto"/>
        <w:right w:val="none" w:sz="0" w:space="0" w:color="auto"/>
      </w:divBdr>
    </w:div>
    <w:div w:id="564798353">
      <w:bodyDiv w:val="1"/>
      <w:marLeft w:val="0"/>
      <w:marRight w:val="0"/>
      <w:marTop w:val="0"/>
      <w:marBottom w:val="0"/>
      <w:divBdr>
        <w:top w:val="none" w:sz="0" w:space="0" w:color="auto"/>
        <w:left w:val="none" w:sz="0" w:space="0" w:color="auto"/>
        <w:bottom w:val="none" w:sz="0" w:space="0" w:color="auto"/>
        <w:right w:val="none" w:sz="0" w:space="0" w:color="auto"/>
      </w:divBdr>
    </w:div>
    <w:div w:id="568466646">
      <w:bodyDiv w:val="1"/>
      <w:marLeft w:val="0"/>
      <w:marRight w:val="0"/>
      <w:marTop w:val="0"/>
      <w:marBottom w:val="0"/>
      <w:divBdr>
        <w:top w:val="none" w:sz="0" w:space="0" w:color="auto"/>
        <w:left w:val="none" w:sz="0" w:space="0" w:color="auto"/>
        <w:bottom w:val="none" w:sz="0" w:space="0" w:color="auto"/>
        <w:right w:val="none" w:sz="0" w:space="0" w:color="auto"/>
      </w:divBdr>
    </w:div>
    <w:div w:id="574707389">
      <w:bodyDiv w:val="1"/>
      <w:marLeft w:val="0"/>
      <w:marRight w:val="0"/>
      <w:marTop w:val="0"/>
      <w:marBottom w:val="0"/>
      <w:divBdr>
        <w:top w:val="none" w:sz="0" w:space="0" w:color="auto"/>
        <w:left w:val="none" w:sz="0" w:space="0" w:color="auto"/>
        <w:bottom w:val="none" w:sz="0" w:space="0" w:color="auto"/>
        <w:right w:val="none" w:sz="0" w:space="0" w:color="auto"/>
      </w:divBdr>
    </w:div>
    <w:div w:id="578638613">
      <w:bodyDiv w:val="1"/>
      <w:marLeft w:val="0"/>
      <w:marRight w:val="0"/>
      <w:marTop w:val="0"/>
      <w:marBottom w:val="0"/>
      <w:divBdr>
        <w:top w:val="none" w:sz="0" w:space="0" w:color="auto"/>
        <w:left w:val="none" w:sz="0" w:space="0" w:color="auto"/>
        <w:bottom w:val="none" w:sz="0" w:space="0" w:color="auto"/>
        <w:right w:val="none" w:sz="0" w:space="0" w:color="auto"/>
      </w:divBdr>
    </w:div>
    <w:div w:id="589200905">
      <w:bodyDiv w:val="1"/>
      <w:marLeft w:val="0"/>
      <w:marRight w:val="0"/>
      <w:marTop w:val="0"/>
      <w:marBottom w:val="0"/>
      <w:divBdr>
        <w:top w:val="none" w:sz="0" w:space="0" w:color="auto"/>
        <w:left w:val="none" w:sz="0" w:space="0" w:color="auto"/>
        <w:bottom w:val="none" w:sz="0" w:space="0" w:color="auto"/>
        <w:right w:val="none" w:sz="0" w:space="0" w:color="auto"/>
      </w:divBdr>
    </w:div>
    <w:div w:id="609094797">
      <w:bodyDiv w:val="1"/>
      <w:marLeft w:val="0"/>
      <w:marRight w:val="0"/>
      <w:marTop w:val="0"/>
      <w:marBottom w:val="0"/>
      <w:divBdr>
        <w:top w:val="none" w:sz="0" w:space="0" w:color="auto"/>
        <w:left w:val="none" w:sz="0" w:space="0" w:color="auto"/>
        <w:bottom w:val="none" w:sz="0" w:space="0" w:color="auto"/>
        <w:right w:val="none" w:sz="0" w:space="0" w:color="auto"/>
      </w:divBdr>
    </w:div>
    <w:div w:id="617029139">
      <w:bodyDiv w:val="1"/>
      <w:marLeft w:val="0"/>
      <w:marRight w:val="0"/>
      <w:marTop w:val="0"/>
      <w:marBottom w:val="0"/>
      <w:divBdr>
        <w:top w:val="none" w:sz="0" w:space="0" w:color="auto"/>
        <w:left w:val="none" w:sz="0" w:space="0" w:color="auto"/>
        <w:bottom w:val="none" w:sz="0" w:space="0" w:color="auto"/>
        <w:right w:val="none" w:sz="0" w:space="0" w:color="auto"/>
      </w:divBdr>
    </w:div>
    <w:div w:id="630983199">
      <w:bodyDiv w:val="1"/>
      <w:marLeft w:val="0"/>
      <w:marRight w:val="0"/>
      <w:marTop w:val="0"/>
      <w:marBottom w:val="0"/>
      <w:divBdr>
        <w:top w:val="none" w:sz="0" w:space="0" w:color="auto"/>
        <w:left w:val="none" w:sz="0" w:space="0" w:color="auto"/>
        <w:bottom w:val="none" w:sz="0" w:space="0" w:color="auto"/>
        <w:right w:val="none" w:sz="0" w:space="0" w:color="auto"/>
      </w:divBdr>
    </w:div>
    <w:div w:id="644621853">
      <w:bodyDiv w:val="1"/>
      <w:marLeft w:val="0"/>
      <w:marRight w:val="0"/>
      <w:marTop w:val="0"/>
      <w:marBottom w:val="0"/>
      <w:divBdr>
        <w:top w:val="none" w:sz="0" w:space="0" w:color="auto"/>
        <w:left w:val="none" w:sz="0" w:space="0" w:color="auto"/>
        <w:bottom w:val="none" w:sz="0" w:space="0" w:color="auto"/>
        <w:right w:val="none" w:sz="0" w:space="0" w:color="auto"/>
      </w:divBdr>
    </w:div>
    <w:div w:id="658190658">
      <w:bodyDiv w:val="1"/>
      <w:marLeft w:val="0"/>
      <w:marRight w:val="0"/>
      <w:marTop w:val="0"/>
      <w:marBottom w:val="0"/>
      <w:divBdr>
        <w:top w:val="none" w:sz="0" w:space="0" w:color="auto"/>
        <w:left w:val="none" w:sz="0" w:space="0" w:color="auto"/>
        <w:bottom w:val="none" w:sz="0" w:space="0" w:color="auto"/>
        <w:right w:val="none" w:sz="0" w:space="0" w:color="auto"/>
      </w:divBdr>
    </w:div>
    <w:div w:id="672949802">
      <w:bodyDiv w:val="1"/>
      <w:marLeft w:val="0"/>
      <w:marRight w:val="0"/>
      <w:marTop w:val="0"/>
      <w:marBottom w:val="0"/>
      <w:divBdr>
        <w:top w:val="none" w:sz="0" w:space="0" w:color="auto"/>
        <w:left w:val="none" w:sz="0" w:space="0" w:color="auto"/>
        <w:bottom w:val="none" w:sz="0" w:space="0" w:color="auto"/>
        <w:right w:val="none" w:sz="0" w:space="0" w:color="auto"/>
      </w:divBdr>
    </w:div>
    <w:div w:id="678119060">
      <w:bodyDiv w:val="1"/>
      <w:marLeft w:val="0"/>
      <w:marRight w:val="0"/>
      <w:marTop w:val="0"/>
      <w:marBottom w:val="0"/>
      <w:divBdr>
        <w:top w:val="none" w:sz="0" w:space="0" w:color="auto"/>
        <w:left w:val="none" w:sz="0" w:space="0" w:color="auto"/>
        <w:bottom w:val="none" w:sz="0" w:space="0" w:color="auto"/>
        <w:right w:val="none" w:sz="0" w:space="0" w:color="auto"/>
      </w:divBdr>
    </w:div>
    <w:div w:id="678891643">
      <w:bodyDiv w:val="1"/>
      <w:marLeft w:val="0"/>
      <w:marRight w:val="0"/>
      <w:marTop w:val="0"/>
      <w:marBottom w:val="0"/>
      <w:divBdr>
        <w:top w:val="none" w:sz="0" w:space="0" w:color="auto"/>
        <w:left w:val="none" w:sz="0" w:space="0" w:color="auto"/>
        <w:bottom w:val="none" w:sz="0" w:space="0" w:color="auto"/>
        <w:right w:val="none" w:sz="0" w:space="0" w:color="auto"/>
      </w:divBdr>
    </w:div>
    <w:div w:id="683437694">
      <w:bodyDiv w:val="1"/>
      <w:marLeft w:val="0"/>
      <w:marRight w:val="0"/>
      <w:marTop w:val="0"/>
      <w:marBottom w:val="0"/>
      <w:divBdr>
        <w:top w:val="none" w:sz="0" w:space="0" w:color="auto"/>
        <w:left w:val="none" w:sz="0" w:space="0" w:color="auto"/>
        <w:bottom w:val="none" w:sz="0" w:space="0" w:color="auto"/>
        <w:right w:val="none" w:sz="0" w:space="0" w:color="auto"/>
      </w:divBdr>
    </w:div>
    <w:div w:id="694576133">
      <w:bodyDiv w:val="1"/>
      <w:marLeft w:val="0"/>
      <w:marRight w:val="0"/>
      <w:marTop w:val="0"/>
      <w:marBottom w:val="0"/>
      <w:divBdr>
        <w:top w:val="none" w:sz="0" w:space="0" w:color="auto"/>
        <w:left w:val="none" w:sz="0" w:space="0" w:color="auto"/>
        <w:bottom w:val="none" w:sz="0" w:space="0" w:color="auto"/>
        <w:right w:val="none" w:sz="0" w:space="0" w:color="auto"/>
      </w:divBdr>
    </w:div>
    <w:div w:id="700712378">
      <w:bodyDiv w:val="1"/>
      <w:marLeft w:val="0"/>
      <w:marRight w:val="0"/>
      <w:marTop w:val="0"/>
      <w:marBottom w:val="0"/>
      <w:divBdr>
        <w:top w:val="none" w:sz="0" w:space="0" w:color="auto"/>
        <w:left w:val="none" w:sz="0" w:space="0" w:color="auto"/>
        <w:bottom w:val="none" w:sz="0" w:space="0" w:color="auto"/>
        <w:right w:val="none" w:sz="0" w:space="0" w:color="auto"/>
      </w:divBdr>
    </w:div>
    <w:div w:id="723721360">
      <w:bodyDiv w:val="1"/>
      <w:marLeft w:val="0"/>
      <w:marRight w:val="0"/>
      <w:marTop w:val="0"/>
      <w:marBottom w:val="0"/>
      <w:divBdr>
        <w:top w:val="none" w:sz="0" w:space="0" w:color="auto"/>
        <w:left w:val="none" w:sz="0" w:space="0" w:color="auto"/>
        <w:bottom w:val="none" w:sz="0" w:space="0" w:color="auto"/>
        <w:right w:val="none" w:sz="0" w:space="0" w:color="auto"/>
      </w:divBdr>
    </w:div>
    <w:div w:id="733553217">
      <w:bodyDiv w:val="1"/>
      <w:marLeft w:val="0"/>
      <w:marRight w:val="0"/>
      <w:marTop w:val="0"/>
      <w:marBottom w:val="0"/>
      <w:divBdr>
        <w:top w:val="none" w:sz="0" w:space="0" w:color="auto"/>
        <w:left w:val="none" w:sz="0" w:space="0" w:color="auto"/>
        <w:bottom w:val="none" w:sz="0" w:space="0" w:color="auto"/>
        <w:right w:val="none" w:sz="0" w:space="0" w:color="auto"/>
      </w:divBdr>
    </w:div>
    <w:div w:id="758404071">
      <w:bodyDiv w:val="1"/>
      <w:marLeft w:val="0"/>
      <w:marRight w:val="0"/>
      <w:marTop w:val="0"/>
      <w:marBottom w:val="0"/>
      <w:divBdr>
        <w:top w:val="none" w:sz="0" w:space="0" w:color="auto"/>
        <w:left w:val="none" w:sz="0" w:space="0" w:color="auto"/>
        <w:bottom w:val="none" w:sz="0" w:space="0" w:color="auto"/>
        <w:right w:val="none" w:sz="0" w:space="0" w:color="auto"/>
      </w:divBdr>
    </w:div>
    <w:div w:id="773205939">
      <w:bodyDiv w:val="1"/>
      <w:marLeft w:val="0"/>
      <w:marRight w:val="0"/>
      <w:marTop w:val="0"/>
      <w:marBottom w:val="0"/>
      <w:divBdr>
        <w:top w:val="none" w:sz="0" w:space="0" w:color="auto"/>
        <w:left w:val="none" w:sz="0" w:space="0" w:color="auto"/>
        <w:bottom w:val="none" w:sz="0" w:space="0" w:color="auto"/>
        <w:right w:val="none" w:sz="0" w:space="0" w:color="auto"/>
      </w:divBdr>
    </w:div>
    <w:div w:id="799955955">
      <w:bodyDiv w:val="1"/>
      <w:marLeft w:val="0"/>
      <w:marRight w:val="0"/>
      <w:marTop w:val="0"/>
      <w:marBottom w:val="0"/>
      <w:divBdr>
        <w:top w:val="none" w:sz="0" w:space="0" w:color="auto"/>
        <w:left w:val="none" w:sz="0" w:space="0" w:color="auto"/>
        <w:bottom w:val="none" w:sz="0" w:space="0" w:color="auto"/>
        <w:right w:val="none" w:sz="0" w:space="0" w:color="auto"/>
      </w:divBdr>
    </w:div>
    <w:div w:id="831094577">
      <w:bodyDiv w:val="1"/>
      <w:marLeft w:val="0"/>
      <w:marRight w:val="0"/>
      <w:marTop w:val="0"/>
      <w:marBottom w:val="0"/>
      <w:divBdr>
        <w:top w:val="none" w:sz="0" w:space="0" w:color="auto"/>
        <w:left w:val="none" w:sz="0" w:space="0" w:color="auto"/>
        <w:bottom w:val="none" w:sz="0" w:space="0" w:color="auto"/>
        <w:right w:val="none" w:sz="0" w:space="0" w:color="auto"/>
      </w:divBdr>
    </w:div>
    <w:div w:id="832456318">
      <w:bodyDiv w:val="1"/>
      <w:marLeft w:val="0"/>
      <w:marRight w:val="0"/>
      <w:marTop w:val="0"/>
      <w:marBottom w:val="0"/>
      <w:divBdr>
        <w:top w:val="none" w:sz="0" w:space="0" w:color="auto"/>
        <w:left w:val="none" w:sz="0" w:space="0" w:color="auto"/>
        <w:bottom w:val="none" w:sz="0" w:space="0" w:color="auto"/>
        <w:right w:val="none" w:sz="0" w:space="0" w:color="auto"/>
      </w:divBdr>
    </w:div>
    <w:div w:id="842546538">
      <w:bodyDiv w:val="1"/>
      <w:marLeft w:val="0"/>
      <w:marRight w:val="0"/>
      <w:marTop w:val="0"/>
      <w:marBottom w:val="0"/>
      <w:divBdr>
        <w:top w:val="none" w:sz="0" w:space="0" w:color="auto"/>
        <w:left w:val="none" w:sz="0" w:space="0" w:color="auto"/>
        <w:bottom w:val="none" w:sz="0" w:space="0" w:color="auto"/>
        <w:right w:val="none" w:sz="0" w:space="0" w:color="auto"/>
      </w:divBdr>
    </w:div>
    <w:div w:id="864245938">
      <w:bodyDiv w:val="1"/>
      <w:marLeft w:val="0"/>
      <w:marRight w:val="0"/>
      <w:marTop w:val="0"/>
      <w:marBottom w:val="0"/>
      <w:divBdr>
        <w:top w:val="none" w:sz="0" w:space="0" w:color="auto"/>
        <w:left w:val="none" w:sz="0" w:space="0" w:color="auto"/>
        <w:bottom w:val="none" w:sz="0" w:space="0" w:color="auto"/>
        <w:right w:val="none" w:sz="0" w:space="0" w:color="auto"/>
      </w:divBdr>
    </w:div>
    <w:div w:id="871456326">
      <w:bodyDiv w:val="1"/>
      <w:marLeft w:val="0"/>
      <w:marRight w:val="0"/>
      <w:marTop w:val="0"/>
      <w:marBottom w:val="0"/>
      <w:divBdr>
        <w:top w:val="none" w:sz="0" w:space="0" w:color="auto"/>
        <w:left w:val="none" w:sz="0" w:space="0" w:color="auto"/>
        <w:bottom w:val="none" w:sz="0" w:space="0" w:color="auto"/>
        <w:right w:val="none" w:sz="0" w:space="0" w:color="auto"/>
      </w:divBdr>
    </w:div>
    <w:div w:id="873343148">
      <w:bodyDiv w:val="1"/>
      <w:marLeft w:val="0"/>
      <w:marRight w:val="0"/>
      <w:marTop w:val="0"/>
      <w:marBottom w:val="0"/>
      <w:divBdr>
        <w:top w:val="none" w:sz="0" w:space="0" w:color="auto"/>
        <w:left w:val="none" w:sz="0" w:space="0" w:color="auto"/>
        <w:bottom w:val="none" w:sz="0" w:space="0" w:color="auto"/>
        <w:right w:val="none" w:sz="0" w:space="0" w:color="auto"/>
      </w:divBdr>
    </w:div>
    <w:div w:id="899902974">
      <w:bodyDiv w:val="1"/>
      <w:marLeft w:val="0"/>
      <w:marRight w:val="0"/>
      <w:marTop w:val="0"/>
      <w:marBottom w:val="0"/>
      <w:divBdr>
        <w:top w:val="none" w:sz="0" w:space="0" w:color="auto"/>
        <w:left w:val="none" w:sz="0" w:space="0" w:color="auto"/>
        <w:bottom w:val="none" w:sz="0" w:space="0" w:color="auto"/>
        <w:right w:val="none" w:sz="0" w:space="0" w:color="auto"/>
      </w:divBdr>
    </w:div>
    <w:div w:id="915896375">
      <w:bodyDiv w:val="1"/>
      <w:marLeft w:val="0"/>
      <w:marRight w:val="0"/>
      <w:marTop w:val="0"/>
      <w:marBottom w:val="0"/>
      <w:divBdr>
        <w:top w:val="none" w:sz="0" w:space="0" w:color="auto"/>
        <w:left w:val="none" w:sz="0" w:space="0" w:color="auto"/>
        <w:bottom w:val="none" w:sz="0" w:space="0" w:color="auto"/>
        <w:right w:val="none" w:sz="0" w:space="0" w:color="auto"/>
      </w:divBdr>
    </w:div>
    <w:div w:id="917250666">
      <w:bodyDiv w:val="1"/>
      <w:marLeft w:val="0"/>
      <w:marRight w:val="0"/>
      <w:marTop w:val="0"/>
      <w:marBottom w:val="0"/>
      <w:divBdr>
        <w:top w:val="none" w:sz="0" w:space="0" w:color="auto"/>
        <w:left w:val="none" w:sz="0" w:space="0" w:color="auto"/>
        <w:bottom w:val="none" w:sz="0" w:space="0" w:color="auto"/>
        <w:right w:val="none" w:sz="0" w:space="0" w:color="auto"/>
      </w:divBdr>
    </w:div>
    <w:div w:id="925697559">
      <w:bodyDiv w:val="1"/>
      <w:marLeft w:val="0"/>
      <w:marRight w:val="0"/>
      <w:marTop w:val="0"/>
      <w:marBottom w:val="0"/>
      <w:divBdr>
        <w:top w:val="none" w:sz="0" w:space="0" w:color="auto"/>
        <w:left w:val="none" w:sz="0" w:space="0" w:color="auto"/>
        <w:bottom w:val="none" w:sz="0" w:space="0" w:color="auto"/>
        <w:right w:val="none" w:sz="0" w:space="0" w:color="auto"/>
      </w:divBdr>
    </w:div>
    <w:div w:id="941424863">
      <w:bodyDiv w:val="1"/>
      <w:marLeft w:val="0"/>
      <w:marRight w:val="0"/>
      <w:marTop w:val="0"/>
      <w:marBottom w:val="0"/>
      <w:divBdr>
        <w:top w:val="none" w:sz="0" w:space="0" w:color="auto"/>
        <w:left w:val="none" w:sz="0" w:space="0" w:color="auto"/>
        <w:bottom w:val="none" w:sz="0" w:space="0" w:color="auto"/>
        <w:right w:val="none" w:sz="0" w:space="0" w:color="auto"/>
      </w:divBdr>
    </w:div>
    <w:div w:id="944733560">
      <w:bodyDiv w:val="1"/>
      <w:marLeft w:val="0"/>
      <w:marRight w:val="0"/>
      <w:marTop w:val="0"/>
      <w:marBottom w:val="0"/>
      <w:divBdr>
        <w:top w:val="none" w:sz="0" w:space="0" w:color="auto"/>
        <w:left w:val="none" w:sz="0" w:space="0" w:color="auto"/>
        <w:bottom w:val="none" w:sz="0" w:space="0" w:color="auto"/>
        <w:right w:val="none" w:sz="0" w:space="0" w:color="auto"/>
      </w:divBdr>
    </w:div>
    <w:div w:id="966662397">
      <w:bodyDiv w:val="1"/>
      <w:marLeft w:val="0"/>
      <w:marRight w:val="0"/>
      <w:marTop w:val="0"/>
      <w:marBottom w:val="0"/>
      <w:divBdr>
        <w:top w:val="none" w:sz="0" w:space="0" w:color="auto"/>
        <w:left w:val="none" w:sz="0" w:space="0" w:color="auto"/>
        <w:bottom w:val="none" w:sz="0" w:space="0" w:color="auto"/>
        <w:right w:val="none" w:sz="0" w:space="0" w:color="auto"/>
      </w:divBdr>
    </w:div>
    <w:div w:id="1015378785">
      <w:bodyDiv w:val="1"/>
      <w:marLeft w:val="0"/>
      <w:marRight w:val="0"/>
      <w:marTop w:val="0"/>
      <w:marBottom w:val="0"/>
      <w:divBdr>
        <w:top w:val="none" w:sz="0" w:space="0" w:color="auto"/>
        <w:left w:val="none" w:sz="0" w:space="0" w:color="auto"/>
        <w:bottom w:val="none" w:sz="0" w:space="0" w:color="auto"/>
        <w:right w:val="none" w:sz="0" w:space="0" w:color="auto"/>
      </w:divBdr>
    </w:div>
    <w:div w:id="1095788141">
      <w:bodyDiv w:val="1"/>
      <w:marLeft w:val="0"/>
      <w:marRight w:val="0"/>
      <w:marTop w:val="0"/>
      <w:marBottom w:val="0"/>
      <w:divBdr>
        <w:top w:val="none" w:sz="0" w:space="0" w:color="auto"/>
        <w:left w:val="none" w:sz="0" w:space="0" w:color="auto"/>
        <w:bottom w:val="none" w:sz="0" w:space="0" w:color="auto"/>
        <w:right w:val="none" w:sz="0" w:space="0" w:color="auto"/>
      </w:divBdr>
    </w:div>
    <w:div w:id="1102845912">
      <w:bodyDiv w:val="1"/>
      <w:marLeft w:val="0"/>
      <w:marRight w:val="0"/>
      <w:marTop w:val="0"/>
      <w:marBottom w:val="0"/>
      <w:divBdr>
        <w:top w:val="none" w:sz="0" w:space="0" w:color="auto"/>
        <w:left w:val="none" w:sz="0" w:space="0" w:color="auto"/>
        <w:bottom w:val="none" w:sz="0" w:space="0" w:color="auto"/>
        <w:right w:val="none" w:sz="0" w:space="0" w:color="auto"/>
      </w:divBdr>
    </w:div>
    <w:div w:id="1113666996">
      <w:bodyDiv w:val="1"/>
      <w:marLeft w:val="0"/>
      <w:marRight w:val="0"/>
      <w:marTop w:val="0"/>
      <w:marBottom w:val="0"/>
      <w:divBdr>
        <w:top w:val="none" w:sz="0" w:space="0" w:color="auto"/>
        <w:left w:val="none" w:sz="0" w:space="0" w:color="auto"/>
        <w:bottom w:val="none" w:sz="0" w:space="0" w:color="auto"/>
        <w:right w:val="none" w:sz="0" w:space="0" w:color="auto"/>
      </w:divBdr>
    </w:div>
    <w:div w:id="1122764907">
      <w:bodyDiv w:val="1"/>
      <w:marLeft w:val="0"/>
      <w:marRight w:val="0"/>
      <w:marTop w:val="0"/>
      <w:marBottom w:val="0"/>
      <w:divBdr>
        <w:top w:val="none" w:sz="0" w:space="0" w:color="auto"/>
        <w:left w:val="none" w:sz="0" w:space="0" w:color="auto"/>
        <w:bottom w:val="none" w:sz="0" w:space="0" w:color="auto"/>
        <w:right w:val="none" w:sz="0" w:space="0" w:color="auto"/>
      </w:divBdr>
    </w:div>
    <w:div w:id="1123378840">
      <w:bodyDiv w:val="1"/>
      <w:marLeft w:val="0"/>
      <w:marRight w:val="0"/>
      <w:marTop w:val="0"/>
      <w:marBottom w:val="0"/>
      <w:divBdr>
        <w:top w:val="none" w:sz="0" w:space="0" w:color="auto"/>
        <w:left w:val="none" w:sz="0" w:space="0" w:color="auto"/>
        <w:bottom w:val="none" w:sz="0" w:space="0" w:color="auto"/>
        <w:right w:val="none" w:sz="0" w:space="0" w:color="auto"/>
      </w:divBdr>
    </w:div>
    <w:div w:id="1127162726">
      <w:bodyDiv w:val="1"/>
      <w:marLeft w:val="0"/>
      <w:marRight w:val="0"/>
      <w:marTop w:val="0"/>
      <w:marBottom w:val="0"/>
      <w:divBdr>
        <w:top w:val="none" w:sz="0" w:space="0" w:color="auto"/>
        <w:left w:val="none" w:sz="0" w:space="0" w:color="auto"/>
        <w:bottom w:val="none" w:sz="0" w:space="0" w:color="auto"/>
        <w:right w:val="none" w:sz="0" w:space="0" w:color="auto"/>
      </w:divBdr>
    </w:div>
    <w:div w:id="1133015253">
      <w:bodyDiv w:val="1"/>
      <w:marLeft w:val="0"/>
      <w:marRight w:val="0"/>
      <w:marTop w:val="0"/>
      <w:marBottom w:val="0"/>
      <w:divBdr>
        <w:top w:val="none" w:sz="0" w:space="0" w:color="auto"/>
        <w:left w:val="none" w:sz="0" w:space="0" w:color="auto"/>
        <w:bottom w:val="none" w:sz="0" w:space="0" w:color="auto"/>
        <w:right w:val="none" w:sz="0" w:space="0" w:color="auto"/>
      </w:divBdr>
    </w:div>
    <w:div w:id="1144618379">
      <w:bodyDiv w:val="1"/>
      <w:marLeft w:val="0"/>
      <w:marRight w:val="0"/>
      <w:marTop w:val="0"/>
      <w:marBottom w:val="0"/>
      <w:divBdr>
        <w:top w:val="none" w:sz="0" w:space="0" w:color="auto"/>
        <w:left w:val="none" w:sz="0" w:space="0" w:color="auto"/>
        <w:bottom w:val="none" w:sz="0" w:space="0" w:color="auto"/>
        <w:right w:val="none" w:sz="0" w:space="0" w:color="auto"/>
      </w:divBdr>
      <w:divsChild>
        <w:div w:id="1737438961">
          <w:marLeft w:val="994"/>
          <w:marRight w:val="0"/>
          <w:marTop w:val="0"/>
          <w:marBottom w:val="0"/>
          <w:divBdr>
            <w:top w:val="none" w:sz="0" w:space="0" w:color="auto"/>
            <w:left w:val="none" w:sz="0" w:space="0" w:color="auto"/>
            <w:bottom w:val="none" w:sz="0" w:space="0" w:color="auto"/>
            <w:right w:val="none" w:sz="0" w:space="0" w:color="auto"/>
          </w:divBdr>
        </w:div>
      </w:divsChild>
    </w:div>
    <w:div w:id="1174805550">
      <w:bodyDiv w:val="1"/>
      <w:marLeft w:val="0"/>
      <w:marRight w:val="0"/>
      <w:marTop w:val="0"/>
      <w:marBottom w:val="0"/>
      <w:divBdr>
        <w:top w:val="none" w:sz="0" w:space="0" w:color="auto"/>
        <w:left w:val="none" w:sz="0" w:space="0" w:color="auto"/>
        <w:bottom w:val="none" w:sz="0" w:space="0" w:color="auto"/>
        <w:right w:val="none" w:sz="0" w:space="0" w:color="auto"/>
      </w:divBdr>
    </w:div>
    <w:div w:id="1195577943">
      <w:bodyDiv w:val="1"/>
      <w:marLeft w:val="0"/>
      <w:marRight w:val="0"/>
      <w:marTop w:val="0"/>
      <w:marBottom w:val="0"/>
      <w:divBdr>
        <w:top w:val="none" w:sz="0" w:space="0" w:color="auto"/>
        <w:left w:val="none" w:sz="0" w:space="0" w:color="auto"/>
        <w:bottom w:val="none" w:sz="0" w:space="0" w:color="auto"/>
        <w:right w:val="none" w:sz="0" w:space="0" w:color="auto"/>
      </w:divBdr>
    </w:div>
    <w:div w:id="1203983336">
      <w:bodyDiv w:val="1"/>
      <w:marLeft w:val="0"/>
      <w:marRight w:val="0"/>
      <w:marTop w:val="0"/>
      <w:marBottom w:val="0"/>
      <w:divBdr>
        <w:top w:val="none" w:sz="0" w:space="0" w:color="auto"/>
        <w:left w:val="none" w:sz="0" w:space="0" w:color="auto"/>
        <w:bottom w:val="none" w:sz="0" w:space="0" w:color="auto"/>
        <w:right w:val="none" w:sz="0" w:space="0" w:color="auto"/>
      </w:divBdr>
    </w:div>
    <w:div w:id="1211304005">
      <w:bodyDiv w:val="1"/>
      <w:marLeft w:val="0"/>
      <w:marRight w:val="0"/>
      <w:marTop w:val="0"/>
      <w:marBottom w:val="0"/>
      <w:divBdr>
        <w:top w:val="none" w:sz="0" w:space="0" w:color="auto"/>
        <w:left w:val="none" w:sz="0" w:space="0" w:color="auto"/>
        <w:bottom w:val="none" w:sz="0" w:space="0" w:color="auto"/>
        <w:right w:val="none" w:sz="0" w:space="0" w:color="auto"/>
      </w:divBdr>
    </w:div>
    <w:div w:id="1222404152">
      <w:bodyDiv w:val="1"/>
      <w:marLeft w:val="0"/>
      <w:marRight w:val="0"/>
      <w:marTop w:val="0"/>
      <w:marBottom w:val="0"/>
      <w:divBdr>
        <w:top w:val="none" w:sz="0" w:space="0" w:color="auto"/>
        <w:left w:val="none" w:sz="0" w:space="0" w:color="auto"/>
        <w:bottom w:val="none" w:sz="0" w:space="0" w:color="auto"/>
        <w:right w:val="none" w:sz="0" w:space="0" w:color="auto"/>
      </w:divBdr>
    </w:div>
    <w:div w:id="1230457482">
      <w:bodyDiv w:val="1"/>
      <w:marLeft w:val="0"/>
      <w:marRight w:val="0"/>
      <w:marTop w:val="0"/>
      <w:marBottom w:val="0"/>
      <w:divBdr>
        <w:top w:val="none" w:sz="0" w:space="0" w:color="auto"/>
        <w:left w:val="none" w:sz="0" w:space="0" w:color="auto"/>
        <w:bottom w:val="none" w:sz="0" w:space="0" w:color="auto"/>
        <w:right w:val="none" w:sz="0" w:space="0" w:color="auto"/>
      </w:divBdr>
    </w:div>
    <w:div w:id="1255241743">
      <w:bodyDiv w:val="1"/>
      <w:marLeft w:val="0"/>
      <w:marRight w:val="0"/>
      <w:marTop w:val="0"/>
      <w:marBottom w:val="0"/>
      <w:divBdr>
        <w:top w:val="none" w:sz="0" w:space="0" w:color="auto"/>
        <w:left w:val="none" w:sz="0" w:space="0" w:color="auto"/>
        <w:bottom w:val="none" w:sz="0" w:space="0" w:color="auto"/>
        <w:right w:val="none" w:sz="0" w:space="0" w:color="auto"/>
      </w:divBdr>
    </w:div>
    <w:div w:id="1285767732">
      <w:bodyDiv w:val="1"/>
      <w:marLeft w:val="0"/>
      <w:marRight w:val="0"/>
      <w:marTop w:val="0"/>
      <w:marBottom w:val="0"/>
      <w:divBdr>
        <w:top w:val="none" w:sz="0" w:space="0" w:color="auto"/>
        <w:left w:val="none" w:sz="0" w:space="0" w:color="auto"/>
        <w:bottom w:val="none" w:sz="0" w:space="0" w:color="auto"/>
        <w:right w:val="none" w:sz="0" w:space="0" w:color="auto"/>
      </w:divBdr>
    </w:div>
    <w:div w:id="1359357690">
      <w:bodyDiv w:val="1"/>
      <w:marLeft w:val="0"/>
      <w:marRight w:val="0"/>
      <w:marTop w:val="0"/>
      <w:marBottom w:val="0"/>
      <w:divBdr>
        <w:top w:val="none" w:sz="0" w:space="0" w:color="auto"/>
        <w:left w:val="none" w:sz="0" w:space="0" w:color="auto"/>
        <w:bottom w:val="none" w:sz="0" w:space="0" w:color="auto"/>
        <w:right w:val="none" w:sz="0" w:space="0" w:color="auto"/>
      </w:divBdr>
    </w:div>
    <w:div w:id="1361130356">
      <w:bodyDiv w:val="1"/>
      <w:marLeft w:val="0"/>
      <w:marRight w:val="0"/>
      <w:marTop w:val="0"/>
      <w:marBottom w:val="0"/>
      <w:divBdr>
        <w:top w:val="none" w:sz="0" w:space="0" w:color="auto"/>
        <w:left w:val="none" w:sz="0" w:space="0" w:color="auto"/>
        <w:bottom w:val="none" w:sz="0" w:space="0" w:color="auto"/>
        <w:right w:val="none" w:sz="0" w:space="0" w:color="auto"/>
      </w:divBdr>
    </w:div>
    <w:div w:id="1362053490">
      <w:bodyDiv w:val="1"/>
      <w:marLeft w:val="0"/>
      <w:marRight w:val="0"/>
      <w:marTop w:val="0"/>
      <w:marBottom w:val="0"/>
      <w:divBdr>
        <w:top w:val="none" w:sz="0" w:space="0" w:color="auto"/>
        <w:left w:val="none" w:sz="0" w:space="0" w:color="auto"/>
        <w:bottom w:val="none" w:sz="0" w:space="0" w:color="auto"/>
        <w:right w:val="none" w:sz="0" w:space="0" w:color="auto"/>
      </w:divBdr>
    </w:div>
    <w:div w:id="1381898109">
      <w:bodyDiv w:val="1"/>
      <w:marLeft w:val="0"/>
      <w:marRight w:val="0"/>
      <w:marTop w:val="0"/>
      <w:marBottom w:val="0"/>
      <w:divBdr>
        <w:top w:val="none" w:sz="0" w:space="0" w:color="auto"/>
        <w:left w:val="none" w:sz="0" w:space="0" w:color="auto"/>
        <w:bottom w:val="none" w:sz="0" w:space="0" w:color="auto"/>
        <w:right w:val="none" w:sz="0" w:space="0" w:color="auto"/>
      </w:divBdr>
    </w:div>
    <w:div w:id="1435789060">
      <w:bodyDiv w:val="1"/>
      <w:marLeft w:val="0"/>
      <w:marRight w:val="0"/>
      <w:marTop w:val="0"/>
      <w:marBottom w:val="0"/>
      <w:divBdr>
        <w:top w:val="none" w:sz="0" w:space="0" w:color="auto"/>
        <w:left w:val="none" w:sz="0" w:space="0" w:color="auto"/>
        <w:bottom w:val="none" w:sz="0" w:space="0" w:color="auto"/>
        <w:right w:val="none" w:sz="0" w:space="0" w:color="auto"/>
      </w:divBdr>
    </w:div>
    <w:div w:id="1447969459">
      <w:bodyDiv w:val="1"/>
      <w:marLeft w:val="0"/>
      <w:marRight w:val="0"/>
      <w:marTop w:val="0"/>
      <w:marBottom w:val="0"/>
      <w:divBdr>
        <w:top w:val="none" w:sz="0" w:space="0" w:color="auto"/>
        <w:left w:val="none" w:sz="0" w:space="0" w:color="auto"/>
        <w:bottom w:val="none" w:sz="0" w:space="0" w:color="auto"/>
        <w:right w:val="none" w:sz="0" w:space="0" w:color="auto"/>
      </w:divBdr>
    </w:div>
    <w:div w:id="1470901801">
      <w:bodyDiv w:val="1"/>
      <w:marLeft w:val="0"/>
      <w:marRight w:val="0"/>
      <w:marTop w:val="0"/>
      <w:marBottom w:val="0"/>
      <w:divBdr>
        <w:top w:val="none" w:sz="0" w:space="0" w:color="auto"/>
        <w:left w:val="none" w:sz="0" w:space="0" w:color="auto"/>
        <w:bottom w:val="none" w:sz="0" w:space="0" w:color="auto"/>
        <w:right w:val="none" w:sz="0" w:space="0" w:color="auto"/>
      </w:divBdr>
    </w:div>
    <w:div w:id="1480728891">
      <w:bodyDiv w:val="1"/>
      <w:marLeft w:val="0"/>
      <w:marRight w:val="0"/>
      <w:marTop w:val="0"/>
      <w:marBottom w:val="0"/>
      <w:divBdr>
        <w:top w:val="none" w:sz="0" w:space="0" w:color="auto"/>
        <w:left w:val="none" w:sz="0" w:space="0" w:color="auto"/>
        <w:bottom w:val="none" w:sz="0" w:space="0" w:color="auto"/>
        <w:right w:val="none" w:sz="0" w:space="0" w:color="auto"/>
      </w:divBdr>
    </w:div>
    <w:div w:id="1553733053">
      <w:bodyDiv w:val="1"/>
      <w:marLeft w:val="0"/>
      <w:marRight w:val="0"/>
      <w:marTop w:val="0"/>
      <w:marBottom w:val="0"/>
      <w:divBdr>
        <w:top w:val="none" w:sz="0" w:space="0" w:color="auto"/>
        <w:left w:val="none" w:sz="0" w:space="0" w:color="auto"/>
        <w:bottom w:val="none" w:sz="0" w:space="0" w:color="auto"/>
        <w:right w:val="none" w:sz="0" w:space="0" w:color="auto"/>
      </w:divBdr>
    </w:div>
    <w:div w:id="1592347890">
      <w:bodyDiv w:val="1"/>
      <w:marLeft w:val="0"/>
      <w:marRight w:val="0"/>
      <w:marTop w:val="0"/>
      <w:marBottom w:val="0"/>
      <w:divBdr>
        <w:top w:val="none" w:sz="0" w:space="0" w:color="auto"/>
        <w:left w:val="none" w:sz="0" w:space="0" w:color="auto"/>
        <w:bottom w:val="none" w:sz="0" w:space="0" w:color="auto"/>
        <w:right w:val="none" w:sz="0" w:space="0" w:color="auto"/>
      </w:divBdr>
    </w:div>
    <w:div w:id="1602255434">
      <w:bodyDiv w:val="1"/>
      <w:marLeft w:val="0"/>
      <w:marRight w:val="0"/>
      <w:marTop w:val="0"/>
      <w:marBottom w:val="0"/>
      <w:divBdr>
        <w:top w:val="none" w:sz="0" w:space="0" w:color="auto"/>
        <w:left w:val="none" w:sz="0" w:space="0" w:color="auto"/>
        <w:bottom w:val="none" w:sz="0" w:space="0" w:color="auto"/>
        <w:right w:val="none" w:sz="0" w:space="0" w:color="auto"/>
      </w:divBdr>
    </w:div>
    <w:div w:id="1636565048">
      <w:bodyDiv w:val="1"/>
      <w:marLeft w:val="0"/>
      <w:marRight w:val="0"/>
      <w:marTop w:val="0"/>
      <w:marBottom w:val="0"/>
      <w:divBdr>
        <w:top w:val="none" w:sz="0" w:space="0" w:color="auto"/>
        <w:left w:val="none" w:sz="0" w:space="0" w:color="auto"/>
        <w:bottom w:val="none" w:sz="0" w:space="0" w:color="auto"/>
        <w:right w:val="none" w:sz="0" w:space="0" w:color="auto"/>
      </w:divBdr>
    </w:div>
    <w:div w:id="1672217352">
      <w:bodyDiv w:val="1"/>
      <w:marLeft w:val="0"/>
      <w:marRight w:val="0"/>
      <w:marTop w:val="0"/>
      <w:marBottom w:val="0"/>
      <w:divBdr>
        <w:top w:val="none" w:sz="0" w:space="0" w:color="auto"/>
        <w:left w:val="none" w:sz="0" w:space="0" w:color="auto"/>
        <w:bottom w:val="none" w:sz="0" w:space="0" w:color="auto"/>
        <w:right w:val="none" w:sz="0" w:space="0" w:color="auto"/>
      </w:divBdr>
    </w:div>
    <w:div w:id="1692337756">
      <w:bodyDiv w:val="1"/>
      <w:marLeft w:val="0"/>
      <w:marRight w:val="0"/>
      <w:marTop w:val="0"/>
      <w:marBottom w:val="0"/>
      <w:divBdr>
        <w:top w:val="none" w:sz="0" w:space="0" w:color="auto"/>
        <w:left w:val="none" w:sz="0" w:space="0" w:color="auto"/>
        <w:bottom w:val="none" w:sz="0" w:space="0" w:color="auto"/>
        <w:right w:val="none" w:sz="0" w:space="0" w:color="auto"/>
      </w:divBdr>
    </w:div>
    <w:div w:id="1699699818">
      <w:bodyDiv w:val="1"/>
      <w:marLeft w:val="0"/>
      <w:marRight w:val="0"/>
      <w:marTop w:val="0"/>
      <w:marBottom w:val="0"/>
      <w:divBdr>
        <w:top w:val="none" w:sz="0" w:space="0" w:color="auto"/>
        <w:left w:val="none" w:sz="0" w:space="0" w:color="auto"/>
        <w:bottom w:val="none" w:sz="0" w:space="0" w:color="auto"/>
        <w:right w:val="none" w:sz="0" w:space="0" w:color="auto"/>
      </w:divBdr>
    </w:div>
    <w:div w:id="1713269093">
      <w:bodyDiv w:val="1"/>
      <w:marLeft w:val="0"/>
      <w:marRight w:val="0"/>
      <w:marTop w:val="0"/>
      <w:marBottom w:val="0"/>
      <w:divBdr>
        <w:top w:val="none" w:sz="0" w:space="0" w:color="auto"/>
        <w:left w:val="none" w:sz="0" w:space="0" w:color="auto"/>
        <w:bottom w:val="none" w:sz="0" w:space="0" w:color="auto"/>
        <w:right w:val="none" w:sz="0" w:space="0" w:color="auto"/>
      </w:divBdr>
    </w:div>
    <w:div w:id="1722628088">
      <w:bodyDiv w:val="1"/>
      <w:marLeft w:val="0"/>
      <w:marRight w:val="0"/>
      <w:marTop w:val="0"/>
      <w:marBottom w:val="0"/>
      <w:divBdr>
        <w:top w:val="none" w:sz="0" w:space="0" w:color="auto"/>
        <w:left w:val="none" w:sz="0" w:space="0" w:color="auto"/>
        <w:bottom w:val="none" w:sz="0" w:space="0" w:color="auto"/>
        <w:right w:val="none" w:sz="0" w:space="0" w:color="auto"/>
      </w:divBdr>
    </w:div>
    <w:div w:id="1732339469">
      <w:bodyDiv w:val="1"/>
      <w:marLeft w:val="0"/>
      <w:marRight w:val="0"/>
      <w:marTop w:val="0"/>
      <w:marBottom w:val="0"/>
      <w:divBdr>
        <w:top w:val="none" w:sz="0" w:space="0" w:color="auto"/>
        <w:left w:val="none" w:sz="0" w:space="0" w:color="auto"/>
        <w:bottom w:val="none" w:sz="0" w:space="0" w:color="auto"/>
        <w:right w:val="none" w:sz="0" w:space="0" w:color="auto"/>
      </w:divBdr>
      <w:divsChild>
        <w:div w:id="1521242794">
          <w:marLeft w:val="274"/>
          <w:marRight w:val="0"/>
          <w:marTop w:val="0"/>
          <w:marBottom w:val="0"/>
          <w:divBdr>
            <w:top w:val="none" w:sz="0" w:space="0" w:color="auto"/>
            <w:left w:val="none" w:sz="0" w:space="0" w:color="auto"/>
            <w:bottom w:val="none" w:sz="0" w:space="0" w:color="auto"/>
            <w:right w:val="none" w:sz="0" w:space="0" w:color="auto"/>
          </w:divBdr>
        </w:div>
      </w:divsChild>
    </w:div>
    <w:div w:id="1751997074">
      <w:bodyDiv w:val="1"/>
      <w:marLeft w:val="0"/>
      <w:marRight w:val="0"/>
      <w:marTop w:val="0"/>
      <w:marBottom w:val="0"/>
      <w:divBdr>
        <w:top w:val="none" w:sz="0" w:space="0" w:color="auto"/>
        <w:left w:val="none" w:sz="0" w:space="0" w:color="auto"/>
        <w:bottom w:val="none" w:sz="0" w:space="0" w:color="auto"/>
        <w:right w:val="none" w:sz="0" w:space="0" w:color="auto"/>
      </w:divBdr>
    </w:div>
    <w:div w:id="1760979445">
      <w:bodyDiv w:val="1"/>
      <w:marLeft w:val="0"/>
      <w:marRight w:val="0"/>
      <w:marTop w:val="0"/>
      <w:marBottom w:val="0"/>
      <w:divBdr>
        <w:top w:val="none" w:sz="0" w:space="0" w:color="auto"/>
        <w:left w:val="none" w:sz="0" w:space="0" w:color="auto"/>
        <w:bottom w:val="none" w:sz="0" w:space="0" w:color="auto"/>
        <w:right w:val="none" w:sz="0" w:space="0" w:color="auto"/>
      </w:divBdr>
    </w:div>
    <w:div w:id="1774981083">
      <w:bodyDiv w:val="1"/>
      <w:marLeft w:val="0"/>
      <w:marRight w:val="0"/>
      <w:marTop w:val="0"/>
      <w:marBottom w:val="0"/>
      <w:divBdr>
        <w:top w:val="none" w:sz="0" w:space="0" w:color="auto"/>
        <w:left w:val="none" w:sz="0" w:space="0" w:color="auto"/>
        <w:bottom w:val="none" w:sz="0" w:space="0" w:color="auto"/>
        <w:right w:val="none" w:sz="0" w:space="0" w:color="auto"/>
      </w:divBdr>
    </w:div>
    <w:div w:id="1796866260">
      <w:bodyDiv w:val="1"/>
      <w:marLeft w:val="0"/>
      <w:marRight w:val="0"/>
      <w:marTop w:val="0"/>
      <w:marBottom w:val="0"/>
      <w:divBdr>
        <w:top w:val="none" w:sz="0" w:space="0" w:color="auto"/>
        <w:left w:val="none" w:sz="0" w:space="0" w:color="auto"/>
        <w:bottom w:val="none" w:sz="0" w:space="0" w:color="auto"/>
        <w:right w:val="none" w:sz="0" w:space="0" w:color="auto"/>
      </w:divBdr>
    </w:div>
    <w:div w:id="1800486602">
      <w:bodyDiv w:val="1"/>
      <w:marLeft w:val="0"/>
      <w:marRight w:val="0"/>
      <w:marTop w:val="0"/>
      <w:marBottom w:val="0"/>
      <w:divBdr>
        <w:top w:val="none" w:sz="0" w:space="0" w:color="auto"/>
        <w:left w:val="none" w:sz="0" w:space="0" w:color="auto"/>
        <w:bottom w:val="none" w:sz="0" w:space="0" w:color="auto"/>
        <w:right w:val="none" w:sz="0" w:space="0" w:color="auto"/>
      </w:divBdr>
    </w:div>
    <w:div w:id="1839464781">
      <w:bodyDiv w:val="1"/>
      <w:marLeft w:val="0"/>
      <w:marRight w:val="0"/>
      <w:marTop w:val="0"/>
      <w:marBottom w:val="0"/>
      <w:divBdr>
        <w:top w:val="none" w:sz="0" w:space="0" w:color="auto"/>
        <w:left w:val="none" w:sz="0" w:space="0" w:color="auto"/>
        <w:bottom w:val="none" w:sz="0" w:space="0" w:color="auto"/>
        <w:right w:val="none" w:sz="0" w:space="0" w:color="auto"/>
      </w:divBdr>
    </w:div>
    <w:div w:id="1897935831">
      <w:bodyDiv w:val="1"/>
      <w:marLeft w:val="0"/>
      <w:marRight w:val="0"/>
      <w:marTop w:val="0"/>
      <w:marBottom w:val="0"/>
      <w:divBdr>
        <w:top w:val="none" w:sz="0" w:space="0" w:color="auto"/>
        <w:left w:val="none" w:sz="0" w:space="0" w:color="auto"/>
        <w:bottom w:val="none" w:sz="0" w:space="0" w:color="auto"/>
        <w:right w:val="none" w:sz="0" w:space="0" w:color="auto"/>
      </w:divBdr>
    </w:div>
    <w:div w:id="1914703046">
      <w:bodyDiv w:val="1"/>
      <w:marLeft w:val="0"/>
      <w:marRight w:val="0"/>
      <w:marTop w:val="0"/>
      <w:marBottom w:val="0"/>
      <w:divBdr>
        <w:top w:val="none" w:sz="0" w:space="0" w:color="auto"/>
        <w:left w:val="none" w:sz="0" w:space="0" w:color="auto"/>
        <w:bottom w:val="none" w:sz="0" w:space="0" w:color="auto"/>
        <w:right w:val="none" w:sz="0" w:space="0" w:color="auto"/>
      </w:divBdr>
    </w:div>
    <w:div w:id="1981422555">
      <w:bodyDiv w:val="1"/>
      <w:marLeft w:val="0"/>
      <w:marRight w:val="0"/>
      <w:marTop w:val="0"/>
      <w:marBottom w:val="0"/>
      <w:divBdr>
        <w:top w:val="none" w:sz="0" w:space="0" w:color="auto"/>
        <w:left w:val="none" w:sz="0" w:space="0" w:color="auto"/>
        <w:bottom w:val="none" w:sz="0" w:space="0" w:color="auto"/>
        <w:right w:val="none" w:sz="0" w:space="0" w:color="auto"/>
      </w:divBdr>
    </w:div>
    <w:div w:id="1992437798">
      <w:bodyDiv w:val="1"/>
      <w:marLeft w:val="0"/>
      <w:marRight w:val="0"/>
      <w:marTop w:val="0"/>
      <w:marBottom w:val="0"/>
      <w:divBdr>
        <w:top w:val="none" w:sz="0" w:space="0" w:color="auto"/>
        <w:left w:val="none" w:sz="0" w:space="0" w:color="auto"/>
        <w:bottom w:val="none" w:sz="0" w:space="0" w:color="auto"/>
        <w:right w:val="none" w:sz="0" w:space="0" w:color="auto"/>
      </w:divBdr>
    </w:div>
    <w:div w:id="1996450458">
      <w:bodyDiv w:val="1"/>
      <w:marLeft w:val="0"/>
      <w:marRight w:val="0"/>
      <w:marTop w:val="0"/>
      <w:marBottom w:val="0"/>
      <w:divBdr>
        <w:top w:val="none" w:sz="0" w:space="0" w:color="auto"/>
        <w:left w:val="none" w:sz="0" w:space="0" w:color="auto"/>
        <w:bottom w:val="none" w:sz="0" w:space="0" w:color="auto"/>
        <w:right w:val="none" w:sz="0" w:space="0" w:color="auto"/>
      </w:divBdr>
    </w:div>
    <w:div w:id="2014606686">
      <w:bodyDiv w:val="1"/>
      <w:marLeft w:val="0"/>
      <w:marRight w:val="0"/>
      <w:marTop w:val="0"/>
      <w:marBottom w:val="0"/>
      <w:divBdr>
        <w:top w:val="none" w:sz="0" w:space="0" w:color="auto"/>
        <w:left w:val="none" w:sz="0" w:space="0" w:color="auto"/>
        <w:bottom w:val="none" w:sz="0" w:space="0" w:color="auto"/>
        <w:right w:val="none" w:sz="0" w:space="0" w:color="auto"/>
      </w:divBdr>
    </w:div>
    <w:div w:id="2049724107">
      <w:bodyDiv w:val="1"/>
      <w:marLeft w:val="0"/>
      <w:marRight w:val="0"/>
      <w:marTop w:val="0"/>
      <w:marBottom w:val="0"/>
      <w:divBdr>
        <w:top w:val="none" w:sz="0" w:space="0" w:color="auto"/>
        <w:left w:val="none" w:sz="0" w:space="0" w:color="auto"/>
        <w:bottom w:val="none" w:sz="0" w:space="0" w:color="auto"/>
        <w:right w:val="none" w:sz="0" w:space="0" w:color="auto"/>
      </w:divBdr>
    </w:div>
    <w:div w:id="2069302642">
      <w:bodyDiv w:val="1"/>
      <w:marLeft w:val="0"/>
      <w:marRight w:val="0"/>
      <w:marTop w:val="0"/>
      <w:marBottom w:val="0"/>
      <w:divBdr>
        <w:top w:val="none" w:sz="0" w:space="0" w:color="auto"/>
        <w:left w:val="none" w:sz="0" w:space="0" w:color="auto"/>
        <w:bottom w:val="none" w:sz="0" w:space="0" w:color="auto"/>
        <w:right w:val="none" w:sz="0" w:space="0" w:color="auto"/>
      </w:divBdr>
    </w:div>
    <w:div w:id="2076465357">
      <w:bodyDiv w:val="1"/>
      <w:marLeft w:val="0"/>
      <w:marRight w:val="0"/>
      <w:marTop w:val="0"/>
      <w:marBottom w:val="0"/>
      <w:divBdr>
        <w:top w:val="none" w:sz="0" w:space="0" w:color="auto"/>
        <w:left w:val="none" w:sz="0" w:space="0" w:color="auto"/>
        <w:bottom w:val="none" w:sz="0" w:space="0" w:color="auto"/>
        <w:right w:val="none" w:sz="0" w:space="0" w:color="auto"/>
      </w:divBdr>
    </w:div>
    <w:div w:id="2083134295">
      <w:bodyDiv w:val="1"/>
      <w:marLeft w:val="0"/>
      <w:marRight w:val="0"/>
      <w:marTop w:val="0"/>
      <w:marBottom w:val="0"/>
      <w:divBdr>
        <w:top w:val="none" w:sz="0" w:space="0" w:color="auto"/>
        <w:left w:val="none" w:sz="0" w:space="0" w:color="auto"/>
        <w:bottom w:val="none" w:sz="0" w:space="0" w:color="auto"/>
        <w:right w:val="none" w:sz="0" w:space="0" w:color="auto"/>
      </w:divBdr>
    </w:div>
    <w:div w:id="2111271020">
      <w:bodyDiv w:val="1"/>
      <w:marLeft w:val="0"/>
      <w:marRight w:val="0"/>
      <w:marTop w:val="0"/>
      <w:marBottom w:val="0"/>
      <w:divBdr>
        <w:top w:val="none" w:sz="0" w:space="0" w:color="auto"/>
        <w:left w:val="none" w:sz="0" w:space="0" w:color="auto"/>
        <w:bottom w:val="none" w:sz="0" w:space="0" w:color="auto"/>
        <w:right w:val="none" w:sz="0" w:space="0" w:color="auto"/>
      </w:divBdr>
    </w:div>
    <w:div w:id="2126924737">
      <w:bodyDiv w:val="1"/>
      <w:marLeft w:val="0"/>
      <w:marRight w:val="0"/>
      <w:marTop w:val="0"/>
      <w:marBottom w:val="0"/>
      <w:divBdr>
        <w:top w:val="none" w:sz="0" w:space="0" w:color="auto"/>
        <w:left w:val="none" w:sz="0" w:space="0" w:color="auto"/>
        <w:bottom w:val="none" w:sz="0" w:space="0" w:color="auto"/>
        <w:right w:val="none" w:sz="0" w:space="0" w:color="auto"/>
      </w:divBdr>
    </w:div>
    <w:div w:id="2136560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chart" Target="charts/chart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chart" Target="charts/chart3.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5" Type="http://schemas.openxmlformats.org/officeDocument/2006/relationships/numbering" Target="numbering.xml"/><Relationship Id="rId15"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em184278\AppData\Local\Microsoft\Windows\INetCache\Content.Outlook\SDYUWYA0\Charts%20for%20Metrics%20Report%20(May25).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C:\Users\em184278\AppData\Local\Microsoft\Windows\INetCache\Content.Outlook\SDYUWYA0\Charts%20for%20Metrics%20Report%20(May25).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C:\Users\em184278\AppData\Local\Microsoft\Windows\INetCache\Content.Outlook\SDYUWYA0\Charts%20for%20Metrics%20Report%20(May25).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ymru.nhs.uk\abm_ulhb\group\Corporate%20Admin\Operational%20HR%20Cases\ER%20Tracker\Reports\Figs%20for%20Julian\Operational%20Casework%20v2%20wef%20April%202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3372680978980207E-2"/>
          <c:y val="5.7160900024999378E-2"/>
          <c:w val="0.68354963321892459"/>
          <c:h val="0.71911757329892656"/>
        </c:manualLayout>
      </c:layout>
      <c:lineChart>
        <c:grouping val="standard"/>
        <c:varyColors val="0"/>
        <c:ser>
          <c:idx val="0"/>
          <c:order val="0"/>
          <c:tx>
            <c:v>% sickness rate (12 month rolling)</c:v>
          </c:tx>
          <c:spPr>
            <a:ln w="25400" cap="rnd">
              <a:solidFill>
                <a:srgbClr val="FFC000"/>
              </a:solidFill>
              <a:round/>
            </a:ln>
            <a:effectLst/>
          </c:spPr>
          <c:marker>
            <c:symbol val="none"/>
          </c:marker>
          <c:cat>
            <c:numLit>
              <c:formatCode>mmm\-yy</c:formatCode>
              <c:ptCount val="37"/>
              <c:pt idx="0">
                <c:v>44986</c:v>
              </c:pt>
              <c:pt idx="1">
                <c:v>45017</c:v>
              </c:pt>
              <c:pt idx="2">
                <c:v>45047</c:v>
              </c:pt>
              <c:pt idx="3">
                <c:v>45078</c:v>
              </c:pt>
              <c:pt idx="4">
                <c:v>45108</c:v>
              </c:pt>
              <c:pt idx="5">
                <c:v>45139</c:v>
              </c:pt>
              <c:pt idx="6">
                <c:v>45170</c:v>
              </c:pt>
              <c:pt idx="7">
                <c:v>45200</c:v>
              </c:pt>
              <c:pt idx="8">
                <c:v>45231</c:v>
              </c:pt>
              <c:pt idx="9">
                <c:v>45261</c:v>
              </c:pt>
              <c:pt idx="10">
                <c:v>45292</c:v>
              </c:pt>
              <c:pt idx="11">
                <c:v>45323</c:v>
              </c:pt>
              <c:pt idx="12">
                <c:v>45352</c:v>
              </c:pt>
              <c:pt idx="13">
                <c:v>45383</c:v>
              </c:pt>
              <c:pt idx="14">
                <c:v>45413</c:v>
              </c:pt>
              <c:pt idx="15">
                <c:v>45444</c:v>
              </c:pt>
              <c:pt idx="16">
                <c:v>45474</c:v>
              </c:pt>
              <c:pt idx="17">
                <c:v>45505</c:v>
              </c:pt>
              <c:pt idx="18">
                <c:v>45536</c:v>
              </c:pt>
              <c:pt idx="19">
                <c:v>45566</c:v>
              </c:pt>
              <c:pt idx="20">
                <c:v>45597</c:v>
              </c:pt>
              <c:pt idx="21">
                <c:v>45627</c:v>
              </c:pt>
              <c:pt idx="22">
                <c:v>45658</c:v>
              </c:pt>
              <c:pt idx="23">
                <c:v>45689</c:v>
              </c:pt>
              <c:pt idx="24">
                <c:v>45717</c:v>
              </c:pt>
              <c:pt idx="25">
                <c:v>45748</c:v>
              </c:pt>
              <c:pt idx="26">
                <c:v>45778</c:v>
              </c:pt>
              <c:pt idx="27">
                <c:v>45809</c:v>
              </c:pt>
              <c:pt idx="28">
                <c:v>45839</c:v>
              </c:pt>
              <c:pt idx="29">
                <c:v>45870</c:v>
              </c:pt>
              <c:pt idx="30">
                <c:v>45901</c:v>
              </c:pt>
              <c:pt idx="31">
                <c:v>45931</c:v>
              </c:pt>
              <c:pt idx="32">
                <c:v>45962</c:v>
              </c:pt>
              <c:pt idx="33">
                <c:v>45992</c:v>
              </c:pt>
              <c:pt idx="34">
                <c:v>46023</c:v>
              </c:pt>
              <c:pt idx="35">
                <c:v>46054</c:v>
              </c:pt>
              <c:pt idx="36">
                <c:v>46082</c:v>
              </c:pt>
            </c:numLit>
          </c:cat>
          <c:val>
            <c:numLit>
              <c:formatCode>0.00%</c:formatCode>
              <c:ptCount val="37"/>
              <c:pt idx="0">
                <c:v>7.6499999999999999E-2</c:v>
              </c:pt>
              <c:pt idx="1">
                <c:v>7.46E-2</c:v>
              </c:pt>
              <c:pt idx="2">
                <c:v>7.3700000000000002E-2</c:v>
              </c:pt>
              <c:pt idx="3">
                <c:v>7.2800000000000004E-2</c:v>
              </c:pt>
              <c:pt idx="4">
                <c:v>7.1099999999999997E-2</c:v>
              </c:pt>
              <c:pt idx="5">
                <c:v>7.0800000000000002E-2</c:v>
              </c:pt>
              <c:pt idx="6">
                <c:v>7.0800000000000002E-2</c:v>
              </c:pt>
              <c:pt idx="7">
                <c:v>7.0499999999999993E-2</c:v>
              </c:pt>
              <c:pt idx="8">
                <c:v>7.0900000000000005E-2</c:v>
              </c:pt>
              <c:pt idx="9">
                <c:v>6.9599999999999995E-2</c:v>
              </c:pt>
              <c:pt idx="10">
                <c:v>6.9599999999999995E-2</c:v>
              </c:pt>
              <c:pt idx="11">
                <c:v>6.9900000000000004E-2</c:v>
              </c:pt>
              <c:pt idx="12">
                <c:v>6.9599999999999995E-2</c:v>
              </c:pt>
              <c:pt idx="13">
                <c:v>7.0000000000000007E-2</c:v>
              </c:pt>
              <c:pt idx="14">
                <c:v>7.0499999999999993E-2</c:v>
              </c:pt>
              <c:pt idx="15">
                <c:v>7.0900000000000005E-2</c:v>
              </c:pt>
              <c:pt idx="16">
                <c:v>7.2700000000000001E-2</c:v>
              </c:pt>
              <c:pt idx="17">
                <c:v>7.0699999999999999E-2</c:v>
              </c:pt>
              <c:pt idx="18">
                <c:v>7.0699999999999999E-2</c:v>
              </c:pt>
              <c:pt idx="19">
                <c:v>7.0499999999999993E-2</c:v>
              </c:pt>
              <c:pt idx="20">
                <c:v>7.2400000000000006E-2</c:v>
              </c:pt>
              <c:pt idx="21">
                <c:v>7.0599999999999996E-2</c:v>
              </c:pt>
              <c:pt idx="22">
                <c:v>7.0800000000000002E-2</c:v>
              </c:pt>
              <c:pt idx="23">
                <c:v>7.0800000000000002E-2</c:v>
              </c:pt>
              <c:pt idx="24">
                <c:v>7.0699999999999999E-2</c:v>
              </c:pt>
              <c:pt idx="25">
                <c:v>7.0800000000000002E-2</c:v>
              </c:pt>
            </c:numLit>
          </c:val>
          <c:smooth val="0"/>
          <c:extLst>
            <c:ext xmlns:c16="http://schemas.microsoft.com/office/drawing/2014/chart" uri="{C3380CC4-5D6E-409C-BE32-E72D297353CC}">
              <c16:uniqueId val="{00000000-067F-4534-9A4F-CE5776EC56D8}"/>
            </c:ext>
          </c:extLst>
        </c:ser>
        <c:ser>
          <c:idx val="1"/>
          <c:order val="1"/>
          <c:tx>
            <c:v>% sickness rate (in-month)</c:v>
          </c:tx>
          <c:spPr>
            <a:ln w="25400" cap="rnd">
              <a:solidFill>
                <a:srgbClr val="ED7D31"/>
              </a:solidFill>
              <a:round/>
            </a:ln>
            <a:effectLst/>
          </c:spPr>
          <c:marker>
            <c:symbol val="diamond"/>
            <c:size val="5"/>
            <c:spPr>
              <a:solidFill>
                <a:srgbClr val="ED7D31"/>
              </a:solidFill>
              <a:ln w="9525">
                <a:solidFill>
                  <a:srgbClr val="ED7D31"/>
                </a:solidFill>
              </a:ln>
              <a:effectLst/>
            </c:spPr>
          </c:marker>
          <c:cat>
            <c:numLit>
              <c:formatCode>mmm\-yy</c:formatCode>
              <c:ptCount val="37"/>
              <c:pt idx="0">
                <c:v>44986</c:v>
              </c:pt>
              <c:pt idx="1">
                <c:v>45017</c:v>
              </c:pt>
              <c:pt idx="2">
                <c:v>45047</c:v>
              </c:pt>
              <c:pt idx="3">
                <c:v>45078</c:v>
              </c:pt>
              <c:pt idx="4">
                <c:v>45108</c:v>
              </c:pt>
              <c:pt idx="5">
                <c:v>45139</c:v>
              </c:pt>
              <c:pt idx="6">
                <c:v>45170</c:v>
              </c:pt>
              <c:pt idx="7">
                <c:v>45200</c:v>
              </c:pt>
              <c:pt idx="8">
                <c:v>45231</c:v>
              </c:pt>
              <c:pt idx="9">
                <c:v>45261</c:v>
              </c:pt>
              <c:pt idx="10">
                <c:v>45292</c:v>
              </c:pt>
              <c:pt idx="11">
                <c:v>45323</c:v>
              </c:pt>
              <c:pt idx="12">
                <c:v>45352</c:v>
              </c:pt>
              <c:pt idx="13">
                <c:v>45383</c:v>
              </c:pt>
              <c:pt idx="14">
                <c:v>45413</c:v>
              </c:pt>
              <c:pt idx="15">
                <c:v>45444</c:v>
              </c:pt>
              <c:pt idx="16">
                <c:v>45474</c:v>
              </c:pt>
              <c:pt idx="17">
                <c:v>45505</c:v>
              </c:pt>
              <c:pt idx="18">
                <c:v>45536</c:v>
              </c:pt>
              <c:pt idx="19">
                <c:v>45566</c:v>
              </c:pt>
              <c:pt idx="20">
                <c:v>45597</c:v>
              </c:pt>
              <c:pt idx="21">
                <c:v>45627</c:v>
              </c:pt>
              <c:pt idx="22">
                <c:v>45658</c:v>
              </c:pt>
              <c:pt idx="23">
                <c:v>45689</c:v>
              </c:pt>
              <c:pt idx="24">
                <c:v>45717</c:v>
              </c:pt>
              <c:pt idx="25">
                <c:v>45748</c:v>
              </c:pt>
              <c:pt idx="26">
                <c:v>45778</c:v>
              </c:pt>
              <c:pt idx="27">
                <c:v>45809</c:v>
              </c:pt>
              <c:pt idx="28">
                <c:v>45839</c:v>
              </c:pt>
              <c:pt idx="29">
                <c:v>45870</c:v>
              </c:pt>
              <c:pt idx="30">
                <c:v>45901</c:v>
              </c:pt>
              <c:pt idx="31">
                <c:v>45931</c:v>
              </c:pt>
              <c:pt idx="32">
                <c:v>45962</c:v>
              </c:pt>
              <c:pt idx="33">
                <c:v>45992</c:v>
              </c:pt>
              <c:pt idx="34">
                <c:v>46023</c:v>
              </c:pt>
              <c:pt idx="35">
                <c:v>46054</c:v>
              </c:pt>
              <c:pt idx="36">
                <c:v>46082</c:v>
              </c:pt>
            </c:numLit>
          </c:cat>
          <c:val>
            <c:numLit>
              <c:formatCode>0.00%</c:formatCode>
              <c:ptCount val="37"/>
              <c:pt idx="0">
                <c:v>6.7900000000000002E-2</c:v>
              </c:pt>
              <c:pt idx="1">
                <c:v>6.2399999999999997E-2</c:v>
              </c:pt>
              <c:pt idx="2">
                <c:v>5.8500000000000003E-2</c:v>
              </c:pt>
              <c:pt idx="3">
                <c:v>6.3E-2</c:v>
              </c:pt>
              <c:pt idx="4">
                <c:v>6.7599999999999993E-2</c:v>
              </c:pt>
              <c:pt idx="5">
                <c:v>6.6799999999999998E-2</c:v>
              </c:pt>
              <c:pt idx="6">
                <c:v>6.6900000000000001E-2</c:v>
              </c:pt>
              <c:pt idx="7">
                <c:v>6.9900000000000004E-2</c:v>
              </c:pt>
              <c:pt idx="8">
                <c:v>7.1099999999999997E-2</c:v>
              </c:pt>
              <c:pt idx="9">
                <c:v>7.3499999999999996E-2</c:v>
              </c:pt>
              <c:pt idx="10">
                <c:v>7.2400000000000006E-2</c:v>
              </c:pt>
              <c:pt idx="11">
                <c:v>6.9500000000000006E-2</c:v>
              </c:pt>
              <c:pt idx="12">
                <c:v>6.6699999999999995E-2</c:v>
              </c:pt>
              <c:pt idx="13">
                <c:v>6.6100000000000006E-2</c:v>
              </c:pt>
              <c:pt idx="14">
                <c:v>6.7599999999999993E-2</c:v>
              </c:pt>
              <c:pt idx="15">
                <c:v>7.1499999999999994E-2</c:v>
              </c:pt>
              <c:pt idx="16">
                <c:v>7.0999999999999994E-2</c:v>
              </c:pt>
              <c:pt idx="17">
                <c:v>6.6699999999999995E-2</c:v>
              </c:pt>
              <c:pt idx="18">
                <c:v>6.6699999999999995E-2</c:v>
              </c:pt>
              <c:pt idx="19">
                <c:v>7.0499999999999993E-2</c:v>
              </c:pt>
              <c:pt idx="20">
                <c:v>7.0599999999999996E-2</c:v>
              </c:pt>
              <c:pt idx="21">
                <c:v>7.7299999999999994E-2</c:v>
              </c:pt>
              <c:pt idx="22">
                <c:v>7.7100000000000002E-2</c:v>
              </c:pt>
              <c:pt idx="23">
                <c:v>7.0599999999999996E-2</c:v>
              </c:pt>
              <c:pt idx="24">
                <c:v>6.6500000000000004E-2</c:v>
              </c:pt>
              <c:pt idx="25">
                <c:v>6.8199999999999997E-2</c:v>
              </c:pt>
            </c:numLit>
          </c:val>
          <c:smooth val="0"/>
          <c:extLst>
            <c:ext xmlns:c16="http://schemas.microsoft.com/office/drawing/2014/chart" uri="{C3380CC4-5D6E-409C-BE32-E72D297353CC}">
              <c16:uniqueId val="{00000001-067F-4534-9A4F-CE5776EC56D8}"/>
            </c:ext>
          </c:extLst>
        </c:ser>
        <c:dLbls>
          <c:showLegendKey val="0"/>
          <c:showVal val="0"/>
          <c:showCatName val="0"/>
          <c:showSerName val="0"/>
          <c:showPercent val="0"/>
          <c:showBubbleSize val="0"/>
        </c:dLbls>
        <c:smooth val="0"/>
        <c:axId val="800349472"/>
        <c:axId val="800349864"/>
        <c:extLst>
          <c:ext xmlns:c15="http://schemas.microsoft.com/office/drawing/2012/chart" uri="{02D57815-91ED-43cb-92C2-25804820EDAC}">
            <c15:filteredLineSeries>
              <c15:ser>
                <c:idx val="2"/>
                <c:order val="2"/>
                <c:tx>
                  <c:v>Trajectory (12 month rolling)</c:v>
                </c:tx>
                <c:spPr>
                  <a:ln w="22225" cap="rnd">
                    <a:solidFill>
                      <a:srgbClr val="C00000"/>
                    </a:solidFill>
                    <a:round/>
                  </a:ln>
                  <a:effectLst/>
                </c:spPr>
                <c:marker>
                  <c:symbol val="none"/>
                </c:marker>
                <c:cat>
                  <c:numLit>
                    <c:formatCode>mmm\-yy</c:formatCode>
                    <c:ptCount val="37"/>
                    <c:pt idx="0">
                      <c:v>44986</c:v>
                    </c:pt>
                    <c:pt idx="1">
                      <c:v>45017</c:v>
                    </c:pt>
                    <c:pt idx="2">
                      <c:v>45047</c:v>
                    </c:pt>
                    <c:pt idx="3">
                      <c:v>45078</c:v>
                    </c:pt>
                    <c:pt idx="4">
                      <c:v>45108</c:v>
                    </c:pt>
                    <c:pt idx="5">
                      <c:v>45139</c:v>
                    </c:pt>
                    <c:pt idx="6">
                      <c:v>45170</c:v>
                    </c:pt>
                    <c:pt idx="7">
                      <c:v>45200</c:v>
                    </c:pt>
                    <c:pt idx="8">
                      <c:v>45231</c:v>
                    </c:pt>
                    <c:pt idx="9">
                      <c:v>45261</c:v>
                    </c:pt>
                    <c:pt idx="10">
                      <c:v>45292</c:v>
                    </c:pt>
                    <c:pt idx="11">
                      <c:v>45323</c:v>
                    </c:pt>
                    <c:pt idx="12">
                      <c:v>45352</c:v>
                    </c:pt>
                    <c:pt idx="13">
                      <c:v>45383</c:v>
                    </c:pt>
                    <c:pt idx="14">
                      <c:v>45413</c:v>
                    </c:pt>
                    <c:pt idx="15">
                      <c:v>45444</c:v>
                    </c:pt>
                    <c:pt idx="16">
                      <c:v>45474</c:v>
                    </c:pt>
                    <c:pt idx="17">
                      <c:v>45505</c:v>
                    </c:pt>
                    <c:pt idx="18">
                      <c:v>45536</c:v>
                    </c:pt>
                    <c:pt idx="19">
                      <c:v>45566</c:v>
                    </c:pt>
                    <c:pt idx="20">
                      <c:v>45597</c:v>
                    </c:pt>
                    <c:pt idx="21">
                      <c:v>45627</c:v>
                    </c:pt>
                    <c:pt idx="22">
                      <c:v>45658</c:v>
                    </c:pt>
                    <c:pt idx="23">
                      <c:v>45689</c:v>
                    </c:pt>
                    <c:pt idx="24">
                      <c:v>45717</c:v>
                    </c:pt>
                    <c:pt idx="25">
                      <c:v>45748</c:v>
                    </c:pt>
                    <c:pt idx="26">
                      <c:v>45778</c:v>
                    </c:pt>
                    <c:pt idx="27">
                      <c:v>45809</c:v>
                    </c:pt>
                    <c:pt idx="28">
                      <c:v>45839</c:v>
                    </c:pt>
                    <c:pt idx="29">
                      <c:v>45870</c:v>
                    </c:pt>
                    <c:pt idx="30">
                      <c:v>45901</c:v>
                    </c:pt>
                    <c:pt idx="31">
                      <c:v>45931</c:v>
                    </c:pt>
                    <c:pt idx="32">
                      <c:v>45962</c:v>
                    </c:pt>
                    <c:pt idx="33">
                      <c:v>45992</c:v>
                    </c:pt>
                    <c:pt idx="34">
                      <c:v>46023</c:v>
                    </c:pt>
                    <c:pt idx="35">
                      <c:v>46054</c:v>
                    </c:pt>
                    <c:pt idx="36">
                      <c:v>46082</c:v>
                    </c:pt>
                  </c:numLit>
                </c:cat>
                <c:val>
                  <c:numLit>
                    <c:formatCode>General</c:formatCode>
                    <c:ptCount val="49"/>
                  </c:numLit>
                </c:val>
                <c:smooth val="0"/>
                <c:extLst>
                  <c:ext xmlns:c16="http://schemas.microsoft.com/office/drawing/2014/chart" uri="{C3380CC4-5D6E-409C-BE32-E72D297353CC}">
                    <c16:uniqueId val="{00000002-067F-4534-9A4F-CE5776EC56D8}"/>
                  </c:ext>
                </c:extLst>
              </c15:ser>
            </c15:filteredLineSeries>
            <c15:filteredLineSeries>
              <c15:ser>
                <c:idx val="3"/>
                <c:order val="3"/>
                <c:tx>
                  <c:v>WG Target 12 month reduction trend</c:v>
                </c:tx>
                <c:spPr>
                  <a:ln w="28575" cap="rnd">
                    <a:solidFill>
                      <a:srgbClr val="FF0000"/>
                    </a:solidFill>
                    <a:round/>
                  </a:ln>
                  <a:effectLst/>
                </c:spPr>
                <c:marker>
                  <c:symbol val="none"/>
                </c:marker>
                <c:val>
                  <c:numLit>
                    <c:formatCode>General</c:formatCode>
                    <c:ptCount val="37"/>
                    <c:pt idx="25" formatCode="0.00%">
                      <c:v>0</c:v>
                    </c:pt>
                  </c:numLit>
                </c:val>
                <c:smooth val="0"/>
                <c:extLst xmlns:c15="http://schemas.microsoft.com/office/drawing/2012/chart">
                  <c:ext xmlns:c16="http://schemas.microsoft.com/office/drawing/2014/chart" uri="{C3380CC4-5D6E-409C-BE32-E72D297353CC}">
                    <c16:uniqueId val="{00000003-067F-4534-9A4F-CE5776EC56D8}"/>
                  </c:ext>
                </c:extLst>
              </c15:ser>
            </c15:filteredLineSeries>
          </c:ext>
        </c:extLst>
      </c:lineChart>
      <c:dateAx>
        <c:axId val="800349472"/>
        <c:scaling>
          <c:orientation val="minMax"/>
          <c:max val="45748"/>
          <c:min val="45383"/>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00349864"/>
        <c:crosses val="autoZero"/>
        <c:auto val="1"/>
        <c:lblOffset val="100"/>
        <c:baseTimeUnit val="months"/>
        <c:majorUnit val="1"/>
        <c:majorTimeUnit val="months"/>
      </c:dateAx>
      <c:valAx>
        <c:axId val="800349864"/>
        <c:scaling>
          <c:orientation val="minMax"/>
          <c:max val="0.1"/>
          <c:min val="0"/>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00349472"/>
        <c:crosses val="autoZero"/>
        <c:crossBetween val="between"/>
        <c:majorUnit val="2.0000000000000004E-2"/>
      </c:valAx>
      <c:spPr>
        <a:noFill/>
        <a:ln>
          <a:noFill/>
        </a:ln>
        <a:effectLst/>
      </c:spPr>
    </c:plotArea>
    <c:legend>
      <c:legendPos val="r"/>
      <c:layout>
        <c:manualLayout>
          <c:xMode val="edge"/>
          <c:yMode val="edge"/>
          <c:x val="0.78037606837606832"/>
          <c:y val="0.14325275476952984"/>
          <c:w val="0.20594871794871794"/>
          <c:h val="0.49782015692342568"/>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000">
          <a:solidFill>
            <a:sysClr val="windowText" lastClr="000000"/>
          </a:solidFill>
          <a:latin typeface="Arial" panose="020B0604020202020204" pitchFamily="34" charset="0"/>
          <a:cs typeface="Arial" panose="020B0604020202020204" pitchFamily="34" charset="0"/>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313819574225307"/>
          <c:y val="3.9543715066704739E-2"/>
          <c:w val="0.68122195361901183"/>
          <c:h val="0.81376916486475459"/>
        </c:manualLayout>
      </c:layout>
      <c:barChart>
        <c:barDir val="col"/>
        <c:grouping val="clustered"/>
        <c:varyColors val="0"/>
        <c:ser>
          <c:idx val="4"/>
          <c:order val="0"/>
          <c:tx>
            <c:v>Training Compliance %</c:v>
          </c:tx>
          <c:spPr>
            <a:solidFill>
              <a:srgbClr val="ED7D31"/>
            </a:solidFill>
            <a:ln>
              <a:noFill/>
            </a:ln>
            <a:effectLst/>
          </c:spPr>
          <c:invertIfNegative val="0"/>
          <c:cat>
            <c:numLit>
              <c:formatCode>mmm\-yy</c:formatCode>
              <c:ptCount val="37"/>
              <c:pt idx="0">
                <c:v>44986</c:v>
              </c:pt>
              <c:pt idx="1">
                <c:v>45017</c:v>
              </c:pt>
              <c:pt idx="2">
                <c:v>45047</c:v>
              </c:pt>
              <c:pt idx="3">
                <c:v>45078</c:v>
              </c:pt>
              <c:pt idx="4">
                <c:v>45108</c:v>
              </c:pt>
              <c:pt idx="5">
                <c:v>45139</c:v>
              </c:pt>
              <c:pt idx="6">
                <c:v>45170</c:v>
              </c:pt>
              <c:pt idx="7">
                <c:v>45200</c:v>
              </c:pt>
              <c:pt idx="8">
                <c:v>45231</c:v>
              </c:pt>
              <c:pt idx="9">
                <c:v>45261</c:v>
              </c:pt>
              <c:pt idx="10">
                <c:v>45292</c:v>
              </c:pt>
              <c:pt idx="11">
                <c:v>45323</c:v>
              </c:pt>
              <c:pt idx="12">
                <c:v>45352</c:v>
              </c:pt>
              <c:pt idx="13">
                <c:v>45383</c:v>
              </c:pt>
              <c:pt idx="14">
                <c:v>45413</c:v>
              </c:pt>
              <c:pt idx="15">
                <c:v>45444</c:v>
              </c:pt>
              <c:pt idx="16">
                <c:v>45474</c:v>
              </c:pt>
              <c:pt idx="17">
                <c:v>45505</c:v>
              </c:pt>
              <c:pt idx="18">
                <c:v>45536</c:v>
              </c:pt>
              <c:pt idx="19">
                <c:v>45566</c:v>
              </c:pt>
              <c:pt idx="20">
                <c:v>45597</c:v>
              </c:pt>
              <c:pt idx="21">
                <c:v>45627</c:v>
              </c:pt>
              <c:pt idx="22">
                <c:v>45658</c:v>
              </c:pt>
              <c:pt idx="23">
                <c:v>45689</c:v>
              </c:pt>
              <c:pt idx="24">
                <c:v>45717</c:v>
              </c:pt>
              <c:pt idx="25">
                <c:v>45748</c:v>
              </c:pt>
              <c:pt idx="26">
                <c:v>45778</c:v>
              </c:pt>
              <c:pt idx="27">
                <c:v>45809</c:v>
              </c:pt>
              <c:pt idx="28">
                <c:v>45839</c:v>
              </c:pt>
              <c:pt idx="29">
                <c:v>45870</c:v>
              </c:pt>
              <c:pt idx="30">
                <c:v>45901</c:v>
              </c:pt>
              <c:pt idx="31">
                <c:v>45931</c:v>
              </c:pt>
              <c:pt idx="32">
                <c:v>45962</c:v>
              </c:pt>
              <c:pt idx="33">
                <c:v>45992</c:v>
              </c:pt>
              <c:pt idx="34">
                <c:v>46023</c:v>
              </c:pt>
              <c:pt idx="35">
                <c:v>46054</c:v>
              </c:pt>
              <c:pt idx="36">
                <c:v>46082</c:v>
              </c:pt>
            </c:numLit>
          </c:cat>
          <c:val>
            <c:numLit>
              <c:formatCode>0.00%</c:formatCode>
              <c:ptCount val="37"/>
              <c:pt idx="0">
                <c:v>0.83800308555690195</c:v>
              </c:pt>
              <c:pt idx="1">
                <c:v>0.84702047352167398</c:v>
              </c:pt>
              <c:pt idx="2">
                <c:v>0.85513757189491701</c:v>
              </c:pt>
              <c:pt idx="3">
                <c:v>0.86201498320847303</c:v>
              </c:pt>
              <c:pt idx="4">
                <c:v>0.86633080750727798</c:v>
              </c:pt>
              <c:pt idx="5">
                <c:v>0.87107122260669001</c:v>
              </c:pt>
              <c:pt idx="6">
                <c:v>0.86409921671018297</c:v>
              </c:pt>
              <c:pt idx="7">
                <c:v>0.87268886166195203</c:v>
              </c:pt>
              <c:pt idx="8">
                <c:v>0.88239999999999996</c:v>
              </c:pt>
              <c:pt idx="9">
                <c:v>0.87839999999999996</c:v>
              </c:pt>
              <c:pt idx="10">
                <c:v>0.85888912853173605</c:v>
              </c:pt>
              <c:pt idx="11">
                <c:v>0.87773065424459396</c:v>
              </c:pt>
              <c:pt idx="12">
                <c:v>0.86936844364676003</c:v>
              </c:pt>
              <c:pt idx="13">
                <c:v>0.88581954678159303</c:v>
              </c:pt>
              <c:pt idx="14">
                <c:v>0.89070000000000005</c:v>
              </c:pt>
              <c:pt idx="15">
                <c:v>0.89059999999999995</c:v>
              </c:pt>
              <c:pt idx="16">
                <c:v>0.89480000000000004</c:v>
              </c:pt>
              <c:pt idx="17">
                <c:v>0.89439999999999997</c:v>
              </c:pt>
              <c:pt idx="18">
                <c:v>0.8931</c:v>
              </c:pt>
              <c:pt idx="19">
                <c:v>0.88959999999999995</c:v>
              </c:pt>
              <c:pt idx="20">
                <c:v>0.88990000000000002</c:v>
              </c:pt>
              <c:pt idx="21">
                <c:v>0.89070000000000005</c:v>
              </c:pt>
              <c:pt idx="22">
                <c:v>0.89059999999999995</c:v>
              </c:pt>
              <c:pt idx="23">
                <c:v>0.86370000000000002</c:v>
              </c:pt>
              <c:pt idx="24">
                <c:v>0.87275322656936305</c:v>
              </c:pt>
              <c:pt idx="25">
                <c:v>0.88180000000000003</c:v>
              </c:pt>
            </c:numLit>
          </c:val>
          <c:extLst>
            <c:ext xmlns:c16="http://schemas.microsoft.com/office/drawing/2014/chart" uri="{C3380CC4-5D6E-409C-BE32-E72D297353CC}">
              <c16:uniqueId val="{00000000-BB68-4BE8-9BEB-D0F342B5C897}"/>
            </c:ext>
          </c:extLst>
        </c:ser>
        <c:dLbls>
          <c:showLegendKey val="0"/>
          <c:showVal val="0"/>
          <c:showCatName val="0"/>
          <c:showSerName val="0"/>
          <c:showPercent val="0"/>
          <c:showBubbleSize val="0"/>
        </c:dLbls>
        <c:gapWidth val="150"/>
        <c:axId val="2111656064"/>
        <c:axId val="254125968"/>
      </c:barChart>
      <c:lineChart>
        <c:grouping val="standard"/>
        <c:varyColors val="0"/>
        <c:dLbls>
          <c:showLegendKey val="0"/>
          <c:showVal val="0"/>
          <c:showCatName val="0"/>
          <c:showSerName val="0"/>
          <c:showPercent val="0"/>
          <c:showBubbleSize val="0"/>
        </c:dLbls>
        <c:marker val="1"/>
        <c:smooth val="0"/>
        <c:axId val="2111656064"/>
        <c:axId val="254125968"/>
        <c:extLst>
          <c:ext xmlns:c15="http://schemas.microsoft.com/office/drawing/2012/chart" uri="{02D57815-91ED-43cb-92C2-25804820EDAC}">
            <c15:filteredLineSeries>
              <c15:ser>
                <c:idx val="5"/>
                <c:order val="1"/>
                <c:tx>
                  <c:v>Target</c:v>
                </c:tx>
                <c:spPr>
                  <a:ln w="22225" cap="rnd">
                    <a:solidFill>
                      <a:srgbClr val="FF0000"/>
                    </a:solidFill>
                    <a:round/>
                  </a:ln>
                  <a:effectLst/>
                </c:spPr>
                <c:marker>
                  <c:symbol val="none"/>
                </c:marker>
                <c:cat>
                  <c:numLit>
                    <c:formatCode>mmm\-yy</c:formatCode>
                    <c:ptCount val="37"/>
                    <c:pt idx="0">
                      <c:v>44986</c:v>
                    </c:pt>
                    <c:pt idx="1">
                      <c:v>45017</c:v>
                    </c:pt>
                    <c:pt idx="2">
                      <c:v>45047</c:v>
                    </c:pt>
                    <c:pt idx="3">
                      <c:v>45078</c:v>
                    </c:pt>
                    <c:pt idx="4">
                      <c:v>45108</c:v>
                    </c:pt>
                    <c:pt idx="5">
                      <c:v>45139</c:v>
                    </c:pt>
                    <c:pt idx="6">
                      <c:v>45170</c:v>
                    </c:pt>
                    <c:pt idx="7">
                      <c:v>45200</c:v>
                    </c:pt>
                    <c:pt idx="8">
                      <c:v>45231</c:v>
                    </c:pt>
                    <c:pt idx="9">
                      <c:v>45261</c:v>
                    </c:pt>
                    <c:pt idx="10">
                      <c:v>45292</c:v>
                    </c:pt>
                    <c:pt idx="11">
                      <c:v>45323</c:v>
                    </c:pt>
                    <c:pt idx="12">
                      <c:v>45352</c:v>
                    </c:pt>
                    <c:pt idx="13">
                      <c:v>45383</c:v>
                    </c:pt>
                    <c:pt idx="14">
                      <c:v>45413</c:v>
                    </c:pt>
                    <c:pt idx="15">
                      <c:v>45444</c:v>
                    </c:pt>
                    <c:pt idx="16">
                      <c:v>45474</c:v>
                    </c:pt>
                    <c:pt idx="17">
                      <c:v>45505</c:v>
                    </c:pt>
                    <c:pt idx="18">
                      <c:v>45536</c:v>
                    </c:pt>
                    <c:pt idx="19">
                      <c:v>45566</c:v>
                    </c:pt>
                    <c:pt idx="20">
                      <c:v>45597</c:v>
                    </c:pt>
                    <c:pt idx="21">
                      <c:v>45627</c:v>
                    </c:pt>
                    <c:pt idx="22">
                      <c:v>45658</c:v>
                    </c:pt>
                    <c:pt idx="23">
                      <c:v>45689</c:v>
                    </c:pt>
                    <c:pt idx="24">
                      <c:v>45717</c:v>
                    </c:pt>
                    <c:pt idx="25">
                      <c:v>45748</c:v>
                    </c:pt>
                    <c:pt idx="26">
                      <c:v>45778</c:v>
                    </c:pt>
                    <c:pt idx="27">
                      <c:v>45809</c:v>
                    </c:pt>
                    <c:pt idx="28">
                      <c:v>45839</c:v>
                    </c:pt>
                    <c:pt idx="29">
                      <c:v>45870</c:v>
                    </c:pt>
                    <c:pt idx="30">
                      <c:v>45901</c:v>
                    </c:pt>
                    <c:pt idx="31">
                      <c:v>45931</c:v>
                    </c:pt>
                    <c:pt idx="32">
                      <c:v>45962</c:v>
                    </c:pt>
                    <c:pt idx="33">
                      <c:v>45992</c:v>
                    </c:pt>
                    <c:pt idx="34">
                      <c:v>46023</c:v>
                    </c:pt>
                    <c:pt idx="35">
                      <c:v>46054</c:v>
                    </c:pt>
                    <c:pt idx="36">
                      <c:v>46082</c:v>
                    </c:pt>
                  </c:numLit>
                </c:cat>
                <c:val>
                  <c:numLit>
                    <c:formatCode>0%</c:formatCode>
                    <c:ptCount val="37"/>
                    <c:pt idx="0">
                      <c:v>0.85</c:v>
                    </c:pt>
                    <c:pt idx="1">
                      <c:v>0.85</c:v>
                    </c:pt>
                    <c:pt idx="2">
                      <c:v>0.85</c:v>
                    </c:pt>
                    <c:pt idx="3">
                      <c:v>0.85</c:v>
                    </c:pt>
                    <c:pt idx="4">
                      <c:v>0.85</c:v>
                    </c:pt>
                    <c:pt idx="5">
                      <c:v>0.85</c:v>
                    </c:pt>
                    <c:pt idx="6">
                      <c:v>0.85</c:v>
                    </c:pt>
                    <c:pt idx="7">
                      <c:v>0.85</c:v>
                    </c:pt>
                    <c:pt idx="8">
                      <c:v>0.85</c:v>
                    </c:pt>
                    <c:pt idx="9">
                      <c:v>0.85</c:v>
                    </c:pt>
                    <c:pt idx="10">
                      <c:v>0.85</c:v>
                    </c:pt>
                    <c:pt idx="11">
                      <c:v>0.85</c:v>
                    </c:pt>
                    <c:pt idx="12">
                      <c:v>0.85</c:v>
                    </c:pt>
                    <c:pt idx="13">
                      <c:v>0.85</c:v>
                    </c:pt>
                    <c:pt idx="14">
                      <c:v>0.85</c:v>
                    </c:pt>
                    <c:pt idx="15">
                      <c:v>0.85</c:v>
                    </c:pt>
                    <c:pt idx="16">
                      <c:v>0.85</c:v>
                    </c:pt>
                    <c:pt idx="17">
                      <c:v>0.85</c:v>
                    </c:pt>
                    <c:pt idx="18">
                      <c:v>0.85</c:v>
                    </c:pt>
                    <c:pt idx="19">
                      <c:v>0.85</c:v>
                    </c:pt>
                    <c:pt idx="20">
                      <c:v>0.85</c:v>
                    </c:pt>
                    <c:pt idx="21">
                      <c:v>0.85</c:v>
                    </c:pt>
                    <c:pt idx="22">
                      <c:v>0.85</c:v>
                    </c:pt>
                    <c:pt idx="23">
                      <c:v>0.85</c:v>
                    </c:pt>
                    <c:pt idx="24">
                      <c:v>0.85</c:v>
                    </c:pt>
                    <c:pt idx="25">
                      <c:v>0.85</c:v>
                    </c:pt>
                    <c:pt idx="26">
                      <c:v>0.85</c:v>
                    </c:pt>
                    <c:pt idx="27">
                      <c:v>0.85</c:v>
                    </c:pt>
                    <c:pt idx="28">
                      <c:v>0.85</c:v>
                    </c:pt>
                    <c:pt idx="29">
                      <c:v>0.85</c:v>
                    </c:pt>
                    <c:pt idx="30">
                      <c:v>0.85</c:v>
                    </c:pt>
                    <c:pt idx="31">
                      <c:v>0.85</c:v>
                    </c:pt>
                    <c:pt idx="32">
                      <c:v>0.85</c:v>
                    </c:pt>
                    <c:pt idx="33">
                      <c:v>0.85</c:v>
                    </c:pt>
                    <c:pt idx="34">
                      <c:v>0.85</c:v>
                    </c:pt>
                    <c:pt idx="35">
                      <c:v>0.85</c:v>
                    </c:pt>
                    <c:pt idx="36">
                      <c:v>0.85</c:v>
                    </c:pt>
                  </c:numLit>
                </c:val>
                <c:smooth val="0"/>
                <c:extLst>
                  <c:ext xmlns:c16="http://schemas.microsoft.com/office/drawing/2014/chart" uri="{C3380CC4-5D6E-409C-BE32-E72D297353CC}">
                    <c16:uniqueId val="{00000001-BB68-4BE8-9BEB-D0F342B5C897}"/>
                  </c:ext>
                </c:extLst>
              </c15:ser>
            </c15:filteredLineSeries>
          </c:ext>
        </c:extLst>
      </c:lineChart>
      <c:dateAx>
        <c:axId val="2111656064"/>
        <c:scaling>
          <c:orientation val="minMax"/>
          <c:max val="45748"/>
          <c:min val="45383"/>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254125968"/>
        <c:crosses val="autoZero"/>
        <c:auto val="1"/>
        <c:lblOffset val="100"/>
        <c:baseTimeUnit val="months"/>
      </c:dateAx>
      <c:valAx>
        <c:axId val="254125968"/>
        <c:scaling>
          <c:orientation val="minMax"/>
          <c:max val="1"/>
          <c:min val="0"/>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2111656064"/>
        <c:crosses val="autoZero"/>
        <c:crossBetween val="between"/>
        <c:majorUnit val="0.1"/>
      </c:valAx>
      <c:spPr>
        <a:noFill/>
        <a:ln>
          <a:noFill/>
        </a:ln>
        <a:effectLst/>
      </c:spPr>
    </c:plotArea>
    <c:legend>
      <c:legendPos val="r"/>
      <c:layout>
        <c:manualLayout>
          <c:xMode val="edge"/>
          <c:yMode val="edge"/>
          <c:x val="0.80395383113107144"/>
          <c:y val="0.28639745420423479"/>
          <c:w val="0.18211212335104651"/>
          <c:h val="0.2489667496226184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00">
          <a:latin typeface="Arial" panose="020B0604020202020204" pitchFamily="34" charset="0"/>
          <a:cs typeface="Arial" panose="020B0604020202020204" pitchFamily="34" charset="0"/>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5836204190009995"/>
          <c:y val="6.1340472440944885E-2"/>
          <c:w val="0.6160857816905132"/>
          <c:h val="0.74730211355159548"/>
        </c:manualLayout>
      </c:layout>
      <c:barChart>
        <c:barDir val="col"/>
        <c:grouping val="clustered"/>
        <c:varyColors val="0"/>
        <c:ser>
          <c:idx val="4"/>
          <c:order val="0"/>
          <c:tx>
            <c:v>PADR compliance %</c:v>
          </c:tx>
          <c:spPr>
            <a:solidFill>
              <a:srgbClr val="ED7D31"/>
            </a:solidFill>
            <a:ln>
              <a:noFill/>
            </a:ln>
            <a:effectLst/>
          </c:spPr>
          <c:invertIfNegative val="0"/>
          <c:cat>
            <c:numLit>
              <c:formatCode>mmm\-yy</c:formatCode>
              <c:ptCount val="37"/>
              <c:pt idx="0">
                <c:v>44986</c:v>
              </c:pt>
              <c:pt idx="1">
                <c:v>45017</c:v>
              </c:pt>
              <c:pt idx="2">
                <c:v>45047</c:v>
              </c:pt>
              <c:pt idx="3">
                <c:v>45078</c:v>
              </c:pt>
              <c:pt idx="4">
                <c:v>45108</c:v>
              </c:pt>
              <c:pt idx="5">
                <c:v>45139</c:v>
              </c:pt>
              <c:pt idx="6">
                <c:v>45170</c:v>
              </c:pt>
              <c:pt idx="7">
                <c:v>45200</c:v>
              </c:pt>
              <c:pt idx="8">
                <c:v>45231</c:v>
              </c:pt>
              <c:pt idx="9">
                <c:v>45261</c:v>
              </c:pt>
              <c:pt idx="10">
                <c:v>45292</c:v>
              </c:pt>
              <c:pt idx="11">
                <c:v>45323</c:v>
              </c:pt>
              <c:pt idx="12">
                <c:v>45352</c:v>
              </c:pt>
              <c:pt idx="13">
                <c:v>45383</c:v>
              </c:pt>
              <c:pt idx="14">
                <c:v>45413</c:v>
              </c:pt>
              <c:pt idx="15">
                <c:v>45444</c:v>
              </c:pt>
              <c:pt idx="16">
                <c:v>45474</c:v>
              </c:pt>
              <c:pt idx="17">
                <c:v>45505</c:v>
              </c:pt>
              <c:pt idx="18">
                <c:v>45536</c:v>
              </c:pt>
              <c:pt idx="19">
                <c:v>45566</c:v>
              </c:pt>
              <c:pt idx="20">
                <c:v>45597</c:v>
              </c:pt>
              <c:pt idx="21">
                <c:v>45627</c:v>
              </c:pt>
              <c:pt idx="22">
                <c:v>45658</c:v>
              </c:pt>
              <c:pt idx="23">
                <c:v>45689</c:v>
              </c:pt>
              <c:pt idx="24">
                <c:v>45717</c:v>
              </c:pt>
              <c:pt idx="25">
                <c:v>45748</c:v>
              </c:pt>
              <c:pt idx="26">
                <c:v>45778</c:v>
              </c:pt>
              <c:pt idx="27">
                <c:v>45809</c:v>
              </c:pt>
              <c:pt idx="28">
                <c:v>45839</c:v>
              </c:pt>
              <c:pt idx="29">
                <c:v>45870</c:v>
              </c:pt>
              <c:pt idx="30">
                <c:v>45901</c:v>
              </c:pt>
              <c:pt idx="31">
                <c:v>45931</c:v>
              </c:pt>
              <c:pt idx="32">
                <c:v>45962</c:v>
              </c:pt>
              <c:pt idx="33">
                <c:v>45992</c:v>
              </c:pt>
              <c:pt idx="34">
                <c:v>46023</c:v>
              </c:pt>
              <c:pt idx="35">
                <c:v>46054</c:v>
              </c:pt>
              <c:pt idx="36">
                <c:v>46082</c:v>
              </c:pt>
            </c:numLit>
          </c:cat>
          <c:val>
            <c:numLit>
              <c:formatCode>0.00%</c:formatCode>
              <c:ptCount val="37"/>
              <c:pt idx="0">
                <c:v>0.68799999999999994</c:v>
              </c:pt>
              <c:pt idx="1">
                <c:v>0.7208</c:v>
              </c:pt>
              <c:pt idx="2">
                <c:v>0.67820000000000003</c:v>
              </c:pt>
              <c:pt idx="3">
                <c:v>0.67300000000000004</c:v>
              </c:pt>
              <c:pt idx="4">
                <c:v>0.6724</c:v>
              </c:pt>
              <c:pt idx="5">
                <c:v>0.67110000000000003</c:v>
              </c:pt>
              <c:pt idx="6">
                <c:v>0.66359999999999997</c:v>
              </c:pt>
              <c:pt idx="7">
                <c:v>0.66359999999999997</c:v>
              </c:pt>
              <c:pt idx="8">
                <c:v>0.66410000000000002</c:v>
              </c:pt>
              <c:pt idx="9">
                <c:v>0.67130000000000001</c:v>
              </c:pt>
              <c:pt idx="10">
                <c:v>0.69040000000000001</c:v>
              </c:pt>
              <c:pt idx="11">
                <c:v>0.69350000000000001</c:v>
              </c:pt>
              <c:pt idx="12">
                <c:v>0.69789999999999996</c:v>
              </c:pt>
              <c:pt idx="13">
                <c:v>0.7319</c:v>
              </c:pt>
              <c:pt idx="14">
                <c:v>0.72619999999999996</c:v>
              </c:pt>
              <c:pt idx="15">
                <c:v>0.72019999999999995</c:v>
              </c:pt>
              <c:pt idx="16">
                <c:v>0.73129999999999995</c:v>
              </c:pt>
              <c:pt idx="17">
                <c:v>0.73880000000000001</c:v>
              </c:pt>
              <c:pt idx="18">
                <c:v>0.74580000000000002</c:v>
              </c:pt>
              <c:pt idx="19">
                <c:v>0.71840000000000004</c:v>
              </c:pt>
              <c:pt idx="20">
                <c:v>0.73540000000000005</c:v>
              </c:pt>
              <c:pt idx="21">
                <c:v>0.74039999999999995</c:v>
              </c:pt>
              <c:pt idx="22">
                <c:v>0.73029999999999995</c:v>
              </c:pt>
              <c:pt idx="23">
                <c:v>0.72060000000000002</c:v>
              </c:pt>
              <c:pt idx="24">
                <c:v>0.73860000000000003</c:v>
              </c:pt>
              <c:pt idx="25">
                <c:v>0.71160000000000001</c:v>
              </c:pt>
            </c:numLit>
          </c:val>
          <c:extLst>
            <c:ext xmlns:c16="http://schemas.microsoft.com/office/drawing/2014/chart" uri="{C3380CC4-5D6E-409C-BE32-E72D297353CC}">
              <c16:uniqueId val="{00000000-AF27-493E-A81E-7A94CD1E335A}"/>
            </c:ext>
          </c:extLst>
        </c:ser>
        <c:dLbls>
          <c:showLegendKey val="0"/>
          <c:showVal val="0"/>
          <c:showCatName val="0"/>
          <c:showSerName val="0"/>
          <c:showPercent val="0"/>
          <c:showBubbleSize val="0"/>
        </c:dLbls>
        <c:gapWidth val="150"/>
        <c:axId val="805910320"/>
        <c:axId val="805909840"/>
      </c:barChart>
      <c:lineChart>
        <c:grouping val="standard"/>
        <c:varyColors val="0"/>
        <c:dLbls>
          <c:showLegendKey val="0"/>
          <c:showVal val="0"/>
          <c:showCatName val="0"/>
          <c:showSerName val="0"/>
          <c:showPercent val="0"/>
          <c:showBubbleSize val="0"/>
        </c:dLbls>
        <c:marker val="1"/>
        <c:smooth val="0"/>
        <c:axId val="805910320"/>
        <c:axId val="805909840"/>
        <c:extLst>
          <c:ext xmlns:c15="http://schemas.microsoft.com/office/drawing/2012/chart" uri="{02D57815-91ED-43cb-92C2-25804820EDAC}">
            <c15:filteredLineSeries>
              <c15:ser>
                <c:idx val="5"/>
                <c:order val="1"/>
                <c:tx>
                  <c:v>WG Target</c:v>
                </c:tx>
                <c:spPr>
                  <a:ln w="22225" cap="rnd">
                    <a:solidFill>
                      <a:srgbClr val="C00000"/>
                    </a:solidFill>
                    <a:round/>
                  </a:ln>
                  <a:effectLst/>
                </c:spPr>
                <c:marker>
                  <c:symbol val="none"/>
                </c:marker>
                <c:cat>
                  <c:numLit>
                    <c:formatCode>mmm\-yy</c:formatCode>
                    <c:ptCount val="37"/>
                    <c:pt idx="0">
                      <c:v>44986</c:v>
                    </c:pt>
                    <c:pt idx="1">
                      <c:v>45017</c:v>
                    </c:pt>
                    <c:pt idx="2">
                      <c:v>45047</c:v>
                    </c:pt>
                    <c:pt idx="3">
                      <c:v>45078</c:v>
                    </c:pt>
                    <c:pt idx="4">
                      <c:v>45108</c:v>
                    </c:pt>
                    <c:pt idx="5">
                      <c:v>45139</c:v>
                    </c:pt>
                    <c:pt idx="6">
                      <c:v>45170</c:v>
                    </c:pt>
                    <c:pt idx="7">
                      <c:v>45200</c:v>
                    </c:pt>
                    <c:pt idx="8">
                      <c:v>45231</c:v>
                    </c:pt>
                    <c:pt idx="9">
                      <c:v>45261</c:v>
                    </c:pt>
                    <c:pt idx="10">
                      <c:v>45292</c:v>
                    </c:pt>
                    <c:pt idx="11">
                      <c:v>45323</c:v>
                    </c:pt>
                    <c:pt idx="12">
                      <c:v>45352</c:v>
                    </c:pt>
                    <c:pt idx="13">
                      <c:v>45383</c:v>
                    </c:pt>
                    <c:pt idx="14">
                      <c:v>45413</c:v>
                    </c:pt>
                    <c:pt idx="15">
                      <c:v>45444</c:v>
                    </c:pt>
                    <c:pt idx="16">
                      <c:v>45474</c:v>
                    </c:pt>
                    <c:pt idx="17">
                      <c:v>45505</c:v>
                    </c:pt>
                    <c:pt idx="18">
                      <c:v>45536</c:v>
                    </c:pt>
                    <c:pt idx="19">
                      <c:v>45566</c:v>
                    </c:pt>
                    <c:pt idx="20">
                      <c:v>45597</c:v>
                    </c:pt>
                    <c:pt idx="21">
                      <c:v>45627</c:v>
                    </c:pt>
                    <c:pt idx="22">
                      <c:v>45658</c:v>
                    </c:pt>
                    <c:pt idx="23">
                      <c:v>45689</c:v>
                    </c:pt>
                    <c:pt idx="24">
                      <c:v>45717</c:v>
                    </c:pt>
                    <c:pt idx="25">
                      <c:v>45748</c:v>
                    </c:pt>
                    <c:pt idx="26">
                      <c:v>45778</c:v>
                    </c:pt>
                    <c:pt idx="27">
                      <c:v>45809</c:v>
                    </c:pt>
                    <c:pt idx="28">
                      <c:v>45839</c:v>
                    </c:pt>
                    <c:pt idx="29">
                      <c:v>45870</c:v>
                    </c:pt>
                    <c:pt idx="30">
                      <c:v>45901</c:v>
                    </c:pt>
                    <c:pt idx="31">
                      <c:v>45931</c:v>
                    </c:pt>
                    <c:pt idx="32">
                      <c:v>45962</c:v>
                    </c:pt>
                    <c:pt idx="33">
                      <c:v>45992</c:v>
                    </c:pt>
                    <c:pt idx="34">
                      <c:v>46023</c:v>
                    </c:pt>
                    <c:pt idx="35">
                      <c:v>46054</c:v>
                    </c:pt>
                    <c:pt idx="36">
                      <c:v>46082</c:v>
                    </c:pt>
                  </c:numLit>
                </c:cat>
                <c:val>
                  <c:numLit>
                    <c:formatCode>0%</c:formatCode>
                    <c:ptCount val="37"/>
                    <c:pt idx="0">
                      <c:v>0.85</c:v>
                    </c:pt>
                    <c:pt idx="1">
                      <c:v>0.85</c:v>
                    </c:pt>
                    <c:pt idx="2">
                      <c:v>0.85</c:v>
                    </c:pt>
                    <c:pt idx="3">
                      <c:v>0.85</c:v>
                    </c:pt>
                    <c:pt idx="4">
                      <c:v>0.85</c:v>
                    </c:pt>
                    <c:pt idx="5">
                      <c:v>0.85</c:v>
                    </c:pt>
                    <c:pt idx="6">
                      <c:v>0.85</c:v>
                    </c:pt>
                    <c:pt idx="7">
                      <c:v>0.85</c:v>
                    </c:pt>
                    <c:pt idx="8">
                      <c:v>0.85</c:v>
                    </c:pt>
                    <c:pt idx="9">
                      <c:v>0.85</c:v>
                    </c:pt>
                    <c:pt idx="10">
                      <c:v>0.85</c:v>
                    </c:pt>
                    <c:pt idx="11">
                      <c:v>0.85</c:v>
                    </c:pt>
                    <c:pt idx="12">
                      <c:v>0.85</c:v>
                    </c:pt>
                    <c:pt idx="13">
                      <c:v>0.85</c:v>
                    </c:pt>
                    <c:pt idx="14">
                      <c:v>0.85</c:v>
                    </c:pt>
                    <c:pt idx="15">
                      <c:v>0.85</c:v>
                    </c:pt>
                    <c:pt idx="16">
                      <c:v>0.85</c:v>
                    </c:pt>
                    <c:pt idx="17">
                      <c:v>0.85</c:v>
                    </c:pt>
                    <c:pt idx="18">
                      <c:v>0.85</c:v>
                    </c:pt>
                    <c:pt idx="19">
                      <c:v>0.85</c:v>
                    </c:pt>
                    <c:pt idx="20">
                      <c:v>0.85</c:v>
                    </c:pt>
                    <c:pt idx="21">
                      <c:v>0.85</c:v>
                    </c:pt>
                    <c:pt idx="22">
                      <c:v>0.85</c:v>
                    </c:pt>
                    <c:pt idx="23">
                      <c:v>0.85</c:v>
                    </c:pt>
                    <c:pt idx="24">
                      <c:v>0.85</c:v>
                    </c:pt>
                    <c:pt idx="25">
                      <c:v>0.85</c:v>
                    </c:pt>
                    <c:pt idx="26">
                      <c:v>0.85</c:v>
                    </c:pt>
                    <c:pt idx="27">
                      <c:v>0.85</c:v>
                    </c:pt>
                    <c:pt idx="28">
                      <c:v>0.85</c:v>
                    </c:pt>
                    <c:pt idx="29">
                      <c:v>0.85</c:v>
                    </c:pt>
                    <c:pt idx="30">
                      <c:v>0.85</c:v>
                    </c:pt>
                    <c:pt idx="31">
                      <c:v>0.85</c:v>
                    </c:pt>
                    <c:pt idx="32">
                      <c:v>0.85</c:v>
                    </c:pt>
                    <c:pt idx="33">
                      <c:v>0.85</c:v>
                    </c:pt>
                    <c:pt idx="34">
                      <c:v>0.85</c:v>
                    </c:pt>
                    <c:pt idx="35">
                      <c:v>0.85</c:v>
                    </c:pt>
                    <c:pt idx="36">
                      <c:v>0.85</c:v>
                    </c:pt>
                  </c:numLit>
                </c:val>
                <c:smooth val="0"/>
                <c:extLst>
                  <c:ext xmlns:c16="http://schemas.microsoft.com/office/drawing/2014/chart" uri="{C3380CC4-5D6E-409C-BE32-E72D297353CC}">
                    <c16:uniqueId val="{00000001-AF27-493E-A81E-7A94CD1E335A}"/>
                  </c:ext>
                </c:extLst>
              </c15:ser>
            </c15:filteredLineSeries>
          </c:ext>
        </c:extLst>
      </c:lineChart>
      <c:dateAx>
        <c:axId val="805910320"/>
        <c:scaling>
          <c:orientation val="minMax"/>
          <c:max val="45748"/>
          <c:min val="45383"/>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805909840"/>
        <c:crosses val="autoZero"/>
        <c:auto val="1"/>
        <c:lblOffset val="100"/>
        <c:baseTimeUnit val="months"/>
      </c:dateAx>
      <c:valAx>
        <c:axId val="805909840"/>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805910320"/>
        <c:crosses val="autoZero"/>
        <c:crossBetween val="between"/>
        <c:majorUnit val="0.1"/>
      </c:valAx>
      <c:spPr>
        <a:noFill/>
        <a:ln>
          <a:noFill/>
        </a:ln>
        <a:effectLst/>
      </c:spPr>
    </c:plotArea>
    <c:legend>
      <c:legendPos val="r"/>
      <c:layout>
        <c:manualLayout>
          <c:xMode val="edge"/>
          <c:yMode val="edge"/>
          <c:x val="0.77963713681888136"/>
          <c:y val="0.2703930377123912"/>
          <c:w val="0.2022154173269527"/>
          <c:h val="0.26552938251139663"/>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00" b="0">
          <a:solidFill>
            <a:schemeClr val="tx1"/>
          </a:solidFill>
          <a:latin typeface="Arial" panose="020B0604020202020204" pitchFamily="34" charset="0"/>
          <a:cs typeface="Arial" panose="020B0604020202020204" pitchFamily="34" charset="0"/>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8557107933409087E-2"/>
          <c:y val="2.1801448381424681E-2"/>
          <c:w val="0.58954956440062267"/>
          <c:h val="0.79328700511694594"/>
        </c:manualLayout>
      </c:layout>
      <c:lineChart>
        <c:grouping val="standard"/>
        <c:varyColors val="0"/>
        <c:ser>
          <c:idx val="0"/>
          <c:order val="0"/>
          <c:tx>
            <c:strRef>
              <c:f>'Swansea Bay data revised'!$A$2</c:f>
              <c:strCache>
                <c:ptCount val="1"/>
                <c:pt idx="0">
                  <c:v>Number of Disciplinary cases</c:v>
                </c:pt>
              </c:strCache>
            </c:strRef>
          </c:tx>
          <c:marker>
            <c:symbol val="none"/>
          </c:marker>
          <c:cat>
            <c:numRef>
              <c:f>'Swansea Bay data revised'!$B$1:$G$1</c:f>
              <c:numCache>
                <c:formatCode>mmm\-yy</c:formatCode>
                <c:ptCount val="6"/>
                <c:pt idx="0">
                  <c:v>45597</c:v>
                </c:pt>
                <c:pt idx="1">
                  <c:v>45627</c:v>
                </c:pt>
                <c:pt idx="2">
                  <c:v>45658</c:v>
                </c:pt>
                <c:pt idx="3">
                  <c:v>45689</c:v>
                </c:pt>
                <c:pt idx="4">
                  <c:v>45717</c:v>
                </c:pt>
                <c:pt idx="5">
                  <c:v>45748</c:v>
                </c:pt>
              </c:numCache>
            </c:numRef>
          </c:cat>
          <c:val>
            <c:numRef>
              <c:f>'Swansea Bay data revised'!$B$2:$G$2</c:f>
              <c:numCache>
                <c:formatCode>General</c:formatCode>
                <c:ptCount val="6"/>
                <c:pt idx="0">
                  <c:v>53</c:v>
                </c:pt>
                <c:pt idx="1">
                  <c:v>54</c:v>
                </c:pt>
                <c:pt idx="2">
                  <c:v>58</c:v>
                </c:pt>
                <c:pt idx="3">
                  <c:v>55</c:v>
                </c:pt>
                <c:pt idx="4">
                  <c:v>59</c:v>
                </c:pt>
                <c:pt idx="5">
                  <c:v>56</c:v>
                </c:pt>
              </c:numCache>
            </c:numRef>
          </c:val>
          <c:smooth val="0"/>
          <c:extLst>
            <c:ext xmlns:c16="http://schemas.microsoft.com/office/drawing/2014/chart" uri="{C3380CC4-5D6E-409C-BE32-E72D297353CC}">
              <c16:uniqueId val="{00000000-7574-406A-BFF8-0954EF5F76F7}"/>
            </c:ext>
          </c:extLst>
        </c:ser>
        <c:ser>
          <c:idx val="1"/>
          <c:order val="1"/>
          <c:tx>
            <c:strRef>
              <c:f>'Swansea Bay data revised'!$A$3</c:f>
              <c:strCache>
                <c:ptCount val="1"/>
                <c:pt idx="0">
                  <c:v>No. of Disciplinary cases opened in month</c:v>
                </c:pt>
              </c:strCache>
            </c:strRef>
          </c:tx>
          <c:marker>
            <c:symbol val="none"/>
          </c:marker>
          <c:cat>
            <c:numRef>
              <c:f>'Swansea Bay data revised'!$B$1:$G$1</c:f>
              <c:numCache>
                <c:formatCode>mmm\-yy</c:formatCode>
                <c:ptCount val="6"/>
                <c:pt idx="0">
                  <c:v>45597</c:v>
                </c:pt>
                <c:pt idx="1">
                  <c:v>45627</c:v>
                </c:pt>
                <c:pt idx="2">
                  <c:v>45658</c:v>
                </c:pt>
                <c:pt idx="3">
                  <c:v>45689</c:v>
                </c:pt>
                <c:pt idx="4">
                  <c:v>45717</c:v>
                </c:pt>
                <c:pt idx="5">
                  <c:v>45748</c:v>
                </c:pt>
              </c:numCache>
            </c:numRef>
          </c:cat>
          <c:val>
            <c:numRef>
              <c:f>'Swansea Bay data revised'!$B$3:$G$3</c:f>
              <c:numCache>
                <c:formatCode>General</c:formatCode>
                <c:ptCount val="6"/>
                <c:pt idx="0">
                  <c:v>15</c:v>
                </c:pt>
                <c:pt idx="1">
                  <c:v>8</c:v>
                </c:pt>
                <c:pt idx="2">
                  <c:v>10</c:v>
                </c:pt>
                <c:pt idx="3">
                  <c:v>6</c:v>
                </c:pt>
                <c:pt idx="4">
                  <c:v>8</c:v>
                </c:pt>
                <c:pt idx="5">
                  <c:v>3</c:v>
                </c:pt>
              </c:numCache>
            </c:numRef>
          </c:val>
          <c:smooth val="0"/>
          <c:extLst>
            <c:ext xmlns:c16="http://schemas.microsoft.com/office/drawing/2014/chart" uri="{C3380CC4-5D6E-409C-BE32-E72D297353CC}">
              <c16:uniqueId val="{00000001-7574-406A-BFF8-0954EF5F76F7}"/>
            </c:ext>
          </c:extLst>
        </c:ser>
        <c:ser>
          <c:idx val="2"/>
          <c:order val="2"/>
          <c:tx>
            <c:strRef>
              <c:f>'Swansea Bay data revised'!$A$4</c:f>
              <c:strCache>
                <c:ptCount val="1"/>
                <c:pt idx="0">
                  <c:v>No. of Disciplinary cases closed in month</c:v>
                </c:pt>
              </c:strCache>
            </c:strRef>
          </c:tx>
          <c:marker>
            <c:symbol val="none"/>
          </c:marker>
          <c:cat>
            <c:numRef>
              <c:f>'Swansea Bay data revised'!$B$1:$G$1</c:f>
              <c:numCache>
                <c:formatCode>mmm\-yy</c:formatCode>
                <c:ptCount val="6"/>
                <c:pt idx="0">
                  <c:v>45597</c:v>
                </c:pt>
                <c:pt idx="1">
                  <c:v>45627</c:v>
                </c:pt>
                <c:pt idx="2">
                  <c:v>45658</c:v>
                </c:pt>
                <c:pt idx="3">
                  <c:v>45689</c:v>
                </c:pt>
                <c:pt idx="4">
                  <c:v>45717</c:v>
                </c:pt>
                <c:pt idx="5">
                  <c:v>45748</c:v>
                </c:pt>
              </c:numCache>
            </c:numRef>
          </c:cat>
          <c:val>
            <c:numRef>
              <c:f>'Swansea Bay data revised'!$B$4:$G$4</c:f>
              <c:numCache>
                <c:formatCode>General</c:formatCode>
                <c:ptCount val="6"/>
                <c:pt idx="0">
                  <c:v>20</c:v>
                </c:pt>
                <c:pt idx="1">
                  <c:v>7</c:v>
                </c:pt>
                <c:pt idx="2">
                  <c:v>10</c:v>
                </c:pt>
                <c:pt idx="3">
                  <c:v>12</c:v>
                </c:pt>
                <c:pt idx="4">
                  <c:v>8</c:v>
                </c:pt>
                <c:pt idx="5">
                  <c:v>14</c:v>
                </c:pt>
              </c:numCache>
            </c:numRef>
          </c:val>
          <c:smooth val="0"/>
          <c:extLst>
            <c:ext xmlns:c16="http://schemas.microsoft.com/office/drawing/2014/chart" uri="{C3380CC4-5D6E-409C-BE32-E72D297353CC}">
              <c16:uniqueId val="{00000002-7574-406A-BFF8-0954EF5F76F7}"/>
            </c:ext>
          </c:extLst>
        </c:ser>
        <c:ser>
          <c:idx val="3"/>
          <c:order val="3"/>
          <c:tx>
            <c:strRef>
              <c:f>'Swansea Bay data revised'!$A$5</c:f>
              <c:strCache>
                <c:ptCount val="1"/>
                <c:pt idx="0">
                  <c:v>Total No. of staff suspended (inc &gt;6 months)</c:v>
                </c:pt>
              </c:strCache>
            </c:strRef>
          </c:tx>
          <c:marker>
            <c:symbol val="none"/>
          </c:marker>
          <c:cat>
            <c:numRef>
              <c:f>'Swansea Bay data revised'!$B$1:$G$1</c:f>
              <c:numCache>
                <c:formatCode>mmm\-yy</c:formatCode>
                <c:ptCount val="6"/>
                <c:pt idx="0">
                  <c:v>45597</c:v>
                </c:pt>
                <c:pt idx="1">
                  <c:v>45627</c:v>
                </c:pt>
                <c:pt idx="2">
                  <c:v>45658</c:v>
                </c:pt>
                <c:pt idx="3">
                  <c:v>45689</c:v>
                </c:pt>
                <c:pt idx="4">
                  <c:v>45717</c:v>
                </c:pt>
                <c:pt idx="5">
                  <c:v>45748</c:v>
                </c:pt>
              </c:numCache>
            </c:numRef>
          </c:cat>
          <c:val>
            <c:numRef>
              <c:f>'Swansea Bay data revised'!$B$5:$G$5</c:f>
              <c:numCache>
                <c:formatCode>General</c:formatCode>
                <c:ptCount val="6"/>
                <c:pt idx="0">
                  <c:v>9</c:v>
                </c:pt>
                <c:pt idx="1">
                  <c:v>9</c:v>
                </c:pt>
                <c:pt idx="2">
                  <c:v>9</c:v>
                </c:pt>
                <c:pt idx="3">
                  <c:v>9</c:v>
                </c:pt>
                <c:pt idx="4">
                  <c:v>6</c:v>
                </c:pt>
                <c:pt idx="5">
                  <c:v>6</c:v>
                </c:pt>
              </c:numCache>
            </c:numRef>
          </c:val>
          <c:smooth val="0"/>
          <c:extLst>
            <c:ext xmlns:c16="http://schemas.microsoft.com/office/drawing/2014/chart" uri="{C3380CC4-5D6E-409C-BE32-E72D297353CC}">
              <c16:uniqueId val="{00000003-7574-406A-BFF8-0954EF5F76F7}"/>
            </c:ext>
          </c:extLst>
        </c:ser>
        <c:ser>
          <c:idx val="4"/>
          <c:order val="4"/>
          <c:tx>
            <c:strRef>
              <c:f>'Swansea Bay data revised'!$A$6</c:f>
              <c:strCache>
                <c:ptCount val="1"/>
                <c:pt idx="0">
                  <c:v>No. of staff suspended &gt;6 months</c:v>
                </c:pt>
              </c:strCache>
            </c:strRef>
          </c:tx>
          <c:marker>
            <c:symbol val="none"/>
          </c:marker>
          <c:cat>
            <c:numRef>
              <c:f>'Swansea Bay data revised'!$B$1:$G$1</c:f>
              <c:numCache>
                <c:formatCode>mmm\-yy</c:formatCode>
                <c:ptCount val="6"/>
                <c:pt idx="0">
                  <c:v>45597</c:v>
                </c:pt>
                <c:pt idx="1">
                  <c:v>45627</c:v>
                </c:pt>
                <c:pt idx="2">
                  <c:v>45658</c:v>
                </c:pt>
                <c:pt idx="3">
                  <c:v>45689</c:v>
                </c:pt>
                <c:pt idx="4">
                  <c:v>45717</c:v>
                </c:pt>
                <c:pt idx="5">
                  <c:v>45748</c:v>
                </c:pt>
              </c:numCache>
            </c:numRef>
          </c:cat>
          <c:val>
            <c:numRef>
              <c:f>'Swansea Bay data revised'!$B$6:$G$6</c:f>
              <c:numCache>
                <c:formatCode>General</c:formatCode>
                <c:ptCount val="6"/>
                <c:pt idx="0">
                  <c:v>8</c:v>
                </c:pt>
                <c:pt idx="1">
                  <c:v>8</c:v>
                </c:pt>
                <c:pt idx="2">
                  <c:v>8</c:v>
                </c:pt>
                <c:pt idx="3">
                  <c:v>8</c:v>
                </c:pt>
                <c:pt idx="4">
                  <c:v>5</c:v>
                </c:pt>
                <c:pt idx="5">
                  <c:v>5</c:v>
                </c:pt>
              </c:numCache>
            </c:numRef>
          </c:val>
          <c:smooth val="0"/>
          <c:extLst>
            <c:ext xmlns:c16="http://schemas.microsoft.com/office/drawing/2014/chart" uri="{C3380CC4-5D6E-409C-BE32-E72D297353CC}">
              <c16:uniqueId val="{00000004-7574-406A-BFF8-0954EF5F76F7}"/>
            </c:ext>
          </c:extLst>
        </c:ser>
        <c:ser>
          <c:idx val="5"/>
          <c:order val="5"/>
          <c:tx>
            <c:strRef>
              <c:f>'Swansea Bay data revised'!$A$7</c:f>
              <c:strCache>
                <c:ptCount val="1"/>
                <c:pt idx="0">
                  <c:v>No. of cases continuing for &gt;2 years</c:v>
                </c:pt>
              </c:strCache>
            </c:strRef>
          </c:tx>
          <c:marker>
            <c:symbol val="none"/>
          </c:marker>
          <c:cat>
            <c:numRef>
              <c:f>'Swansea Bay data revised'!$B$1:$G$1</c:f>
              <c:numCache>
                <c:formatCode>mmm\-yy</c:formatCode>
                <c:ptCount val="6"/>
                <c:pt idx="0">
                  <c:v>45597</c:v>
                </c:pt>
                <c:pt idx="1">
                  <c:v>45627</c:v>
                </c:pt>
                <c:pt idx="2">
                  <c:v>45658</c:v>
                </c:pt>
                <c:pt idx="3">
                  <c:v>45689</c:v>
                </c:pt>
                <c:pt idx="4">
                  <c:v>45717</c:v>
                </c:pt>
                <c:pt idx="5">
                  <c:v>45748</c:v>
                </c:pt>
              </c:numCache>
            </c:numRef>
          </c:cat>
          <c:val>
            <c:numRef>
              <c:f>'Swansea Bay data revised'!$B$7:$G$7</c:f>
              <c:numCache>
                <c:formatCode>General</c:formatCode>
                <c:ptCount val="6"/>
                <c:pt idx="0">
                  <c:v>2</c:v>
                </c:pt>
                <c:pt idx="1">
                  <c:v>2</c:v>
                </c:pt>
                <c:pt idx="2">
                  <c:v>0</c:v>
                </c:pt>
                <c:pt idx="3">
                  <c:v>0</c:v>
                </c:pt>
                <c:pt idx="4">
                  <c:v>0</c:v>
                </c:pt>
                <c:pt idx="5">
                  <c:v>0</c:v>
                </c:pt>
              </c:numCache>
            </c:numRef>
          </c:val>
          <c:smooth val="0"/>
          <c:extLst>
            <c:ext xmlns:c16="http://schemas.microsoft.com/office/drawing/2014/chart" uri="{C3380CC4-5D6E-409C-BE32-E72D297353CC}">
              <c16:uniqueId val="{00000005-7574-406A-BFF8-0954EF5F76F7}"/>
            </c:ext>
          </c:extLst>
        </c:ser>
        <c:ser>
          <c:idx val="6"/>
          <c:order val="6"/>
          <c:tx>
            <c:strRef>
              <c:f>'Swansea Bay data revised'!$A$8</c:f>
              <c:strCache>
                <c:ptCount val="1"/>
                <c:pt idx="0">
                  <c:v>Dignity at work</c:v>
                </c:pt>
              </c:strCache>
            </c:strRef>
          </c:tx>
          <c:marker>
            <c:symbol val="none"/>
          </c:marker>
          <c:cat>
            <c:numRef>
              <c:f>'Swansea Bay data revised'!$B$1:$G$1</c:f>
              <c:numCache>
                <c:formatCode>mmm\-yy</c:formatCode>
                <c:ptCount val="6"/>
                <c:pt idx="0">
                  <c:v>45597</c:v>
                </c:pt>
                <c:pt idx="1">
                  <c:v>45627</c:v>
                </c:pt>
                <c:pt idx="2">
                  <c:v>45658</c:v>
                </c:pt>
                <c:pt idx="3">
                  <c:v>45689</c:v>
                </c:pt>
                <c:pt idx="4">
                  <c:v>45717</c:v>
                </c:pt>
                <c:pt idx="5">
                  <c:v>45748</c:v>
                </c:pt>
              </c:numCache>
            </c:numRef>
          </c:cat>
          <c:val>
            <c:numRef>
              <c:f>'Swansea Bay data revised'!$B$8:$G$8</c:f>
              <c:numCache>
                <c:formatCode>General</c:formatCode>
                <c:ptCount val="6"/>
                <c:pt idx="0">
                  <c:v>1</c:v>
                </c:pt>
                <c:pt idx="1">
                  <c:v>1</c:v>
                </c:pt>
                <c:pt idx="2">
                  <c:v>1</c:v>
                </c:pt>
                <c:pt idx="3">
                  <c:v>1</c:v>
                </c:pt>
                <c:pt idx="4">
                  <c:v>1</c:v>
                </c:pt>
                <c:pt idx="5">
                  <c:v>0</c:v>
                </c:pt>
              </c:numCache>
            </c:numRef>
          </c:val>
          <c:smooth val="0"/>
          <c:extLst>
            <c:ext xmlns:c16="http://schemas.microsoft.com/office/drawing/2014/chart" uri="{C3380CC4-5D6E-409C-BE32-E72D297353CC}">
              <c16:uniqueId val="{00000006-7574-406A-BFF8-0954EF5F76F7}"/>
            </c:ext>
          </c:extLst>
        </c:ser>
        <c:ser>
          <c:idx val="7"/>
          <c:order val="7"/>
          <c:tx>
            <c:strRef>
              <c:f>'Swansea Bay data revised'!$A$9</c:f>
              <c:strCache>
                <c:ptCount val="1"/>
                <c:pt idx="0">
                  <c:v>Grievances</c:v>
                </c:pt>
              </c:strCache>
            </c:strRef>
          </c:tx>
          <c:marker>
            <c:symbol val="none"/>
          </c:marker>
          <c:cat>
            <c:numRef>
              <c:f>'Swansea Bay data revised'!$B$1:$G$1</c:f>
              <c:numCache>
                <c:formatCode>mmm\-yy</c:formatCode>
                <c:ptCount val="6"/>
                <c:pt idx="0">
                  <c:v>45597</c:v>
                </c:pt>
                <c:pt idx="1">
                  <c:v>45627</c:v>
                </c:pt>
                <c:pt idx="2">
                  <c:v>45658</c:v>
                </c:pt>
                <c:pt idx="3">
                  <c:v>45689</c:v>
                </c:pt>
                <c:pt idx="4">
                  <c:v>45717</c:v>
                </c:pt>
                <c:pt idx="5">
                  <c:v>45748</c:v>
                </c:pt>
              </c:numCache>
            </c:numRef>
          </c:cat>
          <c:val>
            <c:numRef>
              <c:f>'Swansea Bay data revised'!$B$9:$G$9</c:f>
              <c:numCache>
                <c:formatCode>General</c:formatCode>
                <c:ptCount val="6"/>
                <c:pt idx="0">
                  <c:v>31</c:v>
                </c:pt>
                <c:pt idx="1">
                  <c:v>38</c:v>
                </c:pt>
                <c:pt idx="2">
                  <c:v>48</c:v>
                </c:pt>
                <c:pt idx="3">
                  <c:v>49</c:v>
                </c:pt>
                <c:pt idx="4">
                  <c:v>50</c:v>
                </c:pt>
                <c:pt idx="5">
                  <c:v>52</c:v>
                </c:pt>
              </c:numCache>
            </c:numRef>
          </c:val>
          <c:smooth val="0"/>
          <c:extLst>
            <c:ext xmlns:c16="http://schemas.microsoft.com/office/drawing/2014/chart" uri="{C3380CC4-5D6E-409C-BE32-E72D297353CC}">
              <c16:uniqueId val="{00000007-7574-406A-BFF8-0954EF5F76F7}"/>
            </c:ext>
          </c:extLst>
        </c:ser>
        <c:ser>
          <c:idx val="8"/>
          <c:order val="8"/>
          <c:tx>
            <c:strRef>
              <c:f>'Swansea Bay data revised'!$A$10</c:f>
              <c:strCache>
                <c:ptCount val="1"/>
                <c:pt idx="0">
                  <c:v>ET’s</c:v>
                </c:pt>
              </c:strCache>
            </c:strRef>
          </c:tx>
          <c:marker>
            <c:symbol val="none"/>
          </c:marker>
          <c:cat>
            <c:numRef>
              <c:f>'Swansea Bay data revised'!$B$1:$G$1</c:f>
              <c:numCache>
                <c:formatCode>mmm\-yy</c:formatCode>
                <c:ptCount val="6"/>
                <c:pt idx="0">
                  <c:v>45597</c:v>
                </c:pt>
                <c:pt idx="1">
                  <c:v>45627</c:v>
                </c:pt>
                <c:pt idx="2">
                  <c:v>45658</c:v>
                </c:pt>
                <c:pt idx="3">
                  <c:v>45689</c:v>
                </c:pt>
                <c:pt idx="4">
                  <c:v>45717</c:v>
                </c:pt>
                <c:pt idx="5">
                  <c:v>45748</c:v>
                </c:pt>
              </c:numCache>
            </c:numRef>
          </c:cat>
          <c:val>
            <c:numRef>
              <c:f>'Swansea Bay data revised'!$B$10:$G$10</c:f>
              <c:numCache>
                <c:formatCode>General</c:formatCode>
                <c:ptCount val="6"/>
                <c:pt idx="0">
                  <c:v>0</c:v>
                </c:pt>
                <c:pt idx="1">
                  <c:v>0</c:v>
                </c:pt>
                <c:pt idx="2">
                  <c:v>1</c:v>
                </c:pt>
                <c:pt idx="3">
                  <c:v>1</c:v>
                </c:pt>
                <c:pt idx="4">
                  <c:v>1</c:v>
                </c:pt>
                <c:pt idx="5">
                  <c:v>1</c:v>
                </c:pt>
              </c:numCache>
            </c:numRef>
          </c:val>
          <c:smooth val="0"/>
          <c:extLst>
            <c:ext xmlns:c16="http://schemas.microsoft.com/office/drawing/2014/chart" uri="{C3380CC4-5D6E-409C-BE32-E72D297353CC}">
              <c16:uniqueId val="{00000008-7574-406A-BFF8-0954EF5F76F7}"/>
            </c:ext>
          </c:extLst>
        </c:ser>
        <c:ser>
          <c:idx val="9"/>
          <c:order val="9"/>
          <c:tx>
            <c:strRef>
              <c:f>'Swansea Bay data revised'!$A$11</c:f>
              <c:strCache>
                <c:ptCount val="1"/>
                <c:pt idx="0">
                  <c:v>Capability</c:v>
                </c:pt>
              </c:strCache>
            </c:strRef>
          </c:tx>
          <c:marker>
            <c:symbol val="none"/>
          </c:marker>
          <c:cat>
            <c:numRef>
              <c:f>'Swansea Bay data revised'!$B$1:$G$1</c:f>
              <c:numCache>
                <c:formatCode>mmm\-yy</c:formatCode>
                <c:ptCount val="6"/>
                <c:pt idx="0">
                  <c:v>45597</c:v>
                </c:pt>
                <c:pt idx="1">
                  <c:v>45627</c:v>
                </c:pt>
                <c:pt idx="2">
                  <c:v>45658</c:v>
                </c:pt>
                <c:pt idx="3">
                  <c:v>45689</c:v>
                </c:pt>
                <c:pt idx="4">
                  <c:v>45717</c:v>
                </c:pt>
                <c:pt idx="5">
                  <c:v>45748</c:v>
                </c:pt>
              </c:numCache>
            </c:numRef>
          </c:cat>
          <c:val>
            <c:numRef>
              <c:f>'Swansea Bay data revised'!$B$11:$G$11</c:f>
              <c:numCache>
                <c:formatCode>General</c:formatCode>
                <c:ptCount val="6"/>
                <c:pt idx="0">
                  <c:v>1</c:v>
                </c:pt>
                <c:pt idx="1">
                  <c:v>1</c:v>
                </c:pt>
                <c:pt idx="2">
                  <c:v>1</c:v>
                </c:pt>
                <c:pt idx="3">
                  <c:v>1</c:v>
                </c:pt>
                <c:pt idx="4">
                  <c:v>0</c:v>
                </c:pt>
                <c:pt idx="5">
                  <c:v>0</c:v>
                </c:pt>
              </c:numCache>
            </c:numRef>
          </c:val>
          <c:smooth val="0"/>
          <c:extLst>
            <c:ext xmlns:c16="http://schemas.microsoft.com/office/drawing/2014/chart" uri="{C3380CC4-5D6E-409C-BE32-E72D297353CC}">
              <c16:uniqueId val="{00000009-7574-406A-BFF8-0954EF5F76F7}"/>
            </c:ext>
          </c:extLst>
        </c:ser>
        <c:ser>
          <c:idx val="10"/>
          <c:order val="10"/>
          <c:tx>
            <c:strRef>
              <c:f>'Swansea Bay data revised'!$A$12</c:f>
              <c:strCache>
                <c:ptCount val="1"/>
                <c:pt idx="0">
                  <c:v>Whistleblowing</c:v>
                </c:pt>
              </c:strCache>
            </c:strRef>
          </c:tx>
          <c:marker>
            <c:symbol val="none"/>
          </c:marker>
          <c:cat>
            <c:numRef>
              <c:f>'Swansea Bay data revised'!$B$1:$G$1</c:f>
              <c:numCache>
                <c:formatCode>mmm\-yy</c:formatCode>
                <c:ptCount val="6"/>
                <c:pt idx="0">
                  <c:v>45597</c:v>
                </c:pt>
                <c:pt idx="1">
                  <c:v>45627</c:v>
                </c:pt>
                <c:pt idx="2">
                  <c:v>45658</c:v>
                </c:pt>
                <c:pt idx="3">
                  <c:v>45689</c:v>
                </c:pt>
                <c:pt idx="4">
                  <c:v>45717</c:v>
                </c:pt>
                <c:pt idx="5">
                  <c:v>45748</c:v>
                </c:pt>
              </c:numCache>
            </c:numRef>
          </c:cat>
          <c:val>
            <c:numRef>
              <c:f>'Swansea Bay data revised'!$B$12:$G$12</c:f>
              <c:numCache>
                <c:formatCode>General</c:formatCode>
                <c:ptCount val="6"/>
                <c:pt idx="0">
                  <c:v>0</c:v>
                </c:pt>
                <c:pt idx="1">
                  <c:v>0</c:v>
                </c:pt>
                <c:pt idx="2">
                  <c:v>0</c:v>
                </c:pt>
                <c:pt idx="3">
                  <c:v>0</c:v>
                </c:pt>
                <c:pt idx="4">
                  <c:v>0</c:v>
                </c:pt>
                <c:pt idx="5">
                  <c:v>0</c:v>
                </c:pt>
              </c:numCache>
            </c:numRef>
          </c:val>
          <c:smooth val="0"/>
          <c:extLst>
            <c:ext xmlns:c16="http://schemas.microsoft.com/office/drawing/2014/chart" uri="{C3380CC4-5D6E-409C-BE32-E72D297353CC}">
              <c16:uniqueId val="{0000000A-7574-406A-BFF8-0954EF5F76F7}"/>
            </c:ext>
          </c:extLst>
        </c:ser>
        <c:dLbls>
          <c:showLegendKey val="0"/>
          <c:showVal val="0"/>
          <c:showCatName val="0"/>
          <c:showSerName val="0"/>
          <c:showPercent val="0"/>
          <c:showBubbleSize val="0"/>
        </c:dLbls>
        <c:smooth val="0"/>
        <c:axId val="319380880"/>
        <c:axId val="1"/>
      </c:lineChart>
      <c:dateAx>
        <c:axId val="319380880"/>
        <c:scaling>
          <c:orientation val="minMax"/>
        </c:scaling>
        <c:delete val="0"/>
        <c:axPos val="b"/>
        <c:numFmt formatCode="mmm\-yy" sourceLinked="0"/>
        <c:majorTickMark val="out"/>
        <c:minorTickMark val="none"/>
        <c:tickLblPos val="nextTo"/>
        <c:txPr>
          <a:bodyPr rot="-5400000" vert="horz"/>
          <a:lstStyle/>
          <a:p>
            <a:pPr>
              <a:defRPr sz="1000" b="0" i="0" u="none" strike="noStrike" baseline="0">
                <a:solidFill>
                  <a:srgbClr val="000000"/>
                </a:solidFill>
                <a:latin typeface="Calibri"/>
                <a:ea typeface="Calibri"/>
                <a:cs typeface="Calibri"/>
              </a:defRPr>
            </a:pPr>
            <a:endParaRPr lang="en-US"/>
          </a:p>
        </c:txPr>
        <c:crossAx val="1"/>
        <c:crosses val="autoZero"/>
        <c:auto val="1"/>
        <c:lblOffset val="100"/>
        <c:baseTimeUnit val="months"/>
        <c:majorUnit val="1"/>
      </c:dateAx>
      <c:valAx>
        <c:axId val="1"/>
        <c:scaling>
          <c:orientation val="minMax"/>
          <c:max val="65"/>
          <c:min val="0"/>
        </c:scaling>
        <c:delete val="0"/>
        <c:axPos val="l"/>
        <c:majorGridlines/>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319380880"/>
        <c:crosses val="autoZero"/>
        <c:crossBetween val="between"/>
      </c:valAx>
    </c:plotArea>
    <c:legend>
      <c:legendPos val="r"/>
      <c:layout>
        <c:manualLayout>
          <c:xMode val="edge"/>
          <c:yMode val="edge"/>
          <c:x val="0.67371060953004025"/>
          <c:y val="1.3026069279470281E-2"/>
          <c:w val="0.31376634839192691"/>
          <c:h val="0.98372483260109223"/>
        </c:manualLayout>
      </c:layout>
      <c:overlay val="0"/>
      <c:txPr>
        <a:bodyPr/>
        <a:lstStyle/>
        <a:p>
          <a:pPr>
            <a:defRPr sz="1000" b="0" i="0" u="none" strike="noStrike" baseline="0">
              <a:solidFill>
                <a:srgbClr val="000000"/>
              </a:solidFill>
              <a:latin typeface="Calibri"/>
              <a:ea typeface="Calibri"/>
              <a:cs typeface="Calibri"/>
            </a:defRPr>
          </a:pPr>
          <a:endParaRPr lang="en-US"/>
        </a:p>
      </c:txPr>
    </c:legend>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Narrow"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Narrow"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Narrow"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e3ab05dccefa9b4269ea26d6b8efa53c">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7046099962c455b42669989208574818"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haredWithUsers xmlns="258d5018-feb4-45ec-8043-ac7152467c64">
      <UserInfo>
        <DisplayName>Bethan Raby (Swansea Bay UHB - Human Resources)</DisplayName>
        <AccountId>18</AccountId>
        <AccountType/>
      </UserInfo>
      <UserInfo>
        <DisplayName>Sarah Jenkins (Swansea Bay UHB - Workforce)</DisplayName>
        <AccountId>16</AccountId>
        <AccountType/>
      </UserInfo>
      <UserInfo>
        <DisplayName>Emma Owen (Swansea Bay UHB - Workforce Development)</DisplayName>
        <AccountId>15</AccountId>
        <AccountType/>
      </UserInfo>
    </SharedWithUsers>
    <_activity xmlns="2795bbee-07b4-4e79-98d8-0419d9871cad" xsi:nil="true"/>
  </documentManagement>
</p:properties>
</file>

<file path=customXml/itemProps1.xml><?xml version="1.0" encoding="utf-8"?>
<ds:datastoreItem xmlns:ds="http://schemas.openxmlformats.org/officeDocument/2006/customXml" ds:itemID="{B1A60C75-F5A4-4869-ACFB-489BD2CC5868}">
  <ds:schemaRefs>
    <ds:schemaRef ds:uri="http://schemas.openxmlformats.org/officeDocument/2006/bibliography"/>
  </ds:schemaRefs>
</ds:datastoreItem>
</file>

<file path=customXml/itemProps2.xml><?xml version="1.0" encoding="utf-8"?>
<ds:datastoreItem xmlns:ds="http://schemas.openxmlformats.org/officeDocument/2006/customXml" ds:itemID="{F5BCBA8E-CF61-4B7C-890B-7F6ABA6D22C5}">
  <ds:schemaRefs>
    <ds:schemaRef ds:uri="http://schemas.microsoft.com/sharepoint/v3/contenttype/forms"/>
  </ds:schemaRefs>
</ds:datastoreItem>
</file>

<file path=customXml/itemProps3.xml><?xml version="1.0" encoding="utf-8"?>
<ds:datastoreItem xmlns:ds="http://schemas.openxmlformats.org/officeDocument/2006/customXml" ds:itemID="{CDC66AC0-0DE0-4EC7-8F07-CB27318CC8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71336AC-2356-4CA4-9054-9BA088FCCF3C}">
  <ds:schemaRefs>
    <ds:schemaRef ds:uri="http://schemas.openxmlformats.org/package/2006/metadata/core-properties"/>
    <ds:schemaRef ds:uri="http://schemas.microsoft.com/office/2006/documentManagement/types"/>
    <ds:schemaRef ds:uri="2795bbee-07b4-4e79-98d8-0419d9871cad"/>
    <ds:schemaRef ds:uri="http://schemas.microsoft.com/office/infopath/2007/PartnerControls"/>
    <ds:schemaRef ds:uri="http://purl.org/dc/terms/"/>
    <ds:schemaRef ds:uri="http://www.w3.org/XML/1998/namespace"/>
    <ds:schemaRef ds:uri="http://purl.org/dc/dcmitype/"/>
    <ds:schemaRef ds:uri="258d5018-feb4-45ec-8043-ac7152467c64"/>
    <ds:schemaRef ds:uri="http://schemas.microsoft.com/office/2006/metadata/properties"/>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14</Pages>
  <Words>3501</Words>
  <Characters>19958</Characters>
  <Application>Microsoft Office Word</Application>
  <DocSecurity>0</DocSecurity>
  <Lines>166</Lines>
  <Paragraphs>46</Paragraphs>
  <ScaleCrop>false</ScaleCrop>
  <HeadingPairs>
    <vt:vector size="2" baseType="variant">
      <vt:variant>
        <vt:lpstr>Title</vt:lpstr>
      </vt:variant>
      <vt:variant>
        <vt:i4>1</vt:i4>
      </vt:variant>
    </vt:vector>
  </HeadingPairs>
  <TitlesOfParts>
    <vt:vector size="1" baseType="lpstr">
      <vt:lpstr/>
    </vt:vector>
  </TitlesOfParts>
  <Company>ABMU</Company>
  <LinksUpToDate>false</LinksUpToDate>
  <CharactersWithSpaces>23413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Roan (ABM ULHB - Planning)</dc:creator>
  <cp:keywords/>
  <dc:description/>
  <cp:lastModifiedBy>Jill Faulkner (Swansea Bay UHB - Workforce &amp; OD)</cp:lastModifiedBy>
  <cp:revision>4</cp:revision>
  <cp:lastPrinted>2019-12-13T12:12:00Z</cp:lastPrinted>
  <dcterms:created xsi:type="dcterms:W3CDTF">2025-05-29T13:04:00Z</dcterms:created>
  <dcterms:modified xsi:type="dcterms:W3CDTF">2025-06-02T14:22:00Z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-8256404</vt:i4>
  </property>
  <property fmtid="{D5CDD505-2E9C-101B-9397-08002B2CF9AE}" pid="3" name="ContentTypeId">
    <vt:lpwstr>0x0101006652E948FA37F943B0514D0A14AFC95A</vt:lpwstr>
  </property>
</Properties>
</file>