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E36C0" w:rsidRDefault="009E36C0">
      <w:r>
        <w:t>Appendix 2</w:t>
      </w:r>
    </w:p>
    <w:tbl>
      <w:tblPr>
        <w:tblStyle w:val="TableGridLight"/>
        <w:tblW w:w="10485" w:type="dxa"/>
        <w:tblLook w:val="04A0" w:firstRow="1" w:lastRow="0" w:firstColumn="1" w:lastColumn="0" w:noHBand="0" w:noVBand="1"/>
      </w:tblPr>
      <w:tblGrid>
        <w:gridCol w:w="2122"/>
        <w:gridCol w:w="8363"/>
      </w:tblGrid>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ED023E" w:rsidRPr="00570609">
              <w:rPr>
                <w:rFonts w:ascii="Arial" w:hAnsi="Arial" w:cs="Arial"/>
                <w:b/>
              </w:rPr>
              <w:t xml:space="preserve"> Title</w:t>
            </w:r>
          </w:p>
        </w:tc>
        <w:tc>
          <w:tcPr>
            <w:tcW w:w="8363" w:type="dxa"/>
          </w:tcPr>
          <w:p w:rsidR="00516C76" w:rsidRDefault="00E36EF2">
            <w:pPr>
              <w:rPr>
                <w:rFonts w:ascii="Arial" w:hAnsi="Arial" w:cs="Arial"/>
                <w:b/>
              </w:rPr>
            </w:pPr>
            <w:r>
              <w:rPr>
                <w:rFonts w:ascii="Arial" w:hAnsi="Arial" w:cs="Arial"/>
                <w:b/>
              </w:rPr>
              <w:t xml:space="preserve">Deep Dive into </w:t>
            </w:r>
            <w:r w:rsidR="00951F44">
              <w:rPr>
                <w:rFonts w:ascii="Arial" w:hAnsi="Arial" w:cs="Arial"/>
                <w:b/>
              </w:rPr>
              <w:t xml:space="preserve">Sickness Absence </w:t>
            </w:r>
            <w:r>
              <w:rPr>
                <w:rFonts w:ascii="Arial" w:hAnsi="Arial" w:cs="Arial"/>
                <w:b/>
              </w:rPr>
              <w:t>for</w:t>
            </w:r>
            <w:r w:rsidR="00951F44">
              <w:rPr>
                <w:rFonts w:ascii="Arial" w:hAnsi="Arial" w:cs="Arial"/>
                <w:b/>
              </w:rPr>
              <w:t xml:space="preserve"> </w:t>
            </w:r>
            <w:r w:rsidR="008E7877">
              <w:rPr>
                <w:rFonts w:ascii="Arial" w:hAnsi="Arial" w:cs="Arial"/>
                <w:b/>
              </w:rPr>
              <w:t>Specialist Palliative Care</w:t>
            </w:r>
          </w:p>
          <w:p w:rsidR="00D803A6" w:rsidRPr="00570609" w:rsidRDefault="00951F44">
            <w:pPr>
              <w:rPr>
                <w:rFonts w:ascii="Arial" w:hAnsi="Arial" w:cs="Arial"/>
                <w:b/>
              </w:rPr>
            </w:pPr>
            <w:r>
              <w:rPr>
                <w:rFonts w:ascii="Arial" w:hAnsi="Arial" w:cs="Arial"/>
                <w:b/>
              </w:rPr>
              <w:t>P</w:t>
            </w:r>
            <w:r w:rsidR="003A5810">
              <w:rPr>
                <w:rFonts w:ascii="Arial" w:hAnsi="Arial" w:cs="Arial"/>
                <w:b/>
              </w:rPr>
              <w:t>rimary Care, Community and Therapies</w:t>
            </w:r>
            <w:r>
              <w:rPr>
                <w:rFonts w:ascii="Arial" w:hAnsi="Arial" w:cs="Arial"/>
                <w:b/>
              </w:rPr>
              <w:t xml:space="preserve"> </w:t>
            </w:r>
          </w:p>
          <w:p w:rsidR="00D803A6" w:rsidRPr="00570609" w:rsidRDefault="00D803A6">
            <w:pPr>
              <w:rPr>
                <w:rFonts w:ascii="Arial" w:hAnsi="Arial" w:cs="Arial"/>
              </w:rPr>
            </w:pP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D803A6" w:rsidRPr="00570609">
              <w:rPr>
                <w:rFonts w:ascii="Arial" w:hAnsi="Arial" w:cs="Arial"/>
                <w:b/>
              </w:rPr>
              <w:t xml:space="preserve"> prepared by</w:t>
            </w:r>
          </w:p>
        </w:tc>
        <w:tc>
          <w:tcPr>
            <w:tcW w:w="8363" w:type="dxa"/>
          </w:tcPr>
          <w:p w:rsidR="00D803A6" w:rsidRPr="00570609" w:rsidRDefault="00D803A6" w:rsidP="00781B82">
            <w:pPr>
              <w:rPr>
                <w:rFonts w:ascii="Arial" w:hAnsi="Arial" w:cs="Arial"/>
              </w:rPr>
            </w:pPr>
            <w:r w:rsidRPr="00570609">
              <w:rPr>
                <w:rFonts w:ascii="Arial" w:hAnsi="Arial" w:cs="Arial"/>
              </w:rPr>
              <w:t>Nicola Garnon Assistant HR Business Partner</w:t>
            </w:r>
            <w:r w:rsidR="00570609" w:rsidRPr="00570609">
              <w:rPr>
                <w:rFonts w:ascii="Arial" w:hAnsi="Arial" w:cs="Arial"/>
              </w:rPr>
              <w:t xml:space="preserve"> </w:t>
            </w: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 xml:space="preserve">Report </w:t>
            </w:r>
            <w:r w:rsidR="000C2189">
              <w:rPr>
                <w:rFonts w:ascii="Arial" w:hAnsi="Arial" w:cs="Arial"/>
                <w:b/>
              </w:rPr>
              <w:t>commissioned</w:t>
            </w:r>
            <w:r w:rsidR="00D803A6" w:rsidRPr="00570609">
              <w:rPr>
                <w:rFonts w:ascii="Arial" w:hAnsi="Arial" w:cs="Arial"/>
                <w:b/>
              </w:rPr>
              <w:t xml:space="preserve"> by</w:t>
            </w:r>
          </w:p>
        </w:tc>
        <w:tc>
          <w:tcPr>
            <w:tcW w:w="8363" w:type="dxa"/>
          </w:tcPr>
          <w:p w:rsidR="00D803A6" w:rsidRPr="00570609" w:rsidRDefault="008D29B8">
            <w:pPr>
              <w:rPr>
                <w:rFonts w:ascii="Arial" w:hAnsi="Arial" w:cs="Arial"/>
              </w:rPr>
            </w:pPr>
            <w:r>
              <w:rPr>
                <w:rFonts w:ascii="Arial" w:hAnsi="Arial" w:cs="Arial"/>
              </w:rPr>
              <w:t>Ruth George, HR Business Partner</w:t>
            </w:r>
          </w:p>
          <w:p w:rsidR="00D803A6" w:rsidRPr="00570609" w:rsidRDefault="00D803A6">
            <w:pPr>
              <w:rPr>
                <w:rFonts w:ascii="Arial" w:hAnsi="Arial" w:cs="Arial"/>
              </w:rPr>
            </w:pPr>
          </w:p>
        </w:tc>
      </w:tr>
      <w:tr w:rsidR="00D803A6" w:rsidRPr="000174C3" w:rsidTr="000C2189">
        <w:tc>
          <w:tcPr>
            <w:tcW w:w="2122" w:type="dxa"/>
          </w:tcPr>
          <w:p w:rsidR="00D803A6" w:rsidRPr="00570609" w:rsidRDefault="00D803A6">
            <w:pPr>
              <w:rPr>
                <w:rFonts w:ascii="Arial" w:hAnsi="Arial" w:cs="Arial"/>
                <w:b/>
              </w:rPr>
            </w:pPr>
            <w:r w:rsidRPr="00570609">
              <w:rPr>
                <w:rFonts w:ascii="Arial" w:hAnsi="Arial" w:cs="Arial"/>
                <w:b/>
              </w:rPr>
              <w:t>Date</w:t>
            </w:r>
          </w:p>
        </w:tc>
        <w:tc>
          <w:tcPr>
            <w:tcW w:w="8363" w:type="dxa"/>
          </w:tcPr>
          <w:p w:rsidR="00D803A6" w:rsidRPr="00570609" w:rsidRDefault="008E7877">
            <w:pPr>
              <w:rPr>
                <w:rFonts w:ascii="Arial" w:hAnsi="Arial" w:cs="Arial"/>
              </w:rPr>
            </w:pPr>
            <w:r>
              <w:rPr>
                <w:rFonts w:ascii="Arial" w:hAnsi="Arial" w:cs="Arial"/>
              </w:rPr>
              <w:t>2</w:t>
            </w:r>
            <w:r w:rsidR="00DB44CC">
              <w:rPr>
                <w:rFonts w:ascii="Arial" w:hAnsi="Arial" w:cs="Arial"/>
              </w:rPr>
              <w:t>9</w:t>
            </w:r>
            <w:r w:rsidR="00AB154B">
              <w:rPr>
                <w:rFonts w:ascii="Arial" w:hAnsi="Arial" w:cs="Arial"/>
              </w:rPr>
              <w:t xml:space="preserve"> January 2026</w:t>
            </w:r>
          </w:p>
          <w:p w:rsidR="00D803A6" w:rsidRPr="00570609" w:rsidRDefault="00D803A6">
            <w:pPr>
              <w:rPr>
                <w:rFonts w:ascii="Arial" w:hAnsi="Arial" w:cs="Arial"/>
              </w:rPr>
            </w:pPr>
          </w:p>
        </w:tc>
      </w:tr>
    </w:tbl>
    <w:p w:rsidR="00315FA9" w:rsidRDefault="00315FA9">
      <w:pPr>
        <w:rPr>
          <w:rFonts w:ascii="Calibri" w:hAnsi="Calibri"/>
          <w:sz w:val="24"/>
          <w:szCs w:val="24"/>
        </w:rPr>
      </w:pPr>
    </w:p>
    <w:p w:rsidR="0001775E" w:rsidRDefault="0001775E" w:rsidP="005C0BDA">
      <w:pPr>
        <w:pStyle w:val="ListParagraph"/>
        <w:numPr>
          <w:ilvl w:val="0"/>
          <w:numId w:val="1"/>
        </w:numPr>
        <w:spacing w:after="160" w:line="259" w:lineRule="auto"/>
        <w:jc w:val="left"/>
        <w:rPr>
          <w:rFonts w:ascii="Arial" w:hAnsi="Arial" w:cs="Arial"/>
          <w:b/>
        </w:rPr>
      </w:pPr>
      <w:r w:rsidRPr="0001775E">
        <w:rPr>
          <w:rFonts w:ascii="Arial" w:hAnsi="Arial" w:cs="Arial"/>
          <w:b/>
        </w:rPr>
        <w:t>Introduction</w:t>
      </w:r>
    </w:p>
    <w:p w:rsidR="004E6687" w:rsidRPr="00277F94" w:rsidRDefault="004E6687" w:rsidP="004E6687">
      <w:pPr>
        <w:pStyle w:val="ListParagraph"/>
        <w:spacing w:after="160" w:line="259" w:lineRule="auto"/>
        <w:jc w:val="left"/>
        <w:rPr>
          <w:rFonts w:ascii="Arial" w:hAnsi="Arial" w:cs="Arial"/>
          <w:b/>
          <w:sz w:val="10"/>
          <w:szCs w:val="10"/>
        </w:rPr>
      </w:pPr>
    </w:p>
    <w:p w:rsidR="008456D5" w:rsidRDefault="0001775E" w:rsidP="0001775E">
      <w:pPr>
        <w:spacing w:line="360" w:lineRule="auto"/>
        <w:rPr>
          <w:rFonts w:ascii="Arial" w:hAnsi="Arial" w:cs="Arial"/>
        </w:rPr>
      </w:pPr>
      <w:r w:rsidRPr="0001775E">
        <w:rPr>
          <w:rFonts w:ascii="Arial" w:hAnsi="Arial" w:cs="Arial"/>
        </w:rPr>
        <w:t>This</w:t>
      </w:r>
      <w:r>
        <w:rPr>
          <w:rFonts w:ascii="Arial" w:hAnsi="Arial" w:cs="Arial"/>
        </w:rPr>
        <w:t xml:space="preserve"> report aims to give a deep dive</w:t>
      </w:r>
      <w:r w:rsidRPr="0001775E">
        <w:rPr>
          <w:rFonts w:ascii="Arial" w:hAnsi="Arial" w:cs="Arial"/>
        </w:rPr>
        <w:t xml:space="preserve"> of </w:t>
      </w:r>
      <w:r w:rsidR="00951F44">
        <w:rPr>
          <w:rFonts w:ascii="Arial" w:hAnsi="Arial" w:cs="Arial"/>
        </w:rPr>
        <w:t xml:space="preserve">sickness absence </w:t>
      </w:r>
      <w:r w:rsidR="00D76DBE">
        <w:rPr>
          <w:rFonts w:ascii="Arial" w:hAnsi="Arial" w:cs="Arial"/>
        </w:rPr>
        <w:t xml:space="preserve">and variable pay </w:t>
      </w:r>
      <w:r w:rsidR="00951F44">
        <w:rPr>
          <w:rFonts w:ascii="Arial" w:hAnsi="Arial" w:cs="Arial"/>
        </w:rPr>
        <w:t xml:space="preserve">within </w:t>
      </w:r>
      <w:r w:rsidR="008E7877">
        <w:rPr>
          <w:rFonts w:ascii="Arial" w:hAnsi="Arial" w:cs="Arial"/>
        </w:rPr>
        <w:t>Specialist Pallative Care</w:t>
      </w:r>
      <w:r w:rsidR="00D76DBE">
        <w:rPr>
          <w:rFonts w:ascii="Arial" w:hAnsi="Arial" w:cs="Arial"/>
        </w:rPr>
        <w:t>, two priority areas within the Health Board’s People Priorities</w:t>
      </w:r>
      <w:r w:rsidR="00951F44">
        <w:rPr>
          <w:rFonts w:ascii="Arial" w:hAnsi="Arial" w:cs="Arial"/>
        </w:rPr>
        <w:t xml:space="preserve">. </w:t>
      </w:r>
      <w:r w:rsidR="008E7877">
        <w:rPr>
          <w:rFonts w:ascii="Arial" w:hAnsi="Arial" w:cs="Arial"/>
        </w:rPr>
        <w:t>Although Specialist Pallative Care does not</w:t>
      </w:r>
      <w:r w:rsidR="00951F44">
        <w:rPr>
          <w:rFonts w:ascii="Arial" w:hAnsi="Arial" w:cs="Arial"/>
        </w:rPr>
        <w:t xml:space="preserve"> </w:t>
      </w:r>
      <w:r w:rsidR="00516C76">
        <w:rPr>
          <w:rFonts w:ascii="Arial" w:hAnsi="Arial" w:cs="Arial"/>
        </w:rPr>
        <w:t xml:space="preserve">currently </w:t>
      </w:r>
      <w:r w:rsidR="00951F44">
        <w:rPr>
          <w:rFonts w:ascii="Arial" w:hAnsi="Arial" w:cs="Arial"/>
        </w:rPr>
        <w:t xml:space="preserve">meet the criteria for a sickness </w:t>
      </w:r>
      <w:r w:rsidR="00951F44" w:rsidRPr="003A2245">
        <w:rPr>
          <w:rFonts w:ascii="Arial" w:hAnsi="Arial" w:cs="Arial"/>
        </w:rPr>
        <w:t xml:space="preserve">absence hot spot </w:t>
      </w:r>
      <w:r w:rsidR="003A2245" w:rsidRPr="003A2245">
        <w:rPr>
          <w:rFonts w:ascii="Arial" w:hAnsi="Arial" w:cs="Arial"/>
        </w:rPr>
        <w:t>(areas which the latest 3-month position being at or above 8% absence FTE together with a WTE of 20 or more (</w:t>
      </w:r>
      <w:r w:rsidR="00680DF2" w:rsidRPr="003A2245">
        <w:rPr>
          <w:rFonts w:ascii="Arial" w:hAnsi="Arial" w:cs="Arial"/>
        </w:rPr>
        <w:t>12-month</w:t>
      </w:r>
      <w:r w:rsidR="003A2245" w:rsidRPr="003A2245">
        <w:rPr>
          <w:rFonts w:ascii="Arial" w:hAnsi="Arial" w:cs="Arial"/>
        </w:rPr>
        <w:t xml:space="preserve"> average)</w:t>
      </w:r>
      <w:r w:rsidR="003A2245">
        <w:rPr>
          <w:rFonts w:ascii="Arial" w:hAnsi="Arial" w:cs="Arial"/>
        </w:rPr>
        <w:t>)</w:t>
      </w:r>
      <w:r w:rsidR="008E7877">
        <w:rPr>
          <w:rFonts w:ascii="Arial" w:hAnsi="Arial" w:cs="Arial"/>
        </w:rPr>
        <w:t xml:space="preserve"> it has experienced high levels of sickness since September 2025</w:t>
      </w:r>
      <w:r w:rsidR="00516C76">
        <w:rPr>
          <w:rFonts w:ascii="Arial" w:hAnsi="Arial" w:cs="Arial"/>
        </w:rPr>
        <w:t xml:space="preserve">. It has also </w:t>
      </w:r>
      <w:r w:rsidR="00680DF2">
        <w:rPr>
          <w:rFonts w:ascii="Arial" w:hAnsi="Arial" w:cs="Arial"/>
        </w:rPr>
        <w:t>been above t</w:t>
      </w:r>
      <w:r w:rsidRPr="00D4227C">
        <w:rPr>
          <w:rFonts w:ascii="Arial" w:hAnsi="Arial" w:cs="Arial"/>
        </w:rPr>
        <w:t>he</w:t>
      </w:r>
      <w:r w:rsidR="003D1107">
        <w:rPr>
          <w:rFonts w:ascii="Arial" w:hAnsi="Arial" w:cs="Arial"/>
        </w:rPr>
        <w:t xml:space="preserve"> Welsh Government</w:t>
      </w:r>
      <w:r w:rsidRPr="00D4227C">
        <w:rPr>
          <w:rFonts w:ascii="Arial" w:hAnsi="Arial" w:cs="Arial"/>
        </w:rPr>
        <w:t xml:space="preserve"> target for sickness absence </w:t>
      </w:r>
      <w:r w:rsidR="00680DF2">
        <w:rPr>
          <w:rFonts w:ascii="Arial" w:hAnsi="Arial" w:cs="Arial"/>
        </w:rPr>
        <w:t>of</w:t>
      </w:r>
      <w:r w:rsidRPr="00D4227C">
        <w:rPr>
          <w:rFonts w:ascii="Arial" w:hAnsi="Arial" w:cs="Arial"/>
        </w:rPr>
        <w:t xml:space="preserve"> 5.08%</w:t>
      </w:r>
      <w:r w:rsidR="00680DF2">
        <w:rPr>
          <w:rFonts w:ascii="Arial" w:hAnsi="Arial" w:cs="Arial"/>
        </w:rPr>
        <w:t xml:space="preserve"> for </w:t>
      </w:r>
      <w:r w:rsidR="008E7877">
        <w:rPr>
          <w:rFonts w:ascii="Arial" w:hAnsi="Arial" w:cs="Arial"/>
        </w:rPr>
        <w:t>6 out of the last 12</w:t>
      </w:r>
      <w:r w:rsidR="00680DF2">
        <w:rPr>
          <w:rFonts w:ascii="Arial" w:hAnsi="Arial" w:cs="Arial"/>
        </w:rPr>
        <w:t xml:space="preserve"> </w:t>
      </w:r>
      <w:r w:rsidR="008E7877">
        <w:rPr>
          <w:rFonts w:ascii="Arial" w:hAnsi="Arial" w:cs="Arial"/>
        </w:rPr>
        <w:t>calendar</w:t>
      </w:r>
      <w:r w:rsidR="00680DF2">
        <w:rPr>
          <w:rFonts w:ascii="Arial" w:hAnsi="Arial" w:cs="Arial"/>
        </w:rPr>
        <w:t xml:space="preserve"> </w:t>
      </w:r>
      <w:proofErr w:type="gramStart"/>
      <w:r w:rsidR="00680DF2">
        <w:rPr>
          <w:rFonts w:ascii="Arial" w:hAnsi="Arial" w:cs="Arial"/>
        </w:rPr>
        <w:t>months.</w:t>
      </w:r>
      <w:r w:rsidR="003D1107">
        <w:rPr>
          <w:rFonts w:ascii="Arial" w:hAnsi="Arial" w:cs="Arial"/>
        </w:rPr>
        <w:t>.</w:t>
      </w:r>
      <w:proofErr w:type="gramEnd"/>
    </w:p>
    <w:p w:rsidR="00492B2E" w:rsidRPr="00545BD8" w:rsidRDefault="00492B2E">
      <w:pPr>
        <w:rPr>
          <w:rFonts w:ascii="Calibri" w:hAnsi="Calibri"/>
          <w:sz w:val="16"/>
          <w:szCs w:val="16"/>
        </w:rPr>
      </w:pPr>
    </w:p>
    <w:p w:rsidR="000B3304" w:rsidRDefault="00C47B61" w:rsidP="005C0BDA">
      <w:pPr>
        <w:pStyle w:val="ListParagraph"/>
        <w:numPr>
          <w:ilvl w:val="0"/>
          <w:numId w:val="2"/>
        </w:numPr>
        <w:spacing w:line="360" w:lineRule="auto"/>
        <w:rPr>
          <w:rFonts w:ascii="Arial" w:hAnsi="Arial" w:cs="Arial"/>
          <w:b/>
        </w:rPr>
      </w:pPr>
      <w:r>
        <w:rPr>
          <w:rFonts w:ascii="Arial" w:hAnsi="Arial" w:cs="Arial"/>
          <w:b/>
        </w:rPr>
        <w:t>Unavailability Data</w:t>
      </w:r>
    </w:p>
    <w:p w:rsidR="004E6687" w:rsidRPr="00277F94" w:rsidRDefault="004E6687" w:rsidP="004E6687">
      <w:pPr>
        <w:pStyle w:val="ListParagraph"/>
        <w:spacing w:line="360" w:lineRule="auto"/>
        <w:ind w:left="540"/>
        <w:rPr>
          <w:rFonts w:ascii="Arial" w:hAnsi="Arial" w:cs="Arial"/>
          <w:b/>
          <w:sz w:val="10"/>
          <w:szCs w:val="10"/>
        </w:rPr>
      </w:pPr>
    </w:p>
    <w:p w:rsidR="004E6687" w:rsidRDefault="00C513A0" w:rsidP="00570609">
      <w:pPr>
        <w:spacing w:line="360" w:lineRule="auto"/>
        <w:jc w:val="both"/>
        <w:rPr>
          <w:rFonts w:ascii="Arial" w:hAnsi="Arial" w:cs="Arial"/>
        </w:rPr>
      </w:pPr>
      <w:r w:rsidRPr="00B760E1">
        <w:rPr>
          <w:rFonts w:ascii="Arial" w:hAnsi="Arial" w:cs="Arial"/>
        </w:rPr>
        <w:t>S</w:t>
      </w:r>
      <w:r w:rsidR="001C2002" w:rsidRPr="00B760E1">
        <w:rPr>
          <w:rFonts w:ascii="Arial" w:hAnsi="Arial" w:cs="Arial"/>
        </w:rPr>
        <w:t>ickne</w:t>
      </w:r>
      <w:r w:rsidRPr="00B760E1">
        <w:rPr>
          <w:rFonts w:ascii="Arial" w:hAnsi="Arial" w:cs="Arial"/>
        </w:rPr>
        <w:t xml:space="preserve">ss unavailability data from Allocate </w:t>
      </w:r>
      <w:r w:rsidR="001C2002" w:rsidRPr="00B760E1">
        <w:rPr>
          <w:rFonts w:ascii="Arial" w:hAnsi="Arial" w:cs="Arial"/>
        </w:rPr>
        <w:t>give</w:t>
      </w:r>
      <w:r w:rsidR="0001775E" w:rsidRPr="00B760E1">
        <w:rPr>
          <w:rFonts w:ascii="Arial" w:hAnsi="Arial" w:cs="Arial"/>
        </w:rPr>
        <w:t>s</w:t>
      </w:r>
      <w:r w:rsidR="001C2002" w:rsidRPr="00B760E1">
        <w:rPr>
          <w:rFonts w:ascii="Arial" w:hAnsi="Arial" w:cs="Arial"/>
        </w:rPr>
        <w:t xml:space="preserve"> an indication of </w:t>
      </w:r>
      <w:r w:rsidR="007064ED">
        <w:rPr>
          <w:rFonts w:ascii="Arial" w:hAnsi="Arial" w:cs="Arial"/>
        </w:rPr>
        <w:t xml:space="preserve">the </w:t>
      </w:r>
      <w:r w:rsidRPr="00B760E1">
        <w:rPr>
          <w:rFonts w:ascii="Arial" w:hAnsi="Arial" w:cs="Arial"/>
        </w:rPr>
        <w:t xml:space="preserve">current </w:t>
      </w:r>
      <w:r w:rsidR="00A42F3F">
        <w:rPr>
          <w:rFonts w:ascii="Arial" w:hAnsi="Arial" w:cs="Arial"/>
        </w:rPr>
        <w:t xml:space="preserve">weekly </w:t>
      </w:r>
      <w:r w:rsidRPr="00B760E1">
        <w:rPr>
          <w:rFonts w:ascii="Arial" w:hAnsi="Arial" w:cs="Arial"/>
        </w:rPr>
        <w:t xml:space="preserve">absence rate across the </w:t>
      </w:r>
      <w:r w:rsidR="001C2002" w:rsidRPr="00B760E1">
        <w:rPr>
          <w:rFonts w:ascii="Arial" w:hAnsi="Arial" w:cs="Arial"/>
        </w:rPr>
        <w:t>workforce</w:t>
      </w:r>
      <w:r w:rsidRPr="00B760E1">
        <w:rPr>
          <w:rFonts w:ascii="Arial" w:hAnsi="Arial" w:cs="Arial"/>
        </w:rPr>
        <w:t xml:space="preserve"> under </w:t>
      </w:r>
      <w:r w:rsidR="000E2C93">
        <w:rPr>
          <w:rFonts w:ascii="Arial" w:hAnsi="Arial" w:cs="Arial"/>
        </w:rPr>
        <w:t>B321</w:t>
      </w:r>
      <w:r w:rsidR="00AB154B">
        <w:rPr>
          <w:rFonts w:ascii="Arial" w:hAnsi="Arial" w:cs="Arial"/>
        </w:rPr>
        <w:t xml:space="preserve"> cost code</w:t>
      </w:r>
      <w:r w:rsidR="00A42F3F">
        <w:rPr>
          <w:rFonts w:ascii="Arial" w:hAnsi="Arial" w:cs="Arial"/>
        </w:rPr>
        <w:t xml:space="preserve">, for employees currently on the </w:t>
      </w:r>
      <w:proofErr w:type="spellStart"/>
      <w:r w:rsidR="00A42F3F">
        <w:rPr>
          <w:rFonts w:ascii="Arial" w:hAnsi="Arial" w:cs="Arial"/>
        </w:rPr>
        <w:t>e-rostering</w:t>
      </w:r>
      <w:proofErr w:type="spellEnd"/>
      <w:r w:rsidR="00A42F3F">
        <w:rPr>
          <w:rFonts w:ascii="Arial" w:hAnsi="Arial" w:cs="Arial"/>
        </w:rPr>
        <w:t xml:space="preserve"> system</w:t>
      </w:r>
      <w:r w:rsidR="001C2002" w:rsidRPr="00B760E1">
        <w:rPr>
          <w:rFonts w:ascii="Arial" w:hAnsi="Arial" w:cs="Arial"/>
        </w:rPr>
        <w:t xml:space="preserve">. </w:t>
      </w:r>
      <w:r w:rsidR="007064ED">
        <w:rPr>
          <w:rFonts w:ascii="Arial" w:hAnsi="Arial" w:cs="Arial"/>
        </w:rPr>
        <w:t>For the current period the sickness rate stands</w:t>
      </w:r>
      <w:r w:rsidR="00AB154B">
        <w:rPr>
          <w:rFonts w:ascii="Arial" w:hAnsi="Arial" w:cs="Arial"/>
        </w:rPr>
        <w:t xml:space="preserve"> for</w:t>
      </w:r>
      <w:r w:rsidR="000E2C93">
        <w:rPr>
          <w:rFonts w:ascii="Arial" w:hAnsi="Arial" w:cs="Arial"/>
        </w:rPr>
        <w:t xml:space="preserve"> Specialist Palliative Care </w:t>
      </w:r>
      <w:r w:rsidR="00AB154B">
        <w:rPr>
          <w:rFonts w:ascii="Arial" w:hAnsi="Arial" w:cs="Arial"/>
        </w:rPr>
        <w:t>as below.</w:t>
      </w:r>
      <w:r w:rsidR="006771B6">
        <w:rPr>
          <w:rFonts w:ascii="Arial" w:hAnsi="Arial" w:cs="Arial"/>
        </w:rPr>
        <w:t xml:space="preserve"> </w:t>
      </w:r>
    </w:p>
    <w:p w:rsidR="006C2B04" w:rsidRDefault="000E2C93" w:rsidP="00570609">
      <w:pPr>
        <w:spacing w:line="360" w:lineRule="auto"/>
        <w:jc w:val="both"/>
        <w:rPr>
          <w:rFonts w:ascii="Arial" w:hAnsi="Arial" w:cs="Arial"/>
        </w:rPr>
      </w:pPr>
      <w:r w:rsidRPr="000E2C93">
        <w:rPr>
          <w:rFonts w:ascii="Arial" w:hAnsi="Arial" w:cs="Arial"/>
        </w:rPr>
        <w:t>Allocate RosterPerform 11 - PCC DU Unavailability Report (26/01/2026 - 01/02/2026)</w:t>
      </w:r>
    </w:p>
    <w:tbl>
      <w:tblPr>
        <w:tblW w:w="5206"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1"/>
        <w:gridCol w:w="1256"/>
        <w:gridCol w:w="1015"/>
        <w:gridCol w:w="1150"/>
        <w:gridCol w:w="1119"/>
        <w:gridCol w:w="875"/>
        <w:gridCol w:w="1581"/>
        <w:gridCol w:w="1200"/>
      </w:tblGrid>
      <w:tr w:rsidR="000E2C93" w:rsidRPr="000E2C93" w:rsidTr="000E2C93">
        <w:trPr>
          <w:trHeight w:val="250"/>
        </w:trPr>
        <w:tc>
          <w:tcPr>
            <w:tcW w:w="1236"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proofErr w:type="spellStart"/>
            <w:r w:rsidRPr="000E2C93">
              <w:rPr>
                <w:rFonts w:ascii="Arial" w:eastAsia="Times New Roman" w:hAnsi="Arial" w:cs="Arial"/>
                <w:color w:val="000000"/>
                <w:sz w:val="20"/>
                <w:szCs w:val="20"/>
                <w:lang w:eastAsia="en-GB"/>
              </w:rPr>
              <w:t>Org.Units</w:t>
            </w:r>
            <w:proofErr w:type="spellEnd"/>
            <w:r w:rsidRPr="000E2C93">
              <w:rPr>
                <w:rFonts w:ascii="Arial" w:eastAsia="Times New Roman" w:hAnsi="Arial" w:cs="Arial"/>
                <w:color w:val="000000"/>
                <w:sz w:val="20"/>
                <w:szCs w:val="20"/>
                <w:lang w:eastAsia="en-GB"/>
              </w:rPr>
              <w:t>/Metrics</w:t>
            </w:r>
          </w:p>
        </w:tc>
        <w:tc>
          <w:tcPr>
            <w:tcW w:w="577"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Annual Leave %</w:t>
            </w:r>
          </w:p>
        </w:tc>
        <w:tc>
          <w:tcPr>
            <w:tcW w:w="466"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Other Leave %</w:t>
            </w:r>
          </w:p>
        </w:tc>
        <w:tc>
          <w:tcPr>
            <w:tcW w:w="528"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Parenting %</w:t>
            </w:r>
          </w:p>
        </w:tc>
        <w:tc>
          <w:tcPr>
            <w:tcW w:w="514"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Sickness %</w:t>
            </w:r>
          </w:p>
        </w:tc>
        <w:tc>
          <w:tcPr>
            <w:tcW w:w="402"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Study Day %</w:t>
            </w:r>
          </w:p>
        </w:tc>
        <w:tc>
          <w:tcPr>
            <w:tcW w:w="726"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Total Unavailability %</w:t>
            </w:r>
          </w:p>
        </w:tc>
        <w:tc>
          <w:tcPr>
            <w:tcW w:w="551"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Working Day %</w:t>
            </w:r>
          </w:p>
        </w:tc>
      </w:tr>
      <w:tr w:rsidR="000E2C93" w:rsidRPr="000E2C93" w:rsidTr="000E2C93">
        <w:trPr>
          <w:trHeight w:val="260"/>
        </w:trPr>
        <w:tc>
          <w:tcPr>
            <w:tcW w:w="1236" w:type="pct"/>
            <w:noWrap/>
            <w:vAlign w:val="bottom"/>
            <w:hideMark/>
          </w:tcPr>
          <w:p w:rsidR="000E2C93" w:rsidRPr="000E2C93" w:rsidRDefault="000E2C93" w:rsidP="000E2C93">
            <w:pPr>
              <w:spacing w:after="0" w:line="240" w:lineRule="auto"/>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130 B321 CNS Palliative Care &amp; EOLC</w:t>
            </w:r>
          </w:p>
        </w:tc>
        <w:tc>
          <w:tcPr>
            <w:tcW w:w="577" w:type="pct"/>
            <w:shd w:val="clear" w:color="000000" w:fill="FFCC00"/>
            <w:noWrap/>
            <w:vAlign w:val="bottom"/>
            <w:hideMark/>
          </w:tcPr>
          <w:p w:rsidR="000E2C93" w:rsidRPr="000E2C93" w:rsidRDefault="000E2C93" w:rsidP="000E2C93">
            <w:pPr>
              <w:spacing w:after="0" w:line="240" w:lineRule="auto"/>
              <w:jc w:val="right"/>
              <w:rPr>
                <w:rFonts w:ascii="Arial" w:eastAsia="Times New Roman" w:hAnsi="Arial" w:cs="Arial"/>
                <w:b/>
                <w:bCs/>
                <w:color w:val="000000"/>
                <w:sz w:val="20"/>
                <w:szCs w:val="20"/>
                <w:lang w:eastAsia="en-GB"/>
              </w:rPr>
            </w:pPr>
            <w:r w:rsidRPr="000E2C93">
              <w:rPr>
                <w:rFonts w:ascii="Arial" w:eastAsia="Times New Roman" w:hAnsi="Arial" w:cs="Arial"/>
                <w:b/>
                <w:bCs/>
                <w:color w:val="000000"/>
                <w:sz w:val="20"/>
                <w:szCs w:val="20"/>
                <w:lang w:eastAsia="en-GB"/>
              </w:rPr>
              <w:t>6.74%</w:t>
            </w:r>
          </w:p>
        </w:tc>
        <w:tc>
          <w:tcPr>
            <w:tcW w:w="466" w:type="pct"/>
            <w:noWrap/>
            <w:vAlign w:val="bottom"/>
            <w:hideMark/>
          </w:tcPr>
          <w:p w:rsidR="000E2C93" w:rsidRPr="000E2C93" w:rsidRDefault="000E2C93" w:rsidP="000E2C93">
            <w:pPr>
              <w:spacing w:after="0" w:line="240" w:lineRule="auto"/>
              <w:jc w:val="right"/>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0.00%</w:t>
            </w:r>
          </w:p>
        </w:tc>
        <w:tc>
          <w:tcPr>
            <w:tcW w:w="528" w:type="pct"/>
            <w:shd w:val="clear" w:color="000000" w:fill="FFCC00"/>
            <w:noWrap/>
            <w:vAlign w:val="bottom"/>
            <w:hideMark/>
          </w:tcPr>
          <w:p w:rsidR="000E2C93" w:rsidRPr="000E2C93" w:rsidRDefault="000E2C93" w:rsidP="000E2C93">
            <w:pPr>
              <w:spacing w:after="0" w:line="240" w:lineRule="auto"/>
              <w:jc w:val="right"/>
              <w:rPr>
                <w:rFonts w:ascii="Arial" w:eastAsia="Times New Roman" w:hAnsi="Arial" w:cs="Arial"/>
                <w:b/>
                <w:bCs/>
                <w:color w:val="000000"/>
                <w:sz w:val="20"/>
                <w:szCs w:val="20"/>
                <w:lang w:eastAsia="en-GB"/>
              </w:rPr>
            </w:pPr>
            <w:r w:rsidRPr="000E2C93">
              <w:rPr>
                <w:rFonts w:ascii="Arial" w:eastAsia="Times New Roman" w:hAnsi="Arial" w:cs="Arial"/>
                <w:b/>
                <w:bCs/>
                <w:color w:val="000000"/>
                <w:sz w:val="20"/>
                <w:szCs w:val="20"/>
                <w:lang w:eastAsia="en-GB"/>
              </w:rPr>
              <w:t>4.81%</w:t>
            </w:r>
          </w:p>
        </w:tc>
        <w:tc>
          <w:tcPr>
            <w:tcW w:w="514" w:type="pct"/>
            <w:shd w:val="clear" w:color="000000" w:fill="FFCC00"/>
            <w:noWrap/>
            <w:vAlign w:val="bottom"/>
            <w:hideMark/>
          </w:tcPr>
          <w:p w:rsidR="000E2C93" w:rsidRPr="000E2C93" w:rsidRDefault="000E2C93" w:rsidP="000E2C93">
            <w:pPr>
              <w:spacing w:after="0" w:line="240" w:lineRule="auto"/>
              <w:jc w:val="right"/>
              <w:rPr>
                <w:rFonts w:ascii="Arial" w:eastAsia="Times New Roman" w:hAnsi="Arial" w:cs="Arial"/>
                <w:b/>
                <w:bCs/>
                <w:color w:val="000000"/>
                <w:sz w:val="20"/>
                <w:szCs w:val="20"/>
                <w:lang w:eastAsia="en-GB"/>
              </w:rPr>
            </w:pPr>
            <w:r w:rsidRPr="000E2C93">
              <w:rPr>
                <w:rFonts w:ascii="Arial" w:eastAsia="Times New Roman" w:hAnsi="Arial" w:cs="Arial"/>
                <w:b/>
                <w:bCs/>
                <w:color w:val="000000"/>
                <w:sz w:val="20"/>
                <w:szCs w:val="20"/>
                <w:lang w:eastAsia="en-GB"/>
              </w:rPr>
              <w:t>7.70%</w:t>
            </w:r>
          </w:p>
        </w:tc>
        <w:tc>
          <w:tcPr>
            <w:tcW w:w="402" w:type="pct"/>
            <w:noWrap/>
            <w:vAlign w:val="bottom"/>
            <w:hideMark/>
          </w:tcPr>
          <w:p w:rsidR="000E2C93" w:rsidRPr="000E2C93" w:rsidRDefault="000E2C93" w:rsidP="000E2C93">
            <w:pPr>
              <w:spacing w:after="0" w:line="240" w:lineRule="auto"/>
              <w:jc w:val="right"/>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0.00%</w:t>
            </w:r>
          </w:p>
        </w:tc>
        <w:tc>
          <w:tcPr>
            <w:tcW w:w="726" w:type="pct"/>
            <w:noWrap/>
            <w:vAlign w:val="bottom"/>
            <w:hideMark/>
          </w:tcPr>
          <w:p w:rsidR="000E2C93" w:rsidRPr="000E2C93" w:rsidRDefault="000E2C93" w:rsidP="000E2C93">
            <w:pPr>
              <w:spacing w:after="0" w:line="240" w:lineRule="auto"/>
              <w:jc w:val="right"/>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19.24%</w:t>
            </w:r>
          </w:p>
        </w:tc>
        <w:tc>
          <w:tcPr>
            <w:tcW w:w="551" w:type="pct"/>
            <w:noWrap/>
            <w:vAlign w:val="bottom"/>
            <w:hideMark/>
          </w:tcPr>
          <w:p w:rsidR="000E2C93" w:rsidRPr="000E2C93" w:rsidRDefault="000E2C93" w:rsidP="000E2C93">
            <w:pPr>
              <w:spacing w:after="0" w:line="240" w:lineRule="auto"/>
              <w:jc w:val="right"/>
              <w:rPr>
                <w:rFonts w:ascii="Arial" w:eastAsia="Times New Roman" w:hAnsi="Arial" w:cs="Arial"/>
                <w:color w:val="000000"/>
                <w:sz w:val="20"/>
                <w:szCs w:val="20"/>
                <w:lang w:eastAsia="en-GB"/>
              </w:rPr>
            </w:pPr>
            <w:r w:rsidRPr="000E2C93">
              <w:rPr>
                <w:rFonts w:ascii="Arial" w:eastAsia="Times New Roman" w:hAnsi="Arial" w:cs="Arial"/>
                <w:color w:val="000000"/>
                <w:sz w:val="20"/>
                <w:szCs w:val="20"/>
                <w:lang w:eastAsia="en-GB"/>
              </w:rPr>
              <w:t>0.00%</w:t>
            </w:r>
          </w:p>
        </w:tc>
      </w:tr>
    </w:tbl>
    <w:p w:rsidR="004E6687" w:rsidRDefault="004E6687" w:rsidP="00BB7511">
      <w:pPr>
        <w:jc w:val="both"/>
        <w:rPr>
          <w:rFonts w:ascii="Calibri" w:hAnsi="Calibri"/>
          <w:sz w:val="24"/>
          <w:szCs w:val="24"/>
        </w:rPr>
      </w:pPr>
    </w:p>
    <w:p w:rsidR="003349A1" w:rsidRPr="003349A1" w:rsidRDefault="00C47B61" w:rsidP="003349A1">
      <w:pPr>
        <w:spacing w:line="360" w:lineRule="auto"/>
        <w:jc w:val="both"/>
        <w:rPr>
          <w:rFonts w:ascii="Arial" w:hAnsi="Arial" w:cs="Arial"/>
        </w:rPr>
      </w:pPr>
      <w:r w:rsidRPr="003349A1">
        <w:rPr>
          <w:rFonts w:ascii="Arial" w:hAnsi="Arial" w:cs="Arial"/>
        </w:rPr>
        <w:t>Reviewing the BI Dashboard for Specialist Pallative Care effective 29 January 2026 the annual leave entitlement used to date stood at 71%</w:t>
      </w:r>
      <w:r w:rsidR="003349A1" w:rsidRPr="003349A1">
        <w:rPr>
          <w:rFonts w:ascii="Arial" w:hAnsi="Arial" w:cs="Arial"/>
        </w:rPr>
        <w:t xml:space="preserve">. </w:t>
      </w:r>
    </w:p>
    <w:p w:rsidR="00C47B61" w:rsidRPr="003349A1" w:rsidRDefault="003349A1" w:rsidP="003349A1">
      <w:pPr>
        <w:spacing w:line="360" w:lineRule="auto"/>
        <w:jc w:val="both"/>
        <w:rPr>
          <w:rFonts w:ascii="Arial" w:hAnsi="Arial" w:cs="Arial"/>
        </w:rPr>
      </w:pPr>
      <w:r w:rsidRPr="003349A1">
        <w:rPr>
          <w:rFonts w:ascii="Arial" w:hAnsi="Arial" w:cs="Arial"/>
          <w:noProof/>
        </w:rPr>
        <w:drawing>
          <wp:anchor distT="0" distB="0" distL="114300" distR="114300" simplePos="0" relativeHeight="251667456" behindDoc="0" locked="0" layoutInCell="1" allowOverlap="1" wp14:anchorId="1FA15B51" wp14:editId="61A0AA51">
            <wp:simplePos x="0" y="0"/>
            <wp:positionH relativeFrom="margin">
              <wp:align>left</wp:align>
            </wp:positionH>
            <wp:positionV relativeFrom="paragraph">
              <wp:posOffset>281455</wp:posOffset>
            </wp:positionV>
            <wp:extent cx="5677192" cy="1797142"/>
            <wp:effectExtent l="0" t="0" r="0" b="0"/>
            <wp:wrapNone/>
            <wp:docPr id="185938223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382237" name="Picture 1" descr="A screenshot of a graph&#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5677192" cy="1797142"/>
                    </a:xfrm>
                    <a:prstGeom prst="rect">
                      <a:avLst/>
                    </a:prstGeom>
                  </pic:spPr>
                </pic:pic>
              </a:graphicData>
            </a:graphic>
            <wp14:sizeRelH relativeFrom="page">
              <wp14:pctWidth>0</wp14:pctWidth>
            </wp14:sizeRelH>
            <wp14:sizeRelV relativeFrom="page">
              <wp14:pctHeight>0</wp14:pctHeight>
            </wp14:sizeRelV>
          </wp:anchor>
        </w:drawing>
      </w:r>
      <w:r w:rsidRPr="003349A1">
        <w:rPr>
          <w:rFonts w:ascii="Arial" w:hAnsi="Arial" w:cs="Arial"/>
        </w:rPr>
        <w:t>83.29% should have been taken effective 29 January 2026, leaving a deficit of 12.29%.</w:t>
      </w:r>
      <w:r w:rsidR="00C47B61" w:rsidRPr="003349A1">
        <w:rPr>
          <w:rFonts w:ascii="Arial" w:hAnsi="Arial" w:cs="Arial"/>
        </w:rPr>
        <w:t xml:space="preserve"> </w:t>
      </w:r>
    </w:p>
    <w:p w:rsidR="00C47B61" w:rsidRDefault="00C47B61" w:rsidP="00BB7511">
      <w:pPr>
        <w:jc w:val="both"/>
        <w:rPr>
          <w:rFonts w:ascii="Calibri" w:hAnsi="Calibri"/>
          <w:sz w:val="24"/>
          <w:szCs w:val="24"/>
        </w:rPr>
      </w:pPr>
    </w:p>
    <w:p w:rsidR="003349A1" w:rsidRDefault="003349A1" w:rsidP="00BB7511">
      <w:pPr>
        <w:jc w:val="both"/>
        <w:rPr>
          <w:rFonts w:ascii="Calibri" w:hAnsi="Calibri"/>
          <w:sz w:val="24"/>
          <w:szCs w:val="24"/>
        </w:rPr>
      </w:pPr>
    </w:p>
    <w:p w:rsidR="003349A1" w:rsidRDefault="003349A1" w:rsidP="00BB7511">
      <w:pPr>
        <w:jc w:val="both"/>
        <w:rPr>
          <w:rFonts w:ascii="Calibri" w:hAnsi="Calibri"/>
          <w:sz w:val="24"/>
          <w:szCs w:val="24"/>
        </w:rPr>
      </w:pPr>
    </w:p>
    <w:p w:rsidR="00C47B61" w:rsidRDefault="00C47B61" w:rsidP="00BB7511">
      <w:pPr>
        <w:jc w:val="both"/>
        <w:rPr>
          <w:rFonts w:ascii="Calibri" w:hAnsi="Calibri"/>
          <w:sz w:val="24"/>
          <w:szCs w:val="24"/>
        </w:rPr>
      </w:pPr>
    </w:p>
    <w:p w:rsidR="00C47B61" w:rsidRPr="000174C3" w:rsidRDefault="00C47B61" w:rsidP="00BB7511">
      <w:pPr>
        <w:jc w:val="both"/>
        <w:rPr>
          <w:rFonts w:ascii="Calibri" w:hAnsi="Calibri"/>
          <w:sz w:val="24"/>
          <w:szCs w:val="24"/>
        </w:rPr>
      </w:pPr>
    </w:p>
    <w:p w:rsidR="00BB7511" w:rsidRPr="00DA6DC7" w:rsidRDefault="00360DBF" w:rsidP="005C0BDA">
      <w:pPr>
        <w:pStyle w:val="ListParagraph"/>
        <w:numPr>
          <w:ilvl w:val="0"/>
          <w:numId w:val="2"/>
        </w:numPr>
        <w:spacing w:line="360" w:lineRule="auto"/>
        <w:rPr>
          <w:rFonts w:ascii="Arial" w:hAnsi="Arial" w:cs="Arial"/>
          <w:b/>
        </w:rPr>
      </w:pPr>
      <w:r w:rsidRPr="00DA6DC7">
        <w:rPr>
          <w:rFonts w:ascii="Arial" w:hAnsi="Arial" w:cs="Arial"/>
          <w:b/>
        </w:rPr>
        <w:t xml:space="preserve">Absence </w:t>
      </w:r>
      <w:r w:rsidR="00277F94">
        <w:rPr>
          <w:rFonts w:ascii="Arial" w:hAnsi="Arial" w:cs="Arial"/>
          <w:b/>
        </w:rPr>
        <w:t>Data</w:t>
      </w:r>
      <w:r w:rsidRPr="00DA6DC7">
        <w:rPr>
          <w:rFonts w:ascii="Arial" w:hAnsi="Arial" w:cs="Arial"/>
          <w:b/>
        </w:rPr>
        <w:t xml:space="preserve"> - </w:t>
      </w:r>
      <w:r w:rsidR="00E72B49" w:rsidRPr="00DA6DC7">
        <w:rPr>
          <w:rFonts w:ascii="Arial" w:hAnsi="Arial" w:cs="Arial"/>
          <w:b/>
        </w:rPr>
        <w:t xml:space="preserve">ESR </w:t>
      </w:r>
      <w:r w:rsidR="00263819" w:rsidRPr="00DA6DC7">
        <w:rPr>
          <w:rFonts w:ascii="Arial" w:hAnsi="Arial" w:cs="Arial"/>
          <w:b/>
        </w:rPr>
        <w:t xml:space="preserve">/ BI Dashboard </w:t>
      </w:r>
      <w:r w:rsidR="00E72B49" w:rsidRPr="00DA6DC7">
        <w:rPr>
          <w:rFonts w:ascii="Arial" w:hAnsi="Arial" w:cs="Arial"/>
          <w:b/>
        </w:rPr>
        <w:t xml:space="preserve">Data </w:t>
      </w:r>
    </w:p>
    <w:p w:rsidR="00360DBF" w:rsidRPr="00277F94" w:rsidRDefault="00360DBF" w:rsidP="004E6687">
      <w:pPr>
        <w:pStyle w:val="ListParagraph"/>
        <w:rPr>
          <w:rFonts w:ascii="Arial" w:hAnsi="Arial" w:cs="Arial"/>
          <w:b/>
          <w:sz w:val="10"/>
          <w:szCs w:val="10"/>
        </w:rPr>
      </w:pPr>
    </w:p>
    <w:p w:rsidR="00263819" w:rsidRPr="00DA6DC7" w:rsidRDefault="008B3610" w:rsidP="004E6687">
      <w:pPr>
        <w:spacing w:line="360" w:lineRule="auto"/>
        <w:rPr>
          <w:rFonts w:ascii="Arial" w:hAnsi="Arial" w:cs="Arial"/>
        </w:rPr>
      </w:pPr>
      <w:r w:rsidRPr="008B3610">
        <w:rPr>
          <w:noProof/>
        </w:rPr>
        <w:drawing>
          <wp:anchor distT="0" distB="0" distL="114300" distR="114300" simplePos="0" relativeHeight="251663360" behindDoc="0" locked="0" layoutInCell="1" allowOverlap="1" wp14:anchorId="5AA8CCCD" wp14:editId="190865D6">
            <wp:simplePos x="0" y="0"/>
            <wp:positionH relativeFrom="margin">
              <wp:posOffset>-287580</wp:posOffset>
            </wp:positionH>
            <wp:positionV relativeFrom="paragraph">
              <wp:posOffset>782711</wp:posOffset>
            </wp:positionV>
            <wp:extent cx="7090817" cy="1237810"/>
            <wp:effectExtent l="0" t="0" r="0" b="635"/>
            <wp:wrapNone/>
            <wp:docPr id="1165971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90817" cy="1237810"/>
                    </a:xfrm>
                    <a:prstGeom prst="rect">
                      <a:avLst/>
                    </a:prstGeom>
                    <a:noFill/>
                    <a:ln>
                      <a:noFill/>
                    </a:ln>
                  </pic:spPr>
                </pic:pic>
              </a:graphicData>
            </a:graphic>
            <wp14:sizeRelH relativeFrom="page">
              <wp14:pctWidth>0</wp14:pctWidth>
            </wp14:sizeRelH>
            <wp14:sizeRelV relativeFrom="page">
              <wp14:pctHeight>0</wp14:pctHeight>
            </wp14:sizeRelV>
          </wp:anchor>
        </w:drawing>
      </w:r>
      <w:r w:rsidR="00C26293" w:rsidRPr="00DA6DC7">
        <w:rPr>
          <w:rFonts w:ascii="Arial" w:hAnsi="Arial" w:cs="Arial"/>
        </w:rPr>
        <w:t>The most recent ESR data</w:t>
      </w:r>
      <w:r w:rsidR="00E72B49" w:rsidRPr="00DA6DC7">
        <w:rPr>
          <w:rFonts w:ascii="Arial" w:hAnsi="Arial" w:cs="Arial"/>
        </w:rPr>
        <w:t xml:space="preserve"> is</w:t>
      </w:r>
      <w:r w:rsidR="00492B2E" w:rsidRPr="00DA6DC7">
        <w:rPr>
          <w:rFonts w:ascii="Arial" w:hAnsi="Arial" w:cs="Arial"/>
        </w:rPr>
        <w:t xml:space="preserve"> available up until 31</w:t>
      </w:r>
      <w:r w:rsidR="00263819" w:rsidRPr="00DA6DC7">
        <w:rPr>
          <w:rFonts w:ascii="Arial" w:hAnsi="Arial" w:cs="Arial"/>
        </w:rPr>
        <w:t xml:space="preserve"> </w:t>
      </w:r>
      <w:r w:rsidR="00881D17" w:rsidRPr="00DA6DC7">
        <w:rPr>
          <w:rFonts w:ascii="Arial" w:hAnsi="Arial" w:cs="Arial"/>
        </w:rPr>
        <w:t>December</w:t>
      </w:r>
      <w:r w:rsidR="00492B2E" w:rsidRPr="00DA6DC7">
        <w:rPr>
          <w:rFonts w:ascii="Arial" w:hAnsi="Arial" w:cs="Arial"/>
        </w:rPr>
        <w:t xml:space="preserve"> 202</w:t>
      </w:r>
      <w:r w:rsidR="00263819" w:rsidRPr="00DA6DC7">
        <w:rPr>
          <w:rFonts w:ascii="Arial" w:hAnsi="Arial" w:cs="Arial"/>
        </w:rPr>
        <w:t>5</w:t>
      </w:r>
      <w:r w:rsidR="00C26293" w:rsidRPr="00DA6DC7">
        <w:rPr>
          <w:rFonts w:ascii="Arial" w:hAnsi="Arial" w:cs="Arial"/>
        </w:rPr>
        <w:t xml:space="preserve">. </w:t>
      </w:r>
      <w:r w:rsidR="004E6687" w:rsidRPr="00DA6DC7">
        <w:rPr>
          <w:rFonts w:ascii="Arial" w:hAnsi="Arial" w:cs="Arial"/>
        </w:rPr>
        <w:t>The reports</w:t>
      </w:r>
      <w:r w:rsidR="00BD709B" w:rsidRPr="00DA6DC7">
        <w:rPr>
          <w:rFonts w:ascii="Arial" w:hAnsi="Arial" w:cs="Arial"/>
        </w:rPr>
        <w:t xml:space="preserve"> have</w:t>
      </w:r>
      <w:r w:rsidR="009D3C27" w:rsidRPr="00DA6DC7">
        <w:rPr>
          <w:rFonts w:ascii="Arial" w:hAnsi="Arial" w:cs="Arial"/>
        </w:rPr>
        <w:t xml:space="preserve"> be</w:t>
      </w:r>
      <w:r w:rsidR="00492B2E" w:rsidRPr="00DA6DC7">
        <w:rPr>
          <w:rFonts w:ascii="Arial" w:hAnsi="Arial" w:cs="Arial"/>
        </w:rPr>
        <w:t xml:space="preserve">en run from </w:t>
      </w:r>
      <w:r w:rsidR="00171238" w:rsidRPr="00DA6DC7">
        <w:rPr>
          <w:rFonts w:ascii="Arial" w:hAnsi="Arial" w:cs="Arial"/>
        </w:rPr>
        <w:t xml:space="preserve">1 </w:t>
      </w:r>
      <w:r w:rsidR="00881D17" w:rsidRPr="00DA6DC7">
        <w:rPr>
          <w:rFonts w:ascii="Arial" w:hAnsi="Arial" w:cs="Arial"/>
        </w:rPr>
        <w:t>January</w:t>
      </w:r>
      <w:r w:rsidR="00171238" w:rsidRPr="00DA6DC7">
        <w:rPr>
          <w:rFonts w:ascii="Arial" w:hAnsi="Arial" w:cs="Arial"/>
        </w:rPr>
        <w:t xml:space="preserve"> 202</w:t>
      </w:r>
      <w:r w:rsidR="00881D17" w:rsidRPr="00DA6DC7">
        <w:rPr>
          <w:rFonts w:ascii="Arial" w:hAnsi="Arial" w:cs="Arial"/>
        </w:rPr>
        <w:t>5</w:t>
      </w:r>
      <w:r w:rsidR="00492B2E" w:rsidRPr="00DA6DC7">
        <w:rPr>
          <w:rFonts w:ascii="Arial" w:hAnsi="Arial" w:cs="Arial"/>
        </w:rPr>
        <w:t xml:space="preserve"> to </w:t>
      </w:r>
      <w:r w:rsidR="00171238" w:rsidRPr="00DA6DC7">
        <w:rPr>
          <w:rFonts w:ascii="Arial" w:hAnsi="Arial" w:cs="Arial"/>
        </w:rPr>
        <w:t xml:space="preserve">31 </w:t>
      </w:r>
      <w:r w:rsidR="00881D17" w:rsidRPr="00DA6DC7">
        <w:rPr>
          <w:rFonts w:ascii="Arial" w:hAnsi="Arial" w:cs="Arial"/>
        </w:rPr>
        <w:t>December</w:t>
      </w:r>
      <w:r w:rsidR="00171238" w:rsidRPr="00DA6DC7">
        <w:rPr>
          <w:rFonts w:ascii="Arial" w:hAnsi="Arial" w:cs="Arial"/>
        </w:rPr>
        <w:t xml:space="preserve"> 2025. </w:t>
      </w:r>
      <w:r w:rsidR="009D3C27" w:rsidRPr="00DA6DC7">
        <w:rPr>
          <w:rFonts w:ascii="Arial" w:hAnsi="Arial" w:cs="Arial"/>
        </w:rPr>
        <w:t xml:space="preserve">A direct comparison to </w:t>
      </w:r>
      <w:r w:rsidR="00C26293" w:rsidRPr="00DA6DC7">
        <w:rPr>
          <w:rFonts w:ascii="Arial" w:hAnsi="Arial" w:cs="Arial"/>
        </w:rPr>
        <w:t xml:space="preserve">Allocate data </w:t>
      </w:r>
      <w:r w:rsidR="009D3C27" w:rsidRPr="00DA6DC7">
        <w:rPr>
          <w:rFonts w:ascii="Arial" w:hAnsi="Arial" w:cs="Arial"/>
        </w:rPr>
        <w:t xml:space="preserve">cannot be made </w:t>
      </w:r>
      <w:r w:rsidR="00C26293" w:rsidRPr="00DA6DC7">
        <w:rPr>
          <w:rFonts w:ascii="Arial" w:hAnsi="Arial" w:cs="Arial"/>
        </w:rPr>
        <w:t xml:space="preserve">as </w:t>
      </w:r>
      <w:r w:rsidR="004E6687" w:rsidRPr="00DA6DC7">
        <w:rPr>
          <w:rFonts w:ascii="Arial" w:hAnsi="Arial" w:cs="Arial"/>
        </w:rPr>
        <w:t>teams, cost</w:t>
      </w:r>
      <w:r w:rsidR="00C26293" w:rsidRPr="00DA6DC7">
        <w:rPr>
          <w:rFonts w:ascii="Arial" w:hAnsi="Arial" w:cs="Arial"/>
        </w:rPr>
        <w:t xml:space="preserve"> centres are grouped </w:t>
      </w:r>
      <w:r w:rsidR="004E6687" w:rsidRPr="00DA6DC7">
        <w:rPr>
          <w:rFonts w:ascii="Arial" w:hAnsi="Arial" w:cs="Arial"/>
        </w:rPr>
        <w:t>differently,</w:t>
      </w:r>
      <w:r w:rsidR="00A42F3F" w:rsidRPr="00DA6DC7">
        <w:rPr>
          <w:rFonts w:ascii="Arial" w:hAnsi="Arial" w:cs="Arial"/>
        </w:rPr>
        <w:t xml:space="preserve"> and reporting periods may differ</w:t>
      </w:r>
      <w:r w:rsidR="00C26293" w:rsidRPr="00DA6DC7">
        <w:rPr>
          <w:rFonts w:ascii="Arial" w:hAnsi="Arial" w:cs="Arial"/>
        </w:rPr>
        <w:t>.</w:t>
      </w: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2E3DC1" w:rsidRPr="00B771FB" w:rsidRDefault="00A372B8" w:rsidP="00171238">
      <w:pPr>
        <w:spacing w:line="360" w:lineRule="auto"/>
        <w:rPr>
          <w:rFonts w:ascii="Arial" w:hAnsi="Arial" w:cs="Arial"/>
        </w:rPr>
      </w:pPr>
      <w:r>
        <w:rPr>
          <w:rFonts w:ascii="Arial" w:hAnsi="Arial" w:cs="Arial"/>
          <w:color w:val="000000" w:themeColor="text1"/>
          <w:lang w:eastAsia="en-GB"/>
        </w:rPr>
        <w:t>December</w:t>
      </w:r>
      <w:r w:rsidR="00171238" w:rsidRPr="002D5AF9">
        <w:rPr>
          <w:rFonts w:ascii="Arial" w:hAnsi="Arial" w:cs="Arial"/>
          <w:color w:val="000000" w:themeColor="text1"/>
          <w:lang w:eastAsia="en-GB"/>
        </w:rPr>
        <w:t xml:space="preserve"> 202</w:t>
      </w:r>
      <w:r w:rsidR="00707C9A">
        <w:rPr>
          <w:rFonts w:ascii="Arial" w:hAnsi="Arial" w:cs="Arial"/>
          <w:color w:val="000000" w:themeColor="text1"/>
          <w:lang w:eastAsia="en-GB"/>
        </w:rPr>
        <w:t>5</w:t>
      </w:r>
      <w:r w:rsidR="00171238">
        <w:rPr>
          <w:rFonts w:ascii="Arial" w:hAnsi="Arial" w:cs="Arial"/>
          <w:color w:val="000000" w:themeColor="text1"/>
          <w:lang w:eastAsia="en-GB"/>
        </w:rPr>
        <w:t xml:space="preserve"> reporting</w:t>
      </w:r>
      <w:r w:rsidR="00171238" w:rsidRPr="002D5AF9">
        <w:rPr>
          <w:rFonts w:ascii="Arial" w:hAnsi="Arial" w:cs="Arial"/>
          <w:color w:val="000000" w:themeColor="text1"/>
          <w:lang w:eastAsia="en-GB"/>
        </w:rPr>
        <w:t xml:space="preserve"> shows the cumulative (rolling) sickness</w:t>
      </w:r>
      <w:r w:rsidR="00171238">
        <w:rPr>
          <w:rFonts w:ascii="Arial" w:hAnsi="Arial" w:cs="Arial"/>
          <w:color w:val="000000" w:themeColor="text1"/>
          <w:lang w:eastAsia="en-GB"/>
        </w:rPr>
        <w:t xml:space="preserve"> percentage for </w:t>
      </w:r>
      <w:r w:rsidR="00C45FD1">
        <w:rPr>
          <w:rFonts w:ascii="Arial" w:hAnsi="Arial" w:cs="Arial"/>
          <w:color w:val="000000" w:themeColor="text1"/>
          <w:lang w:eastAsia="en-GB"/>
        </w:rPr>
        <w:t>Specialist Palliative Care</w:t>
      </w:r>
      <w:r w:rsidR="00171238">
        <w:rPr>
          <w:rFonts w:ascii="Arial" w:hAnsi="Arial" w:cs="Arial"/>
          <w:color w:val="000000" w:themeColor="text1"/>
          <w:lang w:eastAsia="en-GB"/>
        </w:rPr>
        <w:t xml:space="preserve"> as </w:t>
      </w:r>
      <w:r w:rsidR="00C45FD1">
        <w:rPr>
          <w:rFonts w:ascii="Arial" w:hAnsi="Arial" w:cs="Arial"/>
          <w:color w:val="000000" w:themeColor="text1"/>
          <w:lang w:eastAsia="en-GB"/>
        </w:rPr>
        <w:t>6.41</w:t>
      </w:r>
      <w:r w:rsidR="00171238" w:rsidRPr="002D5AF9">
        <w:rPr>
          <w:rFonts w:ascii="Arial" w:hAnsi="Arial" w:cs="Arial"/>
          <w:color w:val="000000" w:themeColor="text1"/>
          <w:lang w:eastAsia="en-GB"/>
        </w:rPr>
        <w:t xml:space="preserve">%, </w:t>
      </w:r>
      <w:r w:rsidR="00171238">
        <w:rPr>
          <w:rFonts w:ascii="Arial" w:hAnsi="Arial" w:cs="Arial"/>
          <w:color w:val="000000" w:themeColor="text1"/>
          <w:lang w:eastAsia="en-GB"/>
        </w:rPr>
        <w:t>with overall sickness absence peaking in</w:t>
      </w:r>
      <w:r w:rsidR="00C45FD1">
        <w:rPr>
          <w:rFonts w:ascii="Arial" w:hAnsi="Arial" w:cs="Arial"/>
          <w:color w:val="000000" w:themeColor="text1"/>
          <w:lang w:eastAsia="en-GB"/>
        </w:rPr>
        <w:t xml:space="preserve"> December</w:t>
      </w:r>
      <w:r>
        <w:rPr>
          <w:rFonts w:ascii="Arial" w:hAnsi="Arial" w:cs="Arial"/>
          <w:color w:val="000000" w:themeColor="text1"/>
          <w:lang w:eastAsia="en-GB"/>
        </w:rPr>
        <w:t xml:space="preserve"> 2025</w:t>
      </w:r>
      <w:r w:rsidR="00C45FD1">
        <w:rPr>
          <w:rFonts w:ascii="Arial" w:hAnsi="Arial" w:cs="Arial"/>
          <w:color w:val="000000" w:themeColor="text1"/>
          <w:lang w:eastAsia="en-GB"/>
        </w:rPr>
        <w:t xml:space="preserve"> at 14.28%</w:t>
      </w:r>
      <w:r w:rsidR="00171238">
        <w:rPr>
          <w:rFonts w:ascii="Arial" w:hAnsi="Arial" w:cs="Arial"/>
          <w:color w:val="000000" w:themeColor="text1"/>
          <w:lang w:eastAsia="en-GB"/>
        </w:rPr>
        <w:t xml:space="preserve">. </w:t>
      </w:r>
      <w:r w:rsidR="00C45FD1">
        <w:rPr>
          <w:rFonts w:ascii="Arial" w:hAnsi="Arial" w:cs="Arial"/>
          <w:color w:val="000000" w:themeColor="text1"/>
          <w:lang w:eastAsia="en-GB"/>
        </w:rPr>
        <w:t>The p</w:t>
      </w:r>
      <w:r w:rsidR="00171238">
        <w:rPr>
          <w:rFonts w:ascii="Arial" w:hAnsi="Arial" w:cs="Arial"/>
          <w:color w:val="000000" w:themeColor="text1"/>
          <w:lang w:eastAsia="en-GB"/>
        </w:rPr>
        <w:t xml:space="preserve">eaks </w:t>
      </w:r>
      <w:r w:rsidR="00263819">
        <w:rPr>
          <w:rFonts w:ascii="Arial" w:hAnsi="Arial" w:cs="Arial"/>
          <w:color w:val="000000" w:themeColor="text1"/>
          <w:lang w:eastAsia="en-GB"/>
        </w:rPr>
        <w:t xml:space="preserve">for </w:t>
      </w:r>
      <w:r w:rsidR="00C45FD1">
        <w:rPr>
          <w:rFonts w:ascii="Arial" w:hAnsi="Arial" w:cs="Arial"/>
          <w:color w:val="000000" w:themeColor="text1"/>
          <w:lang w:eastAsia="en-GB"/>
        </w:rPr>
        <w:t>Administrative and Clerical</w:t>
      </w:r>
      <w:r>
        <w:rPr>
          <w:rFonts w:ascii="Arial" w:hAnsi="Arial" w:cs="Arial"/>
          <w:color w:val="000000" w:themeColor="text1"/>
          <w:lang w:eastAsia="en-GB"/>
        </w:rPr>
        <w:t xml:space="preserve"> and Nursing and Midwifery staffing </w:t>
      </w:r>
      <w:bookmarkStart w:id="0" w:name="_Hlk219817260"/>
      <w:r>
        <w:rPr>
          <w:rFonts w:ascii="Arial" w:hAnsi="Arial" w:cs="Arial"/>
          <w:color w:val="000000" w:themeColor="text1"/>
          <w:lang w:eastAsia="en-GB"/>
        </w:rPr>
        <w:t>groups</w:t>
      </w:r>
      <w:r w:rsidR="00263819">
        <w:rPr>
          <w:rFonts w:ascii="Arial" w:hAnsi="Arial" w:cs="Arial"/>
          <w:color w:val="000000" w:themeColor="text1"/>
          <w:lang w:eastAsia="en-GB"/>
        </w:rPr>
        <w:t xml:space="preserve"> </w:t>
      </w:r>
      <w:r w:rsidR="002D2772">
        <w:rPr>
          <w:rFonts w:ascii="Arial" w:hAnsi="Arial" w:cs="Arial"/>
          <w:color w:val="000000" w:themeColor="text1"/>
          <w:lang w:eastAsia="en-GB"/>
        </w:rPr>
        <w:t>matched this pattern with the highest absences seen</w:t>
      </w:r>
      <w:r>
        <w:rPr>
          <w:rFonts w:ascii="Arial" w:hAnsi="Arial" w:cs="Arial"/>
          <w:color w:val="000000" w:themeColor="text1"/>
          <w:lang w:eastAsia="en-GB"/>
        </w:rPr>
        <w:t xml:space="preserve"> </w:t>
      </w:r>
      <w:r w:rsidR="00C45FD1">
        <w:rPr>
          <w:rFonts w:ascii="Arial" w:hAnsi="Arial" w:cs="Arial"/>
          <w:color w:val="000000" w:themeColor="text1"/>
          <w:lang w:eastAsia="en-GB"/>
        </w:rPr>
        <w:t xml:space="preserve">September to </w:t>
      </w:r>
      <w:r>
        <w:rPr>
          <w:rFonts w:ascii="Arial" w:hAnsi="Arial" w:cs="Arial"/>
          <w:color w:val="000000" w:themeColor="text1"/>
          <w:lang w:eastAsia="en-GB"/>
        </w:rPr>
        <w:t>December</w:t>
      </w:r>
      <w:r w:rsidR="00C45FD1">
        <w:rPr>
          <w:rFonts w:ascii="Arial" w:hAnsi="Arial" w:cs="Arial"/>
          <w:color w:val="000000" w:themeColor="text1"/>
          <w:lang w:eastAsia="en-GB"/>
        </w:rPr>
        <w:t xml:space="preserve"> 2025</w:t>
      </w:r>
      <w:r w:rsidR="002D2772">
        <w:rPr>
          <w:rFonts w:ascii="Arial" w:hAnsi="Arial" w:cs="Arial"/>
          <w:color w:val="000000" w:themeColor="text1"/>
          <w:lang w:eastAsia="en-GB"/>
        </w:rPr>
        <w:t>.</w:t>
      </w:r>
    </w:p>
    <w:p w:rsidR="00DA505D" w:rsidRPr="00DA505D" w:rsidRDefault="00B11998" w:rsidP="00A16A87">
      <w:pPr>
        <w:spacing w:line="360" w:lineRule="auto"/>
        <w:rPr>
          <w:rFonts w:ascii="Arial" w:hAnsi="Arial" w:cs="Arial"/>
        </w:rPr>
      </w:pPr>
      <w:r>
        <w:rPr>
          <w:noProof/>
        </w:rPr>
        <w:drawing>
          <wp:inline distT="0" distB="0" distL="0" distR="0" wp14:anchorId="646B7F08" wp14:editId="69FF979C">
            <wp:extent cx="6645910" cy="3837940"/>
            <wp:effectExtent l="0" t="0" r="2540" b="10160"/>
            <wp:docPr id="1271331472" name="Chart 1">
              <a:extLst xmlns:a="http://schemas.openxmlformats.org/drawingml/2006/main">
                <a:ext uri="{FF2B5EF4-FFF2-40B4-BE49-F238E27FC236}">
                  <a16:creationId xmlns:a16="http://schemas.microsoft.com/office/drawing/2014/main" id="{9E0916A3-36D7-4624-A0D0-954674F836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771FB" w:rsidRPr="00B771FB" w:rsidRDefault="00817A6E" w:rsidP="00B771FB">
      <w:pPr>
        <w:spacing w:line="360" w:lineRule="auto"/>
        <w:rPr>
          <w:rFonts w:ascii="Arial" w:hAnsi="Arial" w:cs="Arial"/>
        </w:rPr>
      </w:pPr>
      <w:r>
        <w:rPr>
          <w:rFonts w:ascii="Arial" w:hAnsi="Arial" w:cs="Arial"/>
        </w:rPr>
        <w:t xml:space="preserve">Reviewing overall sickness over the past three years </w:t>
      </w:r>
      <w:r w:rsidR="00B771FB">
        <w:rPr>
          <w:rFonts w:ascii="Arial" w:hAnsi="Arial" w:cs="Arial"/>
        </w:rPr>
        <w:t xml:space="preserve">for Specialist Pallative Care </w:t>
      </w:r>
      <w:r w:rsidR="00B771FB" w:rsidRPr="00B771FB">
        <w:rPr>
          <w:rFonts w:ascii="Arial" w:hAnsi="Arial" w:cs="Arial"/>
        </w:rPr>
        <w:t xml:space="preserve">shows a clear surge in 2024, with pressures lasting throughout the year rather than being confined to winter. </w:t>
      </w:r>
      <w:r>
        <w:rPr>
          <w:rFonts w:ascii="Arial" w:hAnsi="Arial" w:cs="Arial"/>
        </w:rPr>
        <w:t xml:space="preserve">Reviewing long term sickness cases for </w:t>
      </w:r>
      <w:r w:rsidR="00945DB3">
        <w:rPr>
          <w:rFonts w:ascii="Arial" w:hAnsi="Arial" w:cs="Arial"/>
        </w:rPr>
        <w:t>summer 2024</w:t>
      </w:r>
      <w:r>
        <w:rPr>
          <w:rFonts w:ascii="Arial" w:hAnsi="Arial" w:cs="Arial"/>
        </w:rPr>
        <w:t xml:space="preserve"> reveals </w:t>
      </w:r>
      <w:r w:rsidR="000400E0">
        <w:rPr>
          <w:rFonts w:ascii="Arial" w:hAnsi="Arial" w:cs="Arial"/>
        </w:rPr>
        <w:t xml:space="preserve">at its peak 9 </w:t>
      </w:r>
      <w:r>
        <w:rPr>
          <w:rFonts w:ascii="Arial" w:hAnsi="Arial" w:cs="Arial"/>
        </w:rPr>
        <w:t xml:space="preserve">staff members were absent due </w:t>
      </w:r>
      <w:r w:rsidR="000400E0">
        <w:rPr>
          <w:rFonts w:ascii="Arial" w:hAnsi="Arial" w:cs="Arial"/>
        </w:rPr>
        <w:t xml:space="preserve">to </w:t>
      </w:r>
      <w:r w:rsidR="00545BD8">
        <w:rPr>
          <w:rFonts w:ascii="Arial" w:hAnsi="Arial" w:cs="Arial"/>
        </w:rPr>
        <w:t>several</w:t>
      </w:r>
      <w:r w:rsidR="00FD4B06">
        <w:rPr>
          <w:rFonts w:ascii="Arial" w:hAnsi="Arial" w:cs="Arial"/>
        </w:rPr>
        <w:t xml:space="preserve"> absence reasons </w:t>
      </w:r>
      <w:r w:rsidR="000400E0">
        <w:rPr>
          <w:rFonts w:ascii="Arial" w:hAnsi="Arial" w:cs="Arial"/>
        </w:rPr>
        <w:t>including</w:t>
      </w:r>
      <w:r w:rsidR="00FD4B06">
        <w:rPr>
          <w:rFonts w:ascii="Arial" w:hAnsi="Arial" w:cs="Arial"/>
        </w:rPr>
        <w:t xml:space="preserve"> conditions relating to women’s health, bereavement</w:t>
      </w:r>
      <w:r w:rsidR="000400E0">
        <w:rPr>
          <w:rFonts w:ascii="Arial" w:hAnsi="Arial" w:cs="Arial"/>
        </w:rPr>
        <w:t xml:space="preserve">, </w:t>
      </w:r>
      <w:r w:rsidR="00FD4B06">
        <w:rPr>
          <w:rFonts w:ascii="Arial" w:hAnsi="Arial" w:cs="Arial"/>
        </w:rPr>
        <w:t>broken bones</w:t>
      </w:r>
      <w:r w:rsidR="000400E0">
        <w:rPr>
          <w:rFonts w:ascii="Arial" w:hAnsi="Arial" w:cs="Arial"/>
        </w:rPr>
        <w:t>, neurological and personal stress. Three staff members were absent with work related stress also at this time</w:t>
      </w:r>
      <w:r>
        <w:rPr>
          <w:rFonts w:ascii="Arial" w:hAnsi="Arial" w:cs="Arial"/>
        </w:rPr>
        <w:t>.</w:t>
      </w:r>
      <w:r w:rsidR="000400E0">
        <w:rPr>
          <w:rFonts w:ascii="Arial" w:hAnsi="Arial" w:cs="Arial"/>
        </w:rPr>
        <w:t xml:space="preserve"> It is noted that early staff communication had started </w:t>
      </w:r>
      <w:proofErr w:type="gramStart"/>
      <w:r w:rsidR="000400E0">
        <w:rPr>
          <w:rFonts w:ascii="Arial" w:hAnsi="Arial" w:cs="Arial"/>
        </w:rPr>
        <w:t>at this point in time</w:t>
      </w:r>
      <w:proofErr w:type="gramEnd"/>
      <w:r w:rsidR="000400E0">
        <w:rPr>
          <w:rFonts w:ascii="Arial" w:hAnsi="Arial" w:cs="Arial"/>
        </w:rPr>
        <w:t xml:space="preserve"> in relation to a subsequent OCP in spring 2025.</w:t>
      </w:r>
      <w:r>
        <w:rPr>
          <w:rFonts w:ascii="Arial" w:hAnsi="Arial" w:cs="Arial"/>
        </w:rPr>
        <w:t xml:space="preserve"> </w:t>
      </w:r>
      <w:r w:rsidR="00B771FB" w:rsidRPr="00B771FB">
        <w:rPr>
          <w:rFonts w:ascii="Arial" w:hAnsi="Arial" w:cs="Arial"/>
        </w:rPr>
        <w:t xml:space="preserve">This creates a picture of a </w:t>
      </w:r>
      <w:r>
        <w:rPr>
          <w:rFonts w:ascii="Arial" w:hAnsi="Arial" w:cs="Arial"/>
        </w:rPr>
        <w:t xml:space="preserve">service </w:t>
      </w:r>
      <w:r w:rsidR="00B771FB" w:rsidRPr="00B771FB">
        <w:rPr>
          <w:rFonts w:ascii="Arial" w:hAnsi="Arial" w:cs="Arial"/>
        </w:rPr>
        <w:t>facing sustained strain, with both</w:t>
      </w:r>
      <w:r w:rsidR="000400E0">
        <w:rPr>
          <w:rFonts w:ascii="Arial" w:hAnsi="Arial" w:cs="Arial"/>
        </w:rPr>
        <w:t xml:space="preserve"> more short-term</w:t>
      </w:r>
      <w:r w:rsidR="00B771FB" w:rsidRPr="00B771FB">
        <w:rPr>
          <w:rFonts w:ascii="Arial" w:hAnsi="Arial" w:cs="Arial"/>
        </w:rPr>
        <w:t xml:space="preserve"> seasonal </w:t>
      </w:r>
      <w:r w:rsidR="000400E0" w:rsidRPr="00B771FB">
        <w:rPr>
          <w:rFonts w:ascii="Arial" w:hAnsi="Arial" w:cs="Arial"/>
        </w:rPr>
        <w:t>illnesses</w:t>
      </w:r>
      <w:r w:rsidR="00B771FB" w:rsidRPr="00B771FB">
        <w:rPr>
          <w:rFonts w:ascii="Arial" w:hAnsi="Arial" w:cs="Arial"/>
        </w:rPr>
        <w:t xml:space="preserve"> and longer</w:t>
      </w:r>
      <w:r>
        <w:rPr>
          <w:rFonts w:ascii="Arial" w:hAnsi="Arial" w:cs="Arial"/>
        </w:rPr>
        <w:t xml:space="preserve"> periods of sickness</w:t>
      </w:r>
      <w:r w:rsidR="00B771FB" w:rsidRPr="00B771FB">
        <w:rPr>
          <w:rFonts w:ascii="Arial" w:hAnsi="Arial" w:cs="Arial"/>
        </w:rPr>
        <w:t xml:space="preserve"> contributing to the elevated levels. By 2025, sickness patterns beg</w:t>
      </w:r>
      <w:r w:rsidR="000400E0">
        <w:rPr>
          <w:rFonts w:ascii="Arial" w:hAnsi="Arial" w:cs="Arial"/>
        </w:rPr>
        <w:t>a</w:t>
      </w:r>
      <w:r w:rsidR="00B771FB" w:rsidRPr="00B771FB">
        <w:rPr>
          <w:rFonts w:ascii="Arial" w:hAnsi="Arial" w:cs="Arial"/>
        </w:rPr>
        <w:t>n to settle</w:t>
      </w:r>
      <w:r>
        <w:rPr>
          <w:rFonts w:ascii="Arial" w:hAnsi="Arial" w:cs="Arial"/>
        </w:rPr>
        <w:t xml:space="preserve"> down</w:t>
      </w:r>
      <w:r w:rsidR="00B771FB" w:rsidRPr="00B771FB">
        <w:rPr>
          <w:rFonts w:ascii="Arial" w:hAnsi="Arial" w:cs="Arial"/>
        </w:rPr>
        <w:t>, although month</w:t>
      </w:r>
      <w:r w:rsidR="00B771FB" w:rsidRPr="00B771FB">
        <w:rPr>
          <w:rFonts w:ascii="Arial" w:hAnsi="Arial" w:cs="Arial"/>
        </w:rPr>
        <w:noBreakHyphen/>
        <w:t>to</w:t>
      </w:r>
      <w:r w:rsidR="00B771FB" w:rsidRPr="00B771FB">
        <w:rPr>
          <w:rFonts w:ascii="Arial" w:hAnsi="Arial" w:cs="Arial"/>
        </w:rPr>
        <w:noBreakHyphen/>
        <w:t>month variation remain</w:t>
      </w:r>
      <w:r w:rsidR="000400E0">
        <w:rPr>
          <w:rFonts w:ascii="Arial" w:hAnsi="Arial" w:cs="Arial"/>
        </w:rPr>
        <w:t>ed</w:t>
      </w:r>
      <w:r w:rsidR="00B771FB" w:rsidRPr="00B771FB">
        <w:rPr>
          <w:rFonts w:ascii="Arial" w:hAnsi="Arial" w:cs="Arial"/>
        </w:rPr>
        <w:t xml:space="preserve"> noticeable.</w:t>
      </w:r>
      <w:r>
        <w:rPr>
          <w:rFonts w:ascii="Arial" w:hAnsi="Arial" w:cs="Arial"/>
        </w:rPr>
        <w:t xml:space="preserve"> 2025 ends</w:t>
      </w:r>
      <w:r w:rsidR="00B771FB" w:rsidRPr="00B771FB">
        <w:rPr>
          <w:rFonts w:ascii="Arial" w:hAnsi="Arial" w:cs="Arial"/>
        </w:rPr>
        <w:t xml:space="preserve"> with sickness levels more in line with 2023, indicating a gradual stabilisation after the unusually high levels seen in 2024.</w:t>
      </w:r>
    </w:p>
    <w:p w:rsidR="00B771FB" w:rsidRPr="00B771FB" w:rsidRDefault="00B771FB" w:rsidP="00B771FB">
      <w:pPr>
        <w:spacing w:line="360" w:lineRule="auto"/>
        <w:rPr>
          <w:rFonts w:ascii="Arial" w:hAnsi="Arial" w:cs="Arial"/>
        </w:rPr>
      </w:pPr>
      <w:r w:rsidRPr="00B771FB">
        <w:rPr>
          <w:rFonts w:ascii="Arial" w:hAnsi="Arial" w:cs="Arial"/>
        </w:rPr>
        <w:t>Short</w:t>
      </w:r>
      <w:r w:rsidRPr="00B771FB">
        <w:rPr>
          <w:rFonts w:ascii="Arial" w:hAnsi="Arial" w:cs="Arial"/>
        </w:rPr>
        <w:noBreakHyphen/>
        <w:t>term sickness follows a more seasonal pattern, peaking around winter and early summer, but the picture changes significantly in 2025. After a noticeable rise in 2024, short</w:t>
      </w:r>
      <w:r w:rsidRPr="00B771FB">
        <w:rPr>
          <w:rFonts w:ascii="Arial" w:hAnsi="Arial" w:cs="Arial"/>
        </w:rPr>
        <w:noBreakHyphen/>
        <w:t>term sickness drops sharply the following year, with some months showing minimal or no short</w:t>
      </w:r>
      <w:r w:rsidRPr="00B771FB">
        <w:rPr>
          <w:rFonts w:ascii="Arial" w:hAnsi="Arial" w:cs="Arial"/>
        </w:rPr>
        <w:noBreakHyphen/>
        <w:t>term absence. This sharp reduction is the key factor behind the more stable overall sickness profile in 2025. It suggests that the immediate, short</w:t>
      </w:r>
      <w:r w:rsidRPr="00B771FB">
        <w:rPr>
          <w:rFonts w:ascii="Arial" w:hAnsi="Arial" w:cs="Arial"/>
        </w:rPr>
        <w:noBreakHyphen/>
        <w:t>duration absences that disrupted staffing in 2024 became far less frequent as the service moved into the following year.</w:t>
      </w:r>
    </w:p>
    <w:p w:rsidR="00277F94" w:rsidRPr="00545BD8" w:rsidRDefault="00545BD8" w:rsidP="00A16A87">
      <w:pPr>
        <w:spacing w:line="360" w:lineRule="auto"/>
        <w:rPr>
          <w:rFonts w:ascii="Arial" w:hAnsi="Arial" w:cs="Arial"/>
        </w:rPr>
      </w:pPr>
      <w:r w:rsidRPr="00545BD8">
        <w:rPr>
          <w:rFonts w:ascii="Arial" w:hAnsi="Arial" w:cs="Arial"/>
        </w:rPr>
        <w:t>It is noted that sickness absence has once again peaked in December 2025, review of</w:t>
      </w:r>
      <w:r w:rsidR="00945DB3">
        <w:rPr>
          <w:rFonts w:ascii="Arial" w:hAnsi="Arial" w:cs="Arial"/>
        </w:rPr>
        <w:t xml:space="preserve"> current</w:t>
      </w:r>
      <w:r w:rsidRPr="00545BD8">
        <w:rPr>
          <w:rFonts w:ascii="Arial" w:hAnsi="Arial" w:cs="Arial"/>
        </w:rPr>
        <w:t xml:space="preserve"> long-term sickness cases gives reasons for absence as bereavement and other MSK issues. </w:t>
      </w:r>
    </w:p>
    <w:p w:rsidR="0091642D" w:rsidRDefault="00945DB3" w:rsidP="00A16A87">
      <w:pPr>
        <w:spacing w:line="360" w:lineRule="auto"/>
        <w:rPr>
          <w:rFonts w:ascii="Arial" w:hAnsi="Arial" w:cs="Arial"/>
          <w:b/>
          <w:bCs/>
        </w:rPr>
      </w:pPr>
      <w:r>
        <w:rPr>
          <w:rFonts w:ascii="Arial" w:hAnsi="Arial" w:cs="Arial"/>
          <w:b/>
          <w:bCs/>
        </w:rPr>
        <w:t xml:space="preserve">Deep Dive </w:t>
      </w:r>
      <w:r w:rsidR="0091642D" w:rsidRPr="0091642D">
        <w:rPr>
          <w:rFonts w:ascii="Arial" w:hAnsi="Arial" w:cs="Arial"/>
          <w:b/>
          <w:bCs/>
        </w:rPr>
        <w:t xml:space="preserve">Reasons </w:t>
      </w:r>
      <w:r w:rsidRPr="0091642D">
        <w:rPr>
          <w:rFonts w:ascii="Arial" w:hAnsi="Arial" w:cs="Arial"/>
          <w:b/>
          <w:bCs/>
        </w:rPr>
        <w:t>for</w:t>
      </w:r>
      <w:r w:rsidR="0091642D" w:rsidRPr="0091642D">
        <w:rPr>
          <w:rFonts w:ascii="Arial" w:hAnsi="Arial" w:cs="Arial"/>
          <w:b/>
          <w:bCs/>
        </w:rPr>
        <w:t xml:space="preserve"> Absence</w:t>
      </w:r>
    </w:p>
    <w:p w:rsidR="00B771FB" w:rsidRDefault="00B771FB" w:rsidP="00B771FB">
      <w:pPr>
        <w:spacing w:line="360" w:lineRule="auto"/>
        <w:rPr>
          <w:rFonts w:ascii="Arial" w:hAnsi="Arial" w:cs="Arial"/>
        </w:rPr>
      </w:pPr>
      <w:r w:rsidRPr="00F879A3">
        <w:rPr>
          <w:rFonts w:ascii="Arial" w:hAnsi="Arial" w:cs="Arial"/>
        </w:rPr>
        <w:t>A further deep dive into the reasons for absence over the last three year reveals the overall top reason for absence is</w:t>
      </w:r>
      <w:r w:rsidR="00945DB3">
        <w:rPr>
          <w:rFonts w:ascii="Arial" w:hAnsi="Arial" w:cs="Arial"/>
        </w:rPr>
        <w:t xml:space="preserve"> </w:t>
      </w:r>
      <w:r w:rsidR="00945DB3" w:rsidRPr="00F879A3">
        <w:rPr>
          <w:rFonts w:ascii="Arial" w:hAnsi="Arial" w:cs="Arial"/>
        </w:rPr>
        <w:t>cold, cough – influenza’</w:t>
      </w:r>
      <w:r w:rsidRPr="00F879A3">
        <w:rPr>
          <w:rFonts w:ascii="Arial" w:hAnsi="Arial" w:cs="Arial"/>
        </w:rPr>
        <w:t xml:space="preserve"> </w:t>
      </w:r>
      <w:r w:rsidR="00945DB3">
        <w:rPr>
          <w:rFonts w:ascii="Arial" w:hAnsi="Arial" w:cs="Arial"/>
        </w:rPr>
        <w:t xml:space="preserve">followed by </w:t>
      </w:r>
      <w:r>
        <w:rPr>
          <w:rFonts w:ascii="Arial" w:hAnsi="Arial" w:cs="Arial"/>
        </w:rPr>
        <w:t xml:space="preserve">‘anxiety/stress/depression/other psychiatric illness’ and </w:t>
      </w:r>
      <w:r w:rsidRPr="00F879A3">
        <w:rPr>
          <w:rFonts w:ascii="Arial" w:hAnsi="Arial" w:cs="Arial"/>
        </w:rPr>
        <w:t xml:space="preserve">‘gastrointestinal </w:t>
      </w:r>
      <w:proofErr w:type="gramStart"/>
      <w:r w:rsidRPr="00F879A3">
        <w:rPr>
          <w:rFonts w:ascii="Arial" w:hAnsi="Arial" w:cs="Arial"/>
        </w:rPr>
        <w:t>problems’</w:t>
      </w:r>
      <w:proofErr w:type="gramEnd"/>
      <w:r>
        <w:rPr>
          <w:rFonts w:ascii="Arial" w:hAnsi="Arial" w:cs="Arial"/>
        </w:rPr>
        <w:t xml:space="preserve">. </w:t>
      </w:r>
      <w:r w:rsidRPr="00F879A3">
        <w:rPr>
          <w:rFonts w:ascii="Arial" w:hAnsi="Arial" w:cs="Arial"/>
        </w:rPr>
        <w:t xml:space="preserve">The main reason for absence for long term was ‘anxiety/ stress/ depression/ other psychiatric </w:t>
      </w:r>
      <w:proofErr w:type="gramStart"/>
      <w:r w:rsidRPr="00F879A3">
        <w:rPr>
          <w:rFonts w:ascii="Arial" w:hAnsi="Arial" w:cs="Arial"/>
        </w:rPr>
        <w:t>illnesses’</w:t>
      </w:r>
      <w:proofErr w:type="gramEnd"/>
      <w:r w:rsidRPr="00F879A3">
        <w:rPr>
          <w:rFonts w:ascii="Arial" w:hAnsi="Arial" w:cs="Arial"/>
        </w:rPr>
        <w:t xml:space="preserve"> and the top reason for short term absence was ‘cold, cough – influenza’.</w:t>
      </w:r>
    </w:p>
    <w:p w:rsidR="00DB44CC" w:rsidRPr="00A16A87" w:rsidRDefault="00DB44CC" w:rsidP="00B771FB">
      <w:pPr>
        <w:spacing w:line="360" w:lineRule="auto"/>
        <w:rPr>
          <w:rFonts w:ascii="Arial" w:hAnsi="Arial" w:cs="Arial"/>
          <w:b/>
          <w:bCs/>
        </w:rPr>
      </w:pPr>
    </w:p>
    <w:tbl>
      <w:tblPr>
        <w:tblW w:w="7500" w:type="dxa"/>
        <w:tblLook w:val="04A0" w:firstRow="1" w:lastRow="0" w:firstColumn="1" w:lastColumn="0" w:noHBand="0" w:noVBand="1"/>
      </w:tblPr>
      <w:tblGrid>
        <w:gridCol w:w="4360"/>
        <w:gridCol w:w="1000"/>
        <w:gridCol w:w="1040"/>
        <w:gridCol w:w="1100"/>
      </w:tblGrid>
      <w:tr w:rsidR="00545BD8" w:rsidRPr="00D050D2" w:rsidTr="00BA0C68">
        <w:trPr>
          <w:trHeight w:val="290"/>
        </w:trPr>
        <w:tc>
          <w:tcPr>
            <w:tcW w:w="4360" w:type="dxa"/>
            <w:tcBorders>
              <w:top w:val="single" w:sz="4" w:space="0" w:color="979991"/>
              <w:left w:val="single" w:sz="4" w:space="0" w:color="979991"/>
              <w:bottom w:val="nil"/>
              <w:right w:val="nil"/>
            </w:tcBorders>
            <w:shd w:val="clear" w:color="000000" w:fill="0066CC"/>
            <w:hideMark/>
          </w:tcPr>
          <w:p w:rsidR="00545BD8" w:rsidRPr="00D050D2" w:rsidRDefault="00545BD8" w:rsidP="00BA0C68">
            <w:pPr>
              <w:spacing w:after="0" w:line="240" w:lineRule="auto"/>
              <w:rPr>
                <w:rFonts w:ascii="Calibri" w:eastAsia="Times New Roman" w:hAnsi="Calibri" w:cs="Calibri"/>
                <w:b/>
                <w:bCs/>
                <w:color w:val="FFFFFF"/>
                <w:sz w:val="16"/>
                <w:szCs w:val="16"/>
                <w:lang w:eastAsia="en-GB"/>
              </w:rPr>
            </w:pPr>
            <w:r w:rsidRPr="00D050D2">
              <w:rPr>
                <w:rFonts w:ascii="Calibri" w:eastAsia="Times New Roman" w:hAnsi="Calibri" w:cs="Calibri"/>
                <w:b/>
                <w:bCs/>
                <w:color w:val="FFFFFF"/>
                <w:sz w:val="16"/>
                <w:szCs w:val="16"/>
                <w:lang w:eastAsia="en-GB"/>
              </w:rPr>
              <w:t>Absence Reason</w:t>
            </w:r>
          </w:p>
        </w:tc>
        <w:tc>
          <w:tcPr>
            <w:tcW w:w="1000" w:type="dxa"/>
            <w:tcBorders>
              <w:top w:val="single" w:sz="4" w:space="0" w:color="979991"/>
              <w:left w:val="single" w:sz="4" w:space="0" w:color="979991"/>
              <w:bottom w:val="single" w:sz="4" w:space="0" w:color="979991"/>
              <w:right w:val="nil"/>
            </w:tcBorders>
            <w:shd w:val="clear" w:color="000000" w:fill="0066CC"/>
            <w:hideMark/>
          </w:tcPr>
          <w:p w:rsidR="00545BD8" w:rsidRPr="00D050D2" w:rsidRDefault="00545BD8" w:rsidP="00BA0C68">
            <w:pPr>
              <w:spacing w:after="0" w:line="240" w:lineRule="auto"/>
              <w:rPr>
                <w:rFonts w:ascii="Calibri" w:eastAsia="Times New Roman" w:hAnsi="Calibri" w:cs="Calibri"/>
                <w:b/>
                <w:bCs/>
                <w:color w:val="FFFFFF"/>
                <w:sz w:val="16"/>
                <w:szCs w:val="16"/>
                <w:lang w:eastAsia="en-GB"/>
              </w:rPr>
            </w:pPr>
            <w:r w:rsidRPr="00D050D2">
              <w:rPr>
                <w:rFonts w:ascii="Calibri" w:eastAsia="Times New Roman" w:hAnsi="Calibri" w:cs="Calibri"/>
                <w:b/>
                <w:bCs/>
                <w:color w:val="FFFFFF"/>
                <w:sz w:val="16"/>
                <w:szCs w:val="16"/>
                <w:lang w:eastAsia="en-GB"/>
              </w:rPr>
              <w:t>Long Term</w:t>
            </w:r>
          </w:p>
        </w:tc>
        <w:tc>
          <w:tcPr>
            <w:tcW w:w="1040" w:type="dxa"/>
            <w:tcBorders>
              <w:top w:val="single" w:sz="4" w:space="0" w:color="979991"/>
              <w:left w:val="single" w:sz="4" w:space="0" w:color="979991"/>
              <w:bottom w:val="single" w:sz="4" w:space="0" w:color="979991"/>
              <w:right w:val="nil"/>
            </w:tcBorders>
            <w:shd w:val="clear" w:color="000000" w:fill="0066CC"/>
            <w:hideMark/>
          </w:tcPr>
          <w:p w:rsidR="00545BD8" w:rsidRPr="00D050D2" w:rsidRDefault="00545BD8" w:rsidP="00BA0C68">
            <w:pPr>
              <w:spacing w:after="0" w:line="240" w:lineRule="auto"/>
              <w:rPr>
                <w:rFonts w:ascii="Calibri" w:eastAsia="Times New Roman" w:hAnsi="Calibri" w:cs="Calibri"/>
                <w:b/>
                <w:bCs/>
                <w:color w:val="FFFFFF"/>
                <w:sz w:val="16"/>
                <w:szCs w:val="16"/>
                <w:lang w:eastAsia="en-GB"/>
              </w:rPr>
            </w:pPr>
            <w:r w:rsidRPr="00D050D2">
              <w:rPr>
                <w:rFonts w:ascii="Calibri" w:eastAsia="Times New Roman" w:hAnsi="Calibri" w:cs="Calibri"/>
                <w:b/>
                <w:bCs/>
                <w:color w:val="FFFFFF"/>
                <w:sz w:val="16"/>
                <w:szCs w:val="16"/>
                <w:lang w:eastAsia="en-GB"/>
              </w:rPr>
              <w:t>Short Term</w:t>
            </w:r>
          </w:p>
        </w:tc>
        <w:tc>
          <w:tcPr>
            <w:tcW w:w="1100" w:type="dxa"/>
            <w:tcBorders>
              <w:top w:val="single" w:sz="4" w:space="0" w:color="979991"/>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Grand Total</w:t>
            </w:r>
          </w:p>
        </w:tc>
      </w:tr>
      <w:tr w:rsidR="00545BD8" w:rsidRPr="00D050D2" w:rsidTr="00BA0C68">
        <w:trPr>
          <w:trHeight w:val="290"/>
        </w:trPr>
        <w:tc>
          <w:tcPr>
            <w:tcW w:w="4360" w:type="dxa"/>
            <w:tcBorders>
              <w:top w:val="single" w:sz="4" w:space="0" w:color="979991"/>
              <w:left w:val="single" w:sz="4" w:space="0" w:color="979991"/>
              <w:bottom w:val="single" w:sz="4" w:space="0" w:color="979991"/>
              <w:right w:val="nil"/>
            </w:tcBorders>
            <w:shd w:val="clear" w:color="000000" w:fill="FFFF00"/>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S10 Anxiety/stress/depression/other psychiatric illnesses</w:t>
            </w:r>
          </w:p>
        </w:tc>
        <w:tc>
          <w:tcPr>
            <w:tcW w:w="100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10</w:t>
            </w:r>
          </w:p>
        </w:tc>
        <w:tc>
          <w:tcPr>
            <w:tcW w:w="104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11</w:t>
            </w:r>
          </w:p>
        </w:tc>
        <w:tc>
          <w:tcPr>
            <w:tcW w:w="1100" w:type="dxa"/>
            <w:tcBorders>
              <w:top w:val="nil"/>
              <w:left w:val="single" w:sz="4" w:space="0" w:color="979991"/>
              <w:bottom w:val="single" w:sz="4" w:space="0" w:color="979991"/>
              <w:right w:val="single" w:sz="4" w:space="0" w:color="979991"/>
            </w:tcBorders>
            <w:shd w:val="clear" w:color="000000" w:fill="FFFF00"/>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21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S11 Back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2</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S12 Other musculoskeletal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6</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FFF00"/>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S13 Cold, Cough, Flu - Influenza</w:t>
            </w:r>
          </w:p>
        </w:tc>
        <w:tc>
          <w:tcPr>
            <w:tcW w:w="100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23</w:t>
            </w:r>
          </w:p>
        </w:tc>
        <w:tc>
          <w:tcPr>
            <w:tcW w:w="1100" w:type="dxa"/>
            <w:tcBorders>
              <w:top w:val="nil"/>
              <w:left w:val="single" w:sz="4" w:space="0" w:color="979991"/>
              <w:bottom w:val="single" w:sz="4" w:space="0" w:color="979991"/>
              <w:right w:val="single" w:sz="4" w:space="0" w:color="979991"/>
            </w:tcBorders>
            <w:shd w:val="clear" w:color="000000" w:fill="FFFF00"/>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25</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S15 Chest &amp; respiratory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11</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S16 Headache / migraine</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7</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8</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S19 Heart, cardiac &amp; circulatory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S21 Ear, nose, throat (ENT)</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4</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S22 Dental and oral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S23 Eye problems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FFF00"/>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S25 Gastrointestinal problems</w:t>
            </w:r>
          </w:p>
        </w:tc>
        <w:tc>
          <w:tcPr>
            <w:tcW w:w="100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00"/>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15</w:t>
            </w:r>
          </w:p>
        </w:tc>
        <w:tc>
          <w:tcPr>
            <w:tcW w:w="1100" w:type="dxa"/>
            <w:tcBorders>
              <w:top w:val="nil"/>
              <w:left w:val="single" w:sz="4" w:space="0" w:color="979991"/>
              <w:bottom w:val="single" w:sz="4" w:space="0" w:color="979991"/>
              <w:right w:val="single" w:sz="4" w:space="0" w:color="979991"/>
            </w:tcBorders>
            <w:shd w:val="clear" w:color="000000" w:fill="FFFF00"/>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17</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S26 Genitourinary &amp; gynaecological disorders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4</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S27 Infectious diseases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5</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5</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S28 Injury, fracture</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3</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S29 Nervous system disorders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1</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S30 Pregnancy related disorders</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lang w:eastAsia="en-GB"/>
              </w:rPr>
            </w:pPr>
            <w:r w:rsidRPr="00D050D2">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4</w:t>
            </w:r>
          </w:p>
        </w:tc>
      </w:tr>
      <w:tr w:rsidR="00545BD8" w:rsidRPr="00D050D2" w:rsidTr="00BA0C68">
        <w:trPr>
          <w:trHeight w:val="290"/>
        </w:trPr>
        <w:tc>
          <w:tcPr>
            <w:tcW w:w="4360" w:type="dxa"/>
            <w:tcBorders>
              <w:top w:val="nil"/>
              <w:left w:val="single" w:sz="4" w:space="0" w:color="979991"/>
              <w:bottom w:val="single" w:sz="4" w:space="0" w:color="979991"/>
              <w:right w:val="nil"/>
            </w:tcBorders>
            <w:shd w:val="clear" w:color="000000" w:fill="F0F4FA"/>
            <w:noWrap/>
            <w:hideMark/>
          </w:tcPr>
          <w:p w:rsidR="00545BD8" w:rsidRPr="00D050D2" w:rsidRDefault="00545BD8" w:rsidP="00BA0C68">
            <w:pPr>
              <w:spacing w:after="0" w:line="240" w:lineRule="auto"/>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S98 Other known causes - not elsewhere classified</w:t>
            </w:r>
          </w:p>
        </w:tc>
        <w:tc>
          <w:tcPr>
            <w:tcW w:w="100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545BD8" w:rsidRPr="00D050D2" w:rsidRDefault="00545BD8" w:rsidP="00BA0C68">
            <w:pPr>
              <w:spacing w:after="0" w:line="240" w:lineRule="auto"/>
              <w:jc w:val="right"/>
              <w:rPr>
                <w:rFonts w:ascii="Calibri" w:eastAsia="Times New Roman" w:hAnsi="Calibri" w:cs="Calibri"/>
                <w:color w:val="000000"/>
                <w:sz w:val="16"/>
                <w:szCs w:val="16"/>
                <w:lang w:eastAsia="en-GB"/>
              </w:rPr>
            </w:pPr>
            <w:r w:rsidRPr="00D050D2">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545BD8" w:rsidRPr="00D050D2" w:rsidRDefault="00545BD8" w:rsidP="00BA0C68">
            <w:pPr>
              <w:spacing w:after="0" w:line="240" w:lineRule="auto"/>
              <w:jc w:val="right"/>
              <w:rPr>
                <w:rFonts w:ascii="Calibri" w:eastAsia="Times New Roman" w:hAnsi="Calibri" w:cs="Calibri"/>
                <w:b/>
                <w:bCs/>
                <w:color w:val="000000"/>
                <w:sz w:val="16"/>
                <w:szCs w:val="16"/>
                <w:lang w:eastAsia="en-GB"/>
              </w:rPr>
            </w:pPr>
            <w:r w:rsidRPr="00D050D2">
              <w:rPr>
                <w:rFonts w:ascii="Calibri" w:eastAsia="Times New Roman" w:hAnsi="Calibri" w:cs="Calibri"/>
                <w:b/>
                <w:bCs/>
                <w:color w:val="000000"/>
                <w:sz w:val="16"/>
                <w:szCs w:val="16"/>
                <w:lang w:eastAsia="en-GB"/>
              </w:rPr>
              <w:t>5</w:t>
            </w:r>
          </w:p>
        </w:tc>
      </w:tr>
    </w:tbl>
    <w:p w:rsidR="00B771FB" w:rsidRDefault="00B771FB" w:rsidP="00A16A87">
      <w:pPr>
        <w:spacing w:line="360" w:lineRule="auto"/>
        <w:rPr>
          <w:rFonts w:ascii="Arial" w:hAnsi="Arial" w:cs="Arial"/>
          <w:b/>
          <w:bCs/>
        </w:rPr>
      </w:pPr>
    </w:p>
    <w:p w:rsidR="00945DB3" w:rsidRDefault="00945DB3" w:rsidP="00536C5B">
      <w:pPr>
        <w:spacing w:line="360" w:lineRule="auto"/>
        <w:rPr>
          <w:rFonts w:ascii="Arial" w:hAnsi="Arial" w:cs="Arial"/>
          <w:b/>
          <w:bCs/>
          <w:lang w:eastAsia="en-GB"/>
        </w:rPr>
      </w:pPr>
    </w:p>
    <w:p w:rsidR="00945DB3" w:rsidRDefault="00945DB3" w:rsidP="00536C5B">
      <w:pPr>
        <w:spacing w:line="360" w:lineRule="auto"/>
        <w:rPr>
          <w:rFonts w:ascii="Arial" w:hAnsi="Arial" w:cs="Arial"/>
          <w:b/>
          <w:bCs/>
          <w:lang w:eastAsia="en-GB"/>
        </w:rPr>
      </w:pPr>
    </w:p>
    <w:p w:rsidR="00945DB3" w:rsidRDefault="00945DB3" w:rsidP="00536C5B">
      <w:pPr>
        <w:spacing w:line="360" w:lineRule="auto"/>
        <w:rPr>
          <w:rFonts w:ascii="Arial" w:hAnsi="Arial" w:cs="Arial"/>
          <w:b/>
          <w:bCs/>
          <w:lang w:eastAsia="en-GB"/>
        </w:rPr>
      </w:pPr>
    </w:p>
    <w:p w:rsidR="00945DB3" w:rsidRDefault="00945DB3" w:rsidP="00536C5B">
      <w:pPr>
        <w:spacing w:line="360" w:lineRule="auto"/>
        <w:rPr>
          <w:rFonts w:ascii="Arial" w:hAnsi="Arial" w:cs="Arial"/>
          <w:b/>
          <w:bCs/>
          <w:lang w:eastAsia="en-GB"/>
        </w:rPr>
      </w:pPr>
    </w:p>
    <w:p w:rsidR="00945DB3" w:rsidRDefault="00DB44CC" w:rsidP="00536C5B">
      <w:pPr>
        <w:spacing w:line="360" w:lineRule="auto"/>
        <w:rPr>
          <w:rFonts w:ascii="Arial" w:hAnsi="Arial" w:cs="Arial"/>
          <w:b/>
          <w:bCs/>
          <w:lang w:eastAsia="en-GB"/>
        </w:rPr>
      </w:pPr>
      <w:r>
        <w:rPr>
          <w:noProof/>
        </w:rPr>
        <w:drawing>
          <wp:anchor distT="0" distB="0" distL="114300" distR="114300" simplePos="0" relativeHeight="251666432" behindDoc="0" locked="0" layoutInCell="1" allowOverlap="1" wp14:anchorId="3FEDBE03" wp14:editId="620DACD1">
            <wp:simplePos x="0" y="0"/>
            <wp:positionH relativeFrom="margin">
              <wp:posOffset>63374</wp:posOffset>
            </wp:positionH>
            <wp:positionV relativeFrom="paragraph">
              <wp:posOffset>-190626</wp:posOffset>
            </wp:positionV>
            <wp:extent cx="5622004" cy="2381250"/>
            <wp:effectExtent l="0" t="0" r="0" b="0"/>
            <wp:wrapNone/>
            <wp:docPr id="2" name="image1.png" descr="image1.png">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00000000-0008-0000-0000-000002000000}"/>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622004" cy="2381250"/>
                    </a:xfrm>
                    <a:prstGeom prst="rect">
                      <a:avLst/>
                    </a:prstGeom>
                  </pic:spPr>
                </pic:pic>
              </a:graphicData>
            </a:graphic>
            <wp14:sizeRelH relativeFrom="page">
              <wp14:pctWidth>0</wp14:pctWidth>
            </wp14:sizeRelH>
            <wp14:sizeRelV relativeFrom="page">
              <wp14:pctHeight>0</wp14:pctHeight>
            </wp14:sizeRelV>
          </wp:anchor>
        </w:drawing>
      </w:r>
    </w:p>
    <w:p w:rsidR="00945DB3" w:rsidRDefault="00945DB3" w:rsidP="00536C5B">
      <w:pPr>
        <w:spacing w:line="360" w:lineRule="auto"/>
        <w:rPr>
          <w:rFonts w:ascii="Arial" w:hAnsi="Arial" w:cs="Arial"/>
          <w:b/>
          <w:bCs/>
          <w:lang w:eastAsia="en-GB"/>
        </w:rPr>
      </w:pPr>
    </w:p>
    <w:p w:rsidR="00945DB3" w:rsidRDefault="00945DB3" w:rsidP="00536C5B">
      <w:pPr>
        <w:spacing w:line="360" w:lineRule="auto"/>
        <w:rPr>
          <w:rFonts w:ascii="Arial" w:hAnsi="Arial" w:cs="Arial"/>
          <w:b/>
          <w:bCs/>
          <w:lang w:eastAsia="en-GB"/>
        </w:rPr>
      </w:pPr>
    </w:p>
    <w:p w:rsidR="00DB44CC" w:rsidRDefault="00DB44CC" w:rsidP="00536C5B">
      <w:pPr>
        <w:spacing w:line="360" w:lineRule="auto"/>
        <w:rPr>
          <w:rFonts w:ascii="Arial" w:hAnsi="Arial" w:cs="Arial"/>
          <w:b/>
          <w:bCs/>
          <w:lang w:eastAsia="en-GB"/>
        </w:rPr>
      </w:pPr>
    </w:p>
    <w:p w:rsidR="00DB44CC" w:rsidRDefault="00DB44CC" w:rsidP="00536C5B">
      <w:pPr>
        <w:spacing w:line="360" w:lineRule="auto"/>
        <w:rPr>
          <w:rFonts w:ascii="Arial" w:hAnsi="Arial" w:cs="Arial"/>
          <w:b/>
          <w:bCs/>
          <w:lang w:eastAsia="en-GB"/>
        </w:rPr>
      </w:pPr>
    </w:p>
    <w:p w:rsidR="00DB44CC" w:rsidRDefault="00DB44CC" w:rsidP="00536C5B">
      <w:pPr>
        <w:spacing w:line="360" w:lineRule="auto"/>
        <w:rPr>
          <w:rFonts w:ascii="Arial" w:hAnsi="Arial" w:cs="Arial"/>
          <w:b/>
          <w:bCs/>
          <w:lang w:eastAsia="en-GB"/>
        </w:rPr>
      </w:pPr>
    </w:p>
    <w:p w:rsidR="00DB44CC" w:rsidRDefault="00DB44CC" w:rsidP="00536C5B">
      <w:pPr>
        <w:spacing w:line="360" w:lineRule="auto"/>
        <w:rPr>
          <w:rFonts w:ascii="Arial" w:hAnsi="Arial" w:cs="Arial"/>
          <w:b/>
          <w:bCs/>
          <w:lang w:eastAsia="en-GB"/>
        </w:rPr>
      </w:pPr>
    </w:p>
    <w:p w:rsidR="00536C5B" w:rsidRPr="00536C5B" w:rsidRDefault="00536C5B" w:rsidP="00536C5B">
      <w:pPr>
        <w:spacing w:line="360" w:lineRule="auto"/>
        <w:rPr>
          <w:rFonts w:ascii="Arial" w:hAnsi="Arial" w:cs="Arial"/>
          <w:b/>
          <w:bCs/>
          <w:lang w:eastAsia="en-GB"/>
        </w:rPr>
      </w:pPr>
      <w:r w:rsidRPr="00536C5B">
        <w:rPr>
          <w:rFonts w:ascii="Arial" w:hAnsi="Arial" w:cs="Arial"/>
          <w:b/>
          <w:bCs/>
          <w:lang w:eastAsia="en-GB"/>
        </w:rPr>
        <w:t>Anxiety/Stress/Depression/Other Psychiatric (S10)</w:t>
      </w:r>
    </w:p>
    <w:p w:rsidR="00536C5B" w:rsidRPr="00536C5B" w:rsidRDefault="00536C5B" w:rsidP="00536C5B">
      <w:pPr>
        <w:spacing w:line="360" w:lineRule="auto"/>
        <w:rPr>
          <w:rFonts w:ascii="Arial" w:hAnsi="Arial" w:cs="Arial"/>
          <w:lang w:eastAsia="en-GB"/>
        </w:rPr>
      </w:pPr>
      <w:r w:rsidRPr="00536C5B">
        <w:rPr>
          <w:rFonts w:ascii="Arial" w:hAnsi="Arial" w:cs="Arial"/>
          <w:lang w:eastAsia="en-GB"/>
        </w:rPr>
        <w:t>Mental</w:t>
      </w:r>
      <w:r w:rsidRPr="00536C5B">
        <w:rPr>
          <w:rFonts w:ascii="Arial" w:hAnsi="Arial" w:cs="Arial"/>
          <w:lang w:eastAsia="en-GB"/>
        </w:rPr>
        <w:noBreakHyphen/>
        <w:t>health</w:t>
      </w:r>
      <w:r w:rsidRPr="00536C5B">
        <w:rPr>
          <w:rFonts w:ascii="Arial" w:hAnsi="Arial" w:cs="Arial"/>
          <w:lang w:eastAsia="en-GB"/>
        </w:rPr>
        <w:noBreakHyphen/>
        <w:t xml:space="preserve">related absence is the </w:t>
      </w:r>
      <w:r>
        <w:rPr>
          <w:rFonts w:ascii="Arial" w:hAnsi="Arial" w:cs="Arial"/>
          <w:lang w:eastAsia="en-GB"/>
        </w:rPr>
        <w:t>leading cause for sickness absence</w:t>
      </w:r>
      <w:r w:rsidRPr="00536C5B">
        <w:rPr>
          <w:rFonts w:ascii="Arial" w:hAnsi="Arial" w:cs="Arial"/>
          <w:lang w:eastAsia="en-GB"/>
        </w:rPr>
        <w:t xml:space="preserve"> across the first two years, reaching </w:t>
      </w:r>
      <w:r>
        <w:rPr>
          <w:rFonts w:ascii="Arial" w:hAnsi="Arial" w:cs="Arial"/>
          <w:lang w:eastAsia="en-GB"/>
        </w:rPr>
        <w:t xml:space="preserve">high </w:t>
      </w:r>
      <w:r w:rsidRPr="00536C5B">
        <w:rPr>
          <w:rFonts w:ascii="Arial" w:hAnsi="Arial" w:cs="Arial"/>
          <w:lang w:eastAsia="en-GB"/>
        </w:rPr>
        <w:t>points in February 2023 and February 2024, where it accounts for the clear majority of FTE lost. This pattern speaks to a sustained, non</w:t>
      </w:r>
      <w:r w:rsidRPr="00536C5B">
        <w:rPr>
          <w:rFonts w:ascii="Arial" w:hAnsi="Arial" w:cs="Arial"/>
          <w:lang w:eastAsia="en-GB"/>
        </w:rPr>
        <w:noBreakHyphen/>
        <w:t xml:space="preserve">seasonal pressure that extends beyond typical winter effects. </w:t>
      </w:r>
    </w:p>
    <w:p w:rsidR="00536C5B" w:rsidRPr="00536C5B" w:rsidRDefault="00536C5B" w:rsidP="00536C5B">
      <w:pPr>
        <w:spacing w:line="360" w:lineRule="auto"/>
        <w:rPr>
          <w:rFonts w:ascii="Arial" w:hAnsi="Arial" w:cs="Arial"/>
          <w:b/>
          <w:bCs/>
          <w:lang w:eastAsia="en-GB"/>
        </w:rPr>
      </w:pPr>
      <w:r w:rsidRPr="00536C5B">
        <w:rPr>
          <w:rFonts w:ascii="Arial" w:hAnsi="Arial" w:cs="Arial"/>
          <w:b/>
          <w:bCs/>
          <w:lang w:eastAsia="en-GB"/>
        </w:rPr>
        <w:t>Cold, Cough, Flu – Influenza (S13)</w:t>
      </w:r>
    </w:p>
    <w:p w:rsidR="00536C5B" w:rsidRPr="00945DB3" w:rsidRDefault="00536C5B" w:rsidP="00536C5B">
      <w:pPr>
        <w:spacing w:line="360" w:lineRule="auto"/>
        <w:rPr>
          <w:rFonts w:ascii="Arial" w:hAnsi="Arial" w:cs="Arial"/>
          <w:lang w:eastAsia="en-GB"/>
        </w:rPr>
      </w:pPr>
      <w:r w:rsidRPr="00536C5B">
        <w:rPr>
          <w:rFonts w:ascii="Arial" w:hAnsi="Arial" w:cs="Arial"/>
          <w:lang w:eastAsia="en-GB"/>
        </w:rPr>
        <w:t>Respiratory</w:t>
      </w:r>
      <w:r>
        <w:rPr>
          <w:rFonts w:ascii="Arial" w:hAnsi="Arial" w:cs="Arial"/>
          <w:lang w:eastAsia="en-GB"/>
        </w:rPr>
        <w:t xml:space="preserve"> reasons for</w:t>
      </w:r>
      <w:r w:rsidRPr="00536C5B">
        <w:rPr>
          <w:rFonts w:ascii="Arial" w:hAnsi="Arial" w:cs="Arial"/>
          <w:lang w:eastAsia="en-GB"/>
        </w:rPr>
        <w:t xml:space="preserve"> absence follow a classic winter</w:t>
      </w:r>
      <w:r w:rsidRPr="00536C5B">
        <w:rPr>
          <w:rFonts w:ascii="Arial" w:hAnsi="Arial" w:cs="Arial"/>
          <w:lang w:eastAsia="en-GB"/>
        </w:rPr>
        <w:noBreakHyphen/>
        <w:t xml:space="preserve">centred profile. It is most visible across late autumn and early winter 2023 (notably November–December), and then gradually tapers through 2024, becoming much less prominent by 2025. The shape of this curve—sharp seasonal peaks followed by a marked easing—indicates that routine winter pressures recede over time and do not underpin the sustained strain seen elsewhere in the reasons mix. </w:t>
      </w:r>
    </w:p>
    <w:p w:rsidR="00536C5B" w:rsidRPr="00536C5B" w:rsidRDefault="00536C5B" w:rsidP="00536C5B">
      <w:pPr>
        <w:spacing w:line="360" w:lineRule="auto"/>
        <w:rPr>
          <w:rFonts w:ascii="Arial" w:hAnsi="Arial" w:cs="Arial"/>
          <w:b/>
          <w:bCs/>
          <w:lang w:eastAsia="en-GB"/>
        </w:rPr>
      </w:pPr>
      <w:r w:rsidRPr="00536C5B">
        <w:rPr>
          <w:rFonts w:ascii="Arial" w:hAnsi="Arial" w:cs="Arial"/>
          <w:b/>
          <w:bCs/>
          <w:lang w:eastAsia="en-GB"/>
        </w:rPr>
        <w:t>Gastrointestinal Problems (S25)</w:t>
      </w:r>
    </w:p>
    <w:p w:rsidR="00471E8F" w:rsidRDefault="00536C5B" w:rsidP="002E3DC1">
      <w:pPr>
        <w:spacing w:line="360" w:lineRule="auto"/>
        <w:rPr>
          <w:rFonts w:ascii="Arial" w:hAnsi="Arial" w:cs="Arial"/>
          <w:lang w:eastAsia="en-GB"/>
        </w:rPr>
      </w:pPr>
      <w:r w:rsidRPr="00536C5B">
        <w:rPr>
          <w:rFonts w:ascii="Arial" w:hAnsi="Arial" w:cs="Arial"/>
          <w:lang w:eastAsia="en-GB"/>
        </w:rPr>
        <w:t>GI absence is modest through 2023–2024, then registers a step</w:t>
      </w:r>
      <w:r w:rsidRPr="00536C5B">
        <w:rPr>
          <w:rFonts w:ascii="Arial" w:hAnsi="Arial" w:cs="Arial"/>
          <w:lang w:eastAsia="en-GB"/>
        </w:rPr>
        <w:noBreakHyphen/>
        <w:t>change in early–mid 2025, with March and April</w:t>
      </w:r>
      <w:r>
        <w:rPr>
          <w:rFonts w:ascii="Arial" w:hAnsi="Arial" w:cs="Arial"/>
          <w:lang w:eastAsia="en-GB"/>
        </w:rPr>
        <w:t xml:space="preserve"> showing high absence</w:t>
      </w:r>
      <w:r w:rsidRPr="00536C5B">
        <w:rPr>
          <w:rFonts w:ascii="Arial" w:hAnsi="Arial" w:cs="Arial"/>
          <w:lang w:eastAsia="en-GB"/>
        </w:rPr>
        <w:t>. The spike is short and concentrated, consistent with an acute, outbreak</w:t>
      </w:r>
      <w:r w:rsidRPr="00536C5B">
        <w:rPr>
          <w:rFonts w:ascii="Arial" w:hAnsi="Arial" w:cs="Arial"/>
          <w:lang w:eastAsia="en-GB"/>
        </w:rPr>
        <w:noBreakHyphen/>
        <w:t xml:space="preserve">style pattern rather than a persistent trend. </w:t>
      </w:r>
    </w:p>
    <w:p w:rsidR="001F243B" w:rsidRPr="001F243B" w:rsidRDefault="001F243B" w:rsidP="005C0BDA">
      <w:pPr>
        <w:pStyle w:val="ListParagraph"/>
        <w:numPr>
          <w:ilvl w:val="0"/>
          <w:numId w:val="3"/>
        </w:numPr>
        <w:spacing w:line="360" w:lineRule="auto"/>
        <w:rPr>
          <w:rFonts w:ascii="Arial" w:eastAsia="Times New Roman" w:hAnsi="Arial" w:cs="Arial"/>
          <w:b/>
          <w:vanish/>
          <w:lang w:val="en-US"/>
        </w:rPr>
      </w:pPr>
    </w:p>
    <w:p w:rsidR="001F243B" w:rsidRPr="001F243B" w:rsidRDefault="001F243B" w:rsidP="005C0BDA">
      <w:pPr>
        <w:pStyle w:val="ListParagraph"/>
        <w:numPr>
          <w:ilvl w:val="0"/>
          <w:numId w:val="3"/>
        </w:numPr>
        <w:spacing w:line="360" w:lineRule="auto"/>
        <w:rPr>
          <w:rFonts w:ascii="Arial" w:eastAsia="Times New Roman" w:hAnsi="Arial" w:cs="Arial"/>
          <w:b/>
          <w:vanish/>
          <w:lang w:val="en-US"/>
        </w:rPr>
      </w:pPr>
    </w:p>
    <w:p w:rsidR="001F243B" w:rsidRPr="001F243B" w:rsidRDefault="001F243B" w:rsidP="005C0BDA">
      <w:pPr>
        <w:pStyle w:val="ListParagraph"/>
        <w:numPr>
          <w:ilvl w:val="1"/>
          <w:numId w:val="3"/>
        </w:numPr>
        <w:spacing w:line="360" w:lineRule="auto"/>
        <w:rPr>
          <w:rFonts w:ascii="Arial" w:eastAsia="Times New Roman" w:hAnsi="Arial" w:cs="Arial"/>
          <w:b/>
          <w:vanish/>
          <w:lang w:val="en-US"/>
        </w:rPr>
      </w:pPr>
    </w:p>
    <w:bookmarkEnd w:id="0"/>
    <w:p w:rsidR="00945DB3" w:rsidRPr="00945DB3" w:rsidRDefault="00945DB3" w:rsidP="00945DB3">
      <w:pPr>
        <w:spacing w:line="360" w:lineRule="auto"/>
        <w:rPr>
          <w:rFonts w:ascii="Arial" w:hAnsi="Arial" w:cs="Arial"/>
          <w:b/>
          <w:color w:val="000000" w:themeColor="text1"/>
          <w:sz w:val="16"/>
          <w:szCs w:val="16"/>
        </w:rPr>
      </w:pPr>
    </w:p>
    <w:p w:rsidR="00277F94" w:rsidRPr="00945DB3" w:rsidRDefault="0077243A" w:rsidP="00945DB3">
      <w:pPr>
        <w:spacing w:line="360" w:lineRule="auto"/>
        <w:rPr>
          <w:rFonts w:ascii="Arial" w:hAnsi="Arial" w:cs="Arial"/>
          <w:b/>
          <w:color w:val="000000" w:themeColor="text1"/>
        </w:rPr>
      </w:pPr>
      <w:r w:rsidRPr="00945DB3">
        <w:rPr>
          <w:rFonts w:ascii="Arial" w:hAnsi="Arial" w:cs="Arial"/>
          <w:b/>
          <w:color w:val="000000" w:themeColor="text1"/>
        </w:rPr>
        <w:t>Notional</w:t>
      </w:r>
      <w:r w:rsidR="00277F94" w:rsidRPr="00945DB3">
        <w:rPr>
          <w:rFonts w:ascii="Arial" w:hAnsi="Arial" w:cs="Arial"/>
          <w:b/>
          <w:color w:val="000000" w:themeColor="text1"/>
        </w:rPr>
        <w:t xml:space="preserve"> Cost of Sickness Absence</w:t>
      </w:r>
    </w:p>
    <w:p w:rsidR="003C46C4" w:rsidRPr="009522C8" w:rsidRDefault="00DB44CC" w:rsidP="00570609">
      <w:pPr>
        <w:spacing w:line="360" w:lineRule="auto"/>
        <w:jc w:val="both"/>
        <w:rPr>
          <w:rFonts w:ascii="Arial" w:hAnsi="Arial" w:cs="Arial"/>
          <w:bCs/>
          <w:color w:val="000000" w:themeColor="text1"/>
        </w:rPr>
      </w:pPr>
      <w:r w:rsidRPr="0077243A">
        <w:rPr>
          <w:noProof/>
        </w:rPr>
        <w:drawing>
          <wp:anchor distT="0" distB="0" distL="114300" distR="114300" simplePos="0" relativeHeight="251664384" behindDoc="0" locked="0" layoutInCell="1" allowOverlap="1" wp14:anchorId="2153064C" wp14:editId="0B7CE9BC">
            <wp:simplePos x="0" y="0"/>
            <wp:positionH relativeFrom="margin">
              <wp:align>center</wp:align>
            </wp:positionH>
            <wp:positionV relativeFrom="paragraph">
              <wp:posOffset>1293966</wp:posOffset>
            </wp:positionV>
            <wp:extent cx="6928339" cy="874477"/>
            <wp:effectExtent l="0" t="0" r="6350" b="1905"/>
            <wp:wrapNone/>
            <wp:docPr id="896456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28339" cy="874477"/>
                    </a:xfrm>
                    <a:prstGeom prst="rect">
                      <a:avLst/>
                    </a:prstGeom>
                    <a:noFill/>
                    <a:ln>
                      <a:noFill/>
                    </a:ln>
                  </pic:spPr>
                </pic:pic>
              </a:graphicData>
            </a:graphic>
            <wp14:sizeRelH relativeFrom="page">
              <wp14:pctWidth>0</wp14:pctWidth>
            </wp14:sizeRelH>
            <wp14:sizeRelV relativeFrom="page">
              <wp14:pctHeight>0</wp14:pctHeight>
            </wp14:sizeRelV>
          </wp:anchor>
        </w:drawing>
      </w:r>
      <w:r w:rsidR="001373FC" w:rsidRPr="009522C8">
        <w:rPr>
          <w:rFonts w:ascii="Arial" w:hAnsi="Arial" w:cs="Arial"/>
          <w:bCs/>
          <w:color w:val="000000" w:themeColor="text1"/>
        </w:rPr>
        <w:t xml:space="preserve">The overall </w:t>
      </w:r>
      <w:r w:rsidR="0077243A">
        <w:rPr>
          <w:rFonts w:ascii="Arial" w:hAnsi="Arial" w:cs="Arial"/>
          <w:bCs/>
          <w:color w:val="000000" w:themeColor="text1"/>
        </w:rPr>
        <w:t>notional</w:t>
      </w:r>
      <w:r w:rsidR="001373FC" w:rsidRPr="009522C8">
        <w:rPr>
          <w:rFonts w:ascii="Arial" w:hAnsi="Arial" w:cs="Arial"/>
          <w:bCs/>
          <w:color w:val="000000" w:themeColor="text1"/>
        </w:rPr>
        <w:t xml:space="preserve"> sickness absence cost for </w:t>
      </w:r>
      <w:r w:rsidR="0077243A">
        <w:rPr>
          <w:rFonts w:ascii="Arial" w:hAnsi="Arial" w:cs="Arial"/>
          <w:bCs/>
          <w:color w:val="000000" w:themeColor="text1"/>
        </w:rPr>
        <w:t>Specialist Pallative Care</w:t>
      </w:r>
      <w:r w:rsidR="001373FC" w:rsidRPr="009522C8">
        <w:rPr>
          <w:rFonts w:ascii="Arial" w:hAnsi="Arial" w:cs="Arial"/>
          <w:bCs/>
          <w:color w:val="000000" w:themeColor="text1"/>
        </w:rPr>
        <w:t xml:space="preserve"> for the last 12 months (1 </w:t>
      </w:r>
      <w:r w:rsidR="00F4550B" w:rsidRPr="009522C8">
        <w:rPr>
          <w:rFonts w:ascii="Arial" w:hAnsi="Arial" w:cs="Arial"/>
          <w:bCs/>
          <w:color w:val="000000" w:themeColor="text1"/>
        </w:rPr>
        <w:t>January</w:t>
      </w:r>
      <w:r w:rsidR="001373FC" w:rsidRPr="009522C8">
        <w:rPr>
          <w:rFonts w:ascii="Arial" w:hAnsi="Arial" w:cs="Arial"/>
          <w:bCs/>
          <w:color w:val="000000" w:themeColor="text1"/>
        </w:rPr>
        <w:t xml:space="preserve"> 202</w:t>
      </w:r>
      <w:r w:rsidR="00F4550B" w:rsidRPr="009522C8">
        <w:rPr>
          <w:rFonts w:ascii="Arial" w:hAnsi="Arial" w:cs="Arial"/>
          <w:bCs/>
          <w:color w:val="000000" w:themeColor="text1"/>
        </w:rPr>
        <w:t>5</w:t>
      </w:r>
      <w:r w:rsidR="001373FC" w:rsidRPr="009522C8">
        <w:rPr>
          <w:rFonts w:ascii="Arial" w:hAnsi="Arial" w:cs="Arial"/>
          <w:bCs/>
          <w:color w:val="000000" w:themeColor="text1"/>
        </w:rPr>
        <w:t xml:space="preserve"> to 31 </w:t>
      </w:r>
      <w:r w:rsidR="00F4550B" w:rsidRPr="009522C8">
        <w:rPr>
          <w:rFonts w:ascii="Arial" w:hAnsi="Arial" w:cs="Arial"/>
          <w:bCs/>
          <w:color w:val="000000" w:themeColor="text1"/>
        </w:rPr>
        <w:t>December</w:t>
      </w:r>
      <w:r w:rsidR="001373FC" w:rsidRPr="009522C8">
        <w:rPr>
          <w:rFonts w:ascii="Arial" w:hAnsi="Arial" w:cs="Arial"/>
          <w:bCs/>
          <w:color w:val="000000" w:themeColor="text1"/>
        </w:rPr>
        <w:t xml:space="preserve"> 2025) stands at £</w:t>
      </w:r>
      <w:r w:rsidR="0077243A">
        <w:rPr>
          <w:rFonts w:ascii="Arial" w:hAnsi="Arial" w:cs="Arial"/>
          <w:bCs/>
          <w:color w:val="000000" w:themeColor="text1"/>
        </w:rPr>
        <w:t>75,647</w:t>
      </w:r>
      <w:r w:rsidR="001373FC" w:rsidRPr="009522C8">
        <w:rPr>
          <w:rFonts w:ascii="Arial" w:hAnsi="Arial" w:cs="Arial"/>
          <w:bCs/>
          <w:color w:val="000000" w:themeColor="text1"/>
        </w:rPr>
        <w:t>.</w:t>
      </w:r>
      <w:r w:rsidR="007064ED" w:rsidRPr="009522C8">
        <w:rPr>
          <w:rFonts w:ascii="Arial" w:hAnsi="Arial" w:cs="Arial"/>
          <w:bCs/>
          <w:color w:val="000000" w:themeColor="text1"/>
        </w:rPr>
        <w:t xml:space="preserve"> As of </w:t>
      </w:r>
      <w:r w:rsidR="009522C8" w:rsidRPr="009522C8">
        <w:rPr>
          <w:rFonts w:ascii="Arial" w:hAnsi="Arial" w:cs="Arial"/>
          <w:bCs/>
          <w:color w:val="000000" w:themeColor="text1"/>
        </w:rPr>
        <w:t>August</w:t>
      </w:r>
      <w:r w:rsidR="007064ED" w:rsidRPr="009522C8">
        <w:rPr>
          <w:rFonts w:ascii="Arial" w:hAnsi="Arial" w:cs="Arial"/>
          <w:bCs/>
          <w:color w:val="000000" w:themeColor="text1"/>
        </w:rPr>
        <w:t xml:space="preserve"> 2025, the </w:t>
      </w:r>
      <w:r w:rsidR="003D1107" w:rsidRPr="009522C8">
        <w:rPr>
          <w:rFonts w:ascii="Arial" w:hAnsi="Arial" w:cs="Arial"/>
          <w:bCs/>
          <w:color w:val="000000" w:themeColor="text1"/>
        </w:rPr>
        <w:t>in-month</w:t>
      </w:r>
      <w:r w:rsidR="007064ED" w:rsidRPr="009522C8">
        <w:rPr>
          <w:rFonts w:ascii="Arial" w:hAnsi="Arial" w:cs="Arial"/>
          <w:bCs/>
          <w:color w:val="000000" w:themeColor="text1"/>
        </w:rPr>
        <w:t xml:space="preserve"> absence FTE % stood at </w:t>
      </w:r>
      <w:r w:rsidR="0077243A">
        <w:rPr>
          <w:rFonts w:ascii="Arial" w:hAnsi="Arial" w:cs="Arial"/>
          <w:bCs/>
          <w:color w:val="000000" w:themeColor="text1"/>
        </w:rPr>
        <w:t>4.06</w:t>
      </w:r>
      <w:r w:rsidR="007064ED" w:rsidRPr="009522C8">
        <w:rPr>
          <w:rFonts w:ascii="Arial" w:hAnsi="Arial" w:cs="Arial"/>
          <w:bCs/>
          <w:color w:val="000000" w:themeColor="text1"/>
        </w:rPr>
        <w:t>%</w:t>
      </w:r>
      <w:r w:rsidR="0077243A">
        <w:rPr>
          <w:rFonts w:ascii="Arial" w:hAnsi="Arial" w:cs="Arial"/>
          <w:bCs/>
          <w:color w:val="000000" w:themeColor="text1"/>
        </w:rPr>
        <w:t>, below the Welsh Government target of 5.08%</w:t>
      </w:r>
      <w:r w:rsidR="007064ED" w:rsidRPr="009522C8">
        <w:rPr>
          <w:rFonts w:ascii="Arial" w:hAnsi="Arial" w:cs="Arial"/>
          <w:bCs/>
          <w:color w:val="000000" w:themeColor="text1"/>
        </w:rPr>
        <w:t xml:space="preserve">. </w:t>
      </w:r>
      <w:r w:rsidR="00A21299" w:rsidRPr="009522C8">
        <w:rPr>
          <w:rFonts w:ascii="Arial" w:hAnsi="Arial" w:cs="Arial"/>
          <w:bCs/>
          <w:color w:val="000000" w:themeColor="text1"/>
        </w:rPr>
        <w:t xml:space="preserve">The </w:t>
      </w:r>
      <w:r w:rsidR="003D1107" w:rsidRPr="009522C8">
        <w:rPr>
          <w:rFonts w:ascii="Arial" w:hAnsi="Arial" w:cs="Arial"/>
          <w:bCs/>
          <w:color w:val="000000" w:themeColor="text1"/>
        </w:rPr>
        <w:t>in-month</w:t>
      </w:r>
      <w:r w:rsidR="00A21299" w:rsidRPr="009522C8">
        <w:rPr>
          <w:rFonts w:ascii="Arial" w:hAnsi="Arial" w:cs="Arial"/>
          <w:bCs/>
          <w:color w:val="000000" w:themeColor="text1"/>
        </w:rPr>
        <w:t xml:space="preserve"> absence FTE % for </w:t>
      </w:r>
      <w:r w:rsidR="009522C8" w:rsidRPr="009522C8">
        <w:rPr>
          <w:rFonts w:ascii="Arial" w:hAnsi="Arial" w:cs="Arial"/>
          <w:bCs/>
          <w:color w:val="000000" w:themeColor="text1"/>
        </w:rPr>
        <w:t>December</w:t>
      </w:r>
      <w:r w:rsidR="00A21299" w:rsidRPr="009522C8">
        <w:rPr>
          <w:rFonts w:ascii="Arial" w:hAnsi="Arial" w:cs="Arial"/>
          <w:bCs/>
          <w:color w:val="000000" w:themeColor="text1"/>
        </w:rPr>
        <w:t xml:space="preserve"> 2025 was </w:t>
      </w:r>
      <w:r w:rsidR="00322354">
        <w:rPr>
          <w:rFonts w:ascii="Arial" w:hAnsi="Arial" w:cs="Arial"/>
          <w:bCs/>
          <w:color w:val="000000" w:themeColor="text1"/>
        </w:rPr>
        <w:t>14.28</w:t>
      </w:r>
      <w:r w:rsidR="00A21299" w:rsidRPr="009522C8">
        <w:rPr>
          <w:rFonts w:ascii="Arial" w:hAnsi="Arial" w:cs="Arial"/>
          <w:bCs/>
          <w:color w:val="000000" w:themeColor="text1"/>
        </w:rPr>
        <w:t>%.</w:t>
      </w:r>
    </w:p>
    <w:p w:rsidR="009522C8" w:rsidRDefault="009522C8" w:rsidP="00570609">
      <w:pPr>
        <w:spacing w:line="360" w:lineRule="auto"/>
        <w:jc w:val="both"/>
        <w:rPr>
          <w:rFonts w:ascii="Arial" w:hAnsi="Arial" w:cs="Arial"/>
          <w:bCs/>
          <w:color w:val="EE0000"/>
        </w:rPr>
      </w:pPr>
    </w:p>
    <w:p w:rsidR="009522C8" w:rsidRDefault="009522C8" w:rsidP="00570609">
      <w:pPr>
        <w:spacing w:line="360" w:lineRule="auto"/>
        <w:jc w:val="both"/>
        <w:rPr>
          <w:rFonts w:ascii="Arial" w:hAnsi="Arial" w:cs="Arial"/>
          <w:bCs/>
          <w:color w:val="EE0000"/>
        </w:rPr>
      </w:pPr>
    </w:p>
    <w:p w:rsidR="00372193" w:rsidRPr="00277F94" w:rsidRDefault="00372193" w:rsidP="003B4FF7">
      <w:pPr>
        <w:spacing w:line="360" w:lineRule="auto"/>
        <w:rPr>
          <w:rFonts w:ascii="Arial" w:hAnsi="Arial" w:cs="Arial"/>
          <w:b/>
          <w:bCs/>
          <w:color w:val="000000" w:themeColor="text1"/>
          <w:sz w:val="10"/>
          <w:szCs w:val="10"/>
        </w:rPr>
      </w:pPr>
    </w:p>
    <w:p w:rsidR="00281BA0" w:rsidRPr="00372193" w:rsidRDefault="00945DB3" w:rsidP="003B4FF7">
      <w:pPr>
        <w:spacing w:line="360" w:lineRule="auto"/>
        <w:rPr>
          <w:rFonts w:ascii="Arial" w:hAnsi="Arial" w:cs="Arial"/>
          <w:b/>
          <w:bCs/>
          <w:color w:val="000000" w:themeColor="text1"/>
        </w:rPr>
      </w:pPr>
      <w:r>
        <w:rPr>
          <w:rFonts w:ascii="Arial" w:hAnsi="Arial" w:cs="Arial"/>
          <w:b/>
          <w:bCs/>
          <w:color w:val="000000" w:themeColor="text1"/>
        </w:rPr>
        <w:t>4</w:t>
      </w:r>
      <w:r w:rsidR="00372193">
        <w:rPr>
          <w:rFonts w:ascii="Arial" w:hAnsi="Arial" w:cs="Arial"/>
          <w:b/>
          <w:bCs/>
          <w:color w:val="000000" w:themeColor="text1"/>
        </w:rPr>
        <w:tab/>
      </w:r>
      <w:r w:rsidR="00A44680" w:rsidRPr="00372193">
        <w:rPr>
          <w:rFonts w:ascii="Arial" w:hAnsi="Arial" w:cs="Arial"/>
          <w:b/>
          <w:bCs/>
          <w:color w:val="000000" w:themeColor="text1"/>
        </w:rPr>
        <w:t>Age Profile</w:t>
      </w:r>
      <w:r w:rsidR="00372193">
        <w:rPr>
          <w:rFonts w:ascii="Arial" w:hAnsi="Arial" w:cs="Arial"/>
          <w:b/>
          <w:bCs/>
          <w:color w:val="000000" w:themeColor="text1"/>
        </w:rPr>
        <w:t xml:space="preserve"> and Potential Impact on Staff Health and Wellbeing </w:t>
      </w:r>
    </w:p>
    <w:p w:rsidR="001263F7" w:rsidRPr="00372193" w:rsidRDefault="00A44680" w:rsidP="001263F7">
      <w:pPr>
        <w:spacing w:line="360" w:lineRule="auto"/>
        <w:rPr>
          <w:rFonts w:ascii="Segoe UI" w:eastAsia="Times New Roman" w:hAnsi="Symbol" w:cs="Segoe UI"/>
          <w:sz w:val="21"/>
          <w:szCs w:val="21"/>
          <w:lang w:eastAsia="en-GB"/>
        </w:rPr>
      </w:pPr>
      <w:r w:rsidRPr="00A44680">
        <w:rPr>
          <w:rFonts w:ascii="Arial" w:hAnsi="Arial" w:cs="Arial"/>
          <w:color w:val="000000" w:themeColor="text1"/>
        </w:rPr>
        <w:t xml:space="preserve">The latest Staff in Post data for </w:t>
      </w:r>
      <w:r w:rsidR="00322354">
        <w:rPr>
          <w:rFonts w:ascii="Arial" w:hAnsi="Arial" w:cs="Arial"/>
          <w:color w:val="000000" w:themeColor="text1"/>
        </w:rPr>
        <w:t>Specialist Pallative Care</w:t>
      </w:r>
      <w:r w:rsidRPr="00A44680">
        <w:rPr>
          <w:rFonts w:ascii="Arial" w:hAnsi="Arial" w:cs="Arial"/>
          <w:color w:val="000000" w:themeColor="text1"/>
        </w:rPr>
        <w:t xml:space="preserve"> shows a workforce of </w:t>
      </w:r>
      <w:r w:rsidR="00322354">
        <w:rPr>
          <w:rFonts w:ascii="Arial" w:hAnsi="Arial" w:cs="Arial"/>
          <w:color w:val="000000" w:themeColor="text1"/>
        </w:rPr>
        <w:t>24</w:t>
      </w:r>
      <w:r w:rsidRPr="00A44680">
        <w:rPr>
          <w:rFonts w:ascii="Arial" w:hAnsi="Arial" w:cs="Arial"/>
          <w:color w:val="000000" w:themeColor="text1"/>
        </w:rPr>
        <w:t xml:space="preserve"> staff (</w:t>
      </w:r>
      <w:r w:rsidR="00322354">
        <w:rPr>
          <w:rFonts w:ascii="Arial" w:hAnsi="Arial" w:cs="Arial"/>
          <w:color w:val="000000" w:themeColor="text1"/>
        </w:rPr>
        <w:t>21.19</w:t>
      </w:r>
      <w:r w:rsidRPr="00A44680">
        <w:rPr>
          <w:rFonts w:ascii="Arial" w:hAnsi="Arial" w:cs="Arial"/>
          <w:color w:val="000000" w:themeColor="text1"/>
        </w:rPr>
        <w:t xml:space="preserve"> FTE)</w:t>
      </w:r>
      <w:r w:rsidR="001263F7" w:rsidRPr="00372193">
        <w:rPr>
          <w:rFonts w:ascii="Arial" w:hAnsi="Arial" w:cs="Arial"/>
          <w:color w:val="000000" w:themeColor="text1"/>
        </w:rPr>
        <w:t xml:space="preserve">. </w:t>
      </w:r>
    </w:p>
    <w:p w:rsidR="00322354" w:rsidRPr="00322354" w:rsidRDefault="00322354" w:rsidP="00322354">
      <w:pPr>
        <w:spacing w:line="360" w:lineRule="auto"/>
        <w:rPr>
          <w:rFonts w:ascii="Arial" w:hAnsi="Arial" w:cs="Arial"/>
          <w:color w:val="000000" w:themeColor="text1"/>
        </w:rPr>
      </w:pPr>
      <w:r w:rsidRPr="00322354">
        <w:rPr>
          <w:rFonts w:ascii="Arial" w:hAnsi="Arial" w:cs="Arial"/>
          <w:color w:val="000000" w:themeColor="text1"/>
        </w:rPr>
        <w:t>The SPC workforce is predominantly mid</w:t>
      </w:r>
      <w:r w:rsidRPr="00322354">
        <w:rPr>
          <w:rFonts w:ascii="Arial" w:hAnsi="Arial" w:cs="Arial"/>
          <w:color w:val="000000" w:themeColor="text1"/>
        </w:rPr>
        <w:noBreakHyphen/>
        <w:t>career, with just over half of staff in the 31–40 age range, a smaller younger cohort in 26–30, and about a quarter in the 51–60 bracket. Average FTE per head is lower in the oldest band (indicating more part</w:t>
      </w:r>
      <w:r w:rsidRPr="00322354">
        <w:rPr>
          <w:rFonts w:ascii="Arial" w:hAnsi="Arial" w:cs="Arial"/>
          <w:color w:val="000000" w:themeColor="text1"/>
        </w:rPr>
        <w:noBreakHyphen/>
        <w:t>time working), while the 41–50 bands tend toward full</w:t>
      </w:r>
      <w:r w:rsidRPr="00322354">
        <w:rPr>
          <w:rFonts w:ascii="Arial" w:hAnsi="Arial" w:cs="Arial"/>
          <w:color w:val="000000" w:themeColor="text1"/>
        </w:rPr>
        <w:noBreakHyphen/>
        <w:t>time equivalent</w:t>
      </w:r>
      <w:r>
        <w:rPr>
          <w:rFonts w:ascii="Arial" w:hAnsi="Arial" w:cs="Arial"/>
          <w:color w:val="000000" w:themeColor="text1"/>
        </w:rPr>
        <w:t xml:space="preserve">, </w:t>
      </w:r>
      <w:r w:rsidRPr="00322354">
        <w:rPr>
          <w:rFonts w:ascii="Arial" w:hAnsi="Arial" w:cs="Arial"/>
          <w:color w:val="000000" w:themeColor="text1"/>
        </w:rPr>
        <w:t>painting a picture of a team balancing experienced practitioners with a modest pipeline of newer entrants and a meaningful later</w:t>
      </w:r>
      <w:r w:rsidRPr="00322354">
        <w:rPr>
          <w:rFonts w:ascii="Arial" w:hAnsi="Arial" w:cs="Arial"/>
          <w:color w:val="000000" w:themeColor="text1"/>
        </w:rPr>
        <w:noBreakHyphen/>
        <w:t xml:space="preserve">career group. </w:t>
      </w:r>
    </w:p>
    <w:p w:rsidR="00322354" w:rsidRPr="00322354" w:rsidRDefault="00DB44CC" w:rsidP="00322354">
      <w:pPr>
        <w:spacing w:line="360" w:lineRule="auto"/>
        <w:rPr>
          <w:rFonts w:ascii="Arial" w:hAnsi="Arial" w:cs="Arial"/>
          <w:color w:val="000000" w:themeColor="text1"/>
        </w:rPr>
      </w:pPr>
      <w:r>
        <w:rPr>
          <w:noProof/>
        </w:rPr>
        <w:drawing>
          <wp:anchor distT="0" distB="0" distL="114300" distR="114300" simplePos="0" relativeHeight="251665408" behindDoc="0" locked="0" layoutInCell="1" allowOverlap="1" wp14:anchorId="528F1A7C" wp14:editId="04C37984">
            <wp:simplePos x="0" y="0"/>
            <wp:positionH relativeFrom="margin">
              <wp:posOffset>2032000</wp:posOffset>
            </wp:positionH>
            <wp:positionV relativeFrom="paragraph">
              <wp:posOffset>1675369</wp:posOffset>
            </wp:positionV>
            <wp:extent cx="3643532" cy="2349320"/>
            <wp:effectExtent l="0" t="0" r="0" b="0"/>
            <wp:wrapNone/>
            <wp:docPr id="3207493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43532" cy="2349320"/>
                    </a:xfrm>
                    <a:prstGeom prst="rect">
                      <a:avLst/>
                    </a:prstGeom>
                    <a:noFill/>
                  </pic:spPr>
                </pic:pic>
              </a:graphicData>
            </a:graphic>
            <wp14:sizeRelH relativeFrom="page">
              <wp14:pctWidth>0</wp14:pctWidth>
            </wp14:sizeRelH>
            <wp14:sizeRelV relativeFrom="page">
              <wp14:pctHeight>0</wp14:pctHeight>
            </wp14:sizeRelV>
          </wp:anchor>
        </w:drawing>
      </w:r>
      <w:r w:rsidR="00322354" w:rsidRPr="00322354">
        <w:rPr>
          <w:rFonts w:ascii="Arial" w:hAnsi="Arial" w:cs="Arial"/>
          <w:color w:val="000000" w:themeColor="text1"/>
        </w:rPr>
        <w:t>From a health and wellbeing perspective, this mix suggests distinct needs across life stages. Mid</w:t>
      </w:r>
      <w:r w:rsidR="00322354" w:rsidRPr="00322354">
        <w:rPr>
          <w:rFonts w:ascii="Arial" w:hAnsi="Arial" w:cs="Arial"/>
          <w:color w:val="000000" w:themeColor="text1"/>
        </w:rPr>
        <w:noBreakHyphen/>
        <w:t>career staff often juggle peak role intensity with family and caring responsibilities, increasing fatigue risk in a service characterised by emotional labour and exposure to end</w:t>
      </w:r>
      <w:r w:rsidR="00322354" w:rsidRPr="00322354">
        <w:rPr>
          <w:rFonts w:ascii="Arial" w:hAnsi="Arial" w:cs="Arial"/>
          <w:color w:val="000000" w:themeColor="text1"/>
        </w:rPr>
        <w:noBreakHyphen/>
        <w:t>of</w:t>
      </w:r>
      <w:r w:rsidR="00322354" w:rsidRPr="00322354">
        <w:rPr>
          <w:rFonts w:ascii="Arial" w:hAnsi="Arial" w:cs="Arial"/>
          <w:color w:val="000000" w:themeColor="text1"/>
        </w:rPr>
        <w:noBreakHyphen/>
        <w:t>life stressors</w:t>
      </w:r>
      <w:r w:rsidR="00322354" w:rsidRPr="00555B04">
        <w:rPr>
          <w:rFonts w:ascii="Arial" w:hAnsi="Arial" w:cs="Arial"/>
          <w:color w:val="000000" w:themeColor="text1"/>
        </w:rPr>
        <w:t>. The later</w:t>
      </w:r>
      <w:r w:rsidR="00322354" w:rsidRPr="00555B04">
        <w:rPr>
          <w:rFonts w:ascii="Arial" w:hAnsi="Arial" w:cs="Arial"/>
          <w:color w:val="000000" w:themeColor="text1"/>
        </w:rPr>
        <w:noBreakHyphen/>
        <w:t>career cohort may experience menopause</w:t>
      </w:r>
      <w:r w:rsidR="00322354" w:rsidRPr="00555B04">
        <w:rPr>
          <w:rFonts w:ascii="Arial" w:hAnsi="Arial" w:cs="Arial"/>
          <w:color w:val="000000" w:themeColor="text1"/>
        </w:rPr>
        <w:noBreakHyphen/>
        <w:t>related symptoms, musculoskeletal (MSK) strain, or longer</w:t>
      </w:r>
      <w:r w:rsidR="00322354" w:rsidRPr="00555B04">
        <w:rPr>
          <w:rFonts w:ascii="Arial" w:hAnsi="Arial" w:cs="Arial"/>
          <w:color w:val="000000" w:themeColor="text1"/>
        </w:rPr>
        <w:noBreakHyphen/>
        <w:t>term conditions, and the higher prevalence of part</w:t>
      </w:r>
      <w:r w:rsidR="00322354" w:rsidRPr="00555B04">
        <w:rPr>
          <w:rFonts w:ascii="Arial" w:hAnsi="Arial" w:cs="Arial"/>
          <w:color w:val="000000" w:themeColor="text1"/>
        </w:rPr>
        <w:noBreakHyphen/>
        <w:t>time arrangements points to the value of flexible rostering and paced recovery after demanding shifts. Meanwhile, a smaller younger cohort underscores the importance of supportive supervision and structured development to retain and grow capability</w:t>
      </w:r>
    </w:p>
    <w:tbl>
      <w:tblPr>
        <w:tblW w:w="2880" w:type="dxa"/>
        <w:tblLook w:val="04A0" w:firstRow="1" w:lastRow="0" w:firstColumn="1" w:lastColumn="0" w:noHBand="0" w:noVBand="1"/>
      </w:tblPr>
      <w:tblGrid>
        <w:gridCol w:w="960"/>
        <w:gridCol w:w="960"/>
        <w:gridCol w:w="960"/>
      </w:tblGrid>
      <w:tr w:rsidR="00322354" w:rsidRPr="00322354" w:rsidTr="00322354">
        <w:trPr>
          <w:trHeight w:val="290"/>
        </w:trPr>
        <w:tc>
          <w:tcPr>
            <w:tcW w:w="960" w:type="dxa"/>
            <w:tcBorders>
              <w:top w:val="single" w:sz="4" w:space="0" w:color="979991"/>
              <w:left w:val="single" w:sz="4" w:space="0" w:color="979991"/>
              <w:bottom w:val="nil"/>
              <w:right w:val="nil"/>
            </w:tcBorders>
            <w:shd w:val="clear" w:color="000000" w:fill="0066CC"/>
            <w:hideMark/>
          </w:tcPr>
          <w:p w:rsidR="00322354" w:rsidRPr="00322354" w:rsidRDefault="00322354" w:rsidP="00322354">
            <w:pPr>
              <w:spacing w:after="0" w:line="240" w:lineRule="auto"/>
              <w:rPr>
                <w:rFonts w:ascii="Calibri" w:eastAsia="Times New Roman" w:hAnsi="Calibri" w:cs="Calibri"/>
                <w:b/>
                <w:bCs/>
                <w:color w:val="FFFFFF"/>
                <w:sz w:val="16"/>
                <w:szCs w:val="16"/>
                <w:lang w:eastAsia="en-GB"/>
              </w:rPr>
            </w:pPr>
            <w:r w:rsidRPr="00322354">
              <w:rPr>
                <w:rFonts w:ascii="Calibri" w:eastAsia="Times New Roman" w:hAnsi="Calibri" w:cs="Calibri"/>
                <w:b/>
                <w:bCs/>
                <w:color w:val="FFFFFF"/>
                <w:sz w:val="16"/>
                <w:szCs w:val="16"/>
                <w:lang w:eastAsia="en-GB"/>
              </w:rPr>
              <w:t>Age Band</w:t>
            </w:r>
          </w:p>
        </w:tc>
        <w:tc>
          <w:tcPr>
            <w:tcW w:w="960" w:type="dxa"/>
            <w:tcBorders>
              <w:top w:val="single" w:sz="4" w:space="0" w:color="979991"/>
              <w:left w:val="single" w:sz="4" w:space="0" w:color="979991"/>
              <w:bottom w:val="nil"/>
              <w:right w:val="nil"/>
            </w:tcBorders>
            <w:shd w:val="clear" w:color="000000" w:fill="0066CC"/>
            <w:hideMark/>
          </w:tcPr>
          <w:p w:rsidR="00322354" w:rsidRPr="00322354" w:rsidRDefault="00322354" w:rsidP="00322354">
            <w:pPr>
              <w:spacing w:after="0" w:line="240" w:lineRule="auto"/>
              <w:rPr>
                <w:rFonts w:ascii="Calibri" w:eastAsia="Times New Roman" w:hAnsi="Calibri" w:cs="Calibri"/>
                <w:b/>
                <w:bCs/>
                <w:color w:val="FFFFFF"/>
                <w:sz w:val="16"/>
                <w:szCs w:val="16"/>
                <w:lang w:eastAsia="en-GB"/>
              </w:rPr>
            </w:pPr>
            <w:r w:rsidRPr="00322354">
              <w:rPr>
                <w:rFonts w:ascii="Calibri" w:eastAsia="Times New Roman" w:hAnsi="Calibri" w:cs="Calibri"/>
                <w:b/>
                <w:bCs/>
                <w:color w:val="FFFFFF"/>
                <w:sz w:val="16"/>
                <w:szCs w:val="16"/>
                <w:lang w:eastAsia="en-GB"/>
              </w:rPr>
              <w:t>Headcount</w:t>
            </w:r>
          </w:p>
        </w:tc>
        <w:tc>
          <w:tcPr>
            <w:tcW w:w="960" w:type="dxa"/>
            <w:tcBorders>
              <w:top w:val="single" w:sz="4" w:space="0" w:color="979991"/>
              <w:left w:val="single" w:sz="4" w:space="0" w:color="979991"/>
              <w:bottom w:val="nil"/>
              <w:right w:val="single" w:sz="4" w:space="0" w:color="979991"/>
            </w:tcBorders>
            <w:shd w:val="clear" w:color="000000" w:fill="0066CC"/>
            <w:hideMark/>
          </w:tcPr>
          <w:p w:rsidR="00322354" w:rsidRPr="00322354" w:rsidRDefault="00322354" w:rsidP="00322354">
            <w:pPr>
              <w:spacing w:after="0" w:line="240" w:lineRule="auto"/>
              <w:rPr>
                <w:rFonts w:ascii="Calibri" w:eastAsia="Times New Roman" w:hAnsi="Calibri" w:cs="Calibri"/>
                <w:b/>
                <w:bCs/>
                <w:color w:val="FFFFFF"/>
                <w:sz w:val="16"/>
                <w:szCs w:val="16"/>
                <w:lang w:eastAsia="en-GB"/>
              </w:rPr>
            </w:pPr>
            <w:r w:rsidRPr="00322354">
              <w:rPr>
                <w:rFonts w:ascii="Calibri" w:eastAsia="Times New Roman" w:hAnsi="Calibri" w:cs="Calibri"/>
                <w:b/>
                <w:bCs/>
                <w:color w:val="FFFFFF"/>
                <w:sz w:val="16"/>
                <w:szCs w:val="16"/>
                <w:lang w:eastAsia="en-GB"/>
              </w:rPr>
              <w:t>FTE</w:t>
            </w:r>
          </w:p>
        </w:tc>
      </w:tr>
      <w:tr w:rsidR="00322354" w:rsidRPr="00322354" w:rsidTr="00322354">
        <w:trPr>
          <w:trHeight w:val="290"/>
        </w:trPr>
        <w:tc>
          <w:tcPr>
            <w:tcW w:w="960" w:type="dxa"/>
            <w:tcBorders>
              <w:top w:val="single" w:sz="4" w:space="0" w:color="979991"/>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26-30</w:t>
            </w:r>
          </w:p>
        </w:tc>
        <w:tc>
          <w:tcPr>
            <w:tcW w:w="960" w:type="dxa"/>
            <w:tcBorders>
              <w:top w:val="single" w:sz="4" w:space="0" w:color="979991"/>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1</w:t>
            </w:r>
          </w:p>
        </w:tc>
        <w:tc>
          <w:tcPr>
            <w:tcW w:w="960" w:type="dxa"/>
            <w:tcBorders>
              <w:top w:val="single" w:sz="4" w:space="0" w:color="979991"/>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0.80</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31-35</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7</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5.93</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36-40</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6</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5.60</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41-45</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2.00</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46-50</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2.00</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51-55</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4</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3.60</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56-60</w:t>
            </w:r>
          </w:p>
        </w:tc>
        <w:tc>
          <w:tcPr>
            <w:tcW w:w="960" w:type="dxa"/>
            <w:tcBorders>
              <w:top w:val="nil"/>
              <w:left w:val="single" w:sz="4" w:space="0" w:color="979991"/>
              <w:bottom w:val="single" w:sz="4" w:space="0" w:color="979991"/>
              <w:right w:val="nil"/>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2</w:t>
            </w:r>
          </w:p>
        </w:tc>
        <w:tc>
          <w:tcPr>
            <w:tcW w:w="960" w:type="dxa"/>
            <w:tcBorders>
              <w:top w:val="nil"/>
              <w:left w:val="single" w:sz="4" w:space="0" w:color="979991"/>
              <w:bottom w:val="single" w:sz="4" w:space="0" w:color="979991"/>
              <w:right w:val="single" w:sz="4" w:space="0" w:color="979991"/>
            </w:tcBorders>
            <w:shd w:val="clear" w:color="000000" w:fill="FFFFFF"/>
            <w:hideMark/>
          </w:tcPr>
          <w:p w:rsidR="00322354" w:rsidRPr="00322354" w:rsidRDefault="00322354" w:rsidP="00322354">
            <w:pPr>
              <w:spacing w:after="0" w:line="240" w:lineRule="auto"/>
              <w:jc w:val="right"/>
              <w:rPr>
                <w:rFonts w:ascii="Calibri" w:eastAsia="Times New Roman" w:hAnsi="Calibri" w:cs="Calibri"/>
                <w:color w:val="000000"/>
                <w:sz w:val="16"/>
                <w:szCs w:val="16"/>
                <w:lang w:eastAsia="en-GB"/>
              </w:rPr>
            </w:pPr>
            <w:r w:rsidRPr="00322354">
              <w:rPr>
                <w:rFonts w:ascii="Calibri" w:eastAsia="Times New Roman" w:hAnsi="Calibri" w:cs="Calibri"/>
                <w:color w:val="000000"/>
                <w:sz w:val="16"/>
                <w:szCs w:val="16"/>
                <w:lang w:eastAsia="en-GB"/>
              </w:rPr>
              <w:t>1.25</w:t>
            </w:r>
          </w:p>
        </w:tc>
      </w:tr>
      <w:tr w:rsidR="00322354" w:rsidRPr="00322354" w:rsidTr="00322354">
        <w:trPr>
          <w:trHeight w:val="290"/>
        </w:trPr>
        <w:tc>
          <w:tcPr>
            <w:tcW w:w="960" w:type="dxa"/>
            <w:tcBorders>
              <w:top w:val="nil"/>
              <w:left w:val="single" w:sz="4" w:space="0" w:color="979991"/>
              <w:bottom w:val="single" w:sz="4" w:space="0" w:color="979991"/>
              <w:right w:val="nil"/>
            </w:tcBorders>
            <w:shd w:val="clear" w:color="000000" w:fill="F0F4FA"/>
            <w:hideMark/>
          </w:tcPr>
          <w:p w:rsidR="00322354" w:rsidRPr="00322354" w:rsidRDefault="00322354" w:rsidP="00322354">
            <w:pPr>
              <w:spacing w:after="0" w:line="240" w:lineRule="auto"/>
              <w:rPr>
                <w:rFonts w:ascii="Calibri" w:eastAsia="Times New Roman" w:hAnsi="Calibri" w:cs="Calibri"/>
                <w:b/>
                <w:bCs/>
                <w:color w:val="000000"/>
                <w:sz w:val="16"/>
                <w:szCs w:val="16"/>
                <w:lang w:eastAsia="en-GB"/>
              </w:rPr>
            </w:pPr>
            <w:r w:rsidRPr="00322354">
              <w:rPr>
                <w:rFonts w:ascii="Calibri" w:eastAsia="Times New Roman" w:hAnsi="Calibri" w:cs="Calibri"/>
                <w:b/>
                <w:bCs/>
                <w:color w:val="000000"/>
                <w:sz w:val="16"/>
                <w:szCs w:val="16"/>
                <w:lang w:eastAsia="en-GB"/>
              </w:rPr>
              <w:t>Grand Total</w:t>
            </w:r>
          </w:p>
        </w:tc>
        <w:tc>
          <w:tcPr>
            <w:tcW w:w="960" w:type="dxa"/>
            <w:tcBorders>
              <w:top w:val="nil"/>
              <w:left w:val="single" w:sz="4" w:space="0" w:color="979991"/>
              <w:bottom w:val="single" w:sz="4" w:space="0" w:color="979991"/>
              <w:right w:val="nil"/>
            </w:tcBorders>
            <w:shd w:val="clear" w:color="000000" w:fill="F0F4FA"/>
            <w:hideMark/>
          </w:tcPr>
          <w:p w:rsidR="00322354" w:rsidRPr="00322354" w:rsidRDefault="00322354" w:rsidP="00322354">
            <w:pPr>
              <w:spacing w:after="0" w:line="240" w:lineRule="auto"/>
              <w:jc w:val="right"/>
              <w:rPr>
                <w:rFonts w:ascii="Calibri" w:eastAsia="Times New Roman" w:hAnsi="Calibri" w:cs="Calibri"/>
                <w:b/>
                <w:bCs/>
                <w:color w:val="000000"/>
                <w:sz w:val="16"/>
                <w:szCs w:val="16"/>
                <w:lang w:eastAsia="en-GB"/>
              </w:rPr>
            </w:pPr>
            <w:r w:rsidRPr="00322354">
              <w:rPr>
                <w:rFonts w:ascii="Calibri" w:eastAsia="Times New Roman" w:hAnsi="Calibri" w:cs="Calibri"/>
                <w:b/>
                <w:bCs/>
                <w:color w:val="000000"/>
                <w:sz w:val="16"/>
                <w:szCs w:val="16"/>
                <w:lang w:eastAsia="en-GB"/>
              </w:rPr>
              <w:t>24</w:t>
            </w:r>
          </w:p>
        </w:tc>
        <w:tc>
          <w:tcPr>
            <w:tcW w:w="960" w:type="dxa"/>
            <w:tcBorders>
              <w:top w:val="nil"/>
              <w:left w:val="single" w:sz="4" w:space="0" w:color="979991"/>
              <w:bottom w:val="single" w:sz="4" w:space="0" w:color="979991"/>
              <w:right w:val="single" w:sz="4" w:space="0" w:color="979991"/>
            </w:tcBorders>
            <w:shd w:val="clear" w:color="000000" w:fill="F0F4FA"/>
            <w:hideMark/>
          </w:tcPr>
          <w:p w:rsidR="00322354" w:rsidRPr="00322354" w:rsidRDefault="00322354" w:rsidP="00322354">
            <w:pPr>
              <w:spacing w:after="0" w:line="240" w:lineRule="auto"/>
              <w:jc w:val="right"/>
              <w:rPr>
                <w:rFonts w:ascii="Calibri" w:eastAsia="Times New Roman" w:hAnsi="Calibri" w:cs="Calibri"/>
                <w:b/>
                <w:bCs/>
                <w:color w:val="000000"/>
                <w:sz w:val="16"/>
                <w:szCs w:val="16"/>
                <w:lang w:eastAsia="en-GB"/>
              </w:rPr>
            </w:pPr>
            <w:r w:rsidRPr="00322354">
              <w:rPr>
                <w:rFonts w:ascii="Calibri" w:eastAsia="Times New Roman" w:hAnsi="Calibri" w:cs="Calibri"/>
                <w:b/>
                <w:bCs/>
                <w:color w:val="000000"/>
                <w:sz w:val="16"/>
                <w:szCs w:val="16"/>
                <w:lang w:eastAsia="en-GB"/>
              </w:rPr>
              <w:t>21.19</w:t>
            </w:r>
          </w:p>
        </w:tc>
      </w:tr>
    </w:tbl>
    <w:p w:rsidR="001263F7" w:rsidRDefault="001263F7" w:rsidP="001263F7">
      <w:pPr>
        <w:spacing w:line="360" w:lineRule="auto"/>
        <w:rPr>
          <w:noProof/>
        </w:rPr>
      </w:pPr>
    </w:p>
    <w:p w:rsidR="00DB44CC" w:rsidRDefault="00DB44CC" w:rsidP="003B4FF7">
      <w:pPr>
        <w:spacing w:line="360" w:lineRule="auto"/>
        <w:rPr>
          <w:rFonts w:ascii="Arial" w:hAnsi="Arial" w:cs="Arial"/>
          <w:b/>
          <w:bCs/>
          <w:noProof/>
        </w:rPr>
      </w:pPr>
    </w:p>
    <w:p w:rsidR="00A44680" w:rsidRPr="00DB44CC" w:rsidRDefault="00DB44CC" w:rsidP="003B4FF7">
      <w:pPr>
        <w:spacing w:line="360" w:lineRule="auto"/>
        <w:rPr>
          <w:rFonts w:ascii="Arial" w:hAnsi="Arial" w:cs="Arial"/>
          <w:b/>
          <w:bCs/>
          <w:noProof/>
        </w:rPr>
      </w:pPr>
      <w:r>
        <w:rPr>
          <w:rFonts w:ascii="Arial" w:hAnsi="Arial" w:cs="Arial"/>
          <w:b/>
          <w:bCs/>
          <w:noProof/>
        </w:rPr>
        <w:t>5</w:t>
      </w:r>
      <w:r>
        <w:rPr>
          <w:rFonts w:ascii="Arial" w:hAnsi="Arial" w:cs="Arial"/>
          <w:b/>
          <w:bCs/>
          <w:noProof/>
        </w:rPr>
        <w:tab/>
      </w:r>
      <w:r w:rsidR="003349A1" w:rsidRPr="00DB44CC">
        <w:rPr>
          <w:rFonts w:ascii="Arial" w:hAnsi="Arial" w:cs="Arial"/>
          <w:b/>
          <w:bCs/>
          <w:noProof/>
        </w:rPr>
        <w:t>Return to Work Discussions</w:t>
      </w:r>
    </w:p>
    <w:p w:rsidR="00332C92" w:rsidRPr="00332C92" w:rsidRDefault="00332C92" w:rsidP="00332C92">
      <w:pPr>
        <w:spacing w:line="360" w:lineRule="auto"/>
        <w:rPr>
          <w:rFonts w:ascii="Arial" w:hAnsi="Arial" w:cs="Arial"/>
          <w:noProof/>
        </w:rPr>
      </w:pPr>
      <w:r w:rsidRPr="00DB44CC">
        <w:rPr>
          <w:rFonts w:ascii="Arial" w:hAnsi="Arial" w:cs="Arial"/>
          <w:noProof/>
        </w:rPr>
        <w:t>Reviewing Return to Work compliance on the BI Dashboard</w:t>
      </w:r>
      <w:r w:rsidR="00DB44CC" w:rsidRPr="00DB44CC">
        <w:rPr>
          <w:rFonts w:ascii="Arial" w:hAnsi="Arial" w:cs="Arial"/>
          <w:noProof/>
        </w:rPr>
        <w:t xml:space="preserve"> for </w:t>
      </w:r>
      <w:r w:rsidRPr="00332C92">
        <w:rPr>
          <w:rFonts w:ascii="Arial" w:hAnsi="Arial" w:cs="Arial"/>
          <w:noProof/>
        </w:rPr>
        <w:t>Specialist Palliative Care</w:t>
      </w:r>
      <w:r w:rsidR="00DB44CC" w:rsidRPr="00DB44CC">
        <w:rPr>
          <w:rFonts w:ascii="Arial" w:hAnsi="Arial" w:cs="Arial"/>
          <w:noProof/>
        </w:rPr>
        <w:t>, compliance is as follows:</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Ended sickness episodes (in the selected period): 104</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RTW Discussion date entered (Yes): 37</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RTW Discussion date entered (No): 67</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RTW compliance: 35.58%</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Avg days taken to enter sickness: 22.08</w:t>
      </w:r>
    </w:p>
    <w:p w:rsidR="00332C92" w:rsidRPr="00332C92" w:rsidRDefault="00332C92" w:rsidP="00332C92">
      <w:pPr>
        <w:numPr>
          <w:ilvl w:val="0"/>
          <w:numId w:val="39"/>
        </w:numPr>
        <w:spacing w:line="360" w:lineRule="auto"/>
        <w:rPr>
          <w:rFonts w:ascii="Arial" w:hAnsi="Arial" w:cs="Arial"/>
          <w:noProof/>
        </w:rPr>
      </w:pPr>
      <w:r w:rsidRPr="00332C92">
        <w:rPr>
          <w:rFonts w:ascii="Arial" w:hAnsi="Arial" w:cs="Arial"/>
          <w:noProof/>
        </w:rPr>
        <w:t>Avg days taken to end sickness: 18.36</w:t>
      </w:r>
    </w:p>
    <w:p w:rsidR="00332C92" w:rsidRPr="00DB44CC" w:rsidRDefault="00DB44CC" w:rsidP="003B4FF7">
      <w:pPr>
        <w:spacing w:line="360" w:lineRule="auto"/>
        <w:rPr>
          <w:rFonts w:ascii="Arial" w:hAnsi="Arial" w:cs="Arial"/>
          <w:noProof/>
        </w:rPr>
      </w:pPr>
      <w:r w:rsidRPr="00DB44CC">
        <w:rPr>
          <w:rFonts w:ascii="Arial" w:hAnsi="Arial" w:cs="Arial"/>
          <w:noProof/>
        </w:rPr>
        <w:t>It is noted that r</w:t>
      </w:r>
      <w:r w:rsidR="00332C92" w:rsidRPr="00332C92">
        <w:rPr>
          <w:rFonts w:ascii="Arial" w:hAnsi="Arial" w:cs="Arial"/>
          <w:noProof/>
        </w:rPr>
        <w:t xml:space="preserve">ecorded RTW compliance is low </w:t>
      </w:r>
      <w:r w:rsidRPr="00DB44CC">
        <w:rPr>
          <w:rFonts w:ascii="Arial" w:hAnsi="Arial" w:cs="Arial"/>
          <w:noProof/>
        </w:rPr>
        <w:t xml:space="preserve">at just under </w:t>
      </w:r>
      <w:r w:rsidR="00332C92" w:rsidRPr="00332C92">
        <w:rPr>
          <w:rFonts w:ascii="Arial" w:hAnsi="Arial" w:cs="Arial"/>
          <w:noProof/>
        </w:rPr>
        <w:t>36%</w:t>
      </w:r>
      <w:r w:rsidRPr="00DB44CC">
        <w:rPr>
          <w:rFonts w:ascii="Arial" w:hAnsi="Arial" w:cs="Arial"/>
          <w:noProof/>
        </w:rPr>
        <w:t xml:space="preserve"> </w:t>
      </w:r>
      <w:r w:rsidR="00332C92" w:rsidRPr="00332C92">
        <w:rPr>
          <w:rFonts w:ascii="Arial" w:hAnsi="Arial" w:cs="Arial"/>
          <w:noProof/>
        </w:rPr>
        <w:t xml:space="preserve">with a large </w:t>
      </w:r>
      <w:r w:rsidRPr="00DB44CC">
        <w:rPr>
          <w:rFonts w:ascii="Arial" w:hAnsi="Arial" w:cs="Arial"/>
          <w:noProof/>
        </w:rPr>
        <w:t>‘</w:t>
      </w:r>
      <w:r w:rsidR="00332C92" w:rsidRPr="00332C92">
        <w:rPr>
          <w:rFonts w:ascii="Arial" w:hAnsi="Arial" w:cs="Arial"/>
          <w:noProof/>
        </w:rPr>
        <w:t>not recorded</w:t>
      </w:r>
      <w:r w:rsidRPr="00DB44CC">
        <w:rPr>
          <w:rFonts w:ascii="Arial" w:hAnsi="Arial" w:cs="Arial"/>
          <w:noProof/>
        </w:rPr>
        <w:t>’</w:t>
      </w:r>
      <w:r w:rsidR="00332C92" w:rsidRPr="00332C92">
        <w:rPr>
          <w:rFonts w:ascii="Arial" w:hAnsi="Arial" w:cs="Arial"/>
          <w:noProof/>
        </w:rPr>
        <w:t xml:space="preserve"> gap </w:t>
      </w:r>
      <w:r w:rsidRPr="00DB44CC">
        <w:rPr>
          <w:rFonts w:ascii="Arial" w:hAnsi="Arial" w:cs="Arial"/>
          <w:noProof/>
        </w:rPr>
        <w:t xml:space="preserve">at </w:t>
      </w:r>
      <w:r w:rsidR="00332C92" w:rsidRPr="00332C92">
        <w:rPr>
          <w:rFonts w:ascii="Arial" w:hAnsi="Arial" w:cs="Arial"/>
          <w:noProof/>
        </w:rPr>
        <w:t>64%, alongside long apparent admin/recording delays (based on the “days taken to enter/end” indicators).</w:t>
      </w:r>
    </w:p>
    <w:tbl>
      <w:tblPr>
        <w:tblW w:w="10466" w:type="dxa"/>
        <w:tblCellSpacing w:w="15" w:type="dxa"/>
        <w:tblCellMar>
          <w:top w:w="15" w:type="dxa"/>
          <w:left w:w="15" w:type="dxa"/>
          <w:bottom w:w="15" w:type="dxa"/>
          <w:right w:w="15" w:type="dxa"/>
        </w:tblCellMar>
        <w:tblLook w:val="04A0" w:firstRow="1" w:lastRow="0" w:firstColumn="1" w:lastColumn="0" w:noHBand="0" w:noVBand="1"/>
      </w:tblPr>
      <w:tblGrid>
        <w:gridCol w:w="10466"/>
      </w:tblGrid>
      <w:tr w:rsidR="003349A1" w:rsidRPr="003349A1" w:rsidTr="003349A1">
        <w:trPr>
          <w:tblCellSpacing w:w="15" w:type="dxa"/>
        </w:trPr>
        <w:tc>
          <w:tcPr>
            <w:tcW w:w="0" w:type="auto"/>
            <w:vAlign w:val="center"/>
            <w:hideMark/>
          </w:tcPr>
          <w:p w:rsidR="003349A1" w:rsidRPr="003349A1" w:rsidRDefault="003349A1" w:rsidP="003349A1">
            <w:pPr>
              <w:spacing w:line="360" w:lineRule="auto"/>
              <w:rPr>
                <w:noProof/>
              </w:rPr>
            </w:pPr>
            <w:r w:rsidRPr="00332C92">
              <w:rPr>
                <w:noProof/>
              </w:rPr>
              <w:drawing>
                <wp:inline distT="0" distB="0" distL="0" distR="0" wp14:anchorId="72B65E81" wp14:editId="6E911BC9">
                  <wp:extent cx="6645910" cy="1933575"/>
                  <wp:effectExtent l="0" t="0" r="2540" b="9525"/>
                  <wp:docPr id="946504618" name="Picture 2" descr="Absences ended during selected period, with RTW compliance breakdow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bsences ended during selected period, with RTW compliance breakdow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910" cy="1933575"/>
                          </a:xfrm>
                          <a:prstGeom prst="rect">
                            <a:avLst/>
                          </a:prstGeom>
                          <a:noFill/>
                          <a:ln>
                            <a:noFill/>
                          </a:ln>
                        </pic:spPr>
                      </pic:pic>
                    </a:graphicData>
                  </a:graphic>
                </wp:inline>
              </w:drawing>
            </w:r>
          </w:p>
        </w:tc>
      </w:tr>
      <w:tr w:rsidR="003349A1" w:rsidRPr="003349A1" w:rsidTr="003349A1">
        <w:trPr>
          <w:tblCellSpacing w:w="15" w:type="dxa"/>
        </w:trPr>
        <w:tc>
          <w:tcPr>
            <w:tcW w:w="0" w:type="auto"/>
            <w:vAlign w:val="center"/>
            <w:hideMark/>
          </w:tcPr>
          <w:p w:rsidR="003349A1" w:rsidRPr="003349A1" w:rsidRDefault="003349A1" w:rsidP="003349A1">
            <w:pPr>
              <w:spacing w:line="360" w:lineRule="auto"/>
              <w:rPr>
                <w:noProof/>
              </w:rPr>
            </w:pPr>
          </w:p>
        </w:tc>
      </w:tr>
      <w:tr w:rsidR="003349A1" w:rsidTr="003349A1">
        <w:trPr>
          <w:tblCellSpacing w:w="15" w:type="dxa"/>
        </w:trPr>
        <w:tc>
          <w:tcPr>
            <w:tcW w:w="0" w:type="auto"/>
            <w:vAlign w:val="center"/>
            <w:hideMark/>
          </w:tcPr>
          <w:p w:rsidR="003349A1" w:rsidRPr="003349A1" w:rsidRDefault="003349A1" w:rsidP="003349A1">
            <w:pPr>
              <w:spacing w:line="360" w:lineRule="auto"/>
              <w:rPr>
                <w:noProof/>
              </w:rPr>
            </w:pPr>
            <w:r w:rsidRPr="003349A1">
              <w:rPr>
                <w:rStyle w:val="Hyperlink"/>
                <w:noProof/>
                <w:color w:val="auto"/>
                <w:u w:val="none"/>
              </w:rPr>
              <w:drawing>
                <wp:inline distT="0" distB="0" distL="0" distR="0" wp14:anchorId="481554B2" wp14:editId="2BD335CF">
                  <wp:extent cx="6645910" cy="2228850"/>
                  <wp:effectExtent l="0" t="0" r="2540" b="0"/>
                  <wp:docPr id="250736968" name="Picture 3" descr="Absences ended during selected period, with RTW compliance breakdown (by Staff Grou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bsences ended during selected period, with RTW compliance breakdown (by Staff Grou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45910" cy="2228850"/>
                          </a:xfrm>
                          <a:prstGeom prst="rect">
                            <a:avLst/>
                          </a:prstGeom>
                          <a:noFill/>
                          <a:ln>
                            <a:noFill/>
                          </a:ln>
                        </pic:spPr>
                      </pic:pic>
                    </a:graphicData>
                  </a:graphic>
                </wp:inline>
              </w:drawing>
            </w:r>
          </w:p>
        </w:tc>
      </w:tr>
      <w:tr w:rsidR="003349A1" w:rsidTr="003349A1">
        <w:trPr>
          <w:tblCellSpacing w:w="15" w:type="dxa"/>
        </w:trPr>
        <w:tc>
          <w:tcPr>
            <w:tcW w:w="0" w:type="auto"/>
            <w:vAlign w:val="center"/>
            <w:hideMark/>
          </w:tcPr>
          <w:p w:rsidR="003349A1" w:rsidRPr="003349A1" w:rsidRDefault="003349A1" w:rsidP="003349A1">
            <w:pPr>
              <w:spacing w:line="360" w:lineRule="auto"/>
              <w:rPr>
                <w:noProof/>
              </w:rPr>
            </w:pPr>
          </w:p>
        </w:tc>
      </w:tr>
      <w:tr w:rsidR="003349A1" w:rsidTr="003349A1">
        <w:trPr>
          <w:tblCellSpacing w:w="15" w:type="dxa"/>
        </w:trPr>
        <w:tc>
          <w:tcPr>
            <w:tcW w:w="0" w:type="auto"/>
            <w:vAlign w:val="center"/>
            <w:hideMark/>
          </w:tcPr>
          <w:p w:rsidR="003349A1" w:rsidRPr="003349A1" w:rsidRDefault="003349A1" w:rsidP="003349A1">
            <w:pPr>
              <w:spacing w:line="360" w:lineRule="auto"/>
              <w:rPr>
                <w:noProof/>
              </w:rPr>
            </w:pPr>
            <w:r w:rsidRPr="003349A1">
              <w:rPr>
                <w:rStyle w:val="Hyperlink"/>
                <w:noProof/>
                <w:color w:val="auto"/>
                <w:u w:val="none"/>
              </w:rPr>
              <w:drawing>
                <wp:inline distT="0" distB="0" distL="0" distR="0" wp14:anchorId="3AF81E39" wp14:editId="3661BB0C">
                  <wp:extent cx="6645910" cy="1667510"/>
                  <wp:effectExtent l="0" t="0" r="2540" b="8890"/>
                  <wp:docPr id="993946312" name="Picture 4" descr="RTW compliance % by selected period">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TW compliance % by selected perio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45910" cy="1667510"/>
                          </a:xfrm>
                          <a:prstGeom prst="rect">
                            <a:avLst/>
                          </a:prstGeom>
                          <a:noFill/>
                          <a:ln>
                            <a:noFill/>
                          </a:ln>
                        </pic:spPr>
                      </pic:pic>
                    </a:graphicData>
                  </a:graphic>
                </wp:inline>
              </w:drawing>
            </w:r>
          </w:p>
        </w:tc>
      </w:tr>
    </w:tbl>
    <w:p w:rsidR="00555B04" w:rsidRPr="00277F94" w:rsidRDefault="00555B04" w:rsidP="003B4FF7">
      <w:pPr>
        <w:spacing w:line="360" w:lineRule="auto"/>
        <w:rPr>
          <w:rFonts w:ascii="Arial" w:hAnsi="Arial" w:cs="Arial"/>
          <w:color w:val="000000" w:themeColor="text1"/>
          <w:sz w:val="10"/>
          <w:szCs w:val="10"/>
        </w:rPr>
      </w:pPr>
    </w:p>
    <w:p w:rsidR="00B9279E" w:rsidRPr="004809E6" w:rsidRDefault="00B9279E" w:rsidP="00DB44CC">
      <w:pPr>
        <w:pStyle w:val="ListParagraph"/>
        <w:numPr>
          <w:ilvl w:val="0"/>
          <w:numId w:val="40"/>
        </w:numPr>
        <w:spacing w:line="360" w:lineRule="auto"/>
        <w:rPr>
          <w:rFonts w:ascii="Arial" w:hAnsi="Arial" w:cs="Arial"/>
          <w:b/>
          <w:bCs/>
          <w:color w:val="000000" w:themeColor="text1"/>
        </w:rPr>
      </w:pPr>
      <w:r w:rsidRPr="004809E6">
        <w:rPr>
          <w:rFonts w:ascii="Arial" w:hAnsi="Arial" w:cs="Arial"/>
          <w:b/>
          <w:bCs/>
          <w:color w:val="000000" w:themeColor="text1"/>
        </w:rPr>
        <w:t>Impact on Variable Pay</w:t>
      </w:r>
    </w:p>
    <w:p w:rsidR="006A3259" w:rsidRPr="004809E6" w:rsidRDefault="006A3259" w:rsidP="006A3259">
      <w:pPr>
        <w:pStyle w:val="ListParagraph"/>
        <w:spacing w:line="360" w:lineRule="auto"/>
        <w:rPr>
          <w:rFonts w:ascii="Arial" w:hAnsi="Arial" w:cs="Arial"/>
          <w:b/>
          <w:bCs/>
          <w:color w:val="000000" w:themeColor="text1"/>
          <w:sz w:val="10"/>
          <w:szCs w:val="10"/>
        </w:rPr>
      </w:pPr>
    </w:p>
    <w:p w:rsidR="003B4FF7" w:rsidRPr="004809E6" w:rsidRDefault="004809E6" w:rsidP="003B4FF7">
      <w:pPr>
        <w:spacing w:line="360" w:lineRule="auto"/>
        <w:rPr>
          <w:rFonts w:ascii="Arial" w:hAnsi="Arial" w:cs="Arial"/>
          <w:color w:val="000000" w:themeColor="text1"/>
        </w:rPr>
      </w:pPr>
      <w:r w:rsidRPr="004809E6">
        <w:rPr>
          <w:rFonts w:ascii="Arial" w:hAnsi="Arial" w:cs="Arial"/>
          <w:color w:val="000000" w:themeColor="text1"/>
        </w:rPr>
        <w:t>Review of variable pay data from Allocate reveals no variable pay has been used over the last 12 months for Specialist Pallative Care.</w:t>
      </w:r>
    </w:p>
    <w:p w:rsidR="007F3B9C" w:rsidRPr="00277F94" w:rsidRDefault="007F3B9C" w:rsidP="00866404">
      <w:pPr>
        <w:spacing w:line="360" w:lineRule="auto"/>
        <w:jc w:val="both"/>
        <w:rPr>
          <w:rFonts w:ascii="Arial" w:hAnsi="Arial" w:cs="Arial"/>
          <w:bCs/>
          <w:sz w:val="10"/>
          <w:szCs w:val="10"/>
        </w:rPr>
      </w:pPr>
    </w:p>
    <w:p w:rsidR="00360DBF" w:rsidRPr="00DB44CC" w:rsidRDefault="00F7109E" w:rsidP="00DB44CC">
      <w:pPr>
        <w:pStyle w:val="ListParagraph"/>
        <w:numPr>
          <w:ilvl w:val="0"/>
          <w:numId w:val="40"/>
        </w:numPr>
        <w:rPr>
          <w:rFonts w:ascii="Arial" w:hAnsi="Arial" w:cs="Arial"/>
          <w:b/>
        </w:rPr>
      </w:pPr>
      <w:r w:rsidRPr="00DB44CC">
        <w:rPr>
          <w:rFonts w:ascii="Arial" w:hAnsi="Arial" w:cs="Arial"/>
          <w:b/>
        </w:rPr>
        <w:t>PCT People Plan</w:t>
      </w:r>
      <w:r w:rsidR="00DA7C1C" w:rsidRPr="00DB44CC">
        <w:rPr>
          <w:rFonts w:ascii="Arial" w:hAnsi="Arial" w:cs="Arial"/>
          <w:b/>
        </w:rPr>
        <w:t xml:space="preserve"> to </w:t>
      </w:r>
      <w:r w:rsidR="00987DE8" w:rsidRPr="00DB44CC">
        <w:rPr>
          <w:rFonts w:ascii="Arial" w:hAnsi="Arial" w:cs="Arial"/>
          <w:b/>
        </w:rPr>
        <w:t>S</w:t>
      </w:r>
      <w:r w:rsidR="00DA7C1C" w:rsidRPr="00DB44CC">
        <w:rPr>
          <w:rFonts w:ascii="Arial" w:hAnsi="Arial" w:cs="Arial"/>
          <w:b/>
        </w:rPr>
        <w:t xml:space="preserve">upport </w:t>
      </w:r>
      <w:r w:rsidR="00987DE8" w:rsidRPr="00DB44CC">
        <w:rPr>
          <w:rFonts w:ascii="Arial" w:hAnsi="Arial" w:cs="Arial"/>
          <w:b/>
        </w:rPr>
        <w:t>A</w:t>
      </w:r>
      <w:r w:rsidR="00DA7C1C" w:rsidRPr="00DB44CC">
        <w:rPr>
          <w:rFonts w:ascii="Arial" w:hAnsi="Arial" w:cs="Arial"/>
          <w:b/>
        </w:rPr>
        <w:t xml:space="preserve">ttendance and </w:t>
      </w:r>
      <w:r w:rsidR="00987DE8" w:rsidRPr="00DB44CC">
        <w:rPr>
          <w:rFonts w:ascii="Arial" w:hAnsi="Arial" w:cs="Arial"/>
          <w:b/>
        </w:rPr>
        <w:t>Employee W</w:t>
      </w:r>
      <w:r w:rsidR="00DA7C1C" w:rsidRPr="00DB44CC">
        <w:rPr>
          <w:rFonts w:ascii="Arial" w:hAnsi="Arial" w:cs="Arial"/>
          <w:b/>
        </w:rPr>
        <w:t>ellbeing</w:t>
      </w:r>
    </w:p>
    <w:p w:rsidR="00143D3E" w:rsidRPr="00143D3E" w:rsidRDefault="00143D3E" w:rsidP="00143D3E">
      <w:pPr>
        <w:rPr>
          <w:rFonts w:ascii="Arial" w:hAnsi="Arial" w:cs="Arial"/>
          <w:b/>
        </w:rPr>
      </w:pPr>
    </w:p>
    <w:p w:rsidR="00143D3E" w:rsidRDefault="00143D3E" w:rsidP="00143D3E">
      <w:pPr>
        <w:spacing w:line="360" w:lineRule="auto"/>
        <w:rPr>
          <w:rFonts w:ascii="Arial" w:hAnsi="Arial" w:cs="Arial"/>
        </w:rPr>
      </w:pPr>
      <w:r w:rsidRPr="00143D3E">
        <w:rPr>
          <w:rFonts w:ascii="Arial" w:hAnsi="Arial" w:cs="Arial"/>
        </w:rPr>
        <w:t xml:space="preserve">The HR Business Partner Team </w:t>
      </w:r>
      <w:r w:rsidR="00412A40">
        <w:rPr>
          <w:rFonts w:ascii="Arial" w:hAnsi="Arial" w:cs="Arial"/>
        </w:rPr>
        <w:t>developed</w:t>
      </w:r>
      <w:r w:rsidR="007064ED">
        <w:rPr>
          <w:rFonts w:ascii="Arial" w:hAnsi="Arial" w:cs="Arial"/>
        </w:rPr>
        <w:t xml:space="preserve"> the PCT People Plan</w:t>
      </w:r>
      <w:r w:rsidR="000A5F55">
        <w:rPr>
          <w:rFonts w:ascii="Arial" w:hAnsi="Arial" w:cs="Arial"/>
        </w:rPr>
        <w:t xml:space="preserve"> </w:t>
      </w:r>
      <w:r w:rsidR="003D1107">
        <w:rPr>
          <w:rFonts w:ascii="Arial" w:hAnsi="Arial" w:cs="Arial"/>
        </w:rPr>
        <w:t>2025/26</w:t>
      </w:r>
      <w:r w:rsidRPr="00143D3E">
        <w:rPr>
          <w:rFonts w:ascii="Arial" w:hAnsi="Arial" w:cs="Arial"/>
        </w:rPr>
        <w:t xml:space="preserve"> </w:t>
      </w:r>
      <w:r w:rsidR="00412A40">
        <w:rPr>
          <w:rFonts w:ascii="Arial" w:hAnsi="Arial" w:cs="Arial"/>
        </w:rPr>
        <w:t xml:space="preserve">to support the </w:t>
      </w:r>
      <w:r w:rsidRPr="00143D3E">
        <w:rPr>
          <w:rFonts w:ascii="Arial" w:hAnsi="Arial" w:cs="Arial"/>
        </w:rPr>
        <w:t>Service Group as a whole</w:t>
      </w:r>
      <w:r w:rsidR="00412A40">
        <w:rPr>
          <w:rFonts w:ascii="Arial" w:hAnsi="Arial" w:cs="Arial"/>
        </w:rPr>
        <w:t>, to maximise attendance at attendance at work and improve staff and patient experience</w:t>
      </w:r>
      <w:r w:rsidRPr="00143D3E">
        <w:rPr>
          <w:rFonts w:ascii="Arial" w:hAnsi="Arial" w:cs="Arial"/>
        </w:rPr>
        <w:t xml:space="preserve">. </w:t>
      </w:r>
      <w:r w:rsidR="00E836C6">
        <w:rPr>
          <w:rFonts w:ascii="Arial" w:hAnsi="Arial" w:cs="Arial"/>
        </w:rPr>
        <w:t xml:space="preserve">The </w:t>
      </w:r>
      <w:r w:rsidR="007064ED">
        <w:rPr>
          <w:rFonts w:ascii="Arial" w:hAnsi="Arial" w:cs="Arial"/>
        </w:rPr>
        <w:t>embedded attachment below</w:t>
      </w:r>
      <w:r w:rsidR="00E836C6">
        <w:rPr>
          <w:rFonts w:ascii="Arial" w:hAnsi="Arial" w:cs="Arial"/>
        </w:rPr>
        <w:t xml:space="preserve"> summaries the previous and ongoing/ planned interventions to support attendance and employee wellbeing</w:t>
      </w:r>
      <w:r w:rsidR="002764A4">
        <w:rPr>
          <w:rFonts w:ascii="Arial" w:hAnsi="Arial" w:cs="Arial"/>
        </w:rPr>
        <w:t xml:space="preserve"> by the HRBP team.</w:t>
      </w:r>
    </w:p>
    <w:p w:rsidR="00312A91" w:rsidRPr="00491B89" w:rsidRDefault="00312A91" w:rsidP="00312A91">
      <w:pPr>
        <w:spacing w:line="360" w:lineRule="auto"/>
        <w:rPr>
          <w:rFonts w:ascii="Arial" w:hAnsi="Arial" w:cs="Arial"/>
        </w:rPr>
      </w:pPr>
      <w:r w:rsidRPr="00491B89">
        <w:rPr>
          <w:rFonts w:ascii="Arial" w:hAnsi="Arial" w:cs="Arial"/>
        </w:rPr>
        <w:t>Service areas are also encouraged to ensure staff are aware of internal and external wellbeing services, resources and support.</w:t>
      </w:r>
    </w:p>
    <w:p w:rsidR="00770EEB" w:rsidRDefault="007064ED" w:rsidP="00143D3E">
      <w:pPr>
        <w:spacing w:line="360" w:lineRule="auto"/>
        <w:rPr>
          <w:rFonts w:ascii="Arial" w:hAnsi="Arial" w:cs="Arial"/>
        </w:rPr>
      </w:pPr>
      <w:r>
        <w:rPr>
          <w:rFonts w:ascii="Arial" w:hAnsi="Arial" w:cs="Arial"/>
        </w:rPr>
        <w:object w:dxaOrig="1508" w:dyaOrig="984" w14:anchorId="6EA99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75pt" o:ole="">
            <v:imagedata r:id="rId17" o:title=""/>
          </v:shape>
          <o:OLEObject Type="Embed" ProgID="Excel.Sheet.12" ShapeID="_x0000_i1025" DrawAspect="Icon" ObjectID="_1832839523" r:id="rId18"/>
        </w:object>
      </w:r>
      <w:r w:rsidR="00312A91">
        <w:rPr>
          <w:rFonts w:ascii="Arial" w:hAnsi="Arial" w:cs="Arial"/>
        </w:rPr>
        <w:object w:dxaOrig="1543" w:dyaOrig="995" w14:anchorId="31FB275B">
          <v:shape id="_x0000_i1026" type="#_x0000_t75" style="width:77.25pt;height:51.75pt" o:ole="">
            <v:imagedata r:id="rId19" o:title=""/>
          </v:shape>
          <o:OLEObject Type="Embed" ProgID="AcroExch.Document.DC" ShapeID="_x0000_i1026" DrawAspect="Icon" ObjectID="_1832839524" r:id="rId20"/>
        </w:object>
      </w:r>
      <w:r w:rsidR="00312A91">
        <w:rPr>
          <w:rFonts w:ascii="Arial" w:hAnsi="Arial" w:cs="Arial"/>
        </w:rPr>
        <w:object w:dxaOrig="1543" w:dyaOrig="995" w14:anchorId="30518C77">
          <v:shape id="_x0000_i1027" type="#_x0000_t75" style="width:77.25pt;height:51.75pt" o:ole="">
            <v:imagedata r:id="rId21" o:title=""/>
          </v:shape>
          <o:OLEObject Type="Embed" ProgID="AcroExch.Document.DC" ShapeID="_x0000_i1027" DrawAspect="Icon" ObjectID="_1832839525" r:id="rId22"/>
        </w:object>
      </w:r>
    </w:p>
    <w:p w:rsidR="007F3B9C" w:rsidRDefault="007F3B9C" w:rsidP="00143D3E">
      <w:pPr>
        <w:spacing w:line="360" w:lineRule="auto"/>
        <w:rPr>
          <w:rFonts w:ascii="Arial" w:hAnsi="Arial" w:cs="Arial"/>
        </w:rPr>
      </w:pPr>
    </w:p>
    <w:p w:rsidR="00F7109E" w:rsidRPr="00DB44CC" w:rsidRDefault="00F7109E" w:rsidP="00DB44CC">
      <w:pPr>
        <w:pStyle w:val="ListParagraph"/>
        <w:numPr>
          <w:ilvl w:val="0"/>
          <w:numId w:val="40"/>
        </w:numPr>
        <w:spacing w:line="360" w:lineRule="auto"/>
        <w:rPr>
          <w:rFonts w:ascii="Arial" w:hAnsi="Arial" w:cs="Arial"/>
          <w:b/>
          <w:bCs/>
        </w:rPr>
      </w:pPr>
      <w:r w:rsidRPr="00DB44CC">
        <w:rPr>
          <w:rFonts w:ascii="Arial" w:hAnsi="Arial" w:cs="Arial"/>
          <w:b/>
          <w:bCs/>
        </w:rPr>
        <w:t>Conclusion</w:t>
      </w:r>
    </w:p>
    <w:p w:rsidR="007F3B9C" w:rsidRPr="007F3B9C" w:rsidRDefault="007F3B9C" w:rsidP="007F3B9C">
      <w:pPr>
        <w:pStyle w:val="NormalWeb"/>
        <w:spacing w:line="360" w:lineRule="auto"/>
        <w:rPr>
          <w:rFonts w:ascii="Arial" w:hAnsi="Arial" w:cs="Arial"/>
          <w:sz w:val="22"/>
          <w:szCs w:val="22"/>
        </w:rPr>
      </w:pPr>
      <w:r w:rsidRPr="007F3B9C">
        <w:rPr>
          <w:rFonts w:ascii="Arial" w:hAnsi="Arial" w:cs="Arial"/>
          <w:sz w:val="22"/>
          <w:szCs w:val="22"/>
        </w:rPr>
        <w:t>Sickness absence within Specialist Palliative Care has shown sustained pressure, driven primarily by mental</w:t>
      </w:r>
      <w:r w:rsidRPr="007F3B9C">
        <w:rPr>
          <w:rFonts w:ascii="Arial" w:hAnsi="Arial" w:cs="Arial"/>
          <w:sz w:val="22"/>
          <w:szCs w:val="22"/>
        </w:rPr>
        <w:noBreakHyphen/>
        <w:t>health</w:t>
      </w:r>
      <w:r>
        <w:rPr>
          <w:rFonts w:ascii="Arial" w:hAnsi="Arial" w:cs="Arial"/>
          <w:sz w:val="22"/>
          <w:szCs w:val="22"/>
        </w:rPr>
        <w:t xml:space="preserve"> </w:t>
      </w:r>
      <w:r w:rsidRPr="007F3B9C">
        <w:rPr>
          <w:rFonts w:ascii="Arial" w:hAnsi="Arial" w:cs="Arial"/>
          <w:sz w:val="22"/>
          <w:szCs w:val="22"/>
        </w:rPr>
        <w:t xml:space="preserve">related conditions and seasonal respiratory illness. While 2025 brought greater stability following the exceptional peaks of 2024, the spike in December 2025 illustrates that attendance remains a significant operational risk. </w:t>
      </w:r>
    </w:p>
    <w:p w:rsidR="007F3B9C" w:rsidRPr="007F3B9C" w:rsidRDefault="007F3B9C" w:rsidP="007F3B9C">
      <w:pPr>
        <w:pStyle w:val="NormalWeb"/>
        <w:spacing w:line="360" w:lineRule="auto"/>
        <w:rPr>
          <w:rFonts w:ascii="Arial" w:hAnsi="Arial" w:cs="Arial"/>
          <w:sz w:val="22"/>
          <w:szCs w:val="22"/>
        </w:rPr>
      </w:pPr>
      <w:r w:rsidRPr="007F3B9C">
        <w:rPr>
          <w:rFonts w:ascii="Arial" w:hAnsi="Arial" w:cs="Arial"/>
          <w:sz w:val="22"/>
          <w:szCs w:val="22"/>
        </w:rPr>
        <w:t>Despite these challenges, the service has maintained zero use of variable pay and has seen improvements in short</w:t>
      </w:r>
      <w:r w:rsidRPr="007F3B9C">
        <w:rPr>
          <w:rFonts w:ascii="Arial" w:hAnsi="Arial" w:cs="Arial"/>
          <w:sz w:val="22"/>
          <w:szCs w:val="22"/>
        </w:rPr>
        <w:noBreakHyphen/>
        <w:t>term absence patterns, providing a solid basis for further progress. Focused local action</w:t>
      </w:r>
      <w:r>
        <w:rPr>
          <w:rFonts w:ascii="Arial" w:hAnsi="Arial" w:cs="Arial"/>
          <w:sz w:val="22"/>
          <w:szCs w:val="22"/>
        </w:rPr>
        <w:t xml:space="preserve"> </w:t>
      </w:r>
      <w:r w:rsidRPr="007F3B9C">
        <w:rPr>
          <w:rFonts w:ascii="Arial" w:hAnsi="Arial" w:cs="Arial"/>
          <w:sz w:val="22"/>
          <w:szCs w:val="22"/>
        </w:rPr>
        <w:t xml:space="preserve">and continued wellbeing support will be essential in enabling the service to meet </w:t>
      </w:r>
      <w:r w:rsidR="000E0AEF">
        <w:rPr>
          <w:rFonts w:ascii="Arial" w:hAnsi="Arial" w:cs="Arial"/>
          <w:sz w:val="22"/>
          <w:szCs w:val="22"/>
        </w:rPr>
        <w:t xml:space="preserve">Welsh Government’s </w:t>
      </w:r>
      <w:r w:rsidRPr="007F3B9C">
        <w:rPr>
          <w:rFonts w:ascii="Arial" w:hAnsi="Arial" w:cs="Arial"/>
          <w:sz w:val="22"/>
          <w:szCs w:val="22"/>
        </w:rPr>
        <w:t>sickness target of 5.08%.</w:t>
      </w:r>
    </w:p>
    <w:p w:rsidR="00F7109E" w:rsidRDefault="00F7109E" w:rsidP="00143D3E">
      <w:pPr>
        <w:spacing w:line="360" w:lineRule="auto"/>
        <w:rPr>
          <w:rFonts w:ascii="Arial" w:hAnsi="Arial" w:cs="Arial"/>
        </w:rPr>
      </w:pPr>
    </w:p>
    <w:p w:rsidR="00A21299" w:rsidRPr="007F3B9C" w:rsidRDefault="00DB44CC" w:rsidP="007F3B9C">
      <w:pPr>
        <w:spacing w:line="360" w:lineRule="auto"/>
        <w:rPr>
          <w:rFonts w:ascii="Arial" w:hAnsi="Arial" w:cs="Arial"/>
          <w:b/>
        </w:rPr>
      </w:pPr>
      <w:r>
        <w:rPr>
          <w:rFonts w:ascii="Arial" w:hAnsi="Arial" w:cs="Arial"/>
          <w:b/>
        </w:rPr>
        <w:t>9</w:t>
      </w:r>
      <w:r>
        <w:rPr>
          <w:rFonts w:ascii="Arial" w:hAnsi="Arial" w:cs="Arial"/>
          <w:b/>
        </w:rPr>
        <w:tab/>
      </w:r>
      <w:r w:rsidR="007064ED" w:rsidRPr="00945DB3">
        <w:rPr>
          <w:rFonts w:ascii="Arial" w:hAnsi="Arial" w:cs="Arial"/>
          <w:b/>
        </w:rPr>
        <w:t>Recommendations</w:t>
      </w:r>
    </w:p>
    <w:p w:rsidR="002025F1" w:rsidRDefault="007064ED" w:rsidP="005C0BDA">
      <w:pPr>
        <w:pStyle w:val="ListParagraph"/>
        <w:numPr>
          <w:ilvl w:val="0"/>
          <w:numId w:val="4"/>
        </w:numPr>
        <w:spacing w:line="360" w:lineRule="auto"/>
        <w:rPr>
          <w:rFonts w:ascii="Arial" w:hAnsi="Arial" w:cs="Arial"/>
          <w:bCs/>
        </w:rPr>
      </w:pPr>
      <w:r w:rsidRPr="00A21299">
        <w:rPr>
          <w:rFonts w:ascii="Arial" w:hAnsi="Arial" w:cs="Arial"/>
          <w:bCs/>
        </w:rPr>
        <w:t xml:space="preserve">A local level focused approach and </w:t>
      </w:r>
      <w:r w:rsidR="00770EEB">
        <w:rPr>
          <w:rFonts w:ascii="Arial" w:hAnsi="Arial" w:cs="Arial"/>
          <w:bCs/>
        </w:rPr>
        <w:t xml:space="preserve">development of an </w:t>
      </w:r>
      <w:r w:rsidRPr="00A21299">
        <w:rPr>
          <w:rFonts w:ascii="Arial" w:hAnsi="Arial" w:cs="Arial"/>
          <w:bCs/>
        </w:rPr>
        <w:t>action plan to</w:t>
      </w:r>
      <w:r w:rsidR="002025F1">
        <w:rPr>
          <w:rFonts w:ascii="Arial" w:hAnsi="Arial" w:cs="Arial"/>
          <w:bCs/>
        </w:rPr>
        <w:t>:</w:t>
      </w:r>
      <w:r w:rsidRPr="00A21299">
        <w:rPr>
          <w:rFonts w:ascii="Arial" w:hAnsi="Arial" w:cs="Arial"/>
          <w:bCs/>
        </w:rPr>
        <w:t xml:space="preserve"> </w:t>
      </w:r>
    </w:p>
    <w:p w:rsidR="002025F1" w:rsidRDefault="002025F1" w:rsidP="005C0BDA">
      <w:pPr>
        <w:pStyle w:val="ListParagraph"/>
        <w:numPr>
          <w:ilvl w:val="1"/>
          <w:numId w:val="4"/>
        </w:numPr>
        <w:spacing w:line="360" w:lineRule="auto"/>
        <w:rPr>
          <w:rFonts w:ascii="Arial" w:hAnsi="Arial" w:cs="Arial"/>
          <w:bCs/>
        </w:rPr>
      </w:pPr>
      <w:r>
        <w:rPr>
          <w:rFonts w:ascii="Arial" w:hAnsi="Arial" w:cs="Arial"/>
          <w:bCs/>
        </w:rPr>
        <w:t>A</w:t>
      </w:r>
      <w:r w:rsidR="007064ED" w:rsidRPr="00A21299">
        <w:rPr>
          <w:rFonts w:ascii="Arial" w:hAnsi="Arial" w:cs="Arial"/>
          <w:bCs/>
        </w:rPr>
        <w:t xml:space="preserve">ddress the </w:t>
      </w:r>
      <w:r>
        <w:rPr>
          <w:rFonts w:ascii="Arial" w:hAnsi="Arial" w:cs="Arial"/>
          <w:bCs/>
        </w:rPr>
        <w:t xml:space="preserve">themes arising </w:t>
      </w:r>
      <w:r w:rsidR="007064ED" w:rsidRPr="00A21299">
        <w:rPr>
          <w:rFonts w:ascii="Arial" w:hAnsi="Arial" w:cs="Arial"/>
          <w:bCs/>
        </w:rPr>
        <w:t xml:space="preserve">for absence as listed within this </w:t>
      </w:r>
      <w:r w:rsidRPr="00A21299">
        <w:rPr>
          <w:rFonts w:ascii="Arial" w:hAnsi="Arial" w:cs="Arial"/>
          <w:bCs/>
        </w:rPr>
        <w:t>report</w:t>
      </w:r>
      <w:r>
        <w:rPr>
          <w:rFonts w:ascii="Arial" w:hAnsi="Arial" w:cs="Arial"/>
          <w:bCs/>
        </w:rPr>
        <w:t>.</w:t>
      </w:r>
    </w:p>
    <w:p w:rsidR="002025F1" w:rsidRDefault="0092330B" w:rsidP="005C0BDA">
      <w:pPr>
        <w:pStyle w:val="ListParagraph"/>
        <w:numPr>
          <w:ilvl w:val="1"/>
          <w:numId w:val="4"/>
        </w:numPr>
        <w:spacing w:line="360" w:lineRule="auto"/>
        <w:rPr>
          <w:rFonts w:ascii="Arial" w:hAnsi="Arial" w:cs="Arial"/>
          <w:bCs/>
        </w:rPr>
      </w:pPr>
      <w:r>
        <w:rPr>
          <w:rFonts w:ascii="Arial" w:hAnsi="Arial" w:cs="Arial"/>
          <w:bCs/>
        </w:rPr>
        <w:t xml:space="preserve">Reach </w:t>
      </w:r>
      <w:r w:rsidR="000E0AEF">
        <w:rPr>
          <w:rFonts w:ascii="Arial" w:hAnsi="Arial" w:cs="Arial"/>
          <w:bCs/>
        </w:rPr>
        <w:t xml:space="preserve">and sustain </w:t>
      </w:r>
      <w:r>
        <w:rPr>
          <w:rFonts w:ascii="Arial" w:hAnsi="Arial" w:cs="Arial"/>
          <w:bCs/>
          <w:color w:val="000000" w:themeColor="text1"/>
        </w:rPr>
        <w:t>the</w:t>
      </w:r>
      <w:r w:rsidRPr="009522C8">
        <w:rPr>
          <w:rFonts w:ascii="Arial" w:hAnsi="Arial" w:cs="Arial"/>
          <w:bCs/>
          <w:color w:val="000000" w:themeColor="text1"/>
        </w:rPr>
        <w:t xml:space="preserve"> </w:t>
      </w:r>
      <w:r w:rsidR="000933D6">
        <w:rPr>
          <w:rFonts w:ascii="Arial" w:hAnsi="Arial" w:cs="Arial"/>
          <w:bCs/>
          <w:color w:val="000000" w:themeColor="text1"/>
        </w:rPr>
        <w:t xml:space="preserve">sickness </w:t>
      </w:r>
      <w:r w:rsidRPr="009522C8">
        <w:rPr>
          <w:rFonts w:ascii="Arial" w:hAnsi="Arial" w:cs="Arial"/>
          <w:bCs/>
          <w:color w:val="000000" w:themeColor="text1"/>
        </w:rPr>
        <w:t xml:space="preserve">target of </w:t>
      </w:r>
      <w:r w:rsidR="00770EEB">
        <w:rPr>
          <w:rFonts w:ascii="Arial" w:hAnsi="Arial" w:cs="Arial"/>
          <w:bCs/>
          <w:color w:val="000000" w:themeColor="text1"/>
        </w:rPr>
        <w:t>5.08</w:t>
      </w:r>
      <w:r w:rsidRPr="009522C8">
        <w:rPr>
          <w:rFonts w:ascii="Arial" w:hAnsi="Arial" w:cs="Arial"/>
          <w:bCs/>
          <w:color w:val="000000" w:themeColor="text1"/>
        </w:rPr>
        <w:t>%.</w:t>
      </w:r>
    </w:p>
    <w:p w:rsidR="002025F1" w:rsidRPr="00A21299" w:rsidRDefault="002025F1" w:rsidP="002025F1">
      <w:pPr>
        <w:pStyle w:val="ListParagraph"/>
        <w:spacing w:line="360" w:lineRule="auto"/>
        <w:ind w:left="780"/>
        <w:rPr>
          <w:rFonts w:ascii="Arial" w:hAnsi="Arial" w:cs="Arial"/>
          <w:bCs/>
        </w:rPr>
      </w:pPr>
    </w:p>
    <w:p w:rsidR="00A21299" w:rsidRDefault="002025F1" w:rsidP="005C0BDA">
      <w:pPr>
        <w:pStyle w:val="ListParagraph"/>
        <w:numPr>
          <w:ilvl w:val="0"/>
          <w:numId w:val="4"/>
        </w:numPr>
        <w:spacing w:line="360" w:lineRule="auto"/>
        <w:rPr>
          <w:rFonts w:ascii="Arial" w:hAnsi="Arial" w:cs="Arial"/>
          <w:bCs/>
        </w:rPr>
      </w:pPr>
      <w:r>
        <w:rPr>
          <w:rFonts w:ascii="Arial" w:hAnsi="Arial" w:cs="Arial"/>
          <w:bCs/>
        </w:rPr>
        <w:t>Continuation of the scrutiny of</w:t>
      </w:r>
      <w:r w:rsidR="00A21299" w:rsidRPr="00A21299">
        <w:rPr>
          <w:rFonts w:ascii="Arial" w:hAnsi="Arial" w:cs="Arial"/>
          <w:bCs/>
        </w:rPr>
        <w:t xml:space="preserve"> variable pay against sickness</w:t>
      </w:r>
      <w:r>
        <w:rPr>
          <w:rFonts w:ascii="Arial" w:hAnsi="Arial" w:cs="Arial"/>
          <w:bCs/>
        </w:rPr>
        <w:t xml:space="preserve"> drivers</w:t>
      </w:r>
      <w:r w:rsidR="00A21299" w:rsidRPr="00A21299">
        <w:rPr>
          <w:rFonts w:ascii="Arial" w:hAnsi="Arial" w:cs="Arial"/>
          <w:bCs/>
        </w:rPr>
        <w:t xml:space="preserve">, </w:t>
      </w:r>
      <w:r w:rsidR="003D1107">
        <w:rPr>
          <w:rFonts w:ascii="Arial" w:hAnsi="Arial" w:cs="Arial"/>
          <w:bCs/>
        </w:rPr>
        <w:t>in line with Health Board objectives.</w:t>
      </w:r>
    </w:p>
    <w:p w:rsidR="002025F1" w:rsidRPr="00A21299" w:rsidRDefault="002025F1" w:rsidP="002025F1">
      <w:pPr>
        <w:pStyle w:val="ListParagraph"/>
        <w:spacing w:line="360" w:lineRule="auto"/>
        <w:ind w:left="360"/>
        <w:rPr>
          <w:rFonts w:ascii="Arial" w:hAnsi="Arial" w:cs="Arial"/>
          <w:bCs/>
        </w:rPr>
      </w:pPr>
    </w:p>
    <w:p w:rsidR="00A21299" w:rsidRPr="00770EEB" w:rsidRDefault="00A21299" w:rsidP="00770EEB">
      <w:pPr>
        <w:rPr>
          <w:b/>
          <w:sz w:val="24"/>
          <w:szCs w:val="24"/>
        </w:rPr>
      </w:pPr>
    </w:p>
    <w:sectPr w:rsidR="00A21299" w:rsidRPr="00770EEB" w:rsidSect="00491B89">
      <w:footerReference w:type="default" r:id="rId2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40FDA" w:rsidRDefault="00E40FDA" w:rsidP="002C4235">
      <w:pPr>
        <w:spacing w:after="0" w:line="240" w:lineRule="auto"/>
      </w:pPr>
      <w:r>
        <w:separator/>
      </w:r>
    </w:p>
  </w:endnote>
  <w:endnote w:type="continuationSeparator" w:id="0">
    <w:p w:rsidR="00E40FDA" w:rsidRDefault="00E40FDA" w:rsidP="002C4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200457"/>
      <w:docPartObj>
        <w:docPartGallery w:val="Page Numbers (Bottom of Page)"/>
        <w:docPartUnique/>
      </w:docPartObj>
    </w:sdtPr>
    <w:sdtEndPr>
      <w:rPr>
        <w:noProof/>
      </w:rPr>
    </w:sdtEndPr>
    <w:sdtContent>
      <w:p w:rsidR="001E5B90" w:rsidRDefault="001E5B90">
        <w:pPr>
          <w:pStyle w:val="Footer"/>
          <w:jc w:val="right"/>
        </w:pPr>
        <w:r>
          <w:fldChar w:fldCharType="begin"/>
        </w:r>
        <w:r>
          <w:instrText xml:space="preserve"> PAGE   \* MERGEFORMAT </w:instrText>
        </w:r>
        <w:r>
          <w:fldChar w:fldCharType="separate"/>
        </w:r>
        <w:r w:rsidR="006B19BE">
          <w:rPr>
            <w:noProof/>
          </w:rPr>
          <w:t>1</w:t>
        </w:r>
        <w:r>
          <w:rPr>
            <w:noProof/>
          </w:rPr>
          <w:fldChar w:fldCharType="end"/>
        </w:r>
      </w:p>
    </w:sdtContent>
  </w:sdt>
  <w:p w:rsidR="001E5B90" w:rsidRDefault="001E5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40FDA" w:rsidRDefault="00E40FDA" w:rsidP="002C4235">
      <w:pPr>
        <w:spacing w:after="0" w:line="240" w:lineRule="auto"/>
      </w:pPr>
      <w:r>
        <w:separator/>
      </w:r>
    </w:p>
  </w:footnote>
  <w:footnote w:type="continuationSeparator" w:id="0">
    <w:p w:rsidR="00E40FDA" w:rsidRDefault="00E40FDA" w:rsidP="002C42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32860"/>
    <w:multiLevelType w:val="multilevel"/>
    <w:tmpl w:val="4C76B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30C3D"/>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A1BBA"/>
    <w:multiLevelType w:val="multilevel"/>
    <w:tmpl w:val="AD529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41F0B"/>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393C0F"/>
    <w:multiLevelType w:val="hybridMultilevel"/>
    <w:tmpl w:val="9DC88622"/>
    <w:lvl w:ilvl="0" w:tplc="5194F528">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F1A1594"/>
    <w:multiLevelType w:val="multilevel"/>
    <w:tmpl w:val="129420B8"/>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143B4403"/>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5018AA"/>
    <w:multiLevelType w:val="multilevel"/>
    <w:tmpl w:val="7D1C14FA"/>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CA4FE1"/>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7E54AD"/>
    <w:multiLevelType w:val="multilevel"/>
    <w:tmpl w:val="8A52E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0F2586"/>
    <w:multiLevelType w:val="multilevel"/>
    <w:tmpl w:val="64348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0D4C7E"/>
    <w:multiLevelType w:val="hybridMultilevel"/>
    <w:tmpl w:val="9A5C4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3D4303"/>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CE6B6E"/>
    <w:multiLevelType w:val="multilevel"/>
    <w:tmpl w:val="75C80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34205A"/>
    <w:multiLevelType w:val="hybridMultilevel"/>
    <w:tmpl w:val="CF765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EE2818"/>
    <w:multiLevelType w:val="hybridMultilevel"/>
    <w:tmpl w:val="2DD6B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06796A"/>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6F19FA"/>
    <w:multiLevelType w:val="multilevel"/>
    <w:tmpl w:val="8AB83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9F50B5"/>
    <w:multiLevelType w:val="multilevel"/>
    <w:tmpl w:val="F3D48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1B293B"/>
    <w:multiLevelType w:val="hybridMultilevel"/>
    <w:tmpl w:val="74D80122"/>
    <w:lvl w:ilvl="0" w:tplc="887CA7E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B06268"/>
    <w:multiLevelType w:val="multilevel"/>
    <w:tmpl w:val="00CCD5AC"/>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3E127130"/>
    <w:multiLevelType w:val="hybridMultilevel"/>
    <w:tmpl w:val="3F1A1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882C35"/>
    <w:multiLevelType w:val="hybridMultilevel"/>
    <w:tmpl w:val="3DB23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485D79"/>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A1614E"/>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FA198F"/>
    <w:multiLevelType w:val="multilevel"/>
    <w:tmpl w:val="5C8A9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3324C7"/>
    <w:multiLevelType w:val="multilevel"/>
    <w:tmpl w:val="499E8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C50F34"/>
    <w:multiLevelType w:val="multilevel"/>
    <w:tmpl w:val="FF4CB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FA0701"/>
    <w:multiLevelType w:val="multilevel"/>
    <w:tmpl w:val="BC185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1461E9"/>
    <w:multiLevelType w:val="multilevel"/>
    <w:tmpl w:val="08E0C66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6FB202A"/>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7D54839"/>
    <w:multiLevelType w:val="multilevel"/>
    <w:tmpl w:val="5CA8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C859F8"/>
    <w:multiLevelType w:val="multilevel"/>
    <w:tmpl w:val="83A84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64C3427"/>
    <w:multiLevelType w:val="hybridMultilevel"/>
    <w:tmpl w:val="CC8A61BE"/>
    <w:lvl w:ilvl="0" w:tplc="21424008">
      <w:start w:val="6"/>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5B3BC1"/>
    <w:multiLevelType w:val="multilevel"/>
    <w:tmpl w:val="4B881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CC5EDD"/>
    <w:multiLevelType w:val="multilevel"/>
    <w:tmpl w:val="00A6397A"/>
    <w:lvl w:ilvl="0">
      <w:start w:val="1"/>
      <w:numFmt w:val="decimal"/>
      <w:lvlText w:val="%1."/>
      <w:lvlJc w:val="left"/>
      <w:pPr>
        <w:ind w:left="360" w:hanging="360"/>
      </w:pPr>
      <w:rPr>
        <w:rFonts w:ascii="Arial" w:hAnsi="Arial" w:cs="Arial" w:hint="default"/>
        <w:b w:val="0"/>
        <w:bCs/>
        <w:sz w:val="22"/>
        <w:szCs w:val="22"/>
      </w:rPr>
    </w:lvl>
    <w:lvl w:ilvl="1">
      <w:start w:val="1"/>
      <w:numFmt w:val="bullet"/>
      <w:lvlText w:val=""/>
      <w:lvlJc w:val="left"/>
      <w:pPr>
        <w:ind w:left="420" w:hanging="360"/>
      </w:pPr>
      <w:rPr>
        <w:rFonts w:ascii="Symbol" w:hAnsi="Symbol"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36" w15:restartNumberingAfterBreak="0">
    <w:nsid w:val="729E7569"/>
    <w:multiLevelType w:val="multilevel"/>
    <w:tmpl w:val="3820A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B908CE"/>
    <w:multiLevelType w:val="multilevel"/>
    <w:tmpl w:val="E410C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B0F523C"/>
    <w:multiLevelType w:val="multilevel"/>
    <w:tmpl w:val="FA948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D90521C"/>
    <w:multiLevelType w:val="multilevel"/>
    <w:tmpl w:val="A12A4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51108163">
    <w:abstractNumId w:val="15"/>
  </w:num>
  <w:num w:numId="2" w16cid:durableId="319578644">
    <w:abstractNumId w:val="20"/>
  </w:num>
  <w:num w:numId="3" w16cid:durableId="1321351396">
    <w:abstractNumId w:val="5"/>
  </w:num>
  <w:num w:numId="4" w16cid:durableId="1278561230">
    <w:abstractNumId w:val="35"/>
  </w:num>
  <w:num w:numId="5" w16cid:durableId="1026518158">
    <w:abstractNumId w:val="19"/>
  </w:num>
  <w:num w:numId="6" w16cid:durableId="1747262049">
    <w:abstractNumId w:val="4"/>
  </w:num>
  <w:num w:numId="7" w16cid:durableId="92164419">
    <w:abstractNumId w:val="21"/>
  </w:num>
  <w:num w:numId="8" w16cid:durableId="1019744274">
    <w:abstractNumId w:val="11"/>
  </w:num>
  <w:num w:numId="9" w16cid:durableId="24409804">
    <w:abstractNumId w:val="14"/>
  </w:num>
  <w:num w:numId="10" w16cid:durableId="1410692861">
    <w:abstractNumId w:val="3"/>
  </w:num>
  <w:num w:numId="11" w16cid:durableId="1630624113">
    <w:abstractNumId w:val="0"/>
  </w:num>
  <w:num w:numId="12" w16cid:durableId="265772812">
    <w:abstractNumId w:val="9"/>
  </w:num>
  <w:num w:numId="13" w16cid:durableId="2121484366">
    <w:abstractNumId w:val="10"/>
  </w:num>
  <w:num w:numId="14" w16cid:durableId="520242997">
    <w:abstractNumId w:val="2"/>
  </w:num>
  <w:num w:numId="15" w16cid:durableId="1511875926">
    <w:abstractNumId w:val="34"/>
  </w:num>
  <w:num w:numId="16" w16cid:durableId="395590876">
    <w:abstractNumId w:val="26"/>
  </w:num>
  <w:num w:numId="17" w16cid:durableId="1405880157">
    <w:abstractNumId w:val="39"/>
  </w:num>
  <w:num w:numId="18" w16cid:durableId="636571958">
    <w:abstractNumId w:val="17"/>
  </w:num>
  <w:num w:numId="19" w16cid:durableId="1512404123">
    <w:abstractNumId w:val="32"/>
  </w:num>
  <w:num w:numId="20" w16cid:durableId="359357862">
    <w:abstractNumId w:val="13"/>
  </w:num>
  <w:num w:numId="21" w16cid:durableId="1009305">
    <w:abstractNumId w:val="38"/>
  </w:num>
  <w:num w:numId="22" w16cid:durableId="1124494622">
    <w:abstractNumId w:val="25"/>
  </w:num>
  <w:num w:numId="23" w16cid:durableId="818494994">
    <w:abstractNumId w:val="37"/>
  </w:num>
  <w:num w:numId="24" w16cid:durableId="302388281">
    <w:abstractNumId w:val="36"/>
  </w:num>
  <w:num w:numId="25" w16cid:durableId="4946278">
    <w:abstractNumId w:val="28"/>
  </w:num>
  <w:num w:numId="26" w16cid:durableId="892470200">
    <w:abstractNumId w:val="23"/>
  </w:num>
  <w:num w:numId="27" w16cid:durableId="878787391">
    <w:abstractNumId w:val="12"/>
  </w:num>
  <w:num w:numId="28" w16cid:durableId="901525265">
    <w:abstractNumId w:val="24"/>
  </w:num>
  <w:num w:numId="29" w16cid:durableId="1250119977">
    <w:abstractNumId w:val="29"/>
  </w:num>
  <w:num w:numId="30" w16cid:durableId="892693174">
    <w:abstractNumId w:val="1"/>
  </w:num>
  <w:num w:numId="31" w16cid:durableId="598222714">
    <w:abstractNumId w:val="16"/>
  </w:num>
  <w:num w:numId="32" w16cid:durableId="174929353">
    <w:abstractNumId w:val="7"/>
  </w:num>
  <w:num w:numId="33" w16cid:durableId="1082488533">
    <w:abstractNumId w:val="6"/>
  </w:num>
  <w:num w:numId="34" w16cid:durableId="534925569">
    <w:abstractNumId w:val="31"/>
  </w:num>
  <w:num w:numId="35" w16cid:durableId="1069692598">
    <w:abstractNumId w:val="8"/>
  </w:num>
  <w:num w:numId="36" w16cid:durableId="273561288">
    <w:abstractNumId w:val="30"/>
  </w:num>
  <w:num w:numId="37" w16cid:durableId="905914468">
    <w:abstractNumId w:val="22"/>
  </w:num>
  <w:num w:numId="38" w16cid:durableId="581572346">
    <w:abstractNumId w:val="27"/>
  </w:num>
  <w:num w:numId="39" w16cid:durableId="252863379">
    <w:abstractNumId w:val="18"/>
  </w:num>
  <w:num w:numId="40" w16cid:durableId="1638099361">
    <w:abstractNumId w:val="3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3A6"/>
    <w:rsid w:val="00005D6D"/>
    <w:rsid w:val="00006BA0"/>
    <w:rsid w:val="000174C3"/>
    <w:rsid w:val="0001775E"/>
    <w:rsid w:val="00017E41"/>
    <w:rsid w:val="000400E0"/>
    <w:rsid w:val="00046D09"/>
    <w:rsid w:val="00055108"/>
    <w:rsid w:val="0007705B"/>
    <w:rsid w:val="000933D6"/>
    <w:rsid w:val="000A5F55"/>
    <w:rsid w:val="000B3304"/>
    <w:rsid w:val="000C2189"/>
    <w:rsid w:val="000C22EE"/>
    <w:rsid w:val="000C452B"/>
    <w:rsid w:val="000D07E1"/>
    <w:rsid w:val="000D7C6E"/>
    <w:rsid w:val="000E0AEF"/>
    <w:rsid w:val="000E2C93"/>
    <w:rsid w:val="001047F5"/>
    <w:rsid w:val="001263F7"/>
    <w:rsid w:val="00132FAB"/>
    <w:rsid w:val="001373FC"/>
    <w:rsid w:val="00141326"/>
    <w:rsid w:val="00143D3E"/>
    <w:rsid w:val="00171238"/>
    <w:rsid w:val="001A18A3"/>
    <w:rsid w:val="001A6EC2"/>
    <w:rsid w:val="001B5AD6"/>
    <w:rsid w:val="001B5E06"/>
    <w:rsid w:val="001C2002"/>
    <w:rsid w:val="001C379C"/>
    <w:rsid w:val="001E5B90"/>
    <w:rsid w:val="001E7341"/>
    <w:rsid w:val="001F243B"/>
    <w:rsid w:val="001F2B42"/>
    <w:rsid w:val="002025F1"/>
    <w:rsid w:val="00203155"/>
    <w:rsid w:val="002059A6"/>
    <w:rsid w:val="00217ACD"/>
    <w:rsid w:val="002268FD"/>
    <w:rsid w:val="00227ABE"/>
    <w:rsid w:val="00263819"/>
    <w:rsid w:val="002764A4"/>
    <w:rsid w:val="00277F94"/>
    <w:rsid w:val="00281BA0"/>
    <w:rsid w:val="00295149"/>
    <w:rsid w:val="002A29A4"/>
    <w:rsid w:val="002C4235"/>
    <w:rsid w:val="002D2772"/>
    <w:rsid w:val="002E3DC1"/>
    <w:rsid w:val="002F49F0"/>
    <w:rsid w:val="0030565D"/>
    <w:rsid w:val="0031092A"/>
    <w:rsid w:val="00312A91"/>
    <w:rsid w:val="00315FA9"/>
    <w:rsid w:val="00317F08"/>
    <w:rsid w:val="00322354"/>
    <w:rsid w:val="00332C92"/>
    <w:rsid w:val="003349A1"/>
    <w:rsid w:val="00346514"/>
    <w:rsid w:val="0035257F"/>
    <w:rsid w:val="00360DBF"/>
    <w:rsid w:val="00370754"/>
    <w:rsid w:val="0037161A"/>
    <w:rsid w:val="00372193"/>
    <w:rsid w:val="00375596"/>
    <w:rsid w:val="00386935"/>
    <w:rsid w:val="00386B30"/>
    <w:rsid w:val="003929D9"/>
    <w:rsid w:val="003A2245"/>
    <w:rsid w:val="003A5810"/>
    <w:rsid w:val="003B4FF7"/>
    <w:rsid w:val="003C46C4"/>
    <w:rsid w:val="003D0AE5"/>
    <w:rsid w:val="003D1107"/>
    <w:rsid w:val="003F4CBA"/>
    <w:rsid w:val="003F7281"/>
    <w:rsid w:val="00412A40"/>
    <w:rsid w:val="00432FE0"/>
    <w:rsid w:val="00436586"/>
    <w:rsid w:val="00442FCC"/>
    <w:rsid w:val="00451DB1"/>
    <w:rsid w:val="00471E8F"/>
    <w:rsid w:val="004756D1"/>
    <w:rsid w:val="004809E6"/>
    <w:rsid w:val="00480FCD"/>
    <w:rsid w:val="00491B89"/>
    <w:rsid w:val="00492B2E"/>
    <w:rsid w:val="00496A46"/>
    <w:rsid w:val="004A7C7B"/>
    <w:rsid w:val="004C7DC2"/>
    <w:rsid w:val="004E01C4"/>
    <w:rsid w:val="004E1C79"/>
    <w:rsid w:val="004E1D71"/>
    <w:rsid w:val="004E6687"/>
    <w:rsid w:val="00516C76"/>
    <w:rsid w:val="0052727A"/>
    <w:rsid w:val="00530FBF"/>
    <w:rsid w:val="00536C5B"/>
    <w:rsid w:val="00545BD8"/>
    <w:rsid w:val="00555B04"/>
    <w:rsid w:val="00570609"/>
    <w:rsid w:val="00572DAD"/>
    <w:rsid w:val="00591155"/>
    <w:rsid w:val="00595C3B"/>
    <w:rsid w:val="005A0D76"/>
    <w:rsid w:val="005A26A5"/>
    <w:rsid w:val="005B070F"/>
    <w:rsid w:val="005C0BDA"/>
    <w:rsid w:val="005C11E1"/>
    <w:rsid w:val="005D2266"/>
    <w:rsid w:val="005D7692"/>
    <w:rsid w:val="005F1E0A"/>
    <w:rsid w:val="005F5C6F"/>
    <w:rsid w:val="00626353"/>
    <w:rsid w:val="00630808"/>
    <w:rsid w:val="0063099A"/>
    <w:rsid w:val="00637D4A"/>
    <w:rsid w:val="00646FB6"/>
    <w:rsid w:val="0065267B"/>
    <w:rsid w:val="00653870"/>
    <w:rsid w:val="00656D2C"/>
    <w:rsid w:val="0066047C"/>
    <w:rsid w:val="00660938"/>
    <w:rsid w:val="006645AA"/>
    <w:rsid w:val="00665B9D"/>
    <w:rsid w:val="006771B6"/>
    <w:rsid w:val="00680DF2"/>
    <w:rsid w:val="00687C05"/>
    <w:rsid w:val="00690F19"/>
    <w:rsid w:val="006960FA"/>
    <w:rsid w:val="006A3082"/>
    <w:rsid w:val="006A3259"/>
    <w:rsid w:val="006B19BE"/>
    <w:rsid w:val="006B61A2"/>
    <w:rsid w:val="006C2B04"/>
    <w:rsid w:val="006D0E83"/>
    <w:rsid w:val="006E1BBA"/>
    <w:rsid w:val="006E2BBD"/>
    <w:rsid w:val="007064ED"/>
    <w:rsid w:val="00707C9A"/>
    <w:rsid w:val="00726ADF"/>
    <w:rsid w:val="00752E6C"/>
    <w:rsid w:val="00770EEB"/>
    <w:rsid w:val="0077243A"/>
    <w:rsid w:val="00781B82"/>
    <w:rsid w:val="00787EF0"/>
    <w:rsid w:val="007C0AB6"/>
    <w:rsid w:val="007D17C5"/>
    <w:rsid w:val="007D4658"/>
    <w:rsid w:val="007E6166"/>
    <w:rsid w:val="007F2CE0"/>
    <w:rsid w:val="007F2F0B"/>
    <w:rsid w:val="007F3B9C"/>
    <w:rsid w:val="0081270A"/>
    <w:rsid w:val="00817A6E"/>
    <w:rsid w:val="008267AA"/>
    <w:rsid w:val="008456D5"/>
    <w:rsid w:val="00862B17"/>
    <w:rsid w:val="0086479D"/>
    <w:rsid w:val="00866404"/>
    <w:rsid w:val="00870FE3"/>
    <w:rsid w:val="00877666"/>
    <w:rsid w:val="00881D17"/>
    <w:rsid w:val="00887A69"/>
    <w:rsid w:val="008A3880"/>
    <w:rsid w:val="008B1CE9"/>
    <w:rsid w:val="008B3610"/>
    <w:rsid w:val="008B6601"/>
    <w:rsid w:val="008C337F"/>
    <w:rsid w:val="008D29B8"/>
    <w:rsid w:val="008E7195"/>
    <w:rsid w:val="008E7877"/>
    <w:rsid w:val="008F1C68"/>
    <w:rsid w:val="0090036E"/>
    <w:rsid w:val="00902B90"/>
    <w:rsid w:val="0091642D"/>
    <w:rsid w:val="0092330B"/>
    <w:rsid w:val="00926122"/>
    <w:rsid w:val="00930947"/>
    <w:rsid w:val="00936DB5"/>
    <w:rsid w:val="00945DB3"/>
    <w:rsid w:val="00951F44"/>
    <w:rsid w:val="009522C8"/>
    <w:rsid w:val="009523C2"/>
    <w:rsid w:val="00953459"/>
    <w:rsid w:val="00965FFE"/>
    <w:rsid w:val="00987DE8"/>
    <w:rsid w:val="009D3C27"/>
    <w:rsid w:val="009E36C0"/>
    <w:rsid w:val="009F2FED"/>
    <w:rsid w:val="00A16A87"/>
    <w:rsid w:val="00A21299"/>
    <w:rsid w:val="00A372B8"/>
    <w:rsid w:val="00A42F3F"/>
    <w:rsid w:val="00A44680"/>
    <w:rsid w:val="00A4516D"/>
    <w:rsid w:val="00A47EDC"/>
    <w:rsid w:val="00A55857"/>
    <w:rsid w:val="00A64050"/>
    <w:rsid w:val="00A8067B"/>
    <w:rsid w:val="00AB084E"/>
    <w:rsid w:val="00AB154B"/>
    <w:rsid w:val="00AB7352"/>
    <w:rsid w:val="00AC67C4"/>
    <w:rsid w:val="00AF1462"/>
    <w:rsid w:val="00B02F52"/>
    <w:rsid w:val="00B11998"/>
    <w:rsid w:val="00B15F95"/>
    <w:rsid w:val="00B17097"/>
    <w:rsid w:val="00B20452"/>
    <w:rsid w:val="00B24BE2"/>
    <w:rsid w:val="00B57AD2"/>
    <w:rsid w:val="00B614F8"/>
    <w:rsid w:val="00B71FFE"/>
    <w:rsid w:val="00B73C69"/>
    <w:rsid w:val="00B760E1"/>
    <w:rsid w:val="00B771FB"/>
    <w:rsid w:val="00B80EA2"/>
    <w:rsid w:val="00B85629"/>
    <w:rsid w:val="00B9279E"/>
    <w:rsid w:val="00B96F15"/>
    <w:rsid w:val="00BA7B25"/>
    <w:rsid w:val="00BB1083"/>
    <w:rsid w:val="00BB7511"/>
    <w:rsid w:val="00BC0C76"/>
    <w:rsid w:val="00BC43F4"/>
    <w:rsid w:val="00BD3AC5"/>
    <w:rsid w:val="00BD4210"/>
    <w:rsid w:val="00BD709B"/>
    <w:rsid w:val="00BE094D"/>
    <w:rsid w:val="00BE5BAE"/>
    <w:rsid w:val="00C26293"/>
    <w:rsid w:val="00C45FD1"/>
    <w:rsid w:val="00C47B61"/>
    <w:rsid w:val="00C513A0"/>
    <w:rsid w:val="00C66DD7"/>
    <w:rsid w:val="00C81AD7"/>
    <w:rsid w:val="00C826C8"/>
    <w:rsid w:val="00CC0156"/>
    <w:rsid w:val="00CC4C1C"/>
    <w:rsid w:val="00CE5420"/>
    <w:rsid w:val="00CF2B1F"/>
    <w:rsid w:val="00D050D2"/>
    <w:rsid w:val="00D156CC"/>
    <w:rsid w:val="00D20402"/>
    <w:rsid w:val="00D2231B"/>
    <w:rsid w:val="00D4227C"/>
    <w:rsid w:val="00D60900"/>
    <w:rsid w:val="00D61F71"/>
    <w:rsid w:val="00D645E3"/>
    <w:rsid w:val="00D76DBE"/>
    <w:rsid w:val="00D803A6"/>
    <w:rsid w:val="00D914F4"/>
    <w:rsid w:val="00DA1A67"/>
    <w:rsid w:val="00DA1D4A"/>
    <w:rsid w:val="00DA505D"/>
    <w:rsid w:val="00DA6DC7"/>
    <w:rsid w:val="00DA7C1C"/>
    <w:rsid w:val="00DB32B1"/>
    <w:rsid w:val="00DB44CC"/>
    <w:rsid w:val="00DC16DA"/>
    <w:rsid w:val="00DC6A8F"/>
    <w:rsid w:val="00DD2BCF"/>
    <w:rsid w:val="00DF3EC7"/>
    <w:rsid w:val="00E36EF2"/>
    <w:rsid w:val="00E40FDA"/>
    <w:rsid w:val="00E45E66"/>
    <w:rsid w:val="00E50EBB"/>
    <w:rsid w:val="00E65FCE"/>
    <w:rsid w:val="00E72B49"/>
    <w:rsid w:val="00E750DD"/>
    <w:rsid w:val="00E836C6"/>
    <w:rsid w:val="00EB1EF0"/>
    <w:rsid w:val="00EC5D3C"/>
    <w:rsid w:val="00EC6977"/>
    <w:rsid w:val="00ED023E"/>
    <w:rsid w:val="00EF5A9E"/>
    <w:rsid w:val="00F03092"/>
    <w:rsid w:val="00F06EEA"/>
    <w:rsid w:val="00F32C60"/>
    <w:rsid w:val="00F4550B"/>
    <w:rsid w:val="00F51BFA"/>
    <w:rsid w:val="00F633B3"/>
    <w:rsid w:val="00F7109E"/>
    <w:rsid w:val="00F879A3"/>
    <w:rsid w:val="00F87C79"/>
    <w:rsid w:val="00F910BA"/>
    <w:rsid w:val="00FA2D7C"/>
    <w:rsid w:val="00FB1AC4"/>
    <w:rsid w:val="00FC42D7"/>
    <w:rsid w:val="00FD4B06"/>
    <w:rsid w:val="00FE0AF8"/>
    <w:rsid w:val="00FE3DD0"/>
    <w:rsid w:val="00FE656C"/>
    <w:rsid w:val="00FF3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0375"/>
  <w15:chartTrackingRefBased/>
  <w15:docId w15:val="{C0F3667D-6CD0-4A19-9363-BC36BF31B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0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D803A6"/>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Light">
    <w:name w:val="Grid Table Light"/>
    <w:basedOn w:val="TableNormal"/>
    <w:uiPriority w:val="40"/>
    <w:rsid w:val="00D803A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D803A6"/>
    <w:pPr>
      <w:spacing w:after="0" w:line="240" w:lineRule="auto"/>
      <w:ind w:left="720"/>
      <w:contextualSpacing/>
      <w:jc w:val="both"/>
    </w:pPr>
    <w:rPr>
      <w:rFonts w:ascii="Calibri" w:eastAsia="Calibri" w:hAnsi="Calibri" w:cs="Times New Roman"/>
    </w:rPr>
  </w:style>
  <w:style w:type="paragraph" w:styleId="NormalWeb">
    <w:name w:val="Normal (Web)"/>
    <w:basedOn w:val="Normal"/>
    <w:uiPriority w:val="99"/>
    <w:semiHidden/>
    <w:unhideWhenUsed/>
    <w:rsid w:val="009D3C2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D3C27"/>
    <w:pPr>
      <w:spacing w:after="0" w:line="240" w:lineRule="auto"/>
    </w:pPr>
    <w:rPr>
      <w:noProof/>
    </w:rPr>
  </w:style>
  <w:style w:type="paragraph" w:styleId="Header">
    <w:name w:val="header"/>
    <w:basedOn w:val="Normal"/>
    <w:link w:val="HeaderChar"/>
    <w:uiPriority w:val="99"/>
    <w:unhideWhenUsed/>
    <w:rsid w:val="002C42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4235"/>
  </w:style>
  <w:style w:type="paragraph" w:styleId="Footer">
    <w:name w:val="footer"/>
    <w:basedOn w:val="Normal"/>
    <w:link w:val="FooterChar"/>
    <w:uiPriority w:val="99"/>
    <w:unhideWhenUsed/>
    <w:rsid w:val="002C4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423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01775E"/>
    <w:rPr>
      <w:rFonts w:ascii="Calibri" w:eastAsia="Calibri" w:hAnsi="Calibri" w:cs="Times New Roman"/>
    </w:rPr>
  </w:style>
  <w:style w:type="paragraph" w:styleId="Revision">
    <w:name w:val="Revision"/>
    <w:hidden/>
    <w:uiPriority w:val="99"/>
    <w:semiHidden/>
    <w:rsid w:val="004756D1"/>
    <w:pPr>
      <w:spacing w:after="0" w:line="240" w:lineRule="auto"/>
    </w:pPr>
  </w:style>
  <w:style w:type="table" w:styleId="GridTable4-Accent5">
    <w:name w:val="Grid Table 4 Accent 5"/>
    <w:basedOn w:val="TableNormal"/>
    <w:uiPriority w:val="49"/>
    <w:rsid w:val="0086640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CommentReference">
    <w:name w:val="annotation reference"/>
    <w:basedOn w:val="DefaultParagraphFont"/>
    <w:uiPriority w:val="99"/>
    <w:semiHidden/>
    <w:unhideWhenUsed/>
    <w:rsid w:val="002A29A4"/>
    <w:rPr>
      <w:sz w:val="16"/>
      <w:szCs w:val="16"/>
    </w:rPr>
  </w:style>
  <w:style w:type="paragraph" w:styleId="CommentText">
    <w:name w:val="annotation text"/>
    <w:basedOn w:val="Normal"/>
    <w:link w:val="CommentTextChar"/>
    <w:uiPriority w:val="99"/>
    <w:unhideWhenUsed/>
    <w:rsid w:val="002A29A4"/>
    <w:pPr>
      <w:spacing w:line="240" w:lineRule="auto"/>
    </w:pPr>
    <w:rPr>
      <w:sz w:val="20"/>
      <w:szCs w:val="20"/>
    </w:rPr>
  </w:style>
  <w:style w:type="character" w:customStyle="1" w:styleId="CommentTextChar">
    <w:name w:val="Comment Text Char"/>
    <w:basedOn w:val="DefaultParagraphFont"/>
    <w:link w:val="CommentText"/>
    <w:uiPriority w:val="99"/>
    <w:rsid w:val="002A29A4"/>
    <w:rPr>
      <w:sz w:val="20"/>
      <w:szCs w:val="20"/>
    </w:rPr>
  </w:style>
  <w:style w:type="paragraph" w:styleId="CommentSubject">
    <w:name w:val="annotation subject"/>
    <w:basedOn w:val="CommentText"/>
    <w:next w:val="CommentText"/>
    <w:link w:val="CommentSubjectChar"/>
    <w:uiPriority w:val="99"/>
    <w:semiHidden/>
    <w:unhideWhenUsed/>
    <w:rsid w:val="002A29A4"/>
    <w:rPr>
      <w:b/>
      <w:bCs/>
    </w:rPr>
  </w:style>
  <w:style w:type="character" w:customStyle="1" w:styleId="CommentSubjectChar">
    <w:name w:val="Comment Subject Char"/>
    <w:basedOn w:val="CommentTextChar"/>
    <w:link w:val="CommentSubject"/>
    <w:uiPriority w:val="99"/>
    <w:semiHidden/>
    <w:rsid w:val="002A29A4"/>
    <w:rPr>
      <w:b/>
      <w:bCs/>
      <w:sz w:val="20"/>
      <w:szCs w:val="20"/>
    </w:rPr>
  </w:style>
  <w:style w:type="character" w:styleId="Hyperlink">
    <w:name w:val="Hyperlink"/>
    <w:basedOn w:val="DefaultParagraphFont"/>
    <w:uiPriority w:val="99"/>
    <w:unhideWhenUsed/>
    <w:rsid w:val="009F2FED"/>
    <w:rPr>
      <w:color w:val="0563C1" w:themeColor="hyperlink"/>
      <w:u w:val="single"/>
    </w:rPr>
  </w:style>
  <w:style w:type="character" w:styleId="UnresolvedMention">
    <w:name w:val="Unresolved Mention"/>
    <w:basedOn w:val="DefaultParagraphFont"/>
    <w:uiPriority w:val="99"/>
    <w:semiHidden/>
    <w:unhideWhenUsed/>
    <w:rsid w:val="009F2FED"/>
    <w:rPr>
      <w:color w:val="605E5C"/>
      <w:shd w:val="clear" w:color="auto" w:fill="E1DFDD"/>
    </w:rPr>
  </w:style>
  <w:style w:type="character" w:styleId="Strong">
    <w:name w:val="Strong"/>
    <w:basedOn w:val="DefaultParagraphFont"/>
    <w:uiPriority w:val="22"/>
    <w:qFormat/>
    <w:rsid w:val="00752E6C"/>
    <w:rPr>
      <w:b/>
      <w:bCs/>
    </w:rPr>
  </w:style>
  <w:style w:type="table" w:styleId="GridTable4-Accent1">
    <w:name w:val="Grid Table 4 Accent 1"/>
    <w:basedOn w:val="TableNormal"/>
    <w:uiPriority w:val="49"/>
    <w:rsid w:val="003F728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6418">
      <w:bodyDiv w:val="1"/>
      <w:marLeft w:val="0"/>
      <w:marRight w:val="0"/>
      <w:marTop w:val="0"/>
      <w:marBottom w:val="0"/>
      <w:divBdr>
        <w:top w:val="none" w:sz="0" w:space="0" w:color="auto"/>
        <w:left w:val="none" w:sz="0" w:space="0" w:color="auto"/>
        <w:bottom w:val="none" w:sz="0" w:space="0" w:color="auto"/>
        <w:right w:val="none" w:sz="0" w:space="0" w:color="auto"/>
      </w:divBdr>
    </w:div>
    <w:div w:id="40861571">
      <w:bodyDiv w:val="1"/>
      <w:marLeft w:val="0"/>
      <w:marRight w:val="0"/>
      <w:marTop w:val="0"/>
      <w:marBottom w:val="0"/>
      <w:divBdr>
        <w:top w:val="none" w:sz="0" w:space="0" w:color="auto"/>
        <w:left w:val="none" w:sz="0" w:space="0" w:color="auto"/>
        <w:bottom w:val="none" w:sz="0" w:space="0" w:color="auto"/>
        <w:right w:val="none" w:sz="0" w:space="0" w:color="auto"/>
      </w:divBdr>
      <w:divsChild>
        <w:div w:id="608044566">
          <w:marLeft w:val="0"/>
          <w:marRight w:val="0"/>
          <w:marTop w:val="0"/>
          <w:marBottom w:val="0"/>
          <w:divBdr>
            <w:top w:val="none" w:sz="0" w:space="0" w:color="auto"/>
            <w:left w:val="none" w:sz="0" w:space="0" w:color="auto"/>
            <w:bottom w:val="none" w:sz="0" w:space="0" w:color="auto"/>
            <w:right w:val="none" w:sz="0" w:space="0" w:color="auto"/>
          </w:divBdr>
        </w:div>
      </w:divsChild>
    </w:div>
    <w:div w:id="170994885">
      <w:bodyDiv w:val="1"/>
      <w:marLeft w:val="0"/>
      <w:marRight w:val="0"/>
      <w:marTop w:val="0"/>
      <w:marBottom w:val="0"/>
      <w:divBdr>
        <w:top w:val="none" w:sz="0" w:space="0" w:color="auto"/>
        <w:left w:val="none" w:sz="0" w:space="0" w:color="auto"/>
        <w:bottom w:val="none" w:sz="0" w:space="0" w:color="auto"/>
        <w:right w:val="none" w:sz="0" w:space="0" w:color="auto"/>
      </w:divBdr>
    </w:div>
    <w:div w:id="216821249">
      <w:bodyDiv w:val="1"/>
      <w:marLeft w:val="0"/>
      <w:marRight w:val="0"/>
      <w:marTop w:val="0"/>
      <w:marBottom w:val="0"/>
      <w:divBdr>
        <w:top w:val="none" w:sz="0" w:space="0" w:color="auto"/>
        <w:left w:val="none" w:sz="0" w:space="0" w:color="auto"/>
        <w:bottom w:val="none" w:sz="0" w:space="0" w:color="auto"/>
        <w:right w:val="none" w:sz="0" w:space="0" w:color="auto"/>
      </w:divBdr>
    </w:div>
    <w:div w:id="351035884">
      <w:bodyDiv w:val="1"/>
      <w:marLeft w:val="0"/>
      <w:marRight w:val="0"/>
      <w:marTop w:val="0"/>
      <w:marBottom w:val="0"/>
      <w:divBdr>
        <w:top w:val="none" w:sz="0" w:space="0" w:color="auto"/>
        <w:left w:val="none" w:sz="0" w:space="0" w:color="auto"/>
        <w:bottom w:val="none" w:sz="0" w:space="0" w:color="auto"/>
        <w:right w:val="none" w:sz="0" w:space="0" w:color="auto"/>
      </w:divBdr>
    </w:div>
    <w:div w:id="404106527">
      <w:bodyDiv w:val="1"/>
      <w:marLeft w:val="0"/>
      <w:marRight w:val="0"/>
      <w:marTop w:val="0"/>
      <w:marBottom w:val="0"/>
      <w:divBdr>
        <w:top w:val="none" w:sz="0" w:space="0" w:color="auto"/>
        <w:left w:val="none" w:sz="0" w:space="0" w:color="auto"/>
        <w:bottom w:val="none" w:sz="0" w:space="0" w:color="auto"/>
        <w:right w:val="none" w:sz="0" w:space="0" w:color="auto"/>
      </w:divBdr>
    </w:div>
    <w:div w:id="446317742">
      <w:bodyDiv w:val="1"/>
      <w:marLeft w:val="0"/>
      <w:marRight w:val="0"/>
      <w:marTop w:val="0"/>
      <w:marBottom w:val="0"/>
      <w:divBdr>
        <w:top w:val="none" w:sz="0" w:space="0" w:color="auto"/>
        <w:left w:val="none" w:sz="0" w:space="0" w:color="auto"/>
        <w:bottom w:val="none" w:sz="0" w:space="0" w:color="auto"/>
        <w:right w:val="none" w:sz="0" w:space="0" w:color="auto"/>
      </w:divBdr>
    </w:div>
    <w:div w:id="454369779">
      <w:bodyDiv w:val="1"/>
      <w:marLeft w:val="0"/>
      <w:marRight w:val="0"/>
      <w:marTop w:val="0"/>
      <w:marBottom w:val="0"/>
      <w:divBdr>
        <w:top w:val="none" w:sz="0" w:space="0" w:color="auto"/>
        <w:left w:val="none" w:sz="0" w:space="0" w:color="auto"/>
        <w:bottom w:val="none" w:sz="0" w:space="0" w:color="auto"/>
        <w:right w:val="none" w:sz="0" w:space="0" w:color="auto"/>
      </w:divBdr>
    </w:div>
    <w:div w:id="510874795">
      <w:bodyDiv w:val="1"/>
      <w:marLeft w:val="0"/>
      <w:marRight w:val="0"/>
      <w:marTop w:val="0"/>
      <w:marBottom w:val="0"/>
      <w:divBdr>
        <w:top w:val="none" w:sz="0" w:space="0" w:color="auto"/>
        <w:left w:val="none" w:sz="0" w:space="0" w:color="auto"/>
        <w:bottom w:val="none" w:sz="0" w:space="0" w:color="auto"/>
        <w:right w:val="none" w:sz="0" w:space="0" w:color="auto"/>
      </w:divBdr>
    </w:div>
    <w:div w:id="527834146">
      <w:bodyDiv w:val="1"/>
      <w:marLeft w:val="0"/>
      <w:marRight w:val="0"/>
      <w:marTop w:val="0"/>
      <w:marBottom w:val="0"/>
      <w:divBdr>
        <w:top w:val="none" w:sz="0" w:space="0" w:color="auto"/>
        <w:left w:val="none" w:sz="0" w:space="0" w:color="auto"/>
        <w:bottom w:val="none" w:sz="0" w:space="0" w:color="auto"/>
        <w:right w:val="none" w:sz="0" w:space="0" w:color="auto"/>
      </w:divBdr>
    </w:div>
    <w:div w:id="606088035">
      <w:bodyDiv w:val="1"/>
      <w:marLeft w:val="0"/>
      <w:marRight w:val="0"/>
      <w:marTop w:val="0"/>
      <w:marBottom w:val="0"/>
      <w:divBdr>
        <w:top w:val="none" w:sz="0" w:space="0" w:color="auto"/>
        <w:left w:val="none" w:sz="0" w:space="0" w:color="auto"/>
        <w:bottom w:val="none" w:sz="0" w:space="0" w:color="auto"/>
        <w:right w:val="none" w:sz="0" w:space="0" w:color="auto"/>
      </w:divBdr>
    </w:div>
    <w:div w:id="614288513">
      <w:bodyDiv w:val="1"/>
      <w:marLeft w:val="0"/>
      <w:marRight w:val="0"/>
      <w:marTop w:val="0"/>
      <w:marBottom w:val="0"/>
      <w:divBdr>
        <w:top w:val="none" w:sz="0" w:space="0" w:color="auto"/>
        <w:left w:val="none" w:sz="0" w:space="0" w:color="auto"/>
        <w:bottom w:val="none" w:sz="0" w:space="0" w:color="auto"/>
        <w:right w:val="none" w:sz="0" w:space="0" w:color="auto"/>
      </w:divBdr>
      <w:divsChild>
        <w:div w:id="1619993813">
          <w:marLeft w:val="0"/>
          <w:marRight w:val="0"/>
          <w:marTop w:val="0"/>
          <w:marBottom w:val="0"/>
          <w:divBdr>
            <w:top w:val="none" w:sz="0" w:space="0" w:color="auto"/>
            <w:left w:val="none" w:sz="0" w:space="0" w:color="auto"/>
            <w:bottom w:val="none" w:sz="0" w:space="0" w:color="auto"/>
            <w:right w:val="none" w:sz="0" w:space="0" w:color="auto"/>
          </w:divBdr>
        </w:div>
      </w:divsChild>
    </w:div>
    <w:div w:id="708796106">
      <w:bodyDiv w:val="1"/>
      <w:marLeft w:val="0"/>
      <w:marRight w:val="0"/>
      <w:marTop w:val="0"/>
      <w:marBottom w:val="0"/>
      <w:divBdr>
        <w:top w:val="none" w:sz="0" w:space="0" w:color="auto"/>
        <w:left w:val="none" w:sz="0" w:space="0" w:color="auto"/>
        <w:bottom w:val="none" w:sz="0" w:space="0" w:color="auto"/>
        <w:right w:val="none" w:sz="0" w:space="0" w:color="auto"/>
      </w:divBdr>
    </w:div>
    <w:div w:id="796676619">
      <w:bodyDiv w:val="1"/>
      <w:marLeft w:val="0"/>
      <w:marRight w:val="0"/>
      <w:marTop w:val="0"/>
      <w:marBottom w:val="0"/>
      <w:divBdr>
        <w:top w:val="none" w:sz="0" w:space="0" w:color="auto"/>
        <w:left w:val="none" w:sz="0" w:space="0" w:color="auto"/>
        <w:bottom w:val="none" w:sz="0" w:space="0" w:color="auto"/>
        <w:right w:val="none" w:sz="0" w:space="0" w:color="auto"/>
      </w:divBdr>
    </w:div>
    <w:div w:id="955602007">
      <w:bodyDiv w:val="1"/>
      <w:marLeft w:val="0"/>
      <w:marRight w:val="0"/>
      <w:marTop w:val="0"/>
      <w:marBottom w:val="0"/>
      <w:divBdr>
        <w:top w:val="none" w:sz="0" w:space="0" w:color="auto"/>
        <w:left w:val="none" w:sz="0" w:space="0" w:color="auto"/>
        <w:bottom w:val="none" w:sz="0" w:space="0" w:color="auto"/>
        <w:right w:val="none" w:sz="0" w:space="0" w:color="auto"/>
      </w:divBdr>
    </w:div>
    <w:div w:id="985741206">
      <w:bodyDiv w:val="1"/>
      <w:marLeft w:val="0"/>
      <w:marRight w:val="0"/>
      <w:marTop w:val="0"/>
      <w:marBottom w:val="0"/>
      <w:divBdr>
        <w:top w:val="none" w:sz="0" w:space="0" w:color="auto"/>
        <w:left w:val="none" w:sz="0" w:space="0" w:color="auto"/>
        <w:bottom w:val="none" w:sz="0" w:space="0" w:color="auto"/>
        <w:right w:val="none" w:sz="0" w:space="0" w:color="auto"/>
      </w:divBdr>
    </w:div>
    <w:div w:id="1022781356">
      <w:bodyDiv w:val="1"/>
      <w:marLeft w:val="0"/>
      <w:marRight w:val="0"/>
      <w:marTop w:val="0"/>
      <w:marBottom w:val="0"/>
      <w:divBdr>
        <w:top w:val="none" w:sz="0" w:space="0" w:color="auto"/>
        <w:left w:val="none" w:sz="0" w:space="0" w:color="auto"/>
        <w:bottom w:val="none" w:sz="0" w:space="0" w:color="auto"/>
        <w:right w:val="none" w:sz="0" w:space="0" w:color="auto"/>
      </w:divBdr>
    </w:div>
    <w:div w:id="1061371061">
      <w:bodyDiv w:val="1"/>
      <w:marLeft w:val="0"/>
      <w:marRight w:val="0"/>
      <w:marTop w:val="0"/>
      <w:marBottom w:val="0"/>
      <w:divBdr>
        <w:top w:val="none" w:sz="0" w:space="0" w:color="auto"/>
        <w:left w:val="none" w:sz="0" w:space="0" w:color="auto"/>
        <w:bottom w:val="none" w:sz="0" w:space="0" w:color="auto"/>
        <w:right w:val="none" w:sz="0" w:space="0" w:color="auto"/>
      </w:divBdr>
    </w:div>
    <w:div w:id="1145124460">
      <w:bodyDiv w:val="1"/>
      <w:marLeft w:val="0"/>
      <w:marRight w:val="0"/>
      <w:marTop w:val="0"/>
      <w:marBottom w:val="0"/>
      <w:divBdr>
        <w:top w:val="none" w:sz="0" w:space="0" w:color="auto"/>
        <w:left w:val="none" w:sz="0" w:space="0" w:color="auto"/>
        <w:bottom w:val="none" w:sz="0" w:space="0" w:color="auto"/>
        <w:right w:val="none" w:sz="0" w:space="0" w:color="auto"/>
      </w:divBdr>
    </w:div>
    <w:div w:id="1206333189">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sChild>
        <w:div w:id="1760442587">
          <w:marLeft w:val="0"/>
          <w:marRight w:val="0"/>
          <w:marTop w:val="0"/>
          <w:marBottom w:val="0"/>
          <w:divBdr>
            <w:top w:val="none" w:sz="0" w:space="0" w:color="auto"/>
            <w:left w:val="none" w:sz="0" w:space="0" w:color="auto"/>
            <w:bottom w:val="none" w:sz="0" w:space="0" w:color="auto"/>
            <w:right w:val="none" w:sz="0" w:space="0" w:color="auto"/>
          </w:divBdr>
        </w:div>
      </w:divsChild>
    </w:div>
    <w:div w:id="1243637751">
      <w:bodyDiv w:val="1"/>
      <w:marLeft w:val="0"/>
      <w:marRight w:val="0"/>
      <w:marTop w:val="0"/>
      <w:marBottom w:val="0"/>
      <w:divBdr>
        <w:top w:val="none" w:sz="0" w:space="0" w:color="auto"/>
        <w:left w:val="none" w:sz="0" w:space="0" w:color="auto"/>
        <w:bottom w:val="none" w:sz="0" w:space="0" w:color="auto"/>
        <w:right w:val="none" w:sz="0" w:space="0" w:color="auto"/>
      </w:divBdr>
    </w:div>
    <w:div w:id="1259755825">
      <w:bodyDiv w:val="1"/>
      <w:marLeft w:val="0"/>
      <w:marRight w:val="0"/>
      <w:marTop w:val="0"/>
      <w:marBottom w:val="0"/>
      <w:divBdr>
        <w:top w:val="none" w:sz="0" w:space="0" w:color="auto"/>
        <w:left w:val="none" w:sz="0" w:space="0" w:color="auto"/>
        <w:bottom w:val="none" w:sz="0" w:space="0" w:color="auto"/>
        <w:right w:val="none" w:sz="0" w:space="0" w:color="auto"/>
      </w:divBdr>
    </w:div>
    <w:div w:id="1330447592">
      <w:bodyDiv w:val="1"/>
      <w:marLeft w:val="0"/>
      <w:marRight w:val="0"/>
      <w:marTop w:val="0"/>
      <w:marBottom w:val="0"/>
      <w:divBdr>
        <w:top w:val="none" w:sz="0" w:space="0" w:color="auto"/>
        <w:left w:val="none" w:sz="0" w:space="0" w:color="auto"/>
        <w:bottom w:val="none" w:sz="0" w:space="0" w:color="auto"/>
        <w:right w:val="none" w:sz="0" w:space="0" w:color="auto"/>
      </w:divBdr>
    </w:div>
    <w:div w:id="1377118571">
      <w:bodyDiv w:val="1"/>
      <w:marLeft w:val="0"/>
      <w:marRight w:val="0"/>
      <w:marTop w:val="0"/>
      <w:marBottom w:val="0"/>
      <w:divBdr>
        <w:top w:val="none" w:sz="0" w:space="0" w:color="auto"/>
        <w:left w:val="none" w:sz="0" w:space="0" w:color="auto"/>
        <w:bottom w:val="none" w:sz="0" w:space="0" w:color="auto"/>
        <w:right w:val="none" w:sz="0" w:space="0" w:color="auto"/>
      </w:divBdr>
    </w:div>
    <w:div w:id="1404908029">
      <w:bodyDiv w:val="1"/>
      <w:marLeft w:val="0"/>
      <w:marRight w:val="0"/>
      <w:marTop w:val="0"/>
      <w:marBottom w:val="0"/>
      <w:divBdr>
        <w:top w:val="none" w:sz="0" w:space="0" w:color="auto"/>
        <w:left w:val="none" w:sz="0" w:space="0" w:color="auto"/>
        <w:bottom w:val="none" w:sz="0" w:space="0" w:color="auto"/>
        <w:right w:val="none" w:sz="0" w:space="0" w:color="auto"/>
      </w:divBdr>
    </w:div>
    <w:div w:id="1442914719">
      <w:bodyDiv w:val="1"/>
      <w:marLeft w:val="0"/>
      <w:marRight w:val="0"/>
      <w:marTop w:val="0"/>
      <w:marBottom w:val="0"/>
      <w:divBdr>
        <w:top w:val="none" w:sz="0" w:space="0" w:color="auto"/>
        <w:left w:val="none" w:sz="0" w:space="0" w:color="auto"/>
        <w:bottom w:val="none" w:sz="0" w:space="0" w:color="auto"/>
        <w:right w:val="none" w:sz="0" w:space="0" w:color="auto"/>
      </w:divBdr>
    </w:div>
    <w:div w:id="1490168058">
      <w:bodyDiv w:val="1"/>
      <w:marLeft w:val="0"/>
      <w:marRight w:val="0"/>
      <w:marTop w:val="0"/>
      <w:marBottom w:val="0"/>
      <w:divBdr>
        <w:top w:val="none" w:sz="0" w:space="0" w:color="auto"/>
        <w:left w:val="none" w:sz="0" w:space="0" w:color="auto"/>
        <w:bottom w:val="none" w:sz="0" w:space="0" w:color="auto"/>
        <w:right w:val="none" w:sz="0" w:space="0" w:color="auto"/>
      </w:divBdr>
    </w:div>
    <w:div w:id="1600331587">
      <w:bodyDiv w:val="1"/>
      <w:marLeft w:val="0"/>
      <w:marRight w:val="0"/>
      <w:marTop w:val="0"/>
      <w:marBottom w:val="0"/>
      <w:divBdr>
        <w:top w:val="none" w:sz="0" w:space="0" w:color="auto"/>
        <w:left w:val="none" w:sz="0" w:space="0" w:color="auto"/>
        <w:bottom w:val="none" w:sz="0" w:space="0" w:color="auto"/>
        <w:right w:val="none" w:sz="0" w:space="0" w:color="auto"/>
      </w:divBdr>
    </w:div>
    <w:div w:id="1625847756">
      <w:bodyDiv w:val="1"/>
      <w:marLeft w:val="0"/>
      <w:marRight w:val="0"/>
      <w:marTop w:val="0"/>
      <w:marBottom w:val="0"/>
      <w:divBdr>
        <w:top w:val="none" w:sz="0" w:space="0" w:color="auto"/>
        <w:left w:val="none" w:sz="0" w:space="0" w:color="auto"/>
        <w:bottom w:val="none" w:sz="0" w:space="0" w:color="auto"/>
        <w:right w:val="none" w:sz="0" w:space="0" w:color="auto"/>
      </w:divBdr>
    </w:div>
    <w:div w:id="1799182441">
      <w:bodyDiv w:val="1"/>
      <w:marLeft w:val="0"/>
      <w:marRight w:val="0"/>
      <w:marTop w:val="0"/>
      <w:marBottom w:val="0"/>
      <w:divBdr>
        <w:top w:val="none" w:sz="0" w:space="0" w:color="auto"/>
        <w:left w:val="none" w:sz="0" w:space="0" w:color="auto"/>
        <w:bottom w:val="none" w:sz="0" w:space="0" w:color="auto"/>
        <w:right w:val="none" w:sz="0" w:space="0" w:color="auto"/>
      </w:divBdr>
    </w:div>
    <w:div w:id="1874733752">
      <w:bodyDiv w:val="1"/>
      <w:marLeft w:val="0"/>
      <w:marRight w:val="0"/>
      <w:marTop w:val="0"/>
      <w:marBottom w:val="0"/>
      <w:divBdr>
        <w:top w:val="none" w:sz="0" w:space="0" w:color="auto"/>
        <w:left w:val="none" w:sz="0" w:space="0" w:color="auto"/>
        <w:bottom w:val="none" w:sz="0" w:space="0" w:color="auto"/>
        <w:right w:val="none" w:sz="0" w:space="0" w:color="auto"/>
      </w:divBdr>
      <w:divsChild>
        <w:div w:id="1107777875">
          <w:marLeft w:val="0"/>
          <w:marRight w:val="0"/>
          <w:marTop w:val="0"/>
          <w:marBottom w:val="0"/>
          <w:divBdr>
            <w:top w:val="none" w:sz="0" w:space="0" w:color="auto"/>
            <w:left w:val="none" w:sz="0" w:space="0" w:color="auto"/>
            <w:bottom w:val="none" w:sz="0" w:space="0" w:color="auto"/>
            <w:right w:val="none" w:sz="0" w:space="0" w:color="auto"/>
          </w:divBdr>
        </w:div>
      </w:divsChild>
    </w:div>
    <w:div w:id="1914657479">
      <w:bodyDiv w:val="1"/>
      <w:marLeft w:val="0"/>
      <w:marRight w:val="0"/>
      <w:marTop w:val="0"/>
      <w:marBottom w:val="0"/>
      <w:divBdr>
        <w:top w:val="none" w:sz="0" w:space="0" w:color="auto"/>
        <w:left w:val="none" w:sz="0" w:space="0" w:color="auto"/>
        <w:bottom w:val="none" w:sz="0" w:space="0" w:color="auto"/>
        <w:right w:val="none" w:sz="0" w:space="0" w:color="auto"/>
      </w:divBdr>
    </w:div>
    <w:div w:id="1979145230">
      <w:bodyDiv w:val="1"/>
      <w:marLeft w:val="0"/>
      <w:marRight w:val="0"/>
      <w:marTop w:val="0"/>
      <w:marBottom w:val="0"/>
      <w:divBdr>
        <w:top w:val="none" w:sz="0" w:space="0" w:color="auto"/>
        <w:left w:val="none" w:sz="0" w:space="0" w:color="auto"/>
        <w:bottom w:val="none" w:sz="0" w:space="0" w:color="auto"/>
        <w:right w:val="none" w:sz="0" w:space="0" w:color="auto"/>
      </w:divBdr>
    </w:div>
    <w:div w:id="199937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s://app.powerbi.com/MobileRedirect.html?action=OpenReport&amp;reportObjectId=8df0bdaa-716f-4f38-ae5a-e355db1c9496&amp;ctid=bb5628b8-e328-4082-a856-433c9edc8fae&amp;reportPage=36503fce5de67b433ebf&amp;pbi_source=copyvisualimage" TargetMode="External"/><Relationship Id="rId18" Type="http://schemas.openxmlformats.org/officeDocument/2006/relationships/package" Target="embeddings/Microsoft_Excel_Worksheet.xlsx"/><Relationship Id="rId26" Type="http://schemas.openxmlformats.org/officeDocument/2006/relationships/customXml" Target="../customXml/item1.xml"/><Relationship Id="rId3" Type="http://schemas.openxmlformats.org/officeDocument/2006/relationships/settings" Target="settings.xml"/><Relationship Id="rId21" Type="http://schemas.openxmlformats.org/officeDocument/2006/relationships/image" Target="media/image11.emf"/><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oter" Target="footer1.xml"/><Relationship Id="rId28" Type="http://schemas.openxmlformats.org/officeDocument/2006/relationships/customXml" Target="../customXml/item3.xml"/><Relationship Id="rId10" Type="http://schemas.openxmlformats.org/officeDocument/2006/relationships/image" Target="media/image3.png"/><Relationship Id="rId19" Type="http://schemas.openxmlformats.org/officeDocument/2006/relationships/image" Target="media/image10.emf"/><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6.png"/><Relationship Id="rId22" Type="http://schemas.openxmlformats.org/officeDocument/2006/relationships/oleObject" Target="embeddings/oleObject2.bin"/><Relationship Id="rId27" Type="http://schemas.openxmlformats.org/officeDocument/2006/relationships/customXml" Target="../customXml/item2.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ersonnelCentral\Restricted\PCT%20Group\Sickness\Deep%20Dive%20Jan%202026\SPC\NHS%20Absence%20Timeline_SPC_01.01.2023-31.12.202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Absence</a:t>
            </a:r>
            <a:r>
              <a:rPr lang="en-GB" baseline="0"/>
              <a:t> Timeline - Specialist Palliative Care 01.01.2023 - 31.12.2025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Table!$B$7</c:f>
              <c:strCache>
                <c:ptCount val="1"/>
                <c:pt idx="0">
                  <c:v>Absence FTE %</c:v>
                </c:pt>
              </c:strCache>
            </c:strRef>
          </c:tx>
          <c:spPr>
            <a:ln w="28575" cap="rnd">
              <a:solidFill>
                <a:schemeClr val="accent1"/>
              </a:solidFill>
              <a:round/>
            </a:ln>
            <a:effectLst/>
          </c:spPr>
          <c:marker>
            <c:symbol val="none"/>
          </c:marker>
          <c:dLbls>
            <c:dLbl>
              <c:idx val="2"/>
              <c:layout>
                <c:manualLayout>
                  <c:x val="-5.5124892334194674E-2"/>
                  <c:y val="-5.7142857142857141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0-30A0-43DE-83E5-361B944DB6B6}"/>
                </c:ext>
              </c:extLst>
            </c:dLbl>
            <c:dLbl>
              <c:idx val="6"/>
              <c:layout>
                <c:manualLayout>
                  <c:x val="-7.2351421188630485E-2"/>
                  <c:y val="-5.7142857142857141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30A0-43DE-83E5-361B944DB6B6}"/>
                </c:ext>
              </c:extLst>
            </c:dLbl>
            <c:dLbl>
              <c:idx val="9"/>
              <c:layout>
                <c:manualLayout>
                  <c:x val="-0.11197243755383293"/>
                  <c:y val="-3.6974789915966415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2-30A0-43DE-83E5-361B944DB6B6}"/>
                </c:ext>
              </c:extLst>
            </c:dLbl>
            <c:dLbl>
              <c:idx val="11"/>
              <c:layout>
                <c:manualLayout>
                  <c:x val="-0.14642549526270457"/>
                  <c:y val="-4.3697478991596636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3-30A0-43DE-83E5-361B944DB6B6}"/>
                </c:ext>
              </c:extLst>
            </c:dLbl>
            <c:dLbl>
              <c:idx val="13"/>
              <c:layout>
                <c:manualLayout>
                  <c:x val="-5.512489233419466E-2"/>
                  <c:y val="-4.7058823529411771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4-30A0-43DE-83E5-361B944DB6B6}"/>
                </c:ext>
              </c:extLst>
            </c:dLbl>
            <c:dLbl>
              <c:idx val="17"/>
              <c:layout>
                <c:manualLayout>
                  <c:x val="-1.5503875968992248E-2"/>
                  <c:y val="-5.7142857142857134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30A0-43DE-83E5-361B944DB6B6}"/>
                </c:ext>
              </c:extLst>
            </c:dLbl>
            <c:dLbl>
              <c:idx val="23"/>
              <c:layout>
                <c:manualLayout>
                  <c:x val="-1.0335917312661499E-2"/>
                  <c:y val="-4.7058823529411764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6-30A0-43DE-83E5-361B944DB6B6}"/>
                </c:ext>
              </c:extLst>
            </c:dLbl>
            <c:dLbl>
              <c:idx val="30"/>
              <c:layout>
                <c:manualLayout>
                  <c:x val="-5.8570198105081954E-2"/>
                  <c:y val="-3.6974789915966387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7-30A0-43DE-83E5-361B944DB6B6}"/>
                </c:ext>
              </c:extLst>
            </c:dLbl>
            <c:dLbl>
              <c:idx val="35"/>
              <c:layout>
                <c:manualLayout>
                  <c:x val="-2.5839793281653745E-2"/>
                  <c:y val="-3.6974789915966387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8-30A0-43DE-83E5-361B944DB6B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0"/>
              </c:ext>
            </c:extLst>
          </c:dLbls>
          <c:trendline>
            <c:spPr>
              <a:ln w="19050" cap="rnd">
                <a:solidFill>
                  <a:schemeClr val="accent1"/>
                </a:solidFill>
                <a:prstDash val="sysDot"/>
              </a:ln>
              <a:effectLst/>
            </c:spPr>
            <c:trendlineType val="linear"/>
            <c:dispRSqr val="0"/>
            <c:dispEq val="0"/>
          </c:trendline>
          <c:cat>
            <c:strRef>
              <c:f>Table!$A$8:$A$43</c:f>
              <c:strCache>
                <c:ptCount val="36"/>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pt idx="18">
                  <c:v>2024 / 07</c:v>
                </c:pt>
                <c:pt idx="19">
                  <c:v>2024 / 08</c:v>
                </c:pt>
                <c:pt idx="20">
                  <c:v>2024 / 09</c:v>
                </c:pt>
                <c:pt idx="21">
                  <c:v>2024 / 10</c:v>
                </c:pt>
                <c:pt idx="22">
                  <c:v>2024 / 11</c:v>
                </c:pt>
                <c:pt idx="23">
                  <c:v>2024 / 12</c:v>
                </c:pt>
                <c:pt idx="24">
                  <c:v>2025 / 01</c:v>
                </c:pt>
                <c:pt idx="25">
                  <c:v>2025 / 02</c:v>
                </c:pt>
                <c:pt idx="26">
                  <c:v>2025 / 03</c:v>
                </c:pt>
                <c:pt idx="27">
                  <c:v>2025 / 04</c:v>
                </c:pt>
                <c:pt idx="28">
                  <c:v>2025 / 05</c:v>
                </c:pt>
                <c:pt idx="29">
                  <c:v>2025 / 06</c:v>
                </c:pt>
                <c:pt idx="30">
                  <c:v>2025 / 07</c:v>
                </c:pt>
                <c:pt idx="31">
                  <c:v>2025 / 08</c:v>
                </c:pt>
                <c:pt idx="32">
                  <c:v>2025 / 09</c:v>
                </c:pt>
                <c:pt idx="33">
                  <c:v>2025 / 10</c:v>
                </c:pt>
                <c:pt idx="34">
                  <c:v>2025 / 11</c:v>
                </c:pt>
                <c:pt idx="35">
                  <c:v>2025 / 12</c:v>
                </c:pt>
              </c:strCache>
            </c:strRef>
          </c:cat>
          <c:val>
            <c:numRef>
              <c:f>Table!$B$8:$B$43</c:f>
              <c:numCache>
                <c:formatCode>0.00%</c:formatCode>
                <c:ptCount val="36"/>
                <c:pt idx="0">
                  <c:v>9.1999999999999998E-2</c:v>
                </c:pt>
                <c:pt idx="1">
                  <c:v>5.9324612108305398E-2</c:v>
                </c:pt>
                <c:pt idx="2">
                  <c:v>8.6277521761392695E-2</c:v>
                </c:pt>
                <c:pt idx="3">
                  <c:v>6.5928270042194106E-2</c:v>
                </c:pt>
                <c:pt idx="4">
                  <c:v>3.7802419354838702E-3</c:v>
                </c:pt>
                <c:pt idx="5">
                  <c:v>9.1145833333333304E-3</c:v>
                </c:pt>
                <c:pt idx="6">
                  <c:v>5.7711693548387101E-2</c:v>
                </c:pt>
                <c:pt idx="7">
                  <c:v>3.6664084688871702E-2</c:v>
                </c:pt>
                <c:pt idx="8">
                  <c:v>3.00382304751502E-2</c:v>
                </c:pt>
                <c:pt idx="9">
                  <c:v>0.11623567048786999</c:v>
                </c:pt>
                <c:pt idx="10">
                  <c:v>9.9449035812672198E-2</c:v>
                </c:pt>
                <c:pt idx="11">
                  <c:v>0.13756331644894701</c:v>
                </c:pt>
                <c:pt idx="12">
                  <c:v>6.8868407578085003E-2</c:v>
                </c:pt>
                <c:pt idx="13">
                  <c:v>0.14133016627078401</c:v>
                </c:pt>
                <c:pt idx="14">
                  <c:v>5.62067373638254E-2</c:v>
                </c:pt>
                <c:pt idx="15">
                  <c:v>5.0287356321839102E-2</c:v>
                </c:pt>
                <c:pt idx="16">
                  <c:v>3.0787565481113902E-2</c:v>
                </c:pt>
                <c:pt idx="17">
                  <c:v>0.137392070015221</c:v>
                </c:pt>
                <c:pt idx="18">
                  <c:v>0.134486687481115</c:v>
                </c:pt>
                <c:pt idx="19">
                  <c:v>0.135228239596766</c:v>
                </c:pt>
                <c:pt idx="20">
                  <c:v>8.1840655009366103E-2</c:v>
                </c:pt>
                <c:pt idx="21">
                  <c:v>5.7400896312125901E-2</c:v>
                </c:pt>
                <c:pt idx="22">
                  <c:v>7.1272945996695203E-2</c:v>
                </c:pt>
                <c:pt idx="23">
                  <c:v>0.125978028964328</c:v>
                </c:pt>
                <c:pt idx="24">
                  <c:v>0.1157597464764</c:v>
                </c:pt>
                <c:pt idx="25">
                  <c:v>3.3820489817849603E-2</c:v>
                </c:pt>
                <c:pt idx="26">
                  <c:v>1.41472104678945E-3</c:v>
                </c:pt>
                <c:pt idx="27">
                  <c:v>4.7429635076387699E-2</c:v>
                </c:pt>
                <c:pt idx="28">
                  <c:v>1.8655985493105699E-2</c:v>
                </c:pt>
                <c:pt idx="29">
                  <c:v>1.8955879103753601E-2</c:v>
                </c:pt>
                <c:pt idx="30">
                  <c:v>0.11705138669151301</c:v>
                </c:pt>
                <c:pt idx="31">
                  <c:v>4.0557355160729502E-2</c:v>
                </c:pt>
                <c:pt idx="32">
                  <c:v>6.7943195782333501E-2</c:v>
                </c:pt>
                <c:pt idx="33">
                  <c:v>8.3743415848551397E-2</c:v>
                </c:pt>
                <c:pt idx="34">
                  <c:v>7.8443353441430996E-2</c:v>
                </c:pt>
                <c:pt idx="35">
                  <c:v>0.142839874554545</c:v>
                </c:pt>
              </c:numCache>
            </c:numRef>
          </c:val>
          <c:smooth val="0"/>
          <c:extLst>
            <c:ext xmlns:c16="http://schemas.microsoft.com/office/drawing/2014/chart" uri="{C3380CC4-5D6E-409C-BE32-E72D297353CC}">
              <c16:uniqueId val="{0000000A-30A0-43DE-83E5-361B944DB6B6}"/>
            </c:ext>
          </c:extLst>
        </c:ser>
        <c:ser>
          <c:idx val="1"/>
          <c:order val="1"/>
          <c:tx>
            <c:strRef>
              <c:f>Table!$C$7</c:f>
              <c:strCache>
                <c:ptCount val="1"/>
                <c:pt idx="0">
                  <c:v>Long Term Absence FTE %</c:v>
                </c:pt>
              </c:strCache>
            </c:strRef>
          </c:tx>
          <c:spPr>
            <a:ln w="28575" cap="rnd">
              <a:solidFill>
                <a:schemeClr val="accent2"/>
              </a:solidFill>
              <a:round/>
            </a:ln>
            <a:effectLst/>
          </c:spPr>
          <c:marker>
            <c:symbol val="none"/>
          </c:marker>
          <c:trendline>
            <c:spPr>
              <a:ln w="19050" cap="rnd">
                <a:solidFill>
                  <a:schemeClr val="accent2"/>
                </a:solidFill>
                <a:prstDash val="sysDot"/>
              </a:ln>
              <a:effectLst/>
            </c:spPr>
            <c:trendlineType val="linear"/>
            <c:dispRSqr val="0"/>
            <c:dispEq val="0"/>
          </c:trendline>
          <c:cat>
            <c:strRef>
              <c:f>Table!$A$8:$A$43</c:f>
              <c:strCache>
                <c:ptCount val="36"/>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pt idx="18">
                  <c:v>2024 / 07</c:v>
                </c:pt>
                <c:pt idx="19">
                  <c:v>2024 / 08</c:v>
                </c:pt>
                <c:pt idx="20">
                  <c:v>2024 / 09</c:v>
                </c:pt>
                <c:pt idx="21">
                  <c:v>2024 / 10</c:v>
                </c:pt>
                <c:pt idx="22">
                  <c:v>2024 / 11</c:v>
                </c:pt>
                <c:pt idx="23">
                  <c:v>2024 / 12</c:v>
                </c:pt>
                <c:pt idx="24">
                  <c:v>2025 / 01</c:v>
                </c:pt>
                <c:pt idx="25">
                  <c:v>2025 / 02</c:v>
                </c:pt>
                <c:pt idx="26">
                  <c:v>2025 / 03</c:v>
                </c:pt>
                <c:pt idx="27">
                  <c:v>2025 / 04</c:v>
                </c:pt>
                <c:pt idx="28">
                  <c:v>2025 / 05</c:v>
                </c:pt>
                <c:pt idx="29">
                  <c:v>2025 / 06</c:v>
                </c:pt>
                <c:pt idx="30">
                  <c:v>2025 / 07</c:v>
                </c:pt>
                <c:pt idx="31">
                  <c:v>2025 / 08</c:v>
                </c:pt>
                <c:pt idx="32">
                  <c:v>2025 / 09</c:v>
                </c:pt>
                <c:pt idx="33">
                  <c:v>2025 / 10</c:v>
                </c:pt>
                <c:pt idx="34">
                  <c:v>2025 / 11</c:v>
                </c:pt>
                <c:pt idx="35">
                  <c:v>2025 / 12</c:v>
                </c:pt>
              </c:strCache>
            </c:strRef>
          </c:cat>
          <c:val>
            <c:numRef>
              <c:f>Table!$C$8:$C$43</c:f>
              <c:numCache>
                <c:formatCode>0.00%</c:formatCode>
                <c:ptCount val="36"/>
                <c:pt idx="0">
                  <c:v>9.0461538461538496E-2</c:v>
                </c:pt>
                <c:pt idx="1">
                  <c:v>4.8676604806814697E-2</c:v>
                </c:pt>
                <c:pt idx="2">
                  <c:v>4.9155145929339499E-2</c:v>
                </c:pt>
                <c:pt idx="3">
                  <c:v>5.7489451476793199E-2</c:v>
                </c:pt>
                <c:pt idx="4">
                  <c:v>1.2600806451612901E-3</c:v>
                </c:pt>
                <c:pt idx="5">
                  <c:v>5.2083333333333296E-3</c:v>
                </c:pt>
                <c:pt idx="6">
                  <c:v>4.2590725806451603E-2</c:v>
                </c:pt>
                <c:pt idx="7">
                  <c:v>1.6008262328943999E-2</c:v>
                </c:pt>
                <c:pt idx="8">
                  <c:v>1.63844893500819E-2</c:v>
                </c:pt>
                <c:pt idx="9">
                  <c:v>1.6528925619834701E-2</c:v>
                </c:pt>
                <c:pt idx="10">
                  <c:v>5.6473829201101902E-2</c:v>
                </c:pt>
                <c:pt idx="11">
                  <c:v>0.10023993601706201</c:v>
                </c:pt>
                <c:pt idx="12">
                  <c:v>4.19866871479775E-2</c:v>
                </c:pt>
                <c:pt idx="13">
                  <c:v>7.7494061757719696E-2</c:v>
                </c:pt>
                <c:pt idx="14">
                  <c:v>7.2059956651036004E-3</c:v>
                </c:pt>
                <c:pt idx="15">
                  <c:v>0</c:v>
                </c:pt>
                <c:pt idx="16">
                  <c:v>0</c:v>
                </c:pt>
                <c:pt idx="17">
                  <c:v>6.2607762557077604E-2</c:v>
                </c:pt>
                <c:pt idx="18">
                  <c:v>0.10889404197642499</c:v>
                </c:pt>
                <c:pt idx="19">
                  <c:v>0.121931937351606</c:v>
                </c:pt>
                <c:pt idx="20">
                  <c:v>7.8752328405239103E-2</c:v>
                </c:pt>
                <c:pt idx="21">
                  <c:v>4.44856946418975E-2</c:v>
                </c:pt>
                <c:pt idx="22">
                  <c:v>5.0172025540714697E-2</c:v>
                </c:pt>
                <c:pt idx="23">
                  <c:v>7.2845667294169095E-2</c:v>
                </c:pt>
                <c:pt idx="24">
                  <c:v>8.8752327368742695E-2</c:v>
                </c:pt>
                <c:pt idx="25">
                  <c:v>2.6134014859247399E-2</c:v>
                </c:pt>
                <c:pt idx="26">
                  <c:v>1.41472104678945E-3</c:v>
                </c:pt>
                <c:pt idx="27">
                  <c:v>4.5899646848117197E-2</c:v>
                </c:pt>
                <c:pt idx="28">
                  <c:v>0</c:v>
                </c:pt>
                <c:pt idx="29">
                  <c:v>1.8955879103753601E-2</c:v>
                </c:pt>
                <c:pt idx="30">
                  <c:v>9.7881680682481001E-2</c:v>
                </c:pt>
                <c:pt idx="31">
                  <c:v>2.4275205278684799E-2</c:v>
                </c:pt>
                <c:pt idx="32">
                  <c:v>6.4854868701318305E-2</c:v>
                </c:pt>
                <c:pt idx="33">
                  <c:v>6.3758985798965495E-2</c:v>
                </c:pt>
                <c:pt idx="34">
                  <c:v>6.8869539490284001E-2</c:v>
                </c:pt>
                <c:pt idx="35">
                  <c:v>0.104385300921958</c:v>
                </c:pt>
              </c:numCache>
            </c:numRef>
          </c:val>
          <c:smooth val="0"/>
          <c:extLst>
            <c:ext xmlns:c16="http://schemas.microsoft.com/office/drawing/2014/chart" uri="{C3380CC4-5D6E-409C-BE32-E72D297353CC}">
              <c16:uniqueId val="{0000000C-30A0-43DE-83E5-361B944DB6B6}"/>
            </c:ext>
          </c:extLst>
        </c:ser>
        <c:ser>
          <c:idx val="2"/>
          <c:order val="2"/>
          <c:tx>
            <c:strRef>
              <c:f>Table!$D$7</c:f>
              <c:strCache>
                <c:ptCount val="1"/>
                <c:pt idx="0">
                  <c:v>Short Term Absence FTE %</c:v>
                </c:pt>
              </c:strCache>
            </c:strRef>
          </c:tx>
          <c:spPr>
            <a:ln w="28575" cap="rnd">
              <a:solidFill>
                <a:schemeClr val="accent3"/>
              </a:solidFill>
              <a:round/>
            </a:ln>
            <a:effectLst/>
          </c:spPr>
          <c:marker>
            <c:symbol val="none"/>
          </c:marker>
          <c:trendline>
            <c:spPr>
              <a:ln w="19050" cap="rnd">
                <a:solidFill>
                  <a:schemeClr val="accent3"/>
                </a:solidFill>
                <a:prstDash val="sysDot"/>
              </a:ln>
              <a:effectLst/>
            </c:spPr>
            <c:trendlineType val="linear"/>
            <c:dispRSqr val="0"/>
            <c:dispEq val="0"/>
          </c:trendline>
          <c:cat>
            <c:strRef>
              <c:f>Table!$A$8:$A$43</c:f>
              <c:strCache>
                <c:ptCount val="36"/>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pt idx="18">
                  <c:v>2024 / 07</c:v>
                </c:pt>
                <c:pt idx="19">
                  <c:v>2024 / 08</c:v>
                </c:pt>
                <c:pt idx="20">
                  <c:v>2024 / 09</c:v>
                </c:pt>
                <c:pt idx="21">
                  <c:v>2024 / 10</c:v>
                </c:pt>
                <c:pt idx="22">
                  <c:v>2024 / 11</c:v>
                </c:pt>
                <c:pt idx="23">
                  <c:v>2024 / 12</c:v>
                </c:pt>
                <c:pt idx="24">
                  <c:v>2025 / 01</c:v>
                </c:pt>
                <c:pt idx="25">
                  <c:v>2025 / 02</c:v>
                </c:pt>
                <c:pt idx="26">
                  <c:v>2025 / 03</c:v>
                </c:pt>
                <c:pt idx="27">
                  <c:v>2025 / 04</c:v>
                </c:pt>
                <c:pt idx="28">
                  <c:v>2025 / 05</c:v>
                </c:pt>
                <c:pt idx="29">
                  <c:v>2025 / 06</c:v>
                </c:pt>
                <c:pt idx="30">
                  <c:v>2025 / 07</c:v>
                </c:pt>
                <c:pt idx="31">
                  <c:v>2025 / 08</c:v>
                </c:pt>
                <c:pt idx="32">
                  <c:v>2025 / 09</c:v>
                </c:pt>
                <c:pt idx="33">
                  <c:v>2025 / 10</c:v>
                </c:pt>
                <c:pt idx="34">
                  <c:v>2025 / 11</c:v>
                </c:pt>
                <c:pt idx="35">
                  <c:v>2025 / 12</c:v>
                </c:pt>
              </c:strCache>
            </c:strRef>
          </c:cat>
          <c:val>
            <c:numRef>
              <c:f>Table!$D$8:$D$43</c:f>
              <c:numCache>
                <c:formatCode>0.00%</c:formatCode>
                <c:ptCount val="36"/>
                <c:pt idx="0">
                  <c:v>1.53846153846154E-3</c:v>
                </c:pt>
                <c:pt idx="1">
                  <c:v>1.06480073014907E-2</c:v>
                </c:pt>
                <c:pt idx="2">
                  <c:v>3.71223758320533E-2</c:v>
                </c:pt>
                <c:pt idx="3">
                  <c:v>8.4388185654008397E-3</c:v>
                </c:pt>
                <c:pt idx="4">
                  <c:v>2.5201612903225801E-3</c:v>
                </c:pt>
                <c:pt idx="5">
                  <c:v>3.90625E-3</c:v>
                </c:pt>
                <c:pt idx="6">
                  <c:v>1.51209677419355E-2</c:v>
                </c:pt>
                <c:pt idx="7">
                  <c:v>2.06558223599277E-2</c:v>
                </c:pt>
                <c:pt idx="8">
                  <c:v>1.36537411250683E-2</c:v>
                </c:pt>
                <c:pt idx="9">
                  <c:v>9.9706744868035199E-2</c:v>
                </c:pt>
                <c:pt idx="10">
                  <c:v>4.2975206611570199E-2</c:v>
                </c:pt>
                <c:pt idx="11">
                  <c:v>3.7323380431884802E-2</c:v>
                </c:pt>
                <c:pt idx="12">
                  <c:v>2.68817204301075E-2</c:v>
                </c:pt>
                <c:pt idx="13">
                  <c:v>6.3836104513064096E-2</c:v>
                </c:pt>
                <c:pt idx="14">
                  <c:v>4.9000741698721803E-2</c:v>
                </c:pt>
                <c:pt idx="15">
                  <c:v>5.0287356321839102E-2</c:v>
                </c:pt>
                <c:pt idx="16">
                  <c:v>3.0787565481113902E-2</c:v>
                </c:pt>
                <c:pt idx="17">
                  <c:v>7.4784307458143101E-2</c:v>
                </c:pt>
                <c:pt idx="18">
                  <c:v>2.55926455046902E-2</c:v>
                </c:pt>
                <c:pt idx="19">
                  <c:v>1.32963022451604E-2</c:v>
                </c:pt>
                <c:pt idx="20">
                  <c:v>3.0883266041270199E-3</c:v>
                </c:pt>
                <c:pt idx="21">
                  <c:v>1.2915201670228299E-2</c:v>
                </c:pt>
                <c:pt idx="22">
                  <c:v>2.1100920455980599E-2</c:v>
                </c:pt>
                <c:pt idx="23">
                  <c:v>5.3132361670158501E-2</c:v>
                </c:pt>
                <c:pt idx="24">
                  <c:v>2.7007419107657499E-2</c:v>
                </c:pt>
                <c:pt idx="25">
                  <c:v>7.6864749586021798E-3</c:v>
                </c:pt>
                <c:pt idx="26">
                  <c:v>0</c:v>
                </c:pt>
                <c:pt idx="27">
                  <c:v>1.5299882282705699E-3</c:v>
                </c:pt>
                <c:pt idx="28">
                  <c:v>1.8655985493105699E-2</c:v>
                </c:pt>
                <c:pt idx="29">
                  <c:v>0</c:v>
                </c:pt>
                <c:pt idx="30">
                  <c:v>1.9169706009031898E-2</c:v>
                </c:pt>
                <c:pt idx="31">
                  <c:v>1.62821498820447E-2</c:v>
                </c:pt>
                <c:pt idx="32">
                  <c:v>3.0883270810151599E-3</c:v>
                </c:pt>
                <c:pt idx="33">
                  <c:v>1.9984430049585899E-2</c:v>
                </c:pt>
                <c:pt idx="34">
                  <c:v>9.5738139511469898E-3</c:v>
                </c:pt>
                <c:pt idx="35">
                  <c:v>3.84545736325866E-2</c:v>
                </c:pt>
              </c:numCache>
            </c:numRef>
          </c:val>
          <c:smooth val="0"/>
          <c:extLst>
            <c:ext xmlns:c16="http://schemas.microsoft.com/office/drawing/2014/chart" uri="{C3380CC4-5D6E-409C-BE32-E72D297353CC}">
              <c16:uniqueId val="{0000000E-30A0-43DE-83E5-361B944DB6B6}"/>
            </c:ext>
          </c:extLst>
        </c:ser>
        <c:dLbls>
          <c:showLegendKey val="0"/>
          <c:showVal val="0"/>
          <c:showCatName val="0"/>
          <c:showSerName val="0"/>
          <c:showPercent val="0"/>
          <c:showBubbleSize val="0"/>
        </c:dLbls>
        <c:smooth val="0"/>
        <c:axId val="734728703"/>
        <c:axId val="734727743"/>
      </c:lineChart>
      <c:catAx>
        <c:axId val="734728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727743"/>
        <c:crosses val="autoZero"/>
        <c:auto val="1"/>
        <c:lblAlgn val="ctr"/>
        <c:lblOffset val="100"/>
        <c:noMultiLvlLbl val="0"/>
      </c:catAx>
      <c:valAx>
        <c:axId val="734727743"/>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7287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1C124CD-7A95-4105-A869-A8DFABE82A17}"/>
</file>

<file path=customXml/itemProps2.xml><?xml version="1.0" encoding="utf-8"?>
<ds:datastoreItem xmlns:ds="http://schemas.openxmlformats.org/officeDocument/2006/customXml" ds:itemID="{4D98065E-EC12-4D16-8B7A-2E927AF6A0D3}"/>
</file>

<file path=customXml/itemProps3.xml><?xml version="1.0" encoding="utf-8"?>
<ds:datastoreItem xmlns:ds="http://schemas.openxmlformats.org/officeDocument/2006/customXml" ds:itemID="{A011F4FD-800E-46D9-A54B-5C7D705C3CDD}"/>
</file>

<file path=docProps/app.xml><?xml version="1.0" encoding="utf-8"?>
<Properties xmlns="http://schemas.openxmlformats.org/officeDocument/2006/extended-properties" xmlns:vt="http://schemas.openxmlformats.org/officeDocument/2006/docPropsVTypes">
  <Template>Normal</Template>
  <TotalTime>0</TotalTime>
  <Pages>1</Pages>
  <Words>1590</Words>
  <Characters>9083</Characters>
  <Application>Microsoft Office Word</Application>
  <DocSecurity>0</DocSecurity>
  <Lines>908</Lines>
  <Paragraphs>485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Davies (Swansea Bay UHB - Human Resources)</dc:creator>
  <cp:keywords/>
  <dc:description/>
  <cp:lastModifiedBy>Jill Faulkner (Swansea Bay UHB - Workforce &amp; OD)</cp:lastModifiedBy>
  <cp:revision>1</cp:revision>
  <dcterms:created xsi:type="dcterms:W3CDTF">2026-02-17T13:18:00Z</dcterms:created>
  <dcterms:modified xsi:type="dcterms:W3CDTF">2026-02-17T13:18:00Z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