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1FF6CB"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bookmarkStart w:id="0" w:name="_Hlk157349090"/>
      <w:bookmarkEnd w:id="0"/>
      <w:r>
        <w:rPr>
          <w:noProof/>
          <w:lang w:eastAsia="en-GB"/>
        </w:rPr>
        <w:drawing>
          <wp:anchor distT="0" distB="0" distL="114300" distR="114300" simplePos="0" relativeHeight="251659264" behindDoc="1" locked="0" layoutInCell="1" allowOverlap="1" wp14:anchorId="74F7BC03" wp14:editId="5EF4AFEE">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C0E2C94" wp14:editId="76D111E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DA92A6E" wp14:editId="6DCD918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34B9D98"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ACCF01D" w14:textId="77777777" w:rsidTr="00DA76AD">
        <w:tc>
          <w:tcPr>
            <w:tcW w:w="2547" w:type="dxa"/>
          </w:tcPr>
          <w:p w14:paraId="76E98D8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15T00:00:00Z">
              <w:dateFormat w:val="dd MMMM yyyy"/>
              <w:lid w:val="en-GB"/>
              <w:storeMappedDataAs w:val="dateTime"/>
              <w:calendar w:val="gregorian"/>
            </w:date>
          </w:sdtPr>
          <w:sdtEndPr/>
          <w:sdtContent>
            <w:tc>
              <w:tcPr>
                <w:tcW w:w="3260" w:type="dxa"/>
                <w:gridSpan w:val="2"/>
              </w:tcPr>
              <w:p w14:paraId="78E6A464" w14:textId="12D7900B" w:rsidR="00F5082D" w:rsidRPr="00FA0CA9" w:rsidRDefault="00083378" w:rsidP="00FA0CA9">
                <w:pPr>
                  <w:rPr>
                    <w:rFonts w:ascii="Arial" w:hAnsi="Arial" w:cs="Arial"/>
                    <w:b/>
                    <w:sz w:val="24"/>
                    <w:szCs w:val="24"/>
                  </w:rPr>
                </w:pPr>
                <w:r>
                  <w:rPr>
                    <w:rFonts w:ascii="Arial" w:hAnsi="Arial" w:cs="Arial"/>
                    <w:b/>
                    <w:sz w:val="24"/>
                    <w:szCs w:val="24"/>
                  </w:rPr>
                  <w:t>15 February</w:t>
                </w:r>
                <w:r w:rsidR="00B621F1">
                  <w:rPr>
                    <w:rFonts w:ascii="Arial" w:hAnsi="Arial" w:cs="Arial"/>
                    <w:b/>
                    <w:sz w:val="24"/>
                    <w:szCs w:val="24"/>
                  </w:rPr>
                  <w:t xml:space="preserve"> 2024</w:t>
                </w:r>
              </w:p>
            </w:tc>
          </w:sdtContent>
        </w:sdt>
        <w:tc>
          <w:tcPr>
            <w:tcW w:w="2368" w:type="dxa"/>
            <w:gridSpan w:val="3"/>
          </w:tcPr>
          <w:p w14:paraId="433D8D62"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B65C896" w14:textId="358B8BC5" w:rsidR="00F5082D" w:rsidRPr="00FA0CA9" w:rsidRDefault="006F3232" w:rsidP="00FA0CA9">
            <w:pPr>
              <w:rPr>
                <w:rFonts w:ascii="Arial" w:hAnsi="Arial" w:cs="Arial"/>
                <w:b/>
                <w:sz w:val="24"/>
                <w:szCs w:val="24"/>
              </w:rPr>
            </w:pPr>
            <w:r>
              <w:rPr>
                <w:rFonts w:ascii="Arial" w:hAnsi="Arial" w:cs="Arial"/>
                <w:b/>
                <w:sz w:val="24"/>
                <w:szCs w:val="24"/>
              </w:rPr>
              <w:t>2.</w:t>
            </w:r>
            <w:r w:rsidR="00620776">
              <w:rPr>
                <w:rFonts w:ascii="Arial" w:hAnsi="Arial" w:cs="Arial"/>
                <w:b/>
                <w:sz w:val="24"/>
                <w:szCs w:val="24"/>
              </w:rPr>
              <w:t>2</w:t>
            </w:r>
          </w:p>
        </w:tc>
      </w:tr>
      <w:tr w:rsidR="00083FC0" w:rsidRPr="00034194" w14:paraId="3DCB6015" w14:textId="77777777" w:rsidTr="00DA76AD">
        <w:tc>
          <w:tcPr>
            <w:tcW w:w="2547" w:type="dxa"/>
          </w:tcPr>
          <w:p w14:paraId="23248FA2" w14:textId="77777777" w:rsidR="00034194" w:rsidRPr="00FA0CA9" w:rsidRDefault="00034194" w:rsidP="00FA0CA9">
            <w:pPr>
              <w:rPr>
                <w:rFonts w:ascii="Arial" w:hAnsi="Arial" w:cs="Arial"/>
                <w:b/>
                <w:sz w:val="24"/>
                <w:szCs w:val="24"/>
              </w:rPr>
            </w:pPr>
            <w:bookmarkStart w:id="1" w:name="_GoBack" w:colFirst="1" w:colLast="1"/>
            <w:r w:rsidRPr="00FA0CA9">
              <w:rPr>
                <w:rFonts w:ascii="Arial" w:hAnsi="Arial" w:cs="Arial"/>
                <w:b/>
                <w:sz w:val="24"/>
                <w:szCs w:val="24"/>
              </w:rPr>
              <w:t>Report Title</w:t>
            </w:r>
          </w:p>
        </w:tc>
        <w:tc>
          <w:tcPr>
            <w:tcW w:w="6469" w:type="dxa"/>
            <w:gridSpan w:val="6"/>
          </w:tcPr>
          <w:p w14:paraId="4CA70082" w14:textId="26C87C05" w:rsidR="00034194" w:rsidRPr="00401552" w:rsidRDefault="005544B9" w:rsidP="00FA0CA9">
            <w:pPr>
              <w:rPr>
                <w:rFonts w:ascii="Arial" w:hAnsi="Arial" w:cs="Arial"/>
                <w:bCs/>
                <w:sz w:val="24"/>
                <w:szCs w:val="24"/>
              </w:rPr>
            </w:pPr>
            <w:r>
              <w:rPr>
                <w:rFonts w:ascii="Arial" w:hAnsi="Arial" w:cs="Arial"/>
                <w:bCs/>
                <w:sz w:val="24"/>
                <w:szCs w:val="24"/>
              </w:rPr>
              <w:t>I</w:t>
            </w:r>
            <w:r w:rsidR="00401552" w:rsidRPr="00401552">
              <w:rPr>
                <w:rFonts w:ascii="Arial" w:hAnsi="Arial" w:cs="Arial"/>
                <w:bCs/>
                <w:sz w:val="24"/>
                <w:szCs w:val="24"/>
              </w:rPr>
              <w:t>mproving medical effectiveness</w:t>
            </w:r>
          </w:p>
        </w:tc>
      </w:tr>
      <w:bookmarkEnd w:id="1"/>
      <w:tr w:rsidR="00083FC0" w:rsidRPr="00034194" w14:paraId="33703ABD" w14:textId="77777777" w:rsidTr="00DA76AD">
        <w:tc>
          <w:tcPr>
            <w:tcW w:w="2547" w:type="dxa"/>
          </w:tcPr>
          <w:p w14:paraId="3E31CBD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765B227" w14:textId="1B4903F8" w:rsidR="00034194" w:rsidRPr="00FA0CA9" w:rsidRDefault="005152AC" w:rsidP="00FA0CA9">
            <w:pPr>
              <w:rPr>
                <w:rFonts w:ascii="Arial" w:hAnsi="Arial" w:cs="Arial"/>
                <w:sz w:val="24"/>
                <w:szCs w:val="24"/>
              </w:rPr>
            </w:pPr>
            <w:r>
              <w:rPr>
                <w:rFonts w:ascii="Arial" w:hAnsi="Arial" w:cs="Arial"/>
                <w:sz w:val="24"/>
                <w:szCs w:val="24"/>
              </w:rPr>
              <w:t>Emma Owen, Head of Workforce Effectiveness &amp; Insight</w:t>
            </w:r>
          </w:p>
        </w:tc>
      </w:tr>
      <w:tr w:rsidR="00762BBE" w:rsidRPr="00034194" w14:paraId="548B7DAF" w14:textId="77777777" w:rsidTr="00DA76AD">
        <w:tc>
          <w:tcPr>
            <w:tcW w:w="2547" w:type="dxa"/>
          </w:tcPr>
          <w:p w14:paraId="738A43D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A589CFE" w14:textId="4DCDEBE9" w:rsidR="00762BBE" w:rsidRPr="005544B9" w:rsidRDefault="00131E47" w:rsidP="00762BBE">
            <w:pPr>
              <w:rPr>
                <w:rFonts w:ascii="Arial" w:hAnsi="Arial" w:cs="Arial"/>
                <w:sz w:val="24"/>
                <w:szCs w:val="24"/>
              </w:rPr>
            </w:pPr>
            <w:r>
              <w:rPr>
                <w:rFonts w:ascii="Arial" w:hAnsi="Arial" w:cs="Arial"/>
                <w:sz w:val="24"/>
                <w:szCs w:val="24"/>
              </w:rPr>
              <w:t xml:space="preserve">Debbie Eyitayo , WOD Director </w:t>
            </w:r>
          </w:p>
        </w:tc>
      </w:tr>
      <w:tr w:rsidR="00762BBE" w:rsidRPr="00034194" w14:paraId="6CE6B010" w14:textId="77777777" w:rsidTr="00DA76AD">
        <w:tc>
          <w:tcPr>
            <w:tcW w:w="2547" w:type="dxa"/>
          </w:tcPr>
          <w:p w14:paraId="0661925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838FA49" w14:textId="358137EA" w:rsidR="00762BBE" w:rsidRPr="005544B9" w:rsidRDefault="005152AC" w:rsidP="00762BBE">
            <w:pPr>
              <w:rPr>
                <w:rFonts w:ascii="Arial" w:hAnsi="Arial" w:cs="Arial"/>
                <w:sz w:val="24"/>
                <w:szCs w:val="24"/>
              </w:rPr>
            </w:pPr>
            <w:r w:rsidRPr="005544B9">
              <w:rPr>
                <w:rFonts w:ascii="Arial" w:hAnsi="Arial" w:cs="Arial"/>
                <w:sz w:val="24"/>
                <w:szCs w:val="24"/>
              </w:rPr>
              <w:t>Sharon Vickery, Assistant Director of Workforce &amp; OD</w:t>
            </w:r>
          </w:p>
        </w:tc>
      </w:tr>
      <w:tr w:rsidR="00653AEC" w:rsidRPr="00034194" w14:paraId="34136E99" w14:textId="77777777" w:rsidTr="00DA76AD">
        <w:tc>
          <w:tcPr>
            <w:tcW w:w="2547" w:type="dxa"/>
          </w:tcPr>
          <w:p w14:paraId="68FD4514"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750066D" w14:textId="5096C214" w:rsidR="00653AEC" w:rsidRPr="005544B9" w:rsidRDefault="00653AEC" w:rsidP="00653AEC">
            <w:pPr>
              <w:rPr>
                <w:rFonts w:ascii="Arial" w:hAnsi="Arial" w:cs="Arial"/>
                <w:sz w:val="24"/>
                <w:szCs w:val="24"/>
              </w:rPr>
            </w:pPr>
            <w:r w:rsidRPr="005544B9">
              <w:rPr>
                <w:rFonts w:ascii="Arial" w:hAnsi="Arial" w:cs="Arial"/>
                <w:sz w:val="24"/>
                <w:szCs w:val="24"/>
              </w:rPr>
              <w:t>Open</w:t>
            </w:r>
          </w:p>
        </w:tc>
      </w:tr>
      <w:tr w:rsidR="00653AEC" w:rsidRPr="00034194" w14:paraId="666216FC" w14:textId="77777777" w:rsidTr="00DA76AD">
        <w:tc>
          <w:tcPr>
            <w:tcW w:w="2547" w:type="dxa"/>
          </w:tcPr>
          <w:p w14:paraId="6886A5BE"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2214D39" w14:textId="7A27584D" w:rsidR="00653AEC" w:rsidRPr="005544B9" w:rsidRDefault="001D3C12" w:rsidP="00653AEC">
            <w:pPr>
              <w:ind w:right="96"/>
              <w:rPr>
                <w:rFonts w:ascii="Arial" w:hAnsi="Arial" w:cs="Arial"/>
                <w:sz w:val="24"/>
                <w:szCs w:val="24"/>
              </w:rPr>
            </w:pPr>
            <w:r w:rsidRPr="005544B9">
              <w:rPr>
                <w:rFonts w:ascii="Arial" w:hAnsi="Arial" w:cs="Arial"/>
                <w:sz w:val="24"/>
                <w:szCs w:val="24"/>
              </w:rPr>
              <w:t>This paper is to</w:t>
            </w:r>
            <w:r w:rsidR="0098711A" w:rsidRPr="005544B9">
              <w:rPr>
                <w:rFonts w:ascii="Arial" w:hAnsi="Arial" w:cs="Arial"/>
                <w:sz w:val="24"/>
                <w:szCs w:val="24"/>
              </w:rPr>
              <w:t xml:space="preserve"> update the committee on the </w:t>
            </w:r>
            <w:r w:rsidR="00131E47">
              <w:rPr>
                <w:rFonts w:ascii="Arial" w:hAnsi="Arial" w:cs="Arial"/>
                <w:sz w:val="24"/>
                <w:szCs w:val="24"/>
              </w:rPr>
              <w:t>m</w:t>
            </w:r>
            <w:r w:rsidR="0098711A" w:rsidRPr="005544B9">
              <w:rPr>
                <w:rFonts w:ascii="Arial" w:hAnsi="Arial" w:cs="Arial"/>
                <w:sz w:val="24"/>
                <w:szCs w:val="24"/>
              </w:rPr>
              <w:t>edical effectiveness work</w:t>
            </w:r>
            <w:r w:rsidR="005544B9" w:rsidRPr="005544B9">
              <w:rPr>
                <w:rFonts w:ascii="Arial" w:hAnsi="Arial" w:cs="Arial"/>
                <w:sz w:val="24"/>
                <w:szCs w:val="24"/>
              </w:rPr>
              <w:t xml:space="preserve"> that is taking place in the Health Board</w:t>
            </w:r>
            <w:r w:rsidR="00131E47">
              <w:rPr>
                <w:rFonts w:ascii="Arial" w:hAnsi="Arial" w:cs="Arial"/>
                <w:sz w:val="24"/>
                <w:szCs w:val="24"/>
              </w:rPr>
              <w:t xml:space="preserve"> with rega</w:t>
            </w:r>
            <w:r w:rsidR="005F26E4">
              <w:rPr>
                <w:rFonts w:ascii="Arial" w:hAnsi="Arial" w:cs="Arial"/>
                <w:sz w:val="24"/>
                <w:szCs w:val="24"/>
              </w:rPr>
              <w:t xml:space="preserve">rd to variable pay and digital </w:t>
            </w:r>
            <w:r w:rsidR="00131E47">
              <w:rPr>
                <w:rFonts w:ascii="Arial" w:hAnsi="Arial" w:cs="Arial"/>
                <w:sz w:val="24"/>
                <w:szCs w:val="24"/>
              </w:rPr>
              <w:t xml:space="preserve">workforce systems. </w:t>
            </w:r>
          </w:p>
          <w:p w14:paraId="429C4EA3" w14:textId="77777777" w:rsidR="00653AEC" w:rsidRPr="005544B9" w:rsidRDefault="00653AEC" w:rsidP="00653AEC">
            <w:pPr>
              <w:ind w:right="96"/>
              <w:rPr>
                <w:rFonts w:ascii="Arial" w:hAnsi="Arial" w:cs="Arial"/>
                <w:sz w:val="24"/>
                <w:szCs w:val="24"/>
              </w:rPr>
            </w:pPr>
          </w:p>
          <w:p w14:paraId="01818F45" w14:textId="77777777" w:rsidR="00653AEC" w:rsidRPr="005544B9" w:rsidRDefault="00653AEC" w:rsidP="00653AEC">
            <w:pPr>
              <w:ind w:right="96"/>
              <w:rPr>
                <w:rFonts w:ascii="Arial" w:hAnsi="Arial" w:cs="Arial"/>
                <w:sz w:val="24"/>
                <w:szCs w:val="24"/>
              </w:rPr>
            </w:pPr>
          </w:p>
          <w:p w14:paraId="62620B8D" w14:textId="77777777" w:rsidR="00653AEC" w:rsidRPr="005544B9" w:rsidRDefault="00653AEC" w:rsidP="00653AEC">
            <w:pPr>
              <w:rPr>
                <w:rFonts w:ascii="Arial" w:hAnsi="Arial" w:cs="Arial"/>
                <w:sz w:val="24"/>
                <w:szCs w:val="24"/>
              </w:rPr>
            </w:pPr>
          </w:p>
        </w:tc>
      </w:tr>
      <w:tr w:rsidR="00653AEC" w:rsidRPr="00034194" w14:paraId="4E797495" w14:textId="77777777" w:rsidTr="00DA76AD">
        <w:tc>
          <w:tcPr>
            <w:tcW w:w="2547" w:type="dxa"/>
          </w:tcPr>
          <w:p w14:paraId="5C18A307"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38332972" w14:textId="77777777" w:rsidR="00653AEC" w:rsidRPr="00FA0CA9" w:rsidRDefault="00653AEC" w:rsidP="00653AEC">
            <w:pPr>
              <w:rPr>
                <w:rFonts w:ascii="Arial" w:hAnsi="Arial" w:cs="Arial"/>
                <w:b/>
                <w:sz w:val="24"/>
                <w:szCs w:val="24"/>
              </w:rPr>
            </w:pPr>
          </w:p>
          <w:p w14:paraId="1DC9D574" w14:textId="77777777" w:rsidR="00653AEC" w:rsidRPr="00FA0CA9" w:rsidRDefault="00653AEC" w:rsidP="00653AEC">
            <w:pPr>
              <w:rPr>
                <w:rFonts w:ascii="Arial" w:hAnsi="Arial" w:cs="Arial"/>
                <w:b/>
                <w:sz w:val="24"/>
                <w:szCs w:val="24"/>
              </w:rPr>
            </w:pPr>
          </w:p>
          <w:p w14:paraId="630E9137" w14:textId="77777777" w:rsidR="00653AEC" w:rsidRPr="00FA0CA9" w:rsidRDefault="00653AEC" w:rsidP="00653AEC">
            <w:pPr>
              <w:rPr>
                <w:rFonts w:ascii="Arial" w:hAnsi="Arial" w:cs="Arial"/>
                <w:b/>
                <w:sz w:val="24"/>
                <w:szCs w:val="24"/>
              </w:rPr>
            </w:pPr>
          </w:p>
        </w:tc>
        <w:tc>
          <w:tcPr>
            <w:tcW w:w="6469" w:type="dxa"/>
            <w:gridSpan w:val="6"/>
          </w:tcPr>
          <w:p w14:paraId="2B343D65" w14:textId="426C5101" w:rsidR="00131E47" w:rsidRPr="005544B9" w:rsidRDefault="00B621F1" w:rsidP="00131E47">
            <w:pPr>
              <w:ind w:right="96"/>
              <w:rPr>
                <w:rFonts w:ascii="Arial" w:hAnsi="Arial" w:cs="Arial"/>
                <w:sz w:val="24"/>
                <w:szCs w:val="24"/>
              </w:rPr>
            </w:pPr>
            <w:r w:rsidRPr="00B621F1">
              <w:rPr>
                <w:rFonts w:ascii="Arial" w:hAnsi="Arial" w:cs="Arial"/>
                <w:sz w:val="24"/>
                <w:szCs w:val="24"/>
              </w:rPr>
              <w:t xml:space="preserve">This paper outlines the </w:t>
            </w:r>
            <w:r w:rsidR="00FE3DD3">
              <w:rPr>
                <w:rFonts w:ascii="Arial" w:hAnsi="Arial" w:cs="Arial"/>
                <w:sz w:val="24"/>
                <w:szCs w:val="24"/>
              </w:rPr>
              <w:t>activities being undertaken to improve medical effectiveness</w:t>
            </w:r>
            <w:r w:rsidR="00131E47">
              <w:rPr>
                <w:rFonts w:ascii="Arial" w:hAnsi="Arial" w:cs="Arial"/>
                <w:sz w:val="24"/>
                <w:szCs w:val="24"/>
              </w:rPr>
              <w:t xml:space="preserve"> with regard to variable pay and digital workforce systems. </w:t>
            </w:r>
          </w:p>
          <w:p w14:paraId="4B492C1D" w14:textId="0E242575" w:rsidR="00653AEC" w:rsidRPr="00B621F1" w:rsidRDefault="00653AEC" w:rsidP="00653AEC">
            <w:pPr>
              <w:rPr>
                <w:rFonts w:ascii="Arial" w:hAnsi="Arial" w:cs="Arial"/>
                <w:sz w:val="24"/>
                <w:szCs w:val="24"/>
              </w:rPr>
            </w:pPr>
          </w:p>
          <w:p w14:paraId="512E34AB" w14:textId="77777777" w:rsidR="00653AEC" w:rsidRPr="00FA0CA9" w:rsidRDefault="00653AEC" w:rsidP="00653AEC">
            <w:pPr>
              <w:rPr>
                <w:rFonts w:ascii="Arial" w:hAnsi="Arial" w:cs="Arial"/>
                <w:sz w:val="24"/>
                <w:szCs w:val="24"/>
              </w:rPr>
            </w:pPr>
          </w:p>
          <w:p w14:paraId="74A75FAE" w14:textId="77777777" w:rsidR="00653AEC" w:rsidRPr="00FA0CA9" w:rsidRDefault="00653AEC" w:rsidP="00653AEC">
            <w:pPr>
              <w:rPr>
                <w:rFonts w:ascii="Arial" w:hAnsi="Arial" w:cs="Arial"/>
                <w:sz w:val="24"/>
                <w:szCs w:val="24"/>
              </w:rPr>
            </w:pPr>
          </w:p>
          <w:p w14:paraId="540E9510" w14:textId="77777777" w:rsidR="00653AEC" w:rsidRPr="00FA0CA9" w:rsidRDefault="00653AEC" w:rsidP="00653AEC">
            <w:pPr>
              <w:rPr>
                <w:rFonts w:ascii="Arial" w:hAnsi="Arial" w:cs="Arial"/>
                <w:sz w:val="24"/>
                <w:szCs w:val="24"/>
              </w:rPr>
            </w:pPr>
          </w:p>
        </w:tc>
      </w:tr>
      <w:tr w:rsidR="00762BBE" w:rsidRPr="00034194" w14:paraId="4F8251BA" w14:textId="77777777" w:rsidTr="00DA76AD">
        <w:trPr>
          <w:trHeight w:val="97"/>
        </w:trPr>
        <w:tc>
          <w:tcPr>
            <w:tcW w:w="2547" w:type="dxa"/>
            <w:vMerge w:val="restart"/>
          </w:tcPr>
          <w:p w14:paraId="247A55F1"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043FC1E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CFEECCD"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ACF303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97898B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287D1A4"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134BAC7" w14:textId="77777777" w:rsidTr="00DA76AD">
        <w:trPr>
          <w:trHeight w:val="96"/>
        </w:trPr>
        <w:tc>
          <w:tcPr>
            <w:tcW w:w="2547" w:type="dxa"/>
            <w:vMerge/>
          </w:tcPr>
          <w:p w14:paraId="55861B8B"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4DB8E92" w14:textId="5FD28883" w:rsidR="00762BBE" w:rsidRPr="00FA0CA9" w:rsidRDefault="00AF5F9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5F9402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61F9641" w14:textId="6A70A9AD" w:rsidR="00762BBE" w:rsidRPr="00FA0CA9" w:rsidRDefault="00AF5F9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4D3ECEC"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746EDB65" w14:textId="77777777" w:rsidTr="00DA76AD">
        <w:tc>
          <w:tcPr>
            <w:tcW w:w="2547" w:type="dxa"/>
          </w:tcPr>
          <w:p w14:paraId="6EEE421A" w14:textId="77777777" w:rsidR="00762BBE" w:rsidRPr="00B621F1" w:rsidRDefault="00762BBE" w:rsidP="00762BBE">
            <w:pPr>
              <w:rPr>
                <w:rFonts w:ascii="Arial" w:hAnsi="Arial" w:cs="Arial"/>
                <w:b/>
                <w:sz w:val="24"/>
                <w:szCs w:val="24"/>
              </w:rPr>
            </w:pPr>
            <w:r w:rsidRPr="00B621F1">
              <w:rPr>
                <w:rFonts w:ascii="Arial" w:hAnsi="Arial" w:cs="Arial"/>
                <w:b/>
                <w:sz w:val="24"/>
                <w:szCs w:val="24"/>
              </w:rPr>
              <w:t>Recommendations</w:t>
            </w:r>
          </w:p>
          <w:p w14:paraId="456AC92B" w14:textId="77777777" w:rsidR="00762BBE" w:rsidRPr="00B621F1" w:rsidRDefault="00762BBE" w:rsidP="00762BBE">
            <w:pPr>
              <w:rPr>
                <w:rFonts w:ascii="Arial" w:hAnsi="Arial" w:cs="Arial"/>
                <w:b/>
                <w:sz w:val="24"/>
                <w:szCs w:val="24"/>
              </w:rPr>
            </w:pPr>
          </w:p>
        </w:tc>
        <w:tc>
          <w:tcPr>
            <w:tcW w:w="6469" w:type="dxa"/>
            <w:gridSpan w:val="6"/>
          </w:tcPr>
          <w:p w14:paraId="2CB45BDA" w14:textId="2E1667AD" w:rsidR="00653AEC" w:rsidRPr="00B621F1" w:rsidRDefault="00653AEC" w:rsidP="00653AEC">
            <w:pPr>
              <w:ind w:right="96"/>
              <w:rPr>
                <w:rFonts w:ascii="Arial" w:hAnsi="Arial" w:cs="Arial"/>
                <w:sz w:val="24"/>
                <w:szCs w:val="24"/>
              </w:rPr>
            </w:pPr>
            <w:r w:rsidRPr="00B621F1">
              <w:rPr>
                <w:rFonts w:ascii="Arial" w:hAnsi="Arial" w:cs="Arial"/>
                <w:sz w:val="24"/>
                <w:szCs w:val="24"/>
              </w:rPr>
              <w:t>Members are asked to</w:t>
            </w:r>
            <w:r w:rsidR="00B621F1" w:rsidRPr="00B621F1">
              <w:rPr>
                <w:rFonts w:ascii="Arial" w:hAnsi="Arial" w:cs="Arial"/>
                <w:sz w:val="24"/>
                <w:szCs w:val="24"/>
              </w:rPr>
              <w:t xml:space="preserve"> note the contents of the paper.</w:t>
            </w:r>
          </w:p>
          <w:p w14:paraId="63209CB9" w14:textId="77777777" w:rsidR="00653AEC" w:rsidRPr="00B621F1" w:rsidRDefault="00653AEC" w:rsidP="00653AEC">
            <w:pPr>
              <w:pStyle w:val="ListParagraph"/>
              <w:ind w:right="96"/>
              <w:rPr>
                <w:rFonts w:ascii="Arial" w:hAnsi="Arial" w:cs="Arial"/>
                <w:b/>
                <w:sz w:val="24"/>
                <w:szCs w:val="24"/>
              </w:rPr>
            </w:pPr>
          </w:p>
          <w:p w14:paraId="4E4CD406" w14:textId="77777777" w:rsidR="00762BBE" w:rsidRPr="00B621F1" w:rsidRDefault="00762BBE" w:rsidP="00B621F1">
            <w:pPr>
              <w:ind w:right="96"/>
              <w:rPr>
                <w:rFonts w:ascii="Arial" w:hAnsi="Arial" w:cs="Arial"/>
              </w:rPr>
            </w:pPr>
          </w:p>
        </w:tc>
      </w:tr>
    </w:tbl>
    <w:p w14:paraId="5BE39D23" w14:textId="77777777" w:rsidR="0020539A" w:rsidRDefault="0020539A"/>
    <w:p w14:paraId="461033D6" w14:textId="1DA33249" w:rsidR="00653AEC" w:rsidRDefault="0020539A" w:rsidP="00653AEC">
      <w:pPr>
        <w:spacing w:after="0" w:line="240" w:lineRule="auto"/>
        <w:jc w:val="center"/>
        <w:rPr>
          <w:rFonts w:ascii="Arial" w:hAnsi="Arial" w:cs="Arial"/>
          <w:b/>
          <w:sz w:val="24"/>
          <w:szCs w:val="24"/>
        </w:rPr>
      </w:pPr>
      <w:r>
        <w:br w:type="page"/>
      </w:r>
      <w:r w:rsidR="005544B9">
        <w:rPr>
          <w:rFonts w:ascii="Arial" w:hAnsi="Arial" w:cs="Arial"/>
          <w:b/>
          <w:sz w:val="24"/>
          <w:szCs w:val="24"/>
        </w:rPr>
        <w:lastRenderedPageBreak/>
        <w:t>Improving Medical Effectiveness</w:t>
      </w:r>
    </w:p>
    <w:p w14:paraId="76A176B3" w14:textId="77777777" w:rsidR="00653AEC" w:rsidRPr="0072604C" w:rsidRDefault="00653AEC" w:rsidP="00653AEC">
      <w:pPr>
        <w:spacing w:after="0" w:line="240" w:lineRule="auto"/>
        <w:jc w:val="center"/>
        <w:rPr>
          <w:rFonts w:ascii="Arial" w:hAnsi="Arial" w:cs="Arial"/>
          <w:b/>
          <w:sz w:val="24"/>
          <w:szCs w:val="24"/>
        </w:rPr>
      </w:pPr>
    </w:p>
    <w:p w14:paraId="2B53A8B0"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C6F27F5" w14:textId="77777777" w:rsidR="005544B9" w:rsidRDefault="005544B9" w:rsidP="005544B9">
      <w:pPr>
        <w:spacing w:after="0" w:line="240" w:lineRule="auto"/>
        <w:rPr>
          <w:rFonts w:ascii="Arial" w:hAnsi="Arial" w:cs="Arial"/>
          <w:b/>
          <w:sz w:val="24"/>
          <w:szCs w:val="24"/>
        </w:rPr>
      </w:pPr>
    </w:p>
    <w:p w14:paraId="29B083BD" w14:textId="6B5BC248" w:rsidR="00E33391" w:rsidRPr="00E33391" w:rsidRDefault="00E33391" w:rsidP="00E33391">
      <w:pPr>
        <w:pStyle w:val="Default"/>
        <w:jc w:val="both"/>
        <w:rPr>
          <w:rFonts w:ascii="Arial" w:hAnsi="Arial" w:cs="Arial"/>
          <w:bCs/>
          <w:color w:val="auto"/>
        </w:rPr>
      </w:pPr>
      <w:r w:rsidRPr="00E33391">
        <w:rPr>
          <w:rFonts w:ascii="Arial" w:hAnsi="Arial" w:cs="Arial"/>
          <w:bCs/>
          <w:color w:val="auto"/>
        </w:rPr>
        <w:t xml:space="preserve">The Health Board has implemented an effectiveness programme which supports a number of key strategic aims focussed on reducing both bank and agency expenditure. Achieving a reduction is multi-faceted and must balance effective staff deployment and the operational patient safety risks. </w:t>
      </w:r>
    </w:p>
    <w:p w14:paraId="4D9FCB1F" w14:textId="77777777" w:rsidR="005544B9" w:rsidRPr="005544B9" w:rsidRDefault="005544B9" w:rsidP="005544B9">
      <w:pPr>
        <w:spacing w:after="0" w:line="240" w:lineRule="auto"/>
        <w:rPr>
          <w:rFonts w:ascii="Arial" w:hAnsi="Arial" w:cs="Arial"/>
          <w:b/>
          <w:sz w:val="24"/>
          <w:szCs w:val="24"/>
        </w:rPr>
      </w:pPr>
    </w:p>
    <w:p w14:paraId="4661CB48" w14:textId="39B41CA7" w:rsidR="00BA599D" w:rsidRPr="00EE7C4E" w:rsidRDefault="00653AEC" w:rsidP="00EE7C4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2D84AF5E" w14:textId="77777777" w:rsidR="00C414E6" w:rsidRDefault="00C414E6" w:rsidP="00653AEC">
      <w:pPr>
        <w:spacing w:after="0" w:line="240" w:lineRule="auto"/>
        <w:rPr>
          <w:rFonts w:ascii="Arial" w:hAnsi="Arial" w:cs="Arial"/>
          <w:color w:val="FF0000"/>
          <w:sz w:val="24"/>
          <w:szCs w:val="24"/>
        </w:rPr>
      </w:pPr>
    </w:p>
    <w:p w14:paraId="5E3E3258" w14:textId="6801003A" w:rsidR="00BA599D" w:rsidRDefault="00BA599D" w:rsidP="009D4CCD">
      <w:pPr>
        <w:spacing w:after="0" w:line="240" w:lineRule="auto"/>
        <w:jc w:val="both"/>
        <w:rPr>
          <w:rFonts w:ascii="Arial" w:hAnsi="Arial" w:cs="Arial"/>
          <w:bCs/>
          <w:sz w:val="24"/>
          <w:szCs w:val="24"/>
        </w:rPr>
      </w:pPr>
      <w:r w:rsidRPr="009D4CCD">
        <w:rPr>
          <w:rFonts w:ascii="Arial" w:hAnsi="Arial" w:cs="Arial"/>
          <w:bCs/>
          <w:sz w:val="24"/>
          <w:szCs w:val="24"/>
        </w:rPr>
        <w:t xml:space="preserve">Reducing the cost of medical spend is </w:t>
      </w:r>
      <w:r w:rsidR="001766CA" w:rsidRPr="009D4CCD">
        <w:rPr>
          <w:rFonts w:ascii="Arial" w:hAnsi="Arial" w:cs="Arial"/>
          <w:bCs/>
          <w:sz w:val="24"/>
          <w:szCs w:val="24"/>
        </w:rPr>
        <w:t xml:space="preserve">extremely complex and involves several factors. </w:t>
      </w:r>
      <w:r w:rsidR="00BF27F5" w:rsidRPr="009D4CCD">
        <w:rPr>
          <w:rFonts w:ascii="Arial" w:hAnsi="Arial" w:cs="Arial"/>
          <w:bCs/>
          <w:sz w:val="24"/>
          <w:szCs w:val="24"/>
        </w:rPr>
        <w:t xml:space="preserve"> </w:t>
      </w:r>
      <w:r w:rsidR="00B1476B" w:rsidRPr="009D4CCD">
        <w:rPr>
          <w:rFonts w:ascii="Arial" w:hAnsi="Arial" w:cs="Arial"/>
          <w:bCs/>
          <w:sz w:val="24"/>
          <w:szCs w:val="24"/>
        </w:rPr>
        <w:t>The Health Board is experiencing a challenge with</w:t>
      </w:r>
      <w:r w:rsidR="00067B6C" w:rsidRPr="009D4CCD">
        <w:rPr>
          <w:rFonts w:ascii="Arial" w:hAnsi="Arial" w:cs="Arial"/>
          <w:bCs/>
          <w:sz w:val="24"/>
          <w:szCs w:val="24"/>
        </w:rPr>
        <w:t xml:space="preserve"> the rising amount of locum rates that are being negotiated above those set out in the rate card. </w:t>
      </w:r>
      <w:r w:rsidR="009D4CCD" w:rsidRPr="009D4CCD">
        <w:rPr>
          <w:rFonts w:ascii="Arial" w:hAnsi="Arial" w:cs="Arial"/>
          <w:bCs/>
          <w:sz w:val="24"/>
          <w:szCs w:val="24"/>
        </w:rPr>
        <w:t xml:space="preserve">This paper sets out the ongoing work to improve effectiveness, </w:t>
      </w:r>
      <w:r w:rsidR="00EE7C4E" w:rsidRPr="009D4CCD">
        <w:rPr>
          <w:rFonts w:ascii="Arial" w:hAnsi="Arial" w:cs="Arial"/>
          <w:bCs/>
          <w:sz w:val="24"/>
          <w:szCs w:val="24"/>
        </w:rPr>
        <w:t>improve information, management of this issue</w:t>
      </w:r>
      <w:r w:rsidR="009D4CCD" w:rsidRPr="009D4CCD">
        <w:rPr>
          <w:rFonts w:ascii="Arial" w:hAnsi="Arial" w:cs="Arial"/>
          <w:bCs/>
          <w:sz w:val="24"/>
          <w:szCs w:val="24"/>
        </w:rPr>
        <w:t>s</w:t>
      </w:r>
      <w:r w:rsidR="00EE7C4E" w:rsidRPr="009D4CCD">
        <w:rPr>
          <w:rFonts w:ascii="Arial" w:hAnsi="Arial" w:cs="Arial"/>
          <w:bCs/>
          <w:sz w:val="24"/>
          <w:szCs w:val="24"/>
        </w:rPr>
        <w:t xml:space="preserve"> and reducing medical locum usage.</w:t>
      </w:r>
      <w:r w:rsidR="00E80737">
        <w:rPr>
          <w:rFonts w:ascii="Arial" w:hAnsi="Arial" w:cs="Arial"/>
          <w:bCs/>
          <w:sz w:val="24"/>
          <w:szCs w:val="24"/>
        </w:rPr>
        <w:t xml:space="preserve"> The work can be broken down into the following areas:</w:t>
      </w:r>
    </w:p>
    <w:p w14:paraId="19081392" w14:textId="77777777" w:rsidR="00E80737" w:rsidRDefault="00E80737" w:rsidP="009D4CCD">
      <w:pPr>
        <w:spacing w:after="0" w:line="240" w:lineRule="auto"/>
        <w:jc w:val="both"/>
        <w:rPr>
          <w:rFonts w:ascii="Arial" w:hAnsi="Arial" w:cs="Arial"/>
          <w:bCs/>
          <w:sz w:val="24"/>
          <w:szCs w:val="24"/>
        </w:rPr>
      </w:pPr>
    </w:p>
    <w:tbl>
      <w:tblPr>
        <w:tblStyle w:val="TableGrid1"/>
        <w:tblW w:w="9072" w:type="dxa"/>
        <w:tblInd w:w="-5" w:type="dxa"/>
        <w:tblLook w:val="04A0" w:firstRow="1" w:lastRow="0" w:firstColumn="1" w:lastColumn="0" w:noHBand="0" w:noVBand="1"/>
      </w:tblPr>
      <w:tblGrid>
        <w:gridCol w:w="3450"/>
        <w:gridCol w:w="5622"/>
      </w:tblGrid>
      <w:tr w:rsidR="00A330A0" w:rsidRPr="00E80737" w14:paraId="1544BC52" w14:textId="77777777" w:rsidTr="00A565E0">
        <w:tc>
          <w:tcPr>
            <w:tcW w:w="3450" w:type="dxa"/>
          </w:tcPr>
          <w:p w14:paraId="1ED82247" w14:textId="052E7E74" w:rsidR="00A330A0" w:rsidRPr="00A330A0" w:rsidRDefault="00A330A0" w:rsidP="00E80737">
            <w:pPr>
              <w:autoSpaceDE w:val="0"/>
              <w:autoSpaceDN w:val="0"/>
              <w:adjustRightInd w:val="0"/>
              <w:rPr>
                <w:rFonts w:ascii="Arial" w:eastAsia="Calibri" w:hAnsi="Arial" w:cs="Arial"/>
                <w:b/>
                <w:bCs/>
                <w:color w:val="000000"/>
                <w:sz w:val="23"/>
                <w:szCs w:val="23"/>
              </w:rPr>
            </w:pPr>
            <w:r w:rsidRPr="00A330A0">
              <w:rPr>
                <w:rFonts w:ascii="Arial" w:eastAsia="Calibri" w:hAnsi="Arial" w:cs="Arial"/>
                <w:b/>
                <w:bCs/>
                <w:color w:val="000000"/>
                <w:sz w:val="23"/>
                <w:szCs w:val="23"/>
              </w:rPr>
              <w:t>Activity</w:t>
            </w:r>
          </w:p>
        </w:tc>
        <w:tc>
          <w:tcPr>
            <w:tcW w:w="5622" w:type="dxa"/>
          </w:tcPr>
          <w:p w14:paraId="64A7D289" w14:textId="1C70DE6F" w:rsidR="00A330A0" w:rsidRPr="00A330A0" w:rsidRDefault="00A330A0" w:rsidP="00E80737">
            <w:pPr>
              <w:autoSpaceDE w:val="0"/>
              <w:autoSpaceDN w:val="0"/>
              <w:adjustRightInd w:val="0"/>
              <w:rPr>
                <w:rFonts w:ascii="Arial" w:eastAsia="Calibri" w:hAnsi="Arial" w:cs="Arial"/>
                <w:b/>
                <w:bCs/>
                <w:color w:val="000000"/>
                <w:sz w:val="23"/>
                <w:szCs w:val="23"/>
              </w:rPr>
            </w:pPr>
            <w:r w:rsidRPr="00A330A0">
              <w:rPr>
                <w:rFonts w:ascii="Arial" w:eastAsia="Calibri" w:hAnsi="Arial" w:cs="Arial"/>
                <w:b/>
                <w:bCs/>
                <w:color w:val="000000"/>
                <w:sz w:val="23"/>
                <w:szCs w:val="23"/>
              </w:rPr>
              <w:t>Aim</w:t>
            </w:r>
          </w:p>
        </w:tc>
      </w:tr>
      <w:tr w:rsidR="00E80737" w:rsidRPr="00E80737" w14:paraId="3258AFEB" w14:textId="77777777" w:rsidTr="00A565E0">
        <w:tc>
          <w:tcPr>
            <w:tcW w:w="3450" w:type="dxa"/>
          </w:tcPr>
          <w:p w14:paraId="5F0AE167" w14:textId="77777777" w:rsidR="00E80737" w:rsidRPr="00E80737" w:rsidRDefault="00E80737" w:rsidP="00E80737">
            <w:pPr>
              <w:autoSpaceDE w:val="0"/>
              <w:autoSpaceDN w:val="0"/>
              <w:adjustRightInd w:val="0"/>
              <w:rPr>
                <w:rFonts w:ascii="Arial" w:eastAsia="Calibri" w:hAnsi="Arial" w:cs="Arial"/>
                <w:color w:val="000000"/>
                <w:sz w:val="23"/>
                <w:szCs w:val="23"/>
              </w:rPr>
            </w:pPr>
            <w:r w:rsidRPr="00E80737">
              <w:rPr>
                <w:rFonts w:ascii="Arial" w:eastAsia="Calibri" w:hAnsi="Arial" w:cs="Arial"/>
                <w:color w:val="000000"/>
                <w:sz w:val="23"/>
                <w:szCs w:val="23"/>
              </w:rPr>
              <w:t>Implementing rostering software (Due to be completed early 2025)</w:t>
            </w:r>
          </w:p>
        </w:tc>
        <w:tc>
          <w:tcPr>
            <w:tcW w:w="5622" w:type="dxa"/>
          </w:tcPr>
          <w:p w14:paraId="3F76243B" w14:textId="77777777" w:rsidR="00E80737" w:rsidRPr="00E80737" w:rsidRDefault="00E80737" w:rsidP="00E80737">
            <w:pPr>
              <w:autoSpaceDE w:val="0"/>
              <w:autoSpaceDN w:val="0"/>
              <w:adjustRightInd w:val="0"/>
              <w:rPr>
                <w:rFonts w:ascii="Arial" w:eastAsia="Calibri" w:hAnsi="Arial" w:cs="Arial"/>
                <w:color w:val="000000"/>
                <w:sz w:val="23"/>
                <w:szCs w:val="23"/>
              </w:rPr>
            </w:pPr>
            <w:r w:rsidRPr="00E80737">
              <w:rPr>
                <w:rFonts w:ascii="Arial" w:eastAsia="Calibri" w:hAnsi="Arial" w:cs="Arial"/>
                <w:color w:val="000000"/>
                <w:sz w:val="23"/>
                <w:szCs w:val="23"/>
              </w:rPr>
              <w:t>To improve visibility and deployment decision making</w:t>
            </w:r>
          </w:p>
        </w:tc>
      </w:tr>
      <w:tr w:rsidR="00E80737" w:rsidRPr="00E80737" w14:paraId="6CDCC2AE" w14:textId="77777777" w:rsidTr="00A565E0">
        <w:tc>
          <w:tcPr>
            <w:tcW w:w="3450" w:type="dxa"/>
          </w:tcPr>
          <w:p w14:paraId="30023BFF" w14:textId="77777777" w:rsidR="00E80737" w:rsidRPr="00E80737" w:rsidRDefault="00E80737" w:rsidP="00E80737">
            <w:pPr>
              <w:autoSpaceDE w:val="0"/>
              <w:autoSpaceDN w:val="0"/>
              <w:adjustRightInd w:val="0"/>
              <w:rPr>
                <w:rFonts w:ascii="Arial" w:eastAsia="Calibri" w:hAnsi="Arial" w:cs="Arial"/>
                <w:color w:val="000000"/>
                <w:sz w:val="23"/>
                <w:szCs w:val="23"/>
              </w:rPr>
            </w:pPr>
            <w:r w:rsidRPr="00E80737">
              <w:rPr>
                <w:rFonts w:ascii="Arial" w:eastAsia="Calibri" w:hAnsi="Arial" w:cs="Arial"/>
                <w:color w:val="000000"/>
                <w:sz w:val="23"/>
                <w:szCs w:val="23"/>
              </w:rPr>
              <w:t xml:space="preserve">Developing a medical rostering policy </w:t>
            </w:r>
            <w:bookmarkStart w:id="2" w:name="_Hlk155363457"/>
            <w:r w:rsidRPr="00E80737">
              <w:rPr>
                <w:rFonts w:ascii="Arial" w:eastAsia="Calibri" w:hAnsi="Arial" w:cs="Arial"/>
                <w:color w:val="000000"/>
                <w:sz w:val="23"/>
                <w:szCs w:val="23"/>
              </w:rPr>
              <w:t>(Due to be completed 2024)</w:t>
            </w:r>
            <w:bookmarkEnd w:id="2"/>
          </w:p>
        </w:tc>
        <w:tc>
          <w:tcPr>
            <w:tcW w:w="5622" w:type="dxa"/>
          </w:tcPr>
          <w:p w14:paraId="60C47C2D" w14:textId="77777777" w:rsidR="00E80737" w:rsidRPr="00E80737" w:rsidRDefault="00E80737" w:rsidP="00E80737">
            <w:pPr>
              <w:autoSpaceDE w:val="0"/>
              <w:autoSpaceDN w:val="0"/>
              <w:adjustRightInd w:val="0"/>
              <w:rPr>
                <w:rFonts w:ascii="Arial" w:eastAsia="Calibri" w:hAnsi="Arial" w:cs="Arial"/>
                <w:color w:val="000000"/>
                <w:sz w:val="23"/>
                <w:szCs w:val="23"/>
              </w:rPr>
            </w:pPr>
            <w:r w:rsidRPr="00E80737">
              <w:rPr>
                <w:rFonts w:ascii="Arial" w:eastAsia="Calibri" w:hAnsi="Arial" w:cs="Arial"/>
                <w:color w:val="000000"/>
                <w:sz w:val="23"/>
                <w:szCs w:val="23"/>
              </w:rPr>
              <w:t>To ensure consistent principles are applied</w:t>
            </w:r>
          </w:p>
        </w:tc>
      </w:tr>
      <w:tr w:rsidR="00E80737" w:rsidRPr="00E80737" w14:paraId="5C855AE7" w14:textId="77777777" w:rsidTr="00A565E0">
        <w:tc>
          <w:tcPr>
            <w:tcW w:w="3450" w:type="dxa"/>
          </w:tcPr>
          <w:p w14:paraId="760B4022" w14:textId="77777777" w:rsidR="00E80737" w:rsidRPr="00E80737" w:rsidRDefault="00E80737" w:rsidP="00E80737">
            <w:pPr>
              <w:autoSpaceDE w:val="0"/>
              <w:autoSpaceDN w:val="0"/>
              <w:adjustRightInd w:val="0"/>
              <w:rPr>
                <w:rFonts w:ascii="Arial" w:eastAsia="Calibri" w:hAnsi="Arial" w:cs="Arial"/>
                <w:color w:val="000000"/>
                <w:sz w:val="23"/>
                <w:szCs w:val="23"/>
              </w:rPr>
            </w:pPr>
            <w:r w:rsidRPr="00E80737">
              <w:rPr>
                <w:rFonts w:ascii="Arial" w:eastAsia="Calibri" w:hAnsi="Arial" w:cs="Arial"/>
                <w:color w:val="000000"/>
                <w:sz w:val="23"/>
                <w:szCs w:val="23"/>
              </w:rPr>
              <w:t>Developing Key performance indicators (Due to be completed 2024)</w:t>
            </w:r>
          </w:p>
        </w:tc>
        <w:tc>
          <w:tcPr>
            <w:tcW w:w="5622" w:type="dxa"/>
          </w:tcPr>
          <w:p w14:paraId="28A85303" w14:textId="633F47BA" w:rsidR="00E80737" w:rsidRPr="00E80737" w:rsidRDefault="00E80737" w:rsidP="00E80737">
            <w:pPr>
              <w:autoSpaceDE w:val="0"/>
              <w:autoSpaceDN w:val="0"/>
              <w:adjustRightInd w:val="0"/>
              <w:rPr>
                <w:rFonts w:ascii="Arial" w:eastAsia="Calibri" w:hAnsi="Arial" w:cs="Arial"/>
                <w:color w:val="000000"/>
                <w:sz w:val="23"/>
                <w:szCs w:val="23"/>
              </w:rPr>
            </w:pPr>
            <w:r w:rsidRPr="00E80737">
              <w:rPr>
                <w:rFonts w:ascii="Arial" w:eastAsia="Calibri" w:hAnsi="Arial" w:cs="Arial"/>
                <w:color w:val="000000"/>
                <w:sz w:val="23"/>
                <w:szCs w:val="23"/>
              </w:rPr>
              <w:t>To measure compliance</w:t>
            </w:r>
          </w:p>
        </w:tc>
      </w:tr>
      <w:tr w:rsidR="00E80737" w:rsidRPr="00E80737" w14:paraId="79D3CFC2" w14:textId="77777777" w:rsidTr="00A565E0">
        <w:tc>
          <w:tcPr>
            <w:tcW w:w="3450" w:type="dxa"/>
          </w:tcPr>
          <w:p w14:paraId="45E72142" w14:textId="77777777" w:rsidR="00E80737" w:rsidRPr="00E80737" w:rsidRDefault="00E80737" w:rsidP="00E80737">
            <w:pPr>
              <w:autoSpaceDE w:val="0"/>
              <w:autoSpaceDN w:val="0"/>
              <w:adjustRightInd w:val="0"/>
              <w:rPr>
                <w:rFonts w:ascii="Arial" w:eastAsia="Calibri" w:hAnsi="Arial" w:cs="Arial"/>
                <w:color w:val="000000"/>
                <w:sz w:val="23"/>
                <w:szCs w:val="23"/>
              </w:rPr>
            </w:pPr>
            <w:r w:rsidRPr="00E80737">
              <w:rPr>
                <w:rFonts w:ascii="Arial" w:eastAsia="Calibri" w:hAnsi="Arial" w:cs="Arial"/>
                <w:color w:val="000000"/>
                <w:sz w:val="23"/>
                <w:szCs w:val="23"/>
              </w:rPr>
              <w:t>Implementing a reporting infrastructure (Due to be completed 2024)</w:t>
            </w:r>
          </w:p>
        </w:tc>
        <w:tc>
          <w:tcPr>
            <w:tcW w:w="5622" w:type="dxa"/>
          </w:tcPr>
          <w:p w14:paraId="4EF3CB87" w14:textId="77777777" w:rsidR="00E80737" w:rsidRPr="00E80737" w:rsidRDefault="00E80737" w:rsidP="00E80737">
            <w:pPr>
              <w:autoSpaceDE w:val="0"/>
              <w:autoSpaceDN w:val="0"/>
              <w:adjustRightInd w:val="0"/>
              <w:rPr>
                <w:rFonts w:ascii="Arial" w:eastAsia="Calibri" w:hAnsi="Arial" w:cs="Arial"/>
                <w:color w:val="000000"/>
                <w:sz w:val="23"/>
                <w:szCs w:val="23"/>
              </w:rPr>
            </w:pPr>
            <w:r w:rsidRPr="00E80737">
              <w:rPr>
                <w:rFonts w:ascii="Arial" w:eastAsia="Calibri" w:hAnsi="Arial" w:cs="Arial"/>
                <w:color w:val="000000"/>
                <w:sz w:val="23"/>
                <w:szCs w:val="23"/>
              </w:rPr>
              <w:t>To highlight performance and identify improvements</w:t>
            </w:r>
          </w:p>
        </w:tc>
      </w:tr>
      <w:tr w:rsidR="00E80737" w:rsidRPr="00E80737" w14:paraId="6F7C5CCD" w14:textId="77777777" w:rsidTr="00A565E0">
        <w:tc>
          <w:tcPr>
            <w:tcW w:w="3450" w:type="dxa"/>
          </w:tcPr>
          <w:p w14:paraId="2F110369" w14:textId="4F0396A9" w:rsidR="00E80737" w:rsidRPr="00E80737" w:rsidRDefault="00A330A0" w:rsidP="00E80737">
            <w:pPr>
              <w:autoSpaceDE w:val="0"/>
              <w:autoSpaceDN w:val="0"/>
              <w:adjustRightInd w:val="0"/>
              <w:rPr>
                <w:rFonts w:ascii="Arial" w:eastAsia="Calibri" w:hAnsi="Arial" w:cs="Arial"/>
                <w:color w:val="000000"/>
                <w:sz w:val="23"/>
                <w:szCs w:val="23"/>
              </w:rPr>
            </w:pPr>
            <w:r>
              <w:rPr>
                <w:rFonts w:ascii="Arial" w:eastAsia="Calibri" w:hAnsi="Arial" w:cs="Arial"/>
                <w:color w:val="000000"/>
                <w:sz w:val="23"/>
                <w:szCs w:val="23"/>
              </w:rPr>
              <w:t xml:space="preserve">Promoting the </w:t>
            </w:r>
            <w:r w:rsidR="00E80737" w:rsidRPr="00E80737">
              <w:rPr>
                <w:rFonts w:ascii="Arial" w:eastAsia="Calibri" w:hAnsi="Arial" w:cs="Arial"/>
                <w:color w:val="000000"/>
                <w:sz w:val="23"/>
                <w:szCs w:val="23"/>
              </w:rPr>
              <w:t xml:space="preserve">MEDACS </w:t>
            </w:r>
            <w:r>
              <w:rPr>
                <w:rFonts w:ascii="Arial" w:eastAsia="Calibri" w:hAnsi="Arial" w:cs="Arial"/>
                <w:color w:val="000000"/>
                <w:sz w:val="23"/>
                <w:szCs w:val="23"/>
              </w:rPr>
              <w:t>Vantage model</w:t>
            </w:r>
          </w:p>
        </w:tc>
        <w:tc>
          <w:tcPr>
            <w:tcW w:w="5622" w:type="dxa"/>
          </w:tcPr>
          <w:p w14:paraId="3ABC93BC" w14:textId="1B40D9EE" w:rsidR="00E80737" w:rsidRPr="00E80737" w:rsidRDefault="00E80737" w:rsidP="00E80737">
            <w:pPr>
              <w:autoSpaceDE w:val="0"/>
              <w:autoSpaceDN w:val="0"/>
              <w:adjustRightInd w:val="0"/>
              <w:rPr>
                <w:rFonts w:ascii="Arial" w:eastAsia="Calibri" w:hAnsi="Arial" w:cs="Arial"/>
                <w:color w:val="000000"/>
                <w:sz w:val="23"/>
                <w:szCs w:val="23"/>
              </w:rPr>
            </w:pPr>
            <w:r w:rsidRPr="00E80737">
              <w:rPr>
                <w:rFonts w:ascii="Arial" w:eastAsia="Calibri" w:hAnsi="Arial" w:cs="Arial"/>
                <w:color w:val="000000"/>
                <w:sz w:val="23"/>
                <w:szCs w:val="23"/>
              </w:rPr>
              <w:t>Ensuring all agency use is vended via the direct engagement model to reduce costs</w:t>
            </w:r>
            <w:r w:rsidR="00131E47">
              <w:rPr>
                <w:rFonts w:ascii="Arial" w:eastAsia="Calibri" w:hAnsi="Arial" w:cs="Arial"/>
                <w:color w:val="000000"/>
                <w:sz w:val="23"/>
                <w:szCs w:val="23"/>
              </w:rPr>
              <w:t xml:space="preserve"> and achieve VAT efficiencies. </w:t>
            </w:r>
          </w:p>
        </w:tc>
      </w:tr>
      <w:tr w:rsidR="00E80737" w:rsidRPr="00E80737" w14:paraId="0DBB16FC" w14:textId="77777777" w:rsidTr="00A565E0">
        <w:tc>
          <w:tcPr>
            <w:tcW w:w="3450" w:type="dxa"/>
          </w:tcPr>
          <w:p w14:paraId="6F3FE830" w14:textId="77777777" w:rsidR="00E80737" w:rsidRPr="00E80737" w:rsidRDefault="00E80737" w:rsidP="00E80737">
            <w:pPr>
              <w:autoSpaceDE w:val="0"/>
              <w:autoSpaceDN w:val="0"/>
              <w:adjustRightInd w:val="0"/>
              <w:rPr>
                <w:rFonts w:ascii="Arial" w:eastAsia="Calibri" w:hAnsi="Arial" w:cs="Arial"/>
                <w:color w:val="000000"/>
                <w:sz w:val="23"/>
                <w:szCs w:val="23"/>
              </w:rPr>
            </w:pPr>
            <w:r w:rsidRPr="00E80737">
              <w:rPr>
                <w:rFonts w:ascii="Arial" w:eastAsia="Calibri" w:hAnsi="Arial" w:cs="Arial"/>
                <w:color w:val="000000"/>
                <w:sz w:val="23"/>
                <w:szCs w:val="23"/>
              </w:rPr>
              <w:t>Focussed usage discussions (ongoing)</w:t>
            </w:r>
          </w:p>
        </w:tc>
        <w:tc>
          <w:tcPr>
            <w:tcW w:w="5622" w:type="dxa"/>
          </w:tcPr>
          <w:p w14:paraId="01BB6916" w14:textId="24E94AB7" w:rsidR="00E80737" w:rsidRPr="00E80737" w:rsidRDefault="00E80737" w:rsidP="00E80737">
            <w:pPr>
              <w:autoSpaceDE w:val="0"/>
              <w:autoSpaceDN w:val="0"/>
              <w:adjustRightInd w:val="0"/>
              <w:rPr>
                <w:rFonts w:ascii="Arial" w:eastAsia="Calibri" w:hAnsi="Arial" w:cs="Arial"/>
                <w:color w:val="000000"/>
                <w:sz w:val="23"/>
                <w:szCs w:val="23"/>
              </w:rPr>
            </w:pPr>
            <w:r w:rsidRPr="00E80737">
              <w:rPr>
                <w:rFonts w:ascii="Arial" w:eastAsia="Calibri" w:hAnsi="Arial" w:cs="Arial"/>
                <w:color w:val="000000"/>
                <w:sz w:val="23"/>
                <w:szCs w:val="23"/>
              </w:rPr>
              <w:t>To reduce locum usage and increase awareness</w:t>
            </w:r>
            <w:r w:rsidR="00131E47">
              <w:rPr>
                <w:rFonts w:ascii="Arial" w:eastAsia="Calibri" w:hAnsi="Arial" w:cs="Arial"/>
                <w:color w:val="000000"/>
                <w:sz w:val="23"/>
                <w:szCs w:val="23"/>
              </w:rPr>
              <w:t xml:space="preserve"> of good practice. </w:t>
            </w:r>
          </w:p>
        </w:tc>
      </w:tr>
      <w:tr w:rsidR="00E80737" w:rsidRPr="00E80737" w14:paraId="4222EAAE" w14:textId="77777777" w:rsidTr="00A565E0">
        <w:tc>
          <w:tcPr>
            <w:tcW w:w="3450" w:type="dxa"/>
          </w:tcPr>
          <w:p w14:paraId="4BB669C7" w14:textId="77777777" w:rsidR="00E80737" w:rsidRPr="00E80737" w:rsidRDefault="00E80737" w:rsidP="00E80737">
            <w:pPr>
              <w:autoSpaceDE w:val="0"/>
              <w:autoSpaceDN w:val="0"/>
              <w:adjustRightInd w:val="0"/>
              <w:rPr>
                <w:rFonts w:ascii="Arial" w:eastAsia="Calibri" w:hAnsi="Arial" w:cs="Arial"/>
                <w:color w:val="000000"/>
                <w:sz w:val="23"/>
                <w:szCs w:val="23"/>
              </w:rPr>
            </w:pPr>
            <w:r w:rsidRPr="00E80737">
              <w:rPr>
                <w:rFonts w:ascii="Arial" w:eastAsia="Calibri" w:hAnsi="Arial" w:cs="Arial"/>
                <w:color w:val="000000"/>
                <w:sz w:val="23"/>
                <w:szCs w:val="23"/>
              </w:rPr>
              <w:t>Reduce and replacement strategies (ongoing)</w:t>
            </w:r>
          </w:p>
        </w:tc>
        <w:tc>
          <w:tcPr>
            <w:tcW w:w="5622" w:type="dxa"/>
          </w:tcPr>
          <w:p w14:paraId="3004C5BF" w14:textId="77777777" w:rsidR="00E80737" w:rsidRPr="00E80737" w:rsidRDefault="00E80737" w:rsidP="00E80737">
            <w:pPr>
              <w:autoSpaceDE w:val="0"/>
              <w:autoSpaceDN w:val="0"/>
              <w:adjustRightInd w:val="0"/>
              <w:rPr>
                <w:rFonts w:ascii="Arial" w:eastAsia="Calibri" w:hAnsi="Arial" w:cs="Arial"/>
                <w:color w:val="000000"/>
                <w:sz w:val="23"/>
                <w:szCs w:val="23"/>
              </w:rPr>
            </w:pPr>
            <w:r w:rsidRPr="00E80737">
              <w:rPr>
                <w:rFonts w:ascii="Arial" w:eastAsia="Calibri" w:hAnsi="Arial" w:cs="Arial"/>
                <w:color w:val="000000"/>
                <w:sz w:val="23"/>
                <w:szCs w:val="23"/>
              </w:rPr>
              <w:t>Reducing long term agency bookings</w:t>
            </w:r>
          </w:p>
        </w:tc>
      </w:tr>
    </w:tbl>
    <w:p w14:paraId="2A324888" w14:textId="77777777" w:rsidR="00653AEC" w:rsidRPr="0072604C" w:rsidRDefault="00653AEC" w:rsidP="00653AEC">
      <w:pPr>
        <w:pStyle w:val="ListParagraph"/>
        <w:spacing w:after="0" w:line="240" w:lineRule="auto"/>
        <w:rPr>
          <w:rFonts w:ascii="Arial" w:hAnsi="Arial" w:cs="Arial"/>
          <w:b/>
          <w:sz w:val="24"/>
          <w:szCs w:val="24"/>
        </w:rPr>
      </w:pPr>
    </w:p>
    <w:p w14:paraId="6615623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1BC75990" w14:textId="77777777" w:rsidR="00B74448" w:rsidRDefault="00B74448" w:rsidP="00B74448">
      <w:pPr>
        <w:spacing w:after="0" w:line="240" w:lineRule="auto"/>
        <w:rPr>
          <w:rFonts w:ascii="Arial" w:hAnsi="Arial" w:cs="Arial"/>
          <w:b/>
          <w:sz w:val="24"/>
          <w:szCs w:val="24"/>
        </w:rPr>
      </w:pPr>
    </w:p>
    <w:p w14:paraId="49313A5D" w14:textId="015F7D4F" w:rsidR="00B74448" w:rsidRDefault="00B74448" w:rsidP="00B74448">
      <w:pPr>
        <w:spacing w:after="0" w:line="240" w:lineRule="auto"/>
        <w:rPr>
          <w:rFonts w:ascii="Arial" w:hAnsi="Arial" w:cs="Arial"/>
          <w:b/>
          <w:sz w:val="24"/>
          <w:szCs w:val="24"/>
        </w:rPr>
      </w:pPr>
      <w:r w:rsidRPr="00FE3DD3">
        <w:rPr>
          <w:rFonts w:ascii="Arial" w:hAnsi="Arial" w:cs="Arial"/>
          <w:b/>
          <w:sz w:val="24"/>
          <w:szCs w:val="24"/>
        </w:rPr>
        <w:t>Locum rates</w:t>
      </w:r>
    </w:p>
    <w:p w14:paraId="03026874" w14:textId="77777777" w:rsidR="0069234E" w:rsidRPr="00FE3DD3" w:rsidRDefault="0069234E" w:rsidP="00B74448">
      <w:pPr>
        <w:spacing w:after="0" w:line="240" w:lineRule="auto"/>
        <w:rPr>
          <w:rFonts w:ascii="Arial" w:hAnsi="Arial" w:cs="Arial"/>
          <w:b/>
          <w:sz w:val="24"/>
          <w:szCs w:val="24"/>
        </w:rPr>
      </w:pPr>
    </w:p>
    <w:p w14:paraId="626C6B73" w14:textId="624BE7D5" w:rsidR="00B74448" w:rsidRDefault="00B74448" w:rsidP="00FE3DD3">
      <w:pPr>
        <w:spacing w:after="0" w:line="240" w:lineRule="auto"/>
        <w:jc w:val="both"/>
        <w:rPr>
          <w:rFonts w:ascii="Arial" w:hAnsi="Arial" w:cs="Arial"/>
          <w:bCs/>
          <w:sz w:val="24"/>
          <w:szCs w:val="24"/>
        </w:rPr>
      </w:pPr>
      <w:r w:rsidRPr="00B74448">
        <w:rPr>
          <w:rFonts w:ascii="Arial" w:hAnsi="Arial" w:cs="Arial"/>
          <w:bCs/>
          <w:sz w:val="24"/>
          <w:szCs w:val="24"/>
        </w:rPr>
        <w:t xml:space="preserve">The Health Board continues to rely on temporary staffing to cover gaps within the rotas. </w:t>
      </w:r>
      <w:r>
        <w:rPr>
          <w:rFonts w:ascii="Arial" w:hAnsi="Arial" w:cs="Arial"/>
          <w:bCs/>
          <w:sz w:val="24"/>
          <w:szCs w:val="24"/>
        </w:rPr>
        <w:t xml:space="preserve">During the last 12 months there has been a noticeable increase in the amount of rates that are being negotiated above those agreed within the rate card. The data shows that </w:t>
      </w:r>
      <w:r w:rsidR="001A09B6">
        <w:rPr>
          <w:rFonts w:ascii="Arial" w:hAnsi="Arial" w:cs="Arial"/>
          <w:bCs/>
          <w:sz w:val="24"/>
          <w:szCs w:val="24"/>
        </w:rPr>
        <w:t>55%</w:t>
      </w:r>
      <w:r>
        <w:rPr>
          <w:rFonts w:ascii="Arial" w:hAnsi="Arial" w:cs="Arial"/>
          <w:bCs/>
          <w:sz w:val="24"/>
          <w:szCs w:val="24"/>
        </w:rPr>
        <w:t xml:space="preserve"> of internal bank shifts are bre</w:t>
      </w:r>
      <w:r w:rsidR="00131E47">
        <w:rPr>
          <w:rFonts w:ascii="Arial" w:hAnsi="Arial" w:cs="Arial"/>
          <w:bCs/>
          <w:sz w:val="24"/>
          <w:szCs w:val="24"/>
        </w:rPr>
        <w:t>a</w:t>
      </w:r>
      <w:r>
        <w:rPr>
          <w:rFonts w:ascii="Arial" w:hAnsi="Arial" w:cs="Arial"/>
          <w:bCs/>
          <w:sz w:val="24"/>
          <w:szCs w:val="24"/>
        </w:rPr>
        <w:t xml:space="preserve">ching the Swansea Bay rate card. </w:t>
      </w:r>
      <w:r w:rsidR="005436CF">
        <w:rPr>
          <w:rFonts w:ascii="Arial" w:hAnsi="Arial" w:cs="Arial"/>
          <w:bCs/>
          <w:sz w:val="24"/>
          <w:szCs w:val="24"/>
        </w:rPr>
        <w:t xml:space="preserve">However, out of the 3112 shifts that were processed during October, November &amp; December 2023 1018 shifts </w:t>
      </w:r>
      <w:r w:rsidR="00AA5959">
        <w:rPr>
          <w:rFonts w:ascii="Arial" w:hAnsi="Arial" w:cs="Arial"/>
          <w:bCs/>
          <w:sz w:val="24"/>
          <w:szCs w:val="24"/>
        </w:rPr>
        <w:t>(</w:t>
      </w:r>
      <w:r w:rsidR="005436CF">
        <w:rPr>
          <w:rFonts w:ascii="Arial" w:hAnsi="Arial" w:cs="Arial"/>
          <w:bCs/>
          <w:sz w:val="24"/>
          <w:szCs w:val="24"/>
        </w:rPr>
        <w:t xml:space="preserve">approximately 33%) were paid at Swansea Bay rate (or </w:t>
      </w:r>
      <w:r w:rsidR="005436CF">
        <w:rPr>
          <w:rFonts w:ascii="Arial" w:hAnsi="Arial" w:cs="Arial"/>
          <w:bCs/>
          <w:sz w:val="24"/>
          <w:szCs w:val="24"/>
        </w:rPr>
        <w:lastRenderedPageBreak/>
        <w:t xml:space="preserve">lower). </w:t>
      </w:r>
      <w:r w:rsidR="00AA5959">
        <w:rPr>
          <w:rFonts w:ascii="Arial" w:hAnsi="Arial" w:cs="Arial"/>
          <w:bCs/>
          <w:sz w:val="24"/>
          <w:szCs w:val="24"/>
        </w:rPr>
        <w:t xml:space="preserve">The data continues to show that </w:t>
      </w:r>
      <w:r w:rsidR="00D62579">
        <w:rPr>
          <w:rFonts w:ascii="Arial" w:hAnsi="Arial" w:cs="Arial"/>
          <w:bCs/>
          <w:sz w:val="24"/>
          <w:szCs w:val="24"/>
        </w:rPr>
        <w:t>the majority of locum requests are due to vacancie</w:t>
      </w:r>
      <w:r w:rsidR="00131E47">
        <w:rPr>
          <w:rFonts w:ascii="Arial" w:hAnsi="Arial" w:cs="Arial"/>
          <w:bCs/>
          <w:sz w:val="24"/>
          <w:szCs w:val="24"/>
        </w:rPr>
        <w:t xml:space="preserve">s. </w:t>
      </w:r>
    </w:p>
    <w:p w14:paraId="3499ADE4" w14:textId="77777777" w:rsidR="00131E47" w:rsidRDefault="00131E47" w:rsidP="00FE3DD3">
      <w:pPr>
        <w:spacing w:after="0" w:line="240" w:lineRule="auto"/>
        <w:jc w:val="both"/>
        <w:rPr>
          <w:rFonts w:ascii="Arial" w:hAnsi="Arial" w:cs="Arial"/>
          <w:bCs/>
          <w:sz w:val="24"/>
          <w:szCs w:val="24"/>
        </w:rPr>
      </w:pPr>
    </w:p>
    <w:p w14:paraId="0B69C8F7" w14:textId="272A3958" w:rsidR="00E15227" w:rsidRDefault="00E15227" w:rsidP="00FE3DD3">
      <w:pPr>
        <w:spacing w:after="0" w:line="240" w:lineRule="auto"/>
        <w:jc w:val="both"/>
        <w:rPr>
          <w:rFonts w:ascii="Arial" w:hAnsi="Arial" w:cs="Arial"/>
          <w:bCs/>
          <w:sz w:val="24"/>
          <w:szCs w:val="24"/>
        </w:rPr>
      </w:pPr>
      <w:r>
        <w:rPr>
          <w:rFonts w:ascii="Arial" w:hAnsi="Arial" w:cs="Arial"/>
          <w:bCs/>
          <w:sz w:val="24"/>
          <w:szCs w:val="24"/>
        </w:rPr>
        <w:t xml:space="preserve">The Health Board is maintaining a 70/30% </w:t>
      </w:r>
      <w:r w:rsidR="00942C91">
        <w:rPr>
          <w:rFonts w:ascii="Arial" w:hAnsi="Arial" w:cs="Arial"/>
          <w:bCs/>
          <w:sz w:val="24"/>
          <w:szCs w:val="24"/>
        </w:rPr>
        <w:t xml:space="preserve">split </w:t>
      </w:r>
      <w:r>
        <w:rPr>
          <w:rFonts w:ascii="Arial" w:hAnsi="Arial" w:cs="Arial"/>
          <w:bCs/>
          <w:sz w:val="24"/>
          <w:szCs w:val="24"/>
        </w:rPr>
        <w:t xml:space="preserve">between bank and agency use. This </w:t>
      </w:r>
      <w:r w:rsidR="00E30F68">
        <w:rPr>
          <w:rFonts w:ascii="Arial" w:hAnsi="Arial" w:cs="Arial"/>
          <w:bCs/>
          <w:sz w:val="24"/>
          <w:szCs w:val="24"/>
        </w:rPr>
        <w:t xml:space="preserve">is lower than what has been experienced in previous months and further analysis shows that this is due to the number of </w:t>
      </w:r>
      <w:r w:rsidR="001E39DA">
        <w:rPr>
          <w:rFonts w:ascii="Arial" w:hAnsi="Arial" w:cs="Arial"/>
          <w:bCs/>
          <w:sz w:val="24"/>
          <w:szCs w:val="24"/>
        </w:rPr>
        <w:t>long-term</w:t>
      </w:r>
      <w:r w:rsidR="00E30F68">
        <w:rPr>
          <w:rFonts w:ascii="Arial" w:hAnsi="Arial" w:cs="Arial"/>
          <w:bCs/>
          <w:sz w:val="24"/>
          <w:szCs w:val="24"/>
        </w:rPr>
        <w:t xml:space="preserve"> locums being supplied via agency </w:t>
      </w:r>
      <w:r w:rsidR="00131E47">
        <w:rPr>
          <w:rFonts w:ascii="Arial" w:hAnsi="Arial" w:cs="Arial"/>
          <w:bCs/>
          <w:sz w:val="24"/>
          <w:szCs w:val="24"/>
        </w:rPr>
        <w:t>which have increased</w:t>
      </w:r>
      <w:r w:rsidR="00E30F68">
        <w:rPr>
          <w:rFonts w:ascii="Arial" w:hAnsi="Arial" w:cs="Arial"/>
          <w:bCs/>
          <w:sz w:val="24"/>
          <w:szCs w:val="24"/>
        </w:rPr>
        <w:t>.</w:t>
      </w:r>
    </w:p>
    <w:p w14:paraId="4910FC10" w14:textId="126C74D3" w:rsidR="00E15227" w:rsidRDefault="00E15227" w:rsidP="00FE3DD3">
      <w:pPr>
        <w:spacing w:after="0" w:line="240" w:lineRule="auto"/>
        <w:jc w:val="both"/>
        <w:rPr>
          <w:rFonts w:ascii="Arial" w:hAnsi="Arial" w:cs="Arial"/>
          <w:bCs/>
          <w:sz w:val="24"/>
          <w:szCs w:val="24"/>
        </w:rPr>
      </w:pPr>
    </w:p>
    <w:p w14:paraId="09974BD3" w14:textId="77777777" w:rsidR="0021796F" w:rsidRPr="00FE3DD3" w:rsidRDefault="0021796F" w:rsidP="0021796F">
      <w:pPr>
        <w:spacing w:after="0" w:line="240" w:lineRule="auto"/>
        <w:rPr>
          <w:rFonts w:ascii="Arial" w:hAnsi="Arial" w:cs="Arial"/>
          <w:b/>
          <w:sz w:val="24"/>
          <w:szCs w:val="24"/>
        </w:rPr>
      </w:pPr>
      <w:r w:rsidRPr="00FE3DD3">
        <w:rPr>
          <w:rFonts w:ascii="Arial" w:hAnsi="Arial" w:cs="Arial"/>
          <w:b/>
          <w:sz w:val="24"/>
          <w:szCs w:val="24"/>
        </w:rPr>
        <w:t>Internal bank</w:t>
      </w:r>
    </w:p>
    <w:p w14:paraId="526F75D5" w14:textId="7E33B242" w:rsidR="001A09B6" w:rsidRDefault="00FE3DD3" w:rsidP="00FE3DD3">
      <w:pPr>
        <w:spacing w:after="0" w:line="240" w:lineRule="auto"/>
        <w:jc w:val="both"/>
        <w:rPr>
          <w:rFonts w:ascii="Arial" w:hAnsi="Arial" w:cs="Arial"/>
          <w:bCs/>
          <w:sz w:val="24"/>
          <w:szCs w:val="24"/>
        </w:rPr>
      </w:pPr>
      <w:r>
        <w:rPr>
          <w:rFonts w:ascii="Arial" w:hAnsi="Arial" w:cs="Arial"/>
          <w:bCs/>
          <w:sz w:val="24"/>
          <w:szCs w:val="24"/>
        </w:rPr>
        <w:t>Locum rates are being influenced by the ongoing industrial action regarding pay and the implementation of a proposed all wales rate card in</w:t>
      </w:r>
      <w:r w:rsidR="00A330A0">
        <w:rPr>
          <w:rFonts w:ascii="Arial" w:hAnsi="Arial" w:cs="Arial"/>
          <w:bCs/>
          <w:sz w:val="24"/>
          <w:szCs w:val="24"/>
        </w:rPr>
        <w:t xml:space="preserve"> a few</w:t>
      </w:r>
      <w:r>
        <w:rPr>
          <w:rFonts w:ascii="Arial" w:hAnsi="Arial" w:cs="Arial"/>
          <w:bCs/>
          <w:sz w:val="24"/>
          <w:szCs w:val="24"/>
        </w:rPr>
        <w:t xml:space="preserve"> of the Health Boards. The Health Board has explored the adoption of </w:t>
      </w:r>
      <w:r w:rsidR="001E39DA">
        <w:rPr>
          <w:rFonts w:ascii="Arial" w:hAnsi="Arial" w:cs="Arial"/>
          <w:bCs/>
          <w:sz w:val="24"/>
          <w:szCs w:val="24"/>
        </w:rPr>
        <w:t>all</w:t>
      </w:r>
      <w:r>
        <w:rPr>
          <w:rFonts w:ascii="Arial" w:hAnsi="Arial" w:cs="Arial"/>
          <w:bCs/>
          <w:sz w:val="24"/>
          <w:szCs w:val="24"/>
        </w:rPr>
        <w:t xml:space="preserve"> wales proposed rate card, however, this will come at a significant cost (forecasted at £1.</w:t>
      </w:r>
      <w:r w:rsidR="001A09B6">
        <w:rPr>
          <w:rFonts w:ascii="Arial" w:hAnsi="Arial" w:cs="Arial"/>
          <w:bCs/>
          <w:sz w:val="24"/>
          <w:szCs w:val="24"/>
        </w:rPr>
        <w:t>6</w:t>
      </w:r>
      <w:r>
        <w:rPr>
          <w:rFonts w:ascii="Arial" w:hAnsi="Arial" w:cs="Arial"/>
          <w:bCs/>
          <w:sz w:val="24"/>
          <w:szCs w:val="24"/>
        </w:rPr>
        <w:t xml:space="preserve"> million</w:t>
      </w:r>
      <w:r w:rsidR="004217AE">
        <w:rPr>
          <w:rFonts w:ascii="Arial" w:hAnsi="Arial" w:cs="Arial"/>
          <w:bCs/>
          <w:sz w:val="24"/>
          <w:szCs w:val="24"/>
        </w:rPr>
        <w:t xml:space="preserve"> </w:t>
      </w:r>
      <w:r w:rsidR="00131E47">
        <w:rPr>
          <w:rFonts w:ascii="Arial" w:hAnsi="Arial" w:cs="Arial"/>
          <w:bCs/>
          <w:sz w:val="24"/>
          <w:szCs w:val="24"/>
        </w:rPr>
        <w:t>additional cost)</w:t>
      </w:r>
      <w:r>
        <w:rPr>
          <w:rFonts w:ascii="Arial" w:hAnsi="Arial" w:cs="Arial"/>
          <w:bCs/>
          <w:sz w:val="24"/>
          <w:szCs w:val="24"/>
        </w:rPr>
        <w:t xml:space="preserve"> to the Health Board. It must also be noted that </w:t>
      </w:r>
      <w:r w:rsidR="00A330A0">
        <w:rPr>
          <w:rFonts w:ascii="Arial" w:hAnsi="Arial" w:cs="Arial"/>
          <w:bCs/>
          <w:sz w:val="24"/>
          <w:szCs w:val="24"/>
        </w:rPr>
        <w:t>33%</w:t>
      </w:r>
      <w:r>
        <w:rPr>
          <w:rFonts w:ascii="Arial" w:hAnsi="Arial" w:cs="Arial"/>
          <w:bCs/>
          <w:sz w:val="24"/>
          <w:szCs w:val="24"/>
        </w:rPr>
        <w:t xml:space="preserve"> </w:t>
      </w:r>
      <w:r w:rsidR="001A09B6">
        <w:rPr>
          <w:rFonts w:ascii="Arial" w:hAnsi="Arial" w:cs="Arial"/>
          <w:bCs/>
          <w:sz w:val="24"/>
          <w:szCs w:val="24"/>
        </w:rPr>
        <w:t>of</w:t>
      </w:r>
      <w:r>
        <w:rPr>
          <w:rFonts w:ascii="Arial" w:hAnsi="Arial" w:cs="Arial"/>
          <w:bCs/>
          <w:sz w:val="24"/>
          <w:szCs w:val="24"/>
        </w:rPr>
        <w:t xml:space="preserve"> locum shifts are being paid in line</w:t>
      </w:r>
      <w:r w:rsidR="0069234E">
        <w:rPr>
          <w:rFonts w:ascii="Arial" w:hAnsi="Arial" w:cs="Arial"/>
          <w:bCs/>
          <w:sz w:val="24"/>
          <w:szCs w:val="24"/>
        </w:rPr>
        <w:t xml:space="preserve"> (or below)</w:t>
      </w:r>
      <w:r>
        <w:rPr>
          <w:rFonts w:ascii="Arial" w:hAnsi="Arial" w:cs="Arial"/>
          <w:bCs/>
          <w:sz w:val="24"/>
          <w:szCs w:val="24"/>
        </w:rPr>
        <w:t xml:space="preserve"> with the Swansea Bay rate card. </w:t>
      </w:r>
    </w:p>
    <w:p w14:paraId="5DC142AD" w14:textId="77777777" w:rsidR="00FE3DD3" w:rsidRDefault="00FE3DD3" w:rsidP="00FE3DD3">
      <w:pPr>
        <w:spacing w:after="0" w:line="240" w:lineRule="auto"/>
        <w:jc w:val="both"/>
        <w:rPr>
          <w:rFonts w:ascii="Arial" w:hAnsi="Arial" w:cs="Arial"/>
          <w:bCs/>
          <w:sz w:val="24"/>
          <w:szCs w:val="24"/>
        </w:rPr>
      </w:pPr>
    </w:p>
    <w:p w14:paraId="44BB7338" w14:textId="730D08C5" w:rsidR="00FE3DD3" w:rsidRPr="0021796F" w:rsidRDefault="00FE3DD3" w:rsidP="00FE3DD3">
      <w:pPr>
        <w:spacing w:after="0" w:line="240" w:lineRule="auto"/>
        <w:jc w:val="both"/>
        <w:rPr>
          <w:rFonts w:ascii="Arial" w:hAnsi="Arial" w:cs="Arial"/>
          <w:b/>
          <w:sz w:val="24"/>
          <w:szCs w:val="24"/>
        </w:rPr>
      </w:pPr>
      <w:r w:rsidRPr="0021796F">
        <w:rPr>
          <w:rFonts w:ascii="Arial" w:hAnsi="Arial" w:cs="Arial"/>
          <w:b/>
          <w:sz w:val="24"/>
          <w:szCs w:val="24"/>
        </w:rPr>
        <w:t>Agency</w:t>
      </w:r>
    </w:p>
    <w:p w14:paraId="7FE8DBFE" w14:textId="77777777" w:rsidR="00FE3DD3" w:rsidRDefault="00FE3DD3" w:rsidP="00FE3DD3">
      <w:pPr>
        <w:spacing w:after="0" w:line="240" w:lineRule="auto"/>
        <w:jc w:val="both"/>
        <w:rPr>
          <w:rFonts w:ascii="Arial" w:hAnsi="Arial" w:cs="Arial"/>
          <w:bCs/>
          <w:sz w:val="24"/>
          <w:szCs w:val="24"/>
        </w:rPr>
      </w:pPr>
    </w:p>
    <w:p w14:paraId="78DC5259" w14:textId="77777777" w:rsidR="0069234E" w:rsidRDefault="00FE3DD3" w:rsidP="00FE3DD3">
      <w:pPr>
        <w:spacing w:after="0" w:line="240" w:lineRule="auto"/>
        <w:jc w:val="both"/>
        <w:rPr>
          <w:rFonts w:ascii="Arial" w:hAnsi="Arial" w:cs="Arial"/>
          <w:bCs/>
          <w:sz w:val="24"/>
          <w:szCs w:val="24"/>
        </w:rPr>
      </w:pPr>
      <w:r>
        <w:rPr>
          <w:rFonts w:ascii="Arial" w:hAnsi="Arial" w:cs="Arial"/>
          <w:bCs/>
          <w:sz w:val="24"/>
          <w:szCs w:val="24"/>
        </w:rPr>
        <w:t>Work continues to ensure that service groups are utilising the MEDACS vantage model to book agency staff to avoid expensive off framework providers.</w:t>
      </w:r>
      <w:r w:rsidR="0021796F">
        <w:rPr>
          <w:rFonts w:ascii="Arial" w:hAnsi="Arial" w:cs="Arial"/>
          <w:bCs/>
          <w:sz w:val="24"/>
          <w:szCs w:val="24"/>
        </w:rPr>
        <w:t xml:space="preserve"> In Autumn 2023 one of the </w:t>
      </w:r>
      <w:r w:rsidR="00A66005">
        <w:rPr>
          <w:rFonts w:ascii="Arial" w:hAnsi="Arial" w:cs="Arial"/>
          <w:bCs/>
          <w:sz w:val="24"/>
          <w:szCs w:val="24"/>
        </w:rPr>
        <w:t>off-framework</w:t>
      </w:r>
      <w:r w:rsidR="0021796F">
        <w:rPr>
          <w:rFonts w:ascii="Arial" w:hAnsi="Arial" w:cs="Arial"/>
          <w:bCs/>
          <w:sz w:val="24"/>
          <w:szCs w:val="24"/>
        </w:rPr>
        <w:t xml:space="preserve"> agencies that was frequently used within the service groups agreed to join the MEDACS vantage model providing both a financial saving and </w:t>
      </w:r>
      <w:r w:rsidR="00016CBB">
        <w:rPr>
          <w:rFonts w:ascii="Arial" w:hAnsi="Arial" w:cs="Arial"/>
          <w:bCs/>
          <w:sz w:val="24"/>
          <w:szCs w:val="24"/>
        </w:rPr>
        <w:t xml:space="preserve">improved </w:t>
      </w:r>
      <w:r w:rsidR="00A66005">
        <w:rPr>
          <w:rFonts w:ascii="Arial" w:hAnsi="Arial" w:cs="Arial"/>
          <w:bCs/>
          <w:sz w:val="24"/>
          <w:szCs w:val="24"/>
        </w:rPr>
        <w:t>governance compliance.</w:t>
      </w:r>
    </w:p>
    <w:p w14:paraId="1799CE05" w14:textId="77777777" w:rsidR="0069234E" w:rsidRDefault="0069234E" w:rsidP="00FE3DD3">
      <w:pPr>
        <w:spacing w:after="0" w:line="240" w:lineRule="auto"/>
        <w:jc w:val="both"/>
        <w:rPr>
          <w:rFonts w:ascii="Arial" w:hAnsi="Arial" w:cs="Arial"/>
          <w:bCs/>
          <w:sz w:val="24"/>
          <w:szCs w:val="24"/>
        </w:rPr>
      </w:pPr>
    </w:p>
    <w:p w14:paraId="34449E7C" w14:textId="2EF08EC5" w:rsidR="00FE3DD3" w:rsidRDefault="0069234E" w:rsidP="00FE3DD3">
      <w:pPr>
        <w:spacing w:after="0" w:line="240" w:lineRule="auto"/>
        <w:jc w:val="both"/>
        <w:rPr>
          <w:rFonts w:ascii="Arial" w:hAnsi="Arial" w:cs="Arial"/>
          <w:b/>
          <w:sz w:val="24"/>
          <w:szCs w:val="24"/>
        </w:rPr>
      </w:pPr>
      <w:r w:rsidRPr="0069234E">
        <w:rPr>
          <w:rFonts w:ascii="Arial" w:hAnsi="Arial" w:cs="Arial"/>
          <w:b/>
          <w:sz w:val="24"/>
          <w:szCs w:val="24"/>
        </w:rPr>
        <w:t>W</w:t>
      </w:r>
      <w:r w:rsidR="005A52DA">
        <w:rPr>
          <w:rFonts w:ascii="Arial" w:hAnsi="Arial" w:cs="Arial"/>
          <w:b/>
          <w:sz w:val="24"/>
          <w:szCs w:val="24"/>
        </w:rPr>
        <w:t xml:space="preserve">elsh </w:t>
      </w:r>
      <w:r w:rsidRPr="0069234E">
        <w:rPr>
          <w:rFonts w:ascii="Arial" w:hAnsi="Arial" w:cs="Arial"/>
          <w:b/>
          <w:sz w:val="24"/>
          <w:szCs w:val="24"/>
        </w:rPr>
        <w:t>G</w:t>
      </w:r>
      <w:r w:rsidR="005A52DA">
        <w:rPr>
          <w:rFonts w:ascii="Arial" w:hAnsi="Arial" w:cs="Arial"/>
          <w:b/>
          <w:sz w:val="24"/>
          <w:szCs w:val="24"/>
        </w:rPr>
        <w:t>overnment</w:t>
      </w:r>
      <w:r w:rsidRPr="0069234E">
        <w:rPr>
          <w:rFonts w:ascii="Arial" w:hAnsi="Arial" w:cs="Arial"/>
          <w:b/>
          <w:sz w:val="24"/>
          <w:szCs w:val="24"/>
        </w:rPr>
        <w:t xml:space="preserve"> </w:t>
      </w:r>
      <w:r w:rsidR="005A52DA">
        <w:rPr>
          <w:rFonts w:ascii="Arial" w:hAnsi="Arial" w:cs="Arial"/>
          <w:b/>
          <w:sz w:val="24"/>
          <w:szCs w:val="24"/>
        </w:rPr>
        <w:t>c</w:t>
      </w:r>
      <w:r w:rsidRPr="0069234E">
        <w:rPr>
          <w:rFonts w:ascii="Arial" w:hAnsi="Arial" w:cs="Arial"/>
          <w:b/>
          <w:sz w:val="24"/>
          <w:szCs w:val="24"/>
        </w:rPr>
        <w:t>apped rates reporting</w:t>
      </w:r>
      <w:r w:rsidR="00A66005" w:rsidRPr="0069234E">
        <w:rPr>
          <w:rFonts w:ascii="Arial" w:hAnsi="Arial" w:cs="Arial"/>
          <w:b/>
          <w:sz w:val="24"/>
          <w:szCs w:val="24"/>
        </w:rPr>
        <w:t xml:space="preserve"> </w:t>
      </w:r>
    </w:p>
    <w:p w14:paraId="21F31592" w14:textId="77777777" w:rsidR="00056C48" w:rsidRDefault="00056C48" w:rsidP="00FE3DD3">
      <w:pPr>
        <w:spacing w:after="0" w:line="240" w:lineRule="auto"/>
        <w:jc w:val="both"/>
        <w:rPr>
          <w:rFonts w:ascii="Arial" w:hAnsi="Arial" w:cs="Arial"/>
          <w:b/>
          <w:sz w:val="24"/>
          <w:szCs w:val="24"/>
        </w:rPr>
      </w:pPr>
    </w:p>
    <w:p w14:paraId="66DBC2E2" w14:textId="3983DDDB" w:rsidR="00056C48" w:rsidRPr="00056C48" w:rsidRDefault="00056C48" w:rsidP="00FE3DD3">
      <w:pPr>
        <w:spacing w:after="0" w:line="240" w:lineRule="auto"/>
        <w:jc w:val="both"/>
        <w:rPr>
          <w:rFonts w:ascii="Arial" w:hAnsi="Arial" w:cs="Arial"/>
          <w:bCs/>
          <w:sz w:val="24"/>
          <w:szCs w:val="24"/>
        </w:rPr>
      </w:pPr>
      <w:r w:rsidRPr="00056C48">
        <w:rPr>
          <w:rFonts w:ascii="Arial" w:hAnsi="Arial" w:cs="Arial"/>
          <w:bCs/>
          <w:sz w:val="24"/>
          <w:szCs w:val="24"/>
        </w:rPr>
        <w:t xml:space="preserve">The table below outlines the compliance </w:t>
      </w:r>
      <w:r w:rsidR="005708C7">
        <w:rPr>
          <w:rFonts w:ascii="Arial" w:hAnsi="Arial" w:cs="Arial"/>
          <w:bCs/>
          <w:sz w:val="24"/>
          <w:szCs w:val="24"/>
        </w:rPr>
        <w:t>of</w:t>
      </w:r>
      <w:r w:rsidRPr="00056C48">
        <w:rPr>
          <w:rFonts w:ascii="Arial" w:hAnsi="Arial" w:cs="Arial"/>
          <w:bCs/>
          <w:sz w:val="24"/>
          <w:szCs w:val="24"/>
        </w:rPr>
        <w:t xml:space="preserve"> Internal and agency </w:t>
      </w:r>
      <w:r w:rsidR="005708C7">
        <w:rPr>
          <w:rFonts w:ascii="Arial" w:hAnsi="Arial" w:cs="Arial"/>
          <w:bCs/>
          <w:sz w:val="24"/>
          <w:szCs w:val="24"/>
        </w:rPr>
        <w:t xml:space="preserve">locums in accordance with the Welsh Government capped rates that were introduced in 2017. </w:t>
      </w:r>
      <w:r w:rsidR="001562C0">
        <w:rPr>
          <w:rFonts w:ascii="Arial" w:hAnsi="Arial" w:cs="Arial"/>
          <w:bCs/>
          <w:sz w:val="24"/>
          <w:szCs w:val="24"/>
        </w:rPr>
        <w:t>The data shows that the Health Board is continuing to book all agency locums above the capped rates.</w:t>
      </w:r>
    </w:p>
    <w:p w14:paraId="27DB0838" w14:textId="77777777" w:rsidR="005A52DA" w:rsidRDefault="005A52DA" w:rsidP="00FE3DD3">
      <w:pPr>
        <w:spacing w:after="0" w:line="240" w:lineRule="auto"/>
        <w:jc w:val="both"/>
        <w:rPr>
          <w:rFonts w:ascii="Arial" w:hAnsi="Arial" w:cs="Arial"/>
          <w:b/>
          <w:sz w:val="24"/>
          <w:szCs w:val="24"/>
        </w:rPr>
      </w:pPr>
    </w:p>
    <w:p w14:paraId="50F050B9" w14:textId="77777777" w:rsidR="00421C42" w:rsidRDefault="00421C42" w:rsidP="00FE3DD3">
      <w:pPr>
        <w:spacing w:after="0" w:line="240" w:lineRule="auto"/>
        <w:jc w:val="both"/>
        <w:rPr>
          <w:rFonts w:ascii="Arial" w:hAnsi="Arial" w:cs="Arial"/>
          <w:b/>
          <w:sz w:val="24"/>
          <w:szCs w:val="24"/>
        </w:rPr>
      </w:pPr>
    </w:p>
    <w:tbl>
      <w:tblPr>
        <w:tblW w:w="9260" w:type="dxa"/>
        <w:tblLook w:val="04A0" w:firstRow="1" w:lastRow="0" w:firstColumn="1" w:lastColumn="0" w:noHBand="0" w:noVBand="1"/>
      </w:tblPr>
      <w:tblGrid>
        <w:gridCol w:w="3480"/>
        <w:gridCol w:w="1189"/>
        <w:gridCol w:w="1111"/>
        <w:gridCol w:w="1107"/>
        <w:gridCol w:w="996"/>
        <w:gridCol w:w="884"/>
        <w:gridCol w:w="996"/>
      </w:tblGrid>
      <w:tr w:rsidR="00056C48" w:rsidRPr="00056C48" w14:paraId="6D929B4E" w14:textId="77777777" w:rsidTr="00056C48">
        <w:trPr>
          <w:trHeight w:val="300"/>
        </w:trPr>
        <w:tc>
          <w:tcPr>
            <w:tcW w:w="3480"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72582D15"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 </w:t>
            </w:r>
          </w:p>
        </w:tc>
        <w:tc>
          <w:tcPr>
            <w:tcW w:w="2300" w:type="dxa"/>
            <w:gridSpan w:val="2"/>
            <w:tcBorders>
              <w:top w:val="single" w:sz="4" w:space="0" w:color="auto"/>
              <w:left w:val="nil"/>
              <w:bottom w:val="single" w:sz="4" w:space="0" w:color="auto"/>
              <w:right w:val="single" w:sz="4" w:space="0" w:color="000000"/>
            </w:tcBorders>
            <w:shd w:val="clear" w:color="000000" w:fill="BDD7EE"/>
            <w:noWrap/>
            <w:vAlign w:val="bottom"/>
            <w:hideMark/>
          </w:tcPr>
          <w:p w14:paraId="3BC67803"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Oct-23</w:t>
            </w:r>
          </w:p>
        </w:tc>
        <w:tc>
          <w:tcPr>
            <w:tcW w:w="1820" w:type="dxa"/>
            <w:gridSpan w:val="2"/>
            <w:tcBorders>
              <w:top w:val="single" w:sz="4" w:space="0" w:color="auto"/>
              <w:left w:val="nil"/>
              <w:bottom w:val="single" w:sz="4" w:space="0" w:color="auto"/>
              <w:right w:val="single" w:sz="4" w:space="0" w:color="000000"/>
            </w:tcBorders>
            <w:shd w:val="clear" w:color="000000" w:fill="BDD7EE"/>
            <w:noWrap/>
            <w:vAlign w:val="bottom"/>
            <w:hideMark/>
          </w:tcPr>
          <w:p w14:paraId="47F6EED2"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Nov-23</w:t>
            </w:r>
          </w:p>
        </w:tc>
        <w:tc>
          <w:tcPr>
            <w:tcW w:w="1660" w:type="dxa"/>
            <w:gridSpan w:val="2"/>
            <w:tcBorders>
              <w:top w:val="single" w:sz="4" w:space="0" w:color="auto"/>
              <w:left w:val="nil"/>
              <w:bottom w:val="single" w:sz="4" w:space="0" w:color="auto"/>
              <w:right w:val="single" w:sz="4" w:space="0" w:color="000000"/>
            </w:tcBorders>
            <w:shd w:val="clear" w:color="000000" w:fill="BDD7EE"/>
            <w:noWrap/>
            <w:vAlign w:val="bottom"/>
            <w:hideMark/>
          </w:tcPr>
          <w:p w14:paraId="6734BF0F"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Dec-23</w:t>
            </w:r>
          </w:p>
        </w:tc>
      </w:tr>
      <w:tr w:rsidR="00056C48" w:rsidRPr="00056C48" w14:paraId="01FEFF6B"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BDD7EE"/>
            <w:noWrap/>
            <w:vAlign w:val="bottom"/>
            <w:hideMark/>
          </w:tcPr>
          <w:p w14:paraId="2C5CFF04"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 </w:t>
            </w:r>
          </w:p>
        </w:tc>
        <w:tc>
          <w:tcPr>
            <w:tcW w:w="1189" w:type="dxa"/>
            <w:tcBorders>
              <w:top w:val="nil"/>
              <w:left w:val="nil"/>
              <w:bottom w:val="single" w:sz="4" w:space="0" w:color="auto"/>
              <w:right w:val="single" w:sz="4" w:space="0" w:color="auto"/>
            </w:tcBorders>
            <w:shd w:val="clear" w:color="000000" w:fill="BDD7EE"/>
            <w:noWrap/>
            <w:vAlign w:val="bottom"/>
            <w:hideMark/>
          </w:tcPr>
          <w:p w14:paraId="06B003B7"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Bank</w:t>
            </w:r>
          </w:p>
        </w:tc>
        <w:tc>
          <w:tcPr>
            <w:tcW w:w="1111" w:type="dxa"/>
            <w:tcBorders>
              <w:top w:val="nil"/>
              <w:left w:val="nil"/>
              <w:bottom w:val="single" w:sz="4" w:space="0" w:color="auto"/>
              <w:right w:val="single" w:sz="4" w:space="0" w:color="auto"/>
            </w:tcBorders>
            <w:shd w:val="clear" w:color="000000" w:fill="BDD7EE"/>
            <w:noWrap/>
            <w:vAlign w:val="bottom"/>
            <w:hideMark/>
          </w:tcPr>
          <w:p w14:paraId="298B2CFE"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Agency</w:t>
            </w:r>
          </w:p>
        </w:tc>
        <w:tc>
          <w:tcPr>
            <w:tcW w:w="941" w:type="dxa"/>
            <w:tcBorders>
              <w:top w:val="nil"/>
              <w:left w:val="nil"/>
              <w:bottom w:val="single" w:sz="4" w:space="0" w:color="auto"/>
              <w:right w:val="single" w:sz="4" w:space="0" w:color="auto"/>
            </w:tcBorders>
            <w:shd w:val="clear" w:color="000000" w:fill="BDD7EE"/>
            <w:noWrap/>
            <w:vAlign w:val="bottom"/>
            <w:hideMark/>
          </w:tcPr>
          <w:p w14:paraId="5B49D7E0"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Bank</w:t>
            </w:r>
          </w:p>
        </w:tc>
        <w:tc>
          <w:tcPr>
            <w:tcW w:w="879" w:type="dxa"/>
            <w:tcBorders>
              <w:top w:val="nil"/>
              <w:left w:val="nil"/>
              <w:bottom w:val="single" w:sz="4" w:space="0" w:color="auto"/>
              <w:right w:val="single" w:sz="4" w:space="0" w:color="auto"/>
            </w:tcBorders>
            <w:shd w:val="clear" w:color="000000" w:fill="BDD7EE"/>
            <w:noWrap/>
            <w:vAlign w:val="bottom"/>
            <w:hideMark/>
          </w:tcPr>
          <w:p w14:paraId="3AEB90C8"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Agency</w:t>
            </w:r>
          </w:p>
        </w:tc>
        <w:tc>
          <w:tcPr>
            <w:tcW w:w="763" w:type="dxa"/>
            <w:tcBorders>
              <w:top w:val="nil"/>
              <w:left w:val="nil"/>
              <w:bottom w:val="single" w:sz="4" w:space="0" w:color="auto"/>
              <w:right w:val="single" w:sz="4" w:space="0" w:color="auto"/>
            </w:tcBorders>
            <w:shd w:val="clear" w:color="000000" w:fill="BDD7EE"/>
            <w:noWrap/>
            <w:vAlign w:val="bottom"/>
            <w:hideMark/>
          </w:tcPr>
          <w:p w14:paraId="7A1E0B6A"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Bank</w:t>
            </w:r>
          </w:p>
        </w:tc>
        <w:tc>
          <w:tcPr>
            <w:tcW w:w="897" w:type="dxa"/>
            <w:tcBorders>
              <w:top w:val="nil"/>
              <w:left w:val="nil"/>
              <w:bottom w:val="single" w:sz="4" w:space="0" w:color="auto"/>
              <w:right w:val="single" w:sz="4" w:space="0" w:color="auto"/>
            </w:tcBorders>
            <w:shd w:val="clear" w:color="000000" w:fill="BDD7EE"/>
            <w:noWrap/>
            <w:vAlign w:val="bottom"/>
            <w:hideMark/>
          </w:tcPr>
          <w:p w14:paraId="6DA8DBA3"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Agency</w:t>
            </w:r>
          </w:p>
        </w:tc>
      </w:tr>
      <w:tr w:rsidR="00056C48" w:rsidRPr="00056C48" w14:paraId="76CA9CD4"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C6E0B4"/>
            <w:noWrap/>
            <w:vAlign w:val="bottom"/>
            <w:hideMark/>
          </w:tcPr>
          <w:p w14:paraId="2E996172"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Individuals Booked</w:t>
            </w:r>
          </w:p>
        </w:tc>
        <w:tc>
          <w:tcPr>
            <w:tcW w:w="1189" w:type="dxa"/>
            <w:tcBorders>
              <w:top w:val="nil"/>
              <w:left w:val="nil"/>
              <w:bottom w:val="single" w:sz="4" w:space="0" w:color="auto"/>
              <w:right w:val="single" w:sz="4" w:space="0" w:color="auto"/>
            </w:tcBorders>
            <w:shd w:val="clear" w:color="000000" w:fill="C6E0B4"/>
            <w:noWrap/>
            <w:vAlign w:val="bottom"/>
            <w:hideMark/>
          </w:tcPr>
          <w:p w14:paraId="4D3C2762" w14:textId="43DF809F"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3</w:t>
            </w:r>
            <w:r w:rsidR="00131E47">
              <w:rPr>
                <w:rFonts w:ascii="Calibri" w:eastAsia="Times New Roman" w:hAnsi="Calibri" w:cs="Calibri"/>
                <w:color w:val="000000"/>
                <w:lang w:eastAsia="en-GB"/>
              </w:rPr>
              <w:t>3</w:t>
            </w:r>
            <w:r w:rsidRPr="00056C48">
              <w:rPr>
                <w:rFonts w:ascii="Calibri" w:eastAsia="Times New Roman" w:hAnsi="Calibri" w:cs="Calibri"/>
                <w:color w:val="000000"/>
                <w:lang w:eastAsia="en-GB"/>
              </w:rPr>
              <w:t>3</w:t>
            </w:r>
          </w:p>
        </w:tc>
        <w:tc>
          <w:tcPr>
            <w:tcW w:w="1111" w:type="dxa"/>
            <w:tcBorders>
              <w:top w:val="nil"/>
              <w:left w:val="nil"/>
              <w:bottom w:val="single" w:sz="4" w:space="0" w:color="auto"/>
              <w:right w:val="single" w:sz="4" w:space="0" w:color="auto"/>
            </w:tcBorders>
            <w:shd w:val="clear" w:color="000000" w:fill="C6E0B4"/>
            <w:noWrap/>
            <w:vAlign w:val="center"/>
            <w:hideMark/>
          </w:tcPr>
          <w:p w14:paraId="17BFCAB2"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24</w:t>
            </w:r>
          </w:p>
        </w:tc>
        <w:tc>
          <w:tcPr>
            <w:tcW w:w="941" w:type="dxa"/>
            <w:tcBorders>
              <w:top w:val="nil"/>
              <w:left w:val="nil"/>
              <w:bottom w:val="single" w:sz="4" w:space="0" w:color="auto"/>
              <w:right w:val="single" w:sz="4" w:space="0" w:color="auto"/>
            </w:tcBorders>
            <w:shd w:val="clear" w:color="000000" w:fill="C6E0B4"/>
            <w:noWrap/>
            <w:vAlign w:val="bottom"/>
            <w:hideMark/>
          </w:tcPr>
          <w:p w14:paraId="33CFDE50" w14:textId="54E95270" w:rsidR="00056C48" w:rsidRPr="00056C48" w:rsidRDefault="00131E47" w:rsidP="00056C4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320</w:t>
            </w:r>
          </w:p>
        </w:tc>
        <w:tc>
          <w:tcPr>
            <w:tcW w:w="879" w:type="dxa"/>
            <w:tcBorders>
              <w:top w:val="nil"/>
              <w:left w:val="nil"/>
              <w:bottom w:val="single" w:sz="4" w:space="0" w:color="auto"/>
              <w:right w:val="single" w:sz="4" w:space="0" w:color="auto"/>
            </w:tcBorders>
            <w:shd w:val="clear" w:color="000000" w:fill="C6E0B4"/>
            <w:noWrap/>
            <w:vAlign w:val="center"/>
            <w:hideMark/>
          </w:tcPr>
          <w:p w14:paraId="48908020"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14</w:t>
            </w:r>
          </w:p>
        </w:tc>
        <w:tc>
          <w:tcPr>
            <w:tcW w:w="763" w:type="dxa"/>
            <w:tcBorders>
              <w:top w:val="nil"/>
              <w:left w:val="nil"/>
              <w:bottom w:val="single" w:sz="4" w:space="0" w:color="auto"/>
              <w:right w:val="single" w:sz="4" w:space="0" w:color="auto"/>
            </w:tcBorders>
            <w:shd w:val="clear" w:color="000000" w:fill="C6E0B4"/>
            <w:noWrap/>
            <w:vAlign w:val="bottom"/>
            <w:hideMark/>
          </w:tcPr>
          <w:p w14:paraId="6A901607" w14:textId="4C010E29"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3</w:t>
            </w:r>
            <w:r w:rsidR="00131E47">
              <w:rPr>
                <w:rFonts w:ascii="Calibri" w:eastAsia="Times New Roman" w:hAnsi="Calibri" w:cs="Calibri"/>
                <w:color w:val="000000"/>
                <w:lang w:eastAsia="en-GB"/>
              </w:rPr>
              <w:t>34</w:t>
            </w:r>
          </w:p>
        </w:tc>
        <w:tc>
          <w:tcPr>
            <w:tcW w:w="897" w:type="dxa"/>
            <w:tcBorders>
              <w:top w:val="nil"/>
              <w:left w:val="nil"/>
              <w:bottom w:val="single" w:sz="4" w:space="0" w:color="auto"/>
              <w:right w:val="single" w:sz="4" w:space="0" w:color="auto"/>
            </w:tcBorders>
            <w:shd w:val="clear" w:color="000000" w:fill="C6E0B4"/>
            <w:noWrap/>
            <w:vAlign w:val="center"/>
            <w:hideMark/>
          </w:tcPr>
          <w:p w14:paraId="34A9F28B"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22</w:t>
            </w:r>
          </w:p>
        </w:tc>
      </w:tr>
      <w:tr w:rsidR="00056C48" w:rsidRPr="00056C48" w14:paraId="1FD55EA3"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C6E0B4"/>
            <w:noWrap/>
            <w:vAlign w:val="bottom"/>
            <w:hideMark/>
          </w:tcPr>
          <w:p w14:paraId="55EF6527"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Individuals Booked At/Below Cap</w:t>
            </w:r>
          </w:p>
        </w:tc>
        <w:tc>
          <w:tcPr>
            <w:tcW w:w="1189" w:type="dxa"/>
            <w:tcBorders>
              <w:top w:val="nil"/>
              <w:left w:val="nil"/>
              <w:bottom w:val="single" w:sz="4" w:space="0" w:color="auto"/>
              <w:right w:val="single" w:sz="4" w:space="0" w:color="auto"/>
            </w:tcBorders>
            <w:shd w:val="clear" w:color="000000" w:fill="C6E0B4"/>
            <w:noWrap/>
            <w:vAlign w:val="bottom"/>
            <w:hideMark/>
          </w:tcPr>
          <w:p w14:paraId="5C0877FC"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179</w:t>
            </w:r>
          </w:p>
        </w:tc>
        <w:tc>
          <w:tcPr>
            <w:tcW w:w="1111" w:type="dxa"/>
            <w:tcBorders>
              <w:top w:val="nil"/>
              <w:left w:val="nil"/>
              <w:bottom w:val="single" w:sz="4" w:space="0" w:color="auto"/>
              <w:right w:val="single" w:sz="4" w:space="0" w:color="auto"/>
            </w:tcBorders>
            <w:shd w:val="clear" w:color="000000" w:fill="C6E0B4"/>
            <w:noWrap/>
            <w:vAlign w:val="center"/>
            <w:hideMark/>
          </w:tcPr>
          <w:p w14:paraId="4BEFF130"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w:t>
            </w:r>
          </w:p>
        </w:tc>
        <w:tc>
          <w:tcPr>
            <w:tcW w:w="941" w:type="dxa"/>
            <w:tcBorders>
              <w:top w:val="nil"/>
              <w:left w:val="nil"/>
              <w:bottom w:val="single" w:sz="4" w:space="0" w:color="auto"/>
              <w:right w:val="single" w:sz="4" w:space="0" w:color="auto"/>
            </w:tcBorders>
            <w:shd w:val="clear" w:color="000000" w:fill="C6E0B4"/>
            <w:noWrap/>
            <w:vAlign w:val="bottom"/>
            <w:hideMark/>
          </w:tcPr>
          <w:p w14:paraId="4F0494D4"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175</w:t>
            </w:r>
          </w:p>
        </w:tc>
        <w:tc>
          <w:tcPr>
            <w:tcW w:w="879" w:type="dxa"/>
            <w:tcBorders>
              <w:top w:val="nil"/>
              <w:left w:val="nil"/>
              <w:bottom w:val="single" w:sz="4" w:space="0" w:color="auto"/>
              <w:right w:val="single" w:sz="4" w:space="0" w:color="auto"/>
            </w:tcBorders>
            <w:shd w:val="clear" w:color="000000" w:fill="C6E0B4"/>
            <w:noWrap/>
            <w:vAlign w:val="center"/>
            <w:hideMark/>
          </w:tcPr>
          <w:p w14:paraId="7DCE7369"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w:t>
            </w:r>
          </w:p>
        </w:tc>
        <w:tc>
          <w:tcPr>
            <w:tcW w:w="763" w:type="dxa"/>
            <w:tcBorders>
              <w:top w:val="nil"/>
              <w:left w:val="nil"/>
              <w:bottom w:val="single" w:sz="4" w:space="0" w:color="auto"/>
              <w:right w:val="single" w:sz="4" w:space="0" w:color="auto"/>
            </w:tcBorders>
            <w:shd w:val="clear" w:color="000000" w:fill="C6E0B4"/>
            <w:noWrap/>
            <w:vAlign w:val="bottom"/>
            <w:hideMark/>
          </w:tcPr>
          <w:p w14:paraId="742E80A6"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154</w:t>
            </w:r>
          </w:p>
        </w:tc>
        <w:tc>
          <w:tcPr>
            <w:tcW w:w="897" w:type="dxa"/>
            <w:tcBorders>
              <w:top w:val="nil"/>
              <w:left w:val="nil"/>
              <w:bottom w:val="single" w:sz="4" w:space="0" w:color="auto"/>
              <w:right w:val="single" w:sz="4" w:space="0" w:color="auto"/>
            </w:tcBorders>
            <w:shd w:val="clear" w:color="000000" w:fill="C6E0B4"/>
            <w:noWrap/>
            <w:vAlign w:val="center"/>
            <w:hideMark/>
          </w:tcPr>
          <w:p w14:paraId="370A43BC"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w:t>
            </w:r>
          </w:p>
        </w:tc>
      </w:tr>
      <w:tr w:rsidR="00056C48" w:rsidRPr="00056C48" w14:paraId="5BC9A72C"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C6E0B4"/>
            <w:noWrap/>
            <w:vAlign w:val="bottom"/>
            <w:hideMark/>
          </w:tcPr>
          <w:p w14:paraId="579C56CD"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Individuals Booked At/Below Cap %</w:t>
            </w:r>
          </w:p>
        </w:tc>
        <w:tc>
          <w:tcPr>
            <w:tcW w:w="1189" w:type="dxa"/>
            <w:tcBorders>
              <w:top w:val="nil"/>
              <w:left w:val="nil"/>
              <w:bottom w:val="single" w:sz="4" w:space="0" w:color="auto"/>
              <w:right w:val="single" w:sz="4" w:space="0" w:color="auto"/>
            </w:tcBorders>
            <w:shd w:val="clear" w:color="000000" w:fill="C6E0B4"/>
            <w:noWrap/>
            <w:vAlign w:val="bottom"/>
            <w:hideMark/>
          </w:tcPr>
          <w:p w14:paraId="23BACA2B" w14:textId="4FD170AC"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w:t>
            </w:r>
            <w:r w:rsidR="00131E47">
              <w:rPr>
                <w:rFonts w:ascii="Calibri" w:eastAsia="Times New Roman" w:hAnsi="Calibri" w:cs="Calibri"/>
                <w:color w:val="000000"/>
                <w:lang w:eastAsia="en-GB"/>
              </w:rPr>
              <w:t>3.75</w:t>
            </w:r>
            <w:r w:rsidRPr="00056C48">
              <w:rPr>
                <w:rFonts w:ascii="Calibri" w:eastAsia="Times New Roman" w:hAnsi="Calibri" w:cs="Calibri"/>
                <w:color w:val="000000"/>
                <w:lang w:eastAsia="en-GB"/>
              </w:rPr>
              <w:t>%</w:t>
            </w:r>
          </w:p>
        </w:tc>
        <w:tc>
          <w:tcPr>
            <w:tcW w:w="1111" w:type="dxa"/>
            <w:tcBorders>
              <w:top w:val="nil"/>
              <w:left w:val="nil"/>
              <w:bottom w:val="single" w:sz="4" w:space="0" w:color="auto"/>
              <w:right w:val="single" w:sz="4" w:space="0" w:color="auto"/>
            </w:tcBorders>
            <w:shd w:val="clear" w:color="000000" w:fill="C6E0B4"/>
            <w:noWrap/>
            <w:vAlign w:val="center"/>
            <w:hideMark/>
          </w:tcPr>
          <w:p w14:paraId="4FEAA957"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0.00%</w:t>
            </w:r>
          </w:p>
        </w:tc>
        <w:tc>
          <w:tcPr>
            <w:tcW w:w="941" w:type="dxa"/>
            <w:tcBorders>
              <w:top w:val="nil"/>
              <w:left w:val="nil"/>
              <w:bottom w:val="single" w:sz="4" w:space="0" w:color="auto"/>
              <w:right w:val="single" w:sz="4" w:space="0" w:color="auto"/>
            </w:tcBorders>
            <w:shd w:val="clear" w:color="000000" w:fill="C6E0B4"/>
            <w:noWrap/>
            <w:vAlign w:val="bottom"/>
            <w:hideMark/>
          </w:tcPr>
          <w:p w14:paraId="786F40A6" w14:textId="7A84014E"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w:t>
            </w:r>
            <w:r w:rsidR="00131E47">
              <w:rPr>
                <w:rFonts w:ascii="Calibri" w:eastAsia="Times New Roman" w:hAnsi="Calibri" w:cs="Calibri"/>
                <w:color w:val="000000"/>
                <w:lang w:eastAsia="en-GB"/>
              </w:rPr>
              <w:t>4.69</w:t>
            </w:r>
            <w:r w:rsidRPr="00056C48">
              <w:rPr>
                <w:rFonts w:ascii="Calibri" w:eastAsia="Times New Roman" w:hAnsi="Calibri" w:cs="Calibri"/>
                <w:color w:val="000000"/>
                <w:lang w:eastAsia="en-GB"/>
              </w:rPr>
              <w:t>%</w:t>
            </w:r>
          </w:p>
        </w:tc>
        <w:tc>
          <w:tcPr>
            <w:tcW w:w="879" w:type="dxa"/>
            <w:tcBorders>
              <w:top w:val="nil"/>
              <w:left w:val="nil"/>
              <w:bottom w:val="single" w:sz="4" w:space="0" w:color="auto"/>
              <w:right w:val="single" w:sz="4" w:space="0" w:color="auto"/>
            </w:tcBorders>
            <w:shd w:val="clear" w:color="000000" w:fill="C6E0B4"/>
            <w:noWrap/>
            <w:vAlign w:val="center"/>
            <w:hideMark/>
          </w:tcPr>
          <w:p w14:paraId="5F101C89"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0.00%</w:t>
            </w:r>
          </w:p>
        </w:tc>
        <w:tc>
          <w:tcPr>
            <w:tcW w:w="763" w:type="dxa"/>
            <w:tcBorders>
              <w:top w:val="nil"/>
              <w:left w:val="nil"/>
              <w:bottom w:val="single" w:sz="4" w:space="0" w:color="auto"/>
              <w:right w:val="single" w:sz="4" w:space="0" w:color="auto"/>
            </w:tcBorders>
            <w:shd w:val="clear" w:color="000000" w:fill="C6E0B4"/>
            <w:noWrap/>
            <w:vAlign w:val="bottom"/>
            <w:hideMark/>
          </w:tcPr>
          <w:p w14:paraId="082393E8" w14:textId="1697D32F"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4</w:t>
            </w:r>
            <w:r w:rsidR="00131E47">
              <w:rPr>
                <w:rFonts w:ascii="Calibri" w:eastAsia="Times New Roman" w:hAnsi="Calibri" w:cs="Calibri"/>
                <w:color w:val="000000"/>
                <w:lang w:eastAsia="en-GB"/>
              </w:rPr>
              <w:t>6.11</w:t>
            </w:r>
            <w:r w:rsidRPr="00056C48">
              <w:rPr>
                <w:rFonts w:ascii="Calibri" w:eastAsia="Times New Roman" w:hAnsi="Calibri" w:cs="Calibri"/>
                <w:color w:val="000000"/>
                <w:lang w:eastAsia="en-GB"/>
              </w:rPr>
              <w:t>%</w:t>
            </w:r>
          </w:p>
        </w:tc>
        <w:tc>
          <w:tcPr>
            <w:tcW w:w="897" w:type="dxa"/>
            <w:tcBorders>
              <w:top w:val="nil"/>
              <w:left w:val="nil"/>
              <w:bottom w:val="single" w:sz="4" w:space="0" w:color="auto"/>
              <w:right w:val="single" w:sz="4" w:space="0" w:color="auto"/>
            </w:tcBorders>
            <w:shd w:val="clear" w:color="000000" w:fill="C6E0B4"/>
            <w:noWrap/>
            <w:vAlign w:val="center"/>
            <w:hideMark/>
          </w:tcPr>
          <w:p w14:paraId="57EDE07B"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0.00%</w:t>
            </w:r>
          </w:p>
        </w:tc>
      </w:tr>
      <w:tr w:rsidR="00056C48" w:rsidRPr="00056C48" w14:paraId="681CA856"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C6E0B4"/>
            <w:noWrap/>
            <w:vAlign w:val="bottom"/>
            <w:hideMark/>
          </w:tcPr>
          <w:p w14:paraId="621F30AD"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Individuals Booked Above Cap</w:t>
            </w:r>
          </w:p>
        </w:tc>
        <w:tc>
          <w:tcPr>
            <w:tcW w:w="1189" w:type="dxa"/>
            <w:tcBorders>
              <w:top w:val="nil"/>
              <w:left w:val="nil"/>
              <w:bottom w:val="single" w:sz="4" w:space="0" w:color="auto"/>
              <w:right w:val="single" w:sz="4" w:space="0" w:color="auto"/>
            </w:tcBorders>
            <w:shd w:val="clear" w:color="000000" w:fill="C6E0B4"/>
            <w:noWrap/>
            <w:vAlign w:val="bottom"/>
            <w:hideMark/>
          </w:tcPr>
          <w:p w14:paraId="619B5A0D"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154</w:t>
            </w:r>
          </w:p>
        </w:tc>
        <w:tc>
          <w:tcPr>
            <w:tcW w:w="1111" w:type="dxa"/>
            <w:tcBorders>
              <w:top w:val="nil"/>
              <w:left w:val="nil"/>
              <w:bottom w:val="single" w:sz="4" w:space="0" w:color="auto"/>
              <w:right w:val="single" w:sz="4" w:space="0" w:color="auto"/>
            </w:tcBorders>
            <w:shd w:val="clear" w:color="000000" w:fill="C6E0B4"/>
            <w:noWrap/>
            <w:vAlign w:val="center"/>
            <w:hideMark/>
          </w:tcPr>
          <w:p w14:paraId="1FDA9292"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24</w:t>
            </w:r>
          </w:p>
        </w:tc>
        <w:tc>
          <w:tcPr>
            <w:tcW w:w="941" w:type="dxa"/>
            <w:tcBorders>
              <w:top w:val="nil"/>
              <w:left w:val="nil"/>
              <w:bottom w:val="single" w:sz="4" w:space="0" w:color="auto"/>
              <w:right w:val="single" w:sz="4" w:space="0" w:color="auto"/>
            </w:tcBorders>
            <w:shd w:val="clear" w:color="000000" w:fill="C6E0B4"/>
            <w:noWrap/>
            <w:vAlign w:val="bottom"/>
            <w:hideMark/>
          </w:tcPr>
          <w:p w14:paraId="1F35A975"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145</w:t>
            </w:r>
          </w:p>
        </w:tc>
        <w:tc>
          <w:tcPr>
            <w:tcW w:w="879" w:type="dxa"/>
            <w:tcBorders>
              <w:top w:val="nil"/>
              <w:left w:val="nil"/>
              <w:bottom w:val="single" w:sz="4" w:space="0" w:color="auto"/>
              <w:right w:val="single" w:sz="4" w:space="0" w:color="auto"/>
            </w:tcBorders>
            <w:shd w:val="clear" w:color="000000" w:fill="C6E0B4"/>
            <w:noWrap/>
            <w:vAlign w:val="center"/>
            <w:hideMark/>
          </w:tcPr>
          <w:p w14:paraId="68B2ACBE"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14</w:t>
            </w:r>
          </w:p>
        </w:tc>
        <w:tc>
          <w:tcPr>
            <w:tcW w:w="763" w:type="dxa"/>
            <w:tcBorders>
              <w:top w:val="nil"/>
              <w:left w:val="nil"/>
              <w:bottom w:val="single" w:sz="4" w:space="0" w:color="auto"/>
              <w:right w:val="single" w:sz="4" w:space="0" w:color="auto"/>
            </w:tcBorders>
            <w:shd w:val="clear" w:color="000000" w:fill="C6E0B4"/>
            <w:noWrap/>
            <w:vAlign w:val="bottom"/>
            <w:hideMark/>
          </w:tcPr>
          <w:p w14:paraId="2999DA8E"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180</w:t>
            </w:r>
          </w:p>
        </w:tc>
        <w:tc>
          <w:tcPr>
            <w:tcW w:w="897" w:type="dxa"/>
            <w:tcBorders>
              <w:top w:val="nil"/>
              <w:left w:val="nil"/>
              <w:bottom w:val="single" w:sz="4" w:space="0" w:color="auto"/>
              <w:right w:val="single" w:sz="4" w:space="0" w:color="auto"/>
            </w:tcBorders>
            <w:shd w:val="clear" w:color="000000" w:fill="C6E0B4"/>
            <w:noWrap/>
            <w:vAlign w:val="center"/>
            <w:hideMark/>
          </w:tcPr>
          <w:p w14:paraId="0E6231C9"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22</w:t>
            </w:r>
          </w:p>
        </w:tc>
      </w:tr>
      <w:tr w:rsidR="00056C48" w:rsidRPr="00056C48" w14:paraId="1D972771"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C6E0B4"/>
            <w:noWrap/>
            <w:vAlign w:val="bottom"/>
            <w:hideMark/>
          </w:tcPr>
          <w:p w14:paraId="2E72CD8D"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Individuals Booked Above Cap %</w:t>
            </w:r>
          </w:p>
        </w:tc>
        <w:tc>
          <w:tcPr>
            <w:tcW w:w="1189" w:type="dxa"/>
            <w:tcBorders>
              <w:top w:val="nil"/>
              <w:left w:val="nil"/>
              <w:bottom w:val="single" w:sz="4" w:space="0" w:color="auto"/>
              <w:right w:val="single" w:sz="4" w:space="0" w:color="auto"/>
            </w:tcBorders>
            <w:shd w:val="clear" w:color="000000" w:fill="C6E0B4"/>
            <w:noWrap/>
            <w:vAlign w:val="bottom"/>
            <w:hideMark/>
          </w:tcPr>
          <w:p w14:paraId="054459B1" w14:textId="7EF870E2"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4</w:t>
            </w:r>
            <w:r w:rsidR="00131E47">
              <w:rPr>
                <w:rFonts w:ascii="Calibri" w:eastAsia="Times New Roman" w:hAnsi="Calibri" w:cs="Calibri"/>
                <w:color w:val="000000"/>
                <w:lang w:eastAsia="en-GB"/>
              </w:rPr>
              <w:t>6.25</w:t>
            </w:r>
            <w:r w:rsidRPr="00056C48">
              <w:rPr>
                <w:rFonts w:ascii="Calibri" w:eastAsia="Times New Roman" w:hAnsi="Calibri" w:cs="Calibri"/>
                <w:color w:val="000000"/>
                <w:lang w:eastAsia="en-GB"/>
              </w:rPr>
              <w:t>%</w:t>
            </w:r>
          </w:p>
        </w:tc>
        <w:tc>
          <w:tcPr>
            <w:tcW w:w="1111" w:type="dxa"/>
            <w:tcBorders>
              <w:top w:val="nil"/>
              <w:left w:val="nil"/>
              <w:bottom w:val="single" w:sz="4" w:space="0" w:color="auto"/>
              <w:right w:val="single" w:sz="4" w:space="0" w:color="auto"/>
            </w:tcBorders>
            <w:shd w:val="clear" w:color="000000" w:fill="C6E0B4"/>
            <w:noWrap/>
            <w:vAlign w:val="center"/>
            <w:hideMark/>
          </w:tcPr>
          <w:p w14:paraId="2A318902"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100.00%</w:t>
            </w:r>
          </w:p>
        </w:tc>
        <w:tc>
          <w:tcPr>
            <w:tcW w:w="941" w:type="dxa"/>
            <w:tcBorders>
              <w:top w:val="nil"/>
              <w:left w:val="nil"/>
              <w:bottom w:val="single" w:sz="4" w:space="0" w:color="auto"/>
              <w:right w:val="single" w:sz="4" w:space="0" w:color="auto"/>
            </w:tcBorders>
            <w:shd w:val="clear" w:color="000000" w:fill="C6E0B4"/>
            <w:noWrap/>
            <w:vAlign w:val="bottom"/>
            <w:hideMark/>
          </w:tcPr>
          <w:p w14:paraId="4961E3EC" w14:textId="251DB64A"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4</w:t>
            </w:r>
            <w:r w:rsidR="00131E47">
              <w:rPr>
                <w:rFonts w:ascii="Calibri" w:eastAsia="Times New Roman" w:hAnsi="Calibri" w:cs="Calibri"/>
                <w:color w:val="000000"/>
                <w:lang w:eastAsia="en-GB"/>
              </w:rPr>
              <w:t>5.31</w:t>
            </w:r>
            <w:r w:rsidRPr="00056C48">
              <w:rPr>
                <w:rFonts w:ascii="Calibri" w:eastAsia="Times New Roman" w:hAnsi="Calibri" w:cs="Calibri"/>
                <w:color w:val="000000"/>
                <w:lang w:eastAsia="en-GB"/>
              </w:rPr>
              <w:t>%</w:t>
            </w:r>
          </w:p>
        </w:tc>
        <w:tc>
          <w:tcPr>
            <w:tcW w:w="879" w:type="dxa"/>
            <w:tcBorders>
              <w:top w:val="nil"/>
              <w:left w:val="nil"/>
              <w:bottom w:val="single" w:sz="4" w:space="0" w:color="auto"/>
              <w:right w:val="single" w:sz="4" w:space="0" w:color="auto"/>
            </w:tcBorders>
            <w:shd w:val="clear" w:color="000000" w:fill="C6E0B4"/>
            <w:noWrap/>
            <w:vAlign w:val="center"/>
            <w:hideMark/>
          </w:tcPr>
          <w:p w14:paraId="4B71B88A"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100.00%</w:t>
            </w:r>
          </w:p>
        </w:tc>
        <w:tc>
          <w:tcPr>
            <w:tcW w:w="763" w:type="dxa"/>
            <w:tcBorders>
              <w:top w:val="nil"/>
              <w:left w:val="nil"/>
              <w:bottom w:val="single" w:sz="4" w:space="0" w:color="auto"/>
              <w:right w:val="single" w:sz="4" w:space="0" w:color="auto"/>
            </w:tcBorders>
            <w:shd w:val="clear" w:color="000000" w:fill="C6E0B4"/>
            <w:noWrap/>
            <w:vAlign w:val="bottom"/>
            <w:hideMark/>
          </w:tcPr>
          <w:p w14:paraId="64C15DDF" w14:textId="1241100F"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w:t>
            </w:r>
            <w:r w:rsidR="00131E47">
              <w:rPr>
                <w:rFonts w:ascii="Calibri" w:eastAsia="Times New Roman" w:hAnsi="Calibri" w:cs="Calibri"/>
                <w:color w:val="000000"/>
                <w:lang w:eastAsia="en-GB"/>
              </w:rPr>
              <w:t>3.89</w:t>
            </w:r>
            <w:r w:rsidRPr="00056C48">
              <w:rPr>
                <w:rFonts w:ascii="Calibri" w:eastAsia="Times New Roman" w:hAnsi="Calibri" w:cs="Calibri"/>
                <w:color w:val="000000"/>
                <w:lang w:eastAsia="en-GB"/>
              </w:rPr>
              <w:t>%</w:t>
            </w:r>
          </w:p>
        </w:tc>
        <w:tc>
          <w:tcPr>
            <w:tcW w:w="897" w:type="dxa"/>
            <w:tcBorders>
              <w:top w:val="nil"/>
              <w:left w:val="nil"/>
              <w:bottom w:val="single" w:sz="4" w:space="0" w:color="auto"/>
              <w:right w:val="single" w:sz="4" w:space="0" w:color="auto"/>
            </w:tcBorders>
            <w:shd w:val="clear" w:color="000000" w:fill="C6E0B4"/>
            <w:noWrap/>
            <w:vAlign w:val="center"/>
            <w:hideMark/>
          </w:tcPr>
          <w:p w14:paraId="693B28BF"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100.00%</w:t>
            </w:r>
          </w:p>
        </w:tc>
      </w:tr>
      <w:tr w:rsidR="00056C48" w:rsidRPr="00056C48" w14:paraId="6F4A26A9"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FFE699"/>
            <w:noWrap/>
            <w:vAlign w:val="bottom"/>
            <w:hideMark/>
          </w:tcPr>
          <w:p w14:paraId="4AD0DDC9"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Hours Booked</w:t>
            </w:r>
          </w:p>
        </w:tc>
        <w:tc>
          <w:tcPr>
            <w:tcW w:w="1189" w:type="dxa"/>
            <w:tcBorders>
              <w:top w:val="nil"/>
              <w:left w:val="nil"/>
              <w:bottom w:val="single" w:sz="4" w:space="0" w:color="auto"/>
              <w:right w:val="single" w:sz="4" w:space="0" w:color="auto"/>
            </w:tcBorders>
            <w:shd w:val="clear" w:color="000000" w:fill="FFE699"/>
            <w:noWrap/>
            <w:vAlign w:val="bottom"/>
            <w:hideMark/>
          </w:tcPr>
          <w:p w14:paraId="49D949A7" w14:textId="30DC4FCD"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10</w:t>
            </w:r>
            <w:r w:rsidR="00131E47">
              <w:rPr>
                <w:rFonts w:ascii="Calibri" w:eastAsia="Times New Roman" w:hAnsi="Calibri" w:cs="Calibri"/>
                <w:color w:val="000000"/>
                <w:lang w:eastAsia="en-GB"/>
              </w:rPr>
              <w:t>,</w:t>
            </w:r>
            <w:r w:rsidRPr="00056C48">
              <w:rPr>
                <w:rFonts w:ascii="Calibri" w:eastAsia="Times New Roman" w:hAnsi="Calibri" w:cs="Calibri"/>
                <w:color w:val="000000"/>
                <w:lang w:eastAsia="en-GB"/>
              </w:rPr>
              <w:t>059.57</w:t>
            </w:r>
          </w:p>
        </w:tc>
        <w:tc>
          <w:tcPr>
            <w:tcW w:w="1111" w:type="dxa"/>
            <w:tcBorders>
              <w:top w:val="nil"/>
              <w:left w:val="nil"/>
              <w:bottom w:val="single" w:sz="4" w:space="0" w:color="auto"/>
              <w:right w:val="single" w:sz="4" w:space="0" w:color="auto"/>
            </w:tcBorders>
            <w:shd w:val="clear" w:color="000000" w:fill="FFE699"/>
            <w:noWrap/>
            <w:vAlign w:val="center"/>
            <w:hideMark/>
          </w:tcPr>
          <w:p w14:paraId="2FEB5925"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6,589.00</w:t>
            </w:r>
          </w:p>
        </w:tc>
        <w:tc>
          <w:tcPr>
            <w:tcW w:w="941" w:type="dxa"/>
            <w:tcBorders>
              <w:top w:val="nil"/>
              <w:left w:val="nil"/>
              <w:bottom w:val="single" w:sz="4" w:space="0" w:color="auto"/>
              <w:right w:val="single" w:sz="4" w:space="0" w:color="auto"/>
            </w:tcBorders>
            <w:shd w:val="clear" w:color="000000" w:fill="FFE699"/>
            <w:noWrap/>
            <w:vAlign w:val="bottom"/>
            <w:hideMark/>
          </w:tcPr>
          <w:p w14:paraId="72C7B33C" w14:textId="7FE6EFFF"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10</w:t>
            </w:r>
            <w:r w:rsidR="00131E47">
              <w:rPr>
                <w:rFonts w:ascii="Calibri" w:eastAsia="Times New Roman" w:hAnsi="Calibri" w:cs="Calibri"/>
                <w:color w:val="000000"/>
                <w:lang w:eastAsia="en-GB"/>
              </w:rPr>
              <w:t>,</w:t>
            </w:r>
            <w:r w:rsidRPr="00056C48">
              <w:rPr>
                <w:rFonts w:ascii="Calibri" w:eastAsia="Times New Roman" w:hAnsi="Calibri" w:cs="Calibri"/>
                <w:color w:val="000000"/>
                <w:lang w:eastAsia="en-GB"/>
              </w:rPr>
              <w:t>203.03</w:t>
            </w:r>
          </w:p>
        </w:tc>
        <w:tc>
          <w:tcPr>
            <w:tcW w:w="879" w:type="dxa"/>
            <w:tcBorders>
              <w:top w:val="nil"/>
              <w:left w:val="nil"/>
              <w:bottom w:val="single" w:sz="4" w:space="0" w:color="auto"/>
              <w:right w:val="single" w:sz="4" w:space="0" w:color="auto"/>
            </w:tcBorders>
            <w:shd w:val="clear" w:color="000000" w:fill="FFE699"/>
            <w:noWrap/>
            <w:vAlign w:val="center"/>
            <w:hideMark/>
          </w:tcPr>
          <w:p w14:paraId="7233F9FB"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1,538.00</w:t>
            </w:r>
          </w:p>
        </w:tc>
        <w:tc>
          <w:tcPr>
            <w:tcW w:w="763" w:type="dxa"/>
            <w:tcBorders>
              <w:top w:val="nil"/>
              <w:left w:val="nil"/>
              <w:bottom w:val="single" w:sz="4" w:space="0" w:color="auto"/>
              <w:right w:val="single" w:sz="4" w:space="0" w:color="auto"/>
            </w:tcBorders>
            <w:shd w:val="clear" w:color="000000" w:fill="FFE699"/>
            <w:noWrap/>
            <w:vAlign w:val="bottom"/>
            <w:hideMark/>
          </w:tcPr>
          <w:p w14:paraId="4F0A15AF" w14:textId="6511BEE0"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9</w:t>
            </w:r>
            <w:r w:rsidR="00131E47">
              <w:rPr>
                <w:rFonts w:ascii="Calibri" w:eastAsia="Times New Roman" w:hAnsi="Calibri" w:cs="Calibri"/>
                <w:color w:val="000000"/>
                <w:lang w:eastAsia="en-GB"/>
              </w:rPr>
              <w:t>,</w:t>
            </w:r>
            <w:r w:rsidRPr="00056C48">
              <w:rPr>
                <w:rFonts w:ascii="Calibri" w:eastAsia="Times New Roman" w:hAnsi="Calibri" w:cs="Calibri"/>
                <w:color w:val="000000"/>
                <w:lang w:eastAsia="en-GB"/>
              </w:rPr>
              <w:t>792.7</w:t>
            </w:r>
          </w:p>
        </w:tc>
        <w:tc>
          <w:tcPr>
            <w:tcW w:w="897" w:type="dxa"/>
            <w:tcBorders>
              <w:top w:val="nil"/>
              <w:left w:val="nil"/>
              <w:bottom w:val="single" w:sz="4" w:space="0" w:color="auto"/>
              <w:right w:val="single" w:sz="4" w:space="0" w:color="auto"/>
            </w:tcBorders>
            <w:shd w:val="clear" w:color="000000" w:fill="FFE699"/>
            <w:noWrap/>
            <w:vAlign w:val="center"/>
            <w:hideMark/>
          </w:tcPr>
          <w:p w14:paraId="50EEAC05"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6,234.00</w:t>
            </w:r>
          </w:p>
        </w:tc>
      </w:tr>
      <w:tr w:rsidR="00056C48" w:rsidRPr="00056C48" w14:paraId="62C4A757"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FFE699"/>
            <w:noWrap/>
            <w:vAlign w:val="bottom"/>
            <w:hideMark/>
          </w:tcPr>
          <w:p w14:paraId="0ABA225A"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Hours Booked At/Below Cap</w:t>
            </w:r>
          </w:p>
        </w:tc>
        <w:tc>
          <w:tcPr>
            <w:tcW w:w="1189" w:type="dxa"/>
            <w:tcBorders>
              <w:top w:val="nil"/>
              <w:left w:val="nil"/>
              <w:bottom w:val="single" w:sz="4" w:space="0" w:color="auto"/>
              <w:right w:val="single" w:sz="4" w:space="0" w:color="auto"/>
            </w:tcBorders>
            <w:shd w:val="clear" w:color="000000" w:fill="FFE699"/>
            <w:noWrap/>
            <w:vAlign w:val="bottom"/>
            <w:hideMark/>
          </w:tcPr>
          <w:p w14:paraId="21C47B0A"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5224.32</w:t>
            </w:r>
          </w:p>
        </w:tc>
        <w:tc>
          <w:tcPr>
            <w:tcW w:w="1111" w:type="dxa"/>
            <w:tcBorders>
              <w:top w:val="nil"/>
              <w:left w:val="nil"/>
              <w:bottom w:val="single" w:sz="4" w:space="0" w:color="auto"/>
              <w:right w:val="single" w:sz="4" w:space="0" w:color="auto"/>
            </w:tcBorders>
            <w:shd w:val="clear" w:color="000000" w:fill="FFE699"/>
            <w:noWrap/>
            <w:vAlign w:val="center"/>
            <w:hideMark/>
          </w:tcPr>
          <w:p w14:paraId="09B0E5C9"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w:t>
            </w:r>
          </w:p>
        </w:tc>
        <w:tc>
          <w:tcPr>
            <w:tcW w:w="941" w:type="dxa"/>
            <w:tcBorders>
              <w:top w:val="nil"/>
              <w:left w:val="nil"/>
              <w:bottom w:val="single" w:sz="4" w:space="0" w:color="auto"/>
              <w:right w:val="single" w:sz="4" w:space="0" w:color="auto"/>
            </w:tcBorders>
            <w:shd w:val="clear" w:color="000000" w:fill="FFE699"/>
            <w:noWrap/>
            <w:vAlign w:val="bottom"/>
            <w:hideMark/>
          </w:tcPr>
          <w:p w14:paraId="626BF781"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5339.28</w:t>
            </w:r>
          </w:p>
        </w:tc>
        <w:tc>
          <w:tcPr>
            <w:tcW w:w="879" w:type="dxa"/>
            <w:tcBorders>
              <w:top w:val="nil"/>
              <w:left w:val="nil"/>
              <w:bottom w:val="single" w:sz="4" w:space="0" w:color="auto"/>
              <w:right w:val="single" w:sz="4" w:space="0" w:color="auto"/>
            </w:tcBorders>
            <w:shd w:val="clear" w:color="000000" w:fill="FFE699"/>
            <w:noWrap/>
            <w:vAlign w:val="center"/>
            <w:hideMark/>
          </w:tcPr>
          <w:p w14:paraId="63030580"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w:t>
            </w:r>
          </w:p>
        </w:tc>
        <w:tc>
          <w:tcPr>
            <w:tcW w:w="763" w:type="dxa"/>
            <w:tcBorders>
              <w:top w:val="nil"/>
              <w:left w:val="nil"/>
              <w:bottom w:val="single" w:sz="4" w:space="0" w:color="auto"/>
              <w:right w:val="single" w:sz="4" w:space="0" w:color="auto"/>
            </w:tcBorders>
            <w:shd w:val="clear" w:color="000000" w:fill="FFE699"/>
            <w:noWrap/>
            <w:vAlign w:val="bottom"/>
            <w:hideMark/>
          </w:tcPr>
          <w:p w14:paraId="05F6E016"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4620.2</w:t>
            </w:r>
          </w:p>
        </w:tc>
        <w:tc>
          <w:tcPr>
            <w:tcW w:w="897" w:type="dxa"/>
            <w:tcBorders>
              <w:top w:val="nil"/>
              <w:left w:val="nil"/>
              <w:bottom w:val="single" w:sz="4" w:space="0" w:color="auto"/>
              <w:right w:val="single" w:sz="4" w:space="0" w:color="auto"/>
            </w:tcBorders>
            <w:shd w:val="clear" w:color="000000" w:fill="FFE699"/>
            <w:noWrap/>
            <w:vAlign w:val="center"/>
            <w:hideMark/>
          </w:tcPr>
          <w:p w14:paraId="6AFF64A3"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w:t>
            </w:r>
          </w:p>
        </w:tc>
      </w:tr>
      <w:tr w:rsidR="00056C48" w:rsidRPr="00056C48" w14:paraId="6EF4FBFE"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FFE699"/>
            <w:noWrap/>
            <w:vAlign w:val="bottom"/>
            <w:hideMark/>
          </w:tcPr>
          <w:p w14:paraId="2D54A4A0"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Hours Booked At/Below Cap %</w:t>
            </w:r>
          </w:p>
        </w:tc>
        <w:tc>
          <w:tcPr>
            <w:tcW w:w="1189" w:type="dxa"/>
            <w:tcBorders>
              <w:top w:val="nil"/>
              <w:left w:val="nil"/>
              <w:bottom w:val="single" w:sz="4" w:space="0" w:color="auto"/>
              <w:right w:val="single" w:sz="4" w:space="0" w:color="auto"/>
            </w:tcBorders>
            <w:shd w:val="clear" w:color="000000" w:fill="FFE699"/>
            <w:noWrap/>
            <w:vAlign w:val="bottom"/>
            <w:hideMark/>
          </w:tcPr>
          <w:p w14:paraId="233C56CF"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51.93%</w:t>
            </w:r>
          </w:p>
        </w:tc>
        <w:tc>
          <w:tcPr>
            <w:tcW w:w="1111" w:type="dxa"/>
            <w:tcBorders>
              <w:top w:val="nil"/>
              <w:left w:val="nil"/>
              <w:bottom w:val="single" w:sz="4" w:space="0" w:color="auto"/>
              <w:right w:val="single" w:sz="4" w:space="0" w:color="auto"/>
            </w:tcBorders>
            <w:shd w:val="clear" w:color="000000" w:fill="FFE699"/>
            <w:noWrap/>
            <w:vAlign w:val="center"/>
            <w:hideMark/>
          </w:tcPr>
          <w:p w14:paraId="5CDAFE04"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0.00%</w:t>
            </w:r>
          </w:p>
        </w:tc>
        <w:tc>
          <w:tcPr>
            <w:tcW w:w="941" w:type="dxa"/>
            <w:tcBorders>
              <w:top w:val="nil"/>
              <w:left w:val="nil"/>
              <w:bottom w:val="single" w:sz="4" w:space="0" w:color="auto"/>
              <w:right w:val="single" w:sz="4" w:space="0" w:color="auto"/>
            </w:tcBorders>
            <w:shd w:val="clear" w:color="000000" w:fill="FFE699"/>
            <w:noWrap/>
            <w:vAlign w:val="bottom"/>
            <w:hideMark/>
          </w:tcPr>
          <w:p w14:paraId="584FCFD8" w14:textId="545F19F4"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52.3</w:t>
            </w:r>
            <w:r w:rsidR="00131E47">
              <w:rPr>
                <w:rFonts w:ascii="Calibri" w:eastAsia="Times New Roman" w:hAnsi="Calibri" w:cs="Calibri"/>
                <w:color w:val="000000"/>
                <w:lang w:eastAsia="en-GB"/>
              </w:rPr>
              <w:t>4</w:t>
            </w:r>
            <w:r w:rsidRPr="00056C48">
              <w:rPr>
                <w:rFonts w:ascii="Calibri" w:eastAsia="Times New Roman" w:hAnsi="Calibri" w:cs="Calibri"/>
                <w:color w:val="000000"/>
                <w:lang w:eastAsia="en-GB"/>
              </w:rPr>
              <w:t>%</w:t>
            </w:r>
          </w:p>
        </w:tc>
        <w:tc>
          <w:tcPr>
            <w:tcW w:w="879" w:type="dxa"/>
            <w:tcBorders>
              <w:top w:val="nil"/>
              <w:left w:val="nil"/>
              <w:bottom w:val="single" w:sz="4" w:space="0" w:color="auto"/>
              <w:right w:val="single" w:sz="4" w:space="0" w:color="auto"/>
            </w:tcBorders>
            <w:shd w:val="clear" w:color="000000" w:fill="FFE699"/>
            <w:noWrap/>
            <w:vAlign w:val="center"/>
            <w:hideMark/>
          </w:tcPr>
          <w:p w14:paraId="08E57CFF"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0.00%</w:t>
            </w:r>
          </w:p>
        </w:tc>
        <w:tc>
          <w:tcPr>
            <w:tcW w:w="763" w:type="dxa"/>
            <w:tcBorders>
              <w:top w:val="nil"/>
              <w:left w:val="nil"/>
              <w:bottom w:val="single" w:sz="4" w:space="0" w:color="auto"/>
              <w:right w:val="single" w:sz="4" w:space="0" w:color="auto"/>
            </w:tcBorders>
            <w:shd w:val="clear" w:color="000000" w:fill="FFE699"/>
            <w:noWrap/>
            <w:vAlign w:val="bottom"/>
            <w:hideMark/>
          </w:tcPr>
          <w:p w14:paraId="66F8E8D9" w14:textId="1AA83BDD"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47.1</w:t>
            </w:r>
            <w:r w:rsidR="00131E47">
              <w:rPr>
                <w:rFonts w:ascii="Calibri" w:eastAsia="Times New Roman" w:hAnsi="Calibri" w:cs="Calibri"/>
                <w:color w:val="000000"/>
                <w:lang w:eastAsia="en-GB"/>
              </w:rPr>
              <w:t>8</w:t>
            </w:r>
            <w:r w:rsidRPr="00056C48">
              <w:rPr>
                <w:rFonts w:ascii="Calibri" w:eastAsia="Times New Roman" w:hAnsi="Calibri" w:cs="Calibri"/>
                <w:color w:val="000000"/>
                <w:lang w:eastAsia="en-GB"/>
              </w:rPr>
              <w:t>%</w:t>
            </w:r>
          </w:p>
        </w:tc>
        <w:tc>
          <w:tcPr>
            <w:tcW w:w="897" w:type="dxa"/>
            <w:tcBorders>
              <w:top w:val="nil"/>
              <w:left w:val="nil"/>
              <w:bottom w:val="single" w:sz="4" w:space="0" w:color="auto"/>
              <w:right w:val="single" w:sz="4" w:space="0" w:color="auto"/>
            </w:tcBorders>
            <w:shd w:val="clear" w:color="000000" w:fill="FFE699"/>
            <w:noWrap/>
            <w:vAlign w:val="center"/>
            <w:hideMark/>
          </w:tcPr>
          <w:p w14:paraId="7609BF18"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0.00%</w:t>
            </w:r>
          </w:p>
        </w:tc>
      </w:tr>
      <w:tr w:rsidR="00056C48" w:rsidRPr="00056C48" w14:paraId="272CD9AC"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FFE699"/>
            <w:noWrap/>
            <w:vAlign w:val="bottom"/>
            <w:hideMark/>
          </w:tcPr>
          <w:p w14:paraId="47743E47"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Hours Booked Above Cap</w:t>
            </w:r>
          </w:p>
        </w:tc>
        <w:tc>
          <w:tcPr>
            <w:tcW w:w="1189" w:type="dxa"/>
            <w:tcBorders>
              <w:top w:val="nil"/>
              <w:left w:val="nil"/>
              <w:bottom w:val="single" w:sz="4" w:space="0" w:color="auto"/>
              <w:right w:val="single" w:sz="4" w:space="0" w:color="auto"/>
            </w:tcBorders>
            <w:shd w:val="clear" w:color="000000" w:fill="FFE699"/>
            <w:noWrap/>
            <w:vAlign w:val="bottom"/>
            <w:hideMark/>
          </w:tcPr>
          <w:p w14:paraId="5185FF23"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4835.25</w:t>
            </w:r>
          </w:p>
        </w:tc>
        <w:tc>
          <w:tcPr>
            <w:tcW w:w="1111" w:type="dxa"/>
            <w:tcBorders>
              <w:top w:val="nil"/>
              <w:left w:val="nil"/>
              <w:bottom w:val="single" w:sz="4" w:space="0" w:color="auto"/>
              <w:right w:val="single" w:sz="4" w:space="0" w:color="auto"/>
            </w:tcBorders>
            <w:shd w:val="clear" w:color="000000" w:fill="FFE699"/>
            <w:noWrap/>
            <w:vAlign w:val="center"/>
            <w:hideMark/>
          </w:tcPr>
          <w:p w14:paraId="1C99B749"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6,589.00</w:t>
            </w:r>
          </w:p>
        </w:tc>
        <w:tc>
          <w:tcPr>
            <w:tcW w:w="941" w:type="dxa"/>
            <w:tcBorders>
              <w:top w:val="nil"/>
              <w:left w:val="nil"/>
              <w:bottom w:val="single" w:sz="4" w:space="0" w:color="auto"/>
              <w:right w:val="single" w:sz="4" w:space="0" w:color="auto"/>
            </w:tcBorders>
            <w:shd w:val="clear" w:color="000000" w:fill="FFE699"/>
            <w:noWrap/>
            <w:vAlign w:val="bottom"/>
            <w:hideMark/>
          </w:tcPr>
          <w:p w14:paraId="50192FA1"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4863.75</w:t>
            </w:r>
          </w:p>
        </w:tc>
        <w:tc>
          <w:tcPr>
            <w:tcW w:w="879" w:type="dxa"/>
            <w:tcBorders>
              <w:top w:val="nil"/>
              <w:left w:val="nil"/>
              <w:bottom w:val="single" w:sz="4" w:space="0" w:color="auto"/>
              <w:right w:val="single" w:sz="4" w:space="0" w:color="auto"/>
            </w:tcBorders>
            <w:shd w:val="clear" w:color="000000" w:fill="FFE699"/>
            <w:noWrap/>
            <w:vAlign w:val="center"/>
            <w:hideMark/>
          </w:tcPr>
          <w:p w14:paraId="71451198"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1,538.00</w:t>
            </w:r>
          </w:p>
        </w:tc>
        <w:tc>
          <w:tcPr>
            <w:tcW w:w="763" w:type="dxa"/>
            <w:tcBorders>
              <w:top w:val="nil"/>
              <w:left w:val="nil"/>
              <w:bottom w:val="single" w:sz="4" w:space="0" w:color="auto"/>
              <w:right w:val="single" w:sz="4" w:space="0" w:color="auto"/>
            </w:tcBorders>
            <w:shd w:val="clear" w:color="000000" w:fill="FFE699"/>
            <w:noWrap/>
            <w:vAlign w:val="bottom"/>
            <w:hideMark/>
          </w:tcPr>
          <w:p w14:paraId="01C0F9D2"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5172.6</w:t>
            </w:r>
          </w:p>
        </w:tc>
        <w:tc>
          <w:tcPr>
            <w:tcW w:w="897" w:type="dxa"/>
            <w:tcBorders>
              <w:top w:val="nil"/>
              <w:left w:val="nil"/>
              <w:bottom w:val="single" w:sz="4" w:space="0" w:color="auto"/>
              <w:right w:val="single" w:sz="4" w:space="0" w:color="auto"/>
            </w:tcBorders>
            <w:shd w:val="clear" w:color="000000" w:fill="FFE699"/>
            <w:noWrap/>
            <w:vAlign w:val="center"/>
            <w:hideMark/>
          </w:tcPr>
          <w:p w14:paraId="633C9BAB"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6,234.00</w:t>
            </w:r>
          </w:p>
        </w:tc>
      </w:tr>
      <w:tr w:rsidR="00056C48" w:rsidRPr="00056C48" w14:paraId="0E0A5DB9"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FFE699"/>
            <w:noWrap/>
            <w:vAlign w:val="bottom"/>
            <w:hideMark/>
          </w:tcPr>
          <w:p w14:paraId="7EA77133"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Hours Booked Above Cap %</w:t>
            </w:r>
          </w:p>
        </w:tc>
        <w:tc>
          <w:tcPr>
            <w:tcW w:w="1189" w:type="dxa"/>
            <w:tcBorders>
              <w:top w:val="nil"/>
              <w:left w:val="nil"/>
              <w:bottom w:val="single" w:sz="4" w:space="0" w:color="auto"/>
              <w:right w:val="single" w:sz="4" w:space="0" w:color="auto"/>
            </w:tcBorders>
            <w:shd w:val="clear" w:color="000000" w:fill="FFE699"/>
            <w:noWrap/>
            <w:vAlign w:val="bottom"/>
            <w:hideMark/>
          </w:tcPr>
          <w:p w14:paraId="78AEA9EF" w14:textId="631CFFCE"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48.0</w:t>
            </w:r>
            <w:r w:rsidR="00131E47">
              <w:rPr>
                <w:rFonts w:ascii="Calibri" w:eastAsia="Times New Roman" w:hAnsi="Calibri" w:cs="Calibri"/>
                <w:color w:val="000000"/>
                <w:lang w:eastAsia="en-GB"/>
              </w:rPr>
              <w:t>7</w:t>
            </w:r>
            <w:r w:rsidRPr="00056C48">
              <w:rPr>
                <w:rFonts w:ascii="Calibri" w:eastAsia="Times New Roman" w:hAnsi="Calibri" w:cs="Calibri"/>
                <w:color w:val="000000"/>
                <w:lang w:eastAsia="en-GB"/>
              </w:rPr>
              <w:t>%</w:t>
            </w:r>
          </w:p>
        </w:tc>
        <w:tc>
          <w:tcPr>
            <w:tcW w:w="1111" w:type="dxa"/>
            <w:tcBorders>
              <w:top w:val="nil"/>
              <w:left w:val="nil"/>
              <w:bottom w:val="single" w:sz="4" w:space="0" w:color="auto"/>
              <w:right w:val="single" w:sz="4" w:space="0" w:color="auto"/>
            </w:tcBorders>
            <w:shd w:val="clear" w:color="000000" w:fill="FFE699"/>
            <w:noWrap/>
            <w:vAlign w:val="center"/>
            <w:hideMark/>
          </w:tcPr>
          <w:p w14:paraId="5FBA3221"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100.00%</w:t>
            </w:r>
          </w:p>
        </w:tc>
        <w:tc>
          <w:tcPr>
            <w:tcW w:w="941" w:type="dxa"/>
            <w:tcBorders>
              <w:top w:val="nil"/>
              <w:left w:val="nil"/>
              <w:bottom w:val="single" w:sz="4" w:space="0" w:color="auto"/>
              <w:right w:val="single" w:sz="4" w:space="0" w:color="auto"/>
            </w:tcBorders>
            <w:shd w:val="clear" w:color="000000" w:fill="FFE699"/>
            <w:noWrap/>
            <w:vAlign w:val="bottom"/>
            <w:hideMark/>
          </w:tcPr>
          <w:p w14:paraId="05220305"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47.66%</w:t>
            </w:r>
          </w:p>
        </w:tc>
        <w:tc>
          <w:tcPr>
            <w:tcW w:w="879" w:type="dxa"/>
            <w:tcBorders>
              <w:top w:val="nil"/>
              <w:left w:val="nil"/>
              <w:bottom w:val="single" w:sz="4" w:space="0" w:color="auto"/>
              <w:right w:val="single" w:sz="4" w:space="0" w:color="auto"/>
            </w:tcBorders>
            <w:shd w:val="clear" w:color="000000" w:fill="FFE699"/>
            <w:noWrap/>
            <w:vAlign w:val="center"/>
            <w:hideMark/>
          </w:tcPr>
          <w:p w14:paraId="04DA80EE"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100.00%</w:t>
            </w:r>
          </w:p>
        </w:tc>
        <w:tc>
          <w:tcPr>
            <w:tcW w:w="763" w:type="dxa"/>
            <w:tcBorders>
              <w:top w:val="nil"/>
              <w:left w:val="nil"/>
              <w:bottom w:val="single" w:sz="4" w:space="0" w:color="auto"/>
              <w:right w:val="single" w:sz="4" w:space="0" w:color="auto"/>
            </w:tcBorders>
            <w:shd w:val="clear" w:color="000000" w:fill="FFE699"/>
            <w:noWrap/>
            <w:vAlign w:val="bottom"/>
            <w:hideMark/>
          </w:tcPr>
          <w:p w14:paraId="4D90E115"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52.82%</w:t>
            </w:r>
          </w:p>
        </w:tc>
        <w:tc>
          <w:tcPr>
            <w:tcW w:w="897" w:type="dxa"/>
            <w:tcBorders>
              <w:top w:val="nil"/>
              <w:left w:val="nil"/>
              <w:bottom w:val="single" w:sz="4" w:space="0" w:color="auto"/>
              <w:right w:val="single" w:sz="4" w:space="0" w:color="auto"/>
            </w:tcBorders>
            <w:shd w:val="clear" w:color="000000" w:fill="FFE699"/>
            <w:noWrap/>
            <w:vAlign w:val="center"/>
            <w:hideMark/>
          </w:tcPr>
          <w:p w14:paraId="4A17CC6D"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100.00%</w:t>
            </w:r>
          </w:p>
        </w:tc>
      </w:tr>
      <w:tr w:rsidR="00056C48" w:rsidRPr="00056C48" w14:paraId="74A5BC87"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FFD347"/>
            <w:noWrap/>
            <w:vAlign w:val="bottom"/>
            <w:hideMark/>
          </w:tcPr>
          <w:p w14:paraId="3EBA39CE"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Jobs Booked</w:t>
            </w:r>
          </w:p>
        </w:tc>
        <w:tc>
          <w:tcPr>
            <w:tcW w:w="1189" w:type="dxa"/>
            <w:tcBorders>
              <w:top w:val="nil"/>
              <w:left w:val="nil"/>
              <w:bottom w:val="single" w:sz="4" w:space="0" w:color="auto"/>
              <w:right w:val="single" w:sz="4" w:space="0" w:color="auto"/>
            </w:tcBorders>
            <w:shd w:val="clear" w:color="000000" w:fill="FFD347"/>
            <w:noWrap/>
            <w:vAlign w:val="bottom"/>
            <w:hideMark/>
          </w:tcPr>
          <w:p w14:paraId="09486523" w14:textId="6A8E73CD"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w:t>
            </w:r>
            <w:r w:rsidR="00131E47">
              <w:rPr>
                <w:rFonts w:ascii="Calibri" w:eastAsia="Times New Roman" w:hAnsi="Calibri" w:cs="Calibri"/>
                <w:color w:val="000000"/>
                <w:lang w:eastAsia="en-GB"/>
              </w:rPr>
              <w:t>,</w:t>
            </w:r>
            <w:r w:rsidRPr="00056C48">
              <w:rPr>
                <w:rFonts w:ascii="Calibri" w:eastAsia="Times New Roman" w:hAnsi="Calibri" w:cs="Calibri"/>
                <w:color w:val="000000"/>
                <w:lang w:eastAsia="en-GB"/>
              </w:rPr>
              <w:t>044</w:t>
            </w:r>
          </w:p>
        </w:tc>
        <w:tc>
          <w:tcPr>
            <w:tcW w:w="1111" w:type="dxa"/>
            <w:tcBorders>
              <w:top w:val="nil"/>
              <w:left w:val="nil"/>
              <w:bottom w:val="single" w:sz="4" w:space="0" w:color="auto"/>
              <w:right w:val="single" w:sz="4" w:space="0" w:color="auto"/>
            </w:tcBorders>
            <w:shd w:val="clear" w:color="000000" w:fill="FFD347"/>
            <w:noWrap/>
            <w:vAlign w:val="bottom"/>
            <w:hideMark/>
          </w:tcPr>
          <w:p w14:paraId="395CA643"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37</w:t>
            </w:r>
          </w:p>
        </w:tc>
        <w:tc>
          <w:tcPr>
            <w:tcW w:w="941" w:type="dxa"/>
            <w:tcBorders>
              <w:top w:val="nil"/>
              <w:left w:val="nil"/>
              <w:bottom w:val="single" w:sz="4" w:space="0" w:color="auto"/>
              <w:right w:val="single" w:sz="4" w:space="0" w:color="auto"/>
            </w:tcBorders>
            <w:shd w:val="clear" w:color="000000" w:fill="FFD347"/>
            <w:noWrap/>
            <w:vAlign w:val="bottom"/>
            <w:hideMark/>
          </w:tcPr>
          <w:p w14:paraId="32633B2C" w14:textId="5F739A14"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w:t>
            </w:r>
            <w:r w:rsidR="00131E47">
              <w:rPr>
                <w:rFonts w:ascii="Calibri" w:eastAsia="Times New Roman" w:hAnsi="Calibri" w:cs="Calibri"/>
                <w:color w:val="000000"/>
                <w:lang w:eastAsia="en-GB"/>
              </w:rPr>
              <w:t>,</w:t>
            </w:r>
            <w:r w:rsidRPr="00056C48">
              <w:rPr>
                <w:rFonts w:ascii="Calibri" w:eastAsia="Times New Roman" w:hAnsi="Calibri" w:cs="Calibri"/>
                <w:color w:val="000000"/>
                <w:lang w:eastAsia="en-GB"/>
              </w:rPr>
              <w:t>067</w:t>
            </w:r>
          </w:p>
        </w:tc>
        <w:tc>
          <w:tcPr>
            <w:tcW w:w="879" w:type="dxa"/>
            <w:tcBorders>
              <w:top w:val="nil"/>
              <w:left w:val="nil"/>
              <w:bottom w:val="single" w:sz="4" w:space="0" w:color="auto"/>
              <w:right w:val="single" w:sz="4" w:space="0" w:color="auto"/>
            </w:tcBorders>
            <w:shd w:val="clear" w:color="000000" w:fill="FFD347"/>
            <w:noWrap/>
            <w:vAlign w:val="bottom"/>
            <w:hideMark/>
          </w:tcPr>
          <w:p w14:paraId="23E1D0DE"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16</w:t>
            </w:r>
          </w:p>
        </w:tc>
        <w:tc>
          <w:tcPr>
            <w:tcW w:w="763" w:type="dxa"/>
            <w:tcBorders>
              <w:top w:val="nil"/>
              <w:left w:val="nil"/>
              <w:bottom w:val="single" w:sz="4" w:space="0" w:color="auto"/>
              <w:right w:val="single" w:sz="4" w:space="0" w:color="auto"/>
            </w:tcBorders>
            <w:shd w:val="clear" w:color="000000" w:fill="FFD347"/>
            <w:noWrap/>
            <w:vAlign w:val="bottom"/>
            <w:hideMark/>
          </w:tcPr>
          <w:p w14:paraId="29168BDF" w14:textId="430D475B"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w:t>
            </w:r>
            <w:r w:rsidR="00131E47">
              <w:rPr>
                <w:rFonts w:ascii="Calibri" w:eastAsia="Times New Roman" w:hAnsi="Calibri" w:cs="Calibri"/>
                <w:color w:val="000000"/>
                <w:lang w:eastAsia="en-GB"/>
              </w:rPr>
              <w:t>,</w:t>
            </w:r>
            <w:r w:rsidRPr="00056C48">
              <w:rPr>
                <w:rFonts w:ascii="Calibri" w:eastAsia="Times New Roman" w:hAnsi="Calibri" w:cs="Calibri"/>
                <w:color w:val="000000"/>
                <w:lang w:eastAsia="en-GB"/>
              </w:rPr>
              <w:t>001</w:t>
            </w:r>
          </w:p>
        </w:tc>
        <w:tc>
          <w:tcPr>
            <w:tcW w:w="897" w:type="dxa"/>
            <w:tcBorders>
              <w:top w:val="nil"/>
              <w:left w:val="nil"/>
              <w:bottom w:val="single" w:sz="4" w:space="0" w:color="auto"/>
              <w:right w:val="single" w:sz="4" w:space="0" w:color="auto"/>
            </w:tcBorders>
            <w:shd w:val="clear" w:color="000000" w:fill="FFD347"/>
            <w:noWrap/>
            <w:vAlign w:val="bottom"/>
            <w:hideMark/>
          </w:tcPr>
          <w:p w14:paraId="6100BED4"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35</w:t>
            </w:r>
          </w:p>
        </w:tc>
      </w:tr>
      <w:tr w:rsidR="00056C48" w:rsidRPr="00056C48" w14:paraId="6B486293"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FFD347"/>
            <w:noWrap/>
            <w:vAlign w:val="bottom"/>
            <w:hideMark/>
          </w:tcPr>
          <w:p w14:paraId="153E8E5E"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Jobs Booked At/Below Cap</w:t>
            </w:r>
          </w:p>
        </w:tc>
        <w:tc>
          <w:tcPr>
            <w:tcW w:w="1189" w:type="dxa"/>
            <w:tcBorders>
              <w:top w:val="nil"/>
              <w:left w:val="nil"/>
              <w:bottom w:val="single" w:sz="4" w:space="0" w:color="auto"/>
              <w:right w:val="single" w:sz="4" w:space="0" w:color="auto"/>
            </w:tcBorders>
            <w:shd w:val="clear" w:color="000000" w:fill="FFD347"/>
            <w:noWrap/>
            <w:vAlign w:val="bottom"/>
            <w:hideMark/>
          </w:tcPr>
          <w:p w14:paraId="1BE8616D"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511</w:t>
            </w:r>
          </w:p>
        </w:tc>
        <w:tc>
          <w:tcPr>
            <w:tcW w:w="1111" w:type="dxa"/>
            <w:tcBorders>
              <w:top w:val="nil"/>
              <w:left w:val="nil"/>
              <w:bottom w:val="single" w:sz="4" w:space="0" w:color="auto"/>
              <w:right w:val="single" w:sz="4" w:space="0" w:color="auto"/>
            </w:tcBorders>
            <w:shd w:val="clear" w:color="000000" w:fill="FFD966"/>
            <w:noWrap/>
            <w:vAlign w:val="center"/>
            <w:hideMark/>
          </w:tcPr>
          <w:p w14:paraId="3CEE4BB2"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w:t>
            </w:r>
          </w:p>
        </w:tc>
        <w:tc>
          <w:tcPr>
            <w:tcW w:w="941" w:type="dxa"/>
            <w:tcBorders>
              <w:top w:val="nil"/>
              <w:left w:val="nil"/>
              <w:bottom w:val="single" w:sz="4" w:space="0" w:color="auto"/>
              <w:right w:val="single" w:sz="4" w:space="0" w:color="auto"/>
            </w:tcBorders>
            <w:shd w:val="clear" w:color="000000" w:fill="FFD966"/>
            <w:noWrap/>
            <w:vAlign w:val="bottom"/>
            <w:hideMark/>
          </w:tcPr>
          <w:p w14:paraId="1CDAAEE1"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526</w:t>
            </w:r>
          </w:p>
        </w:tc>
        <w:tc>
          <w:tcPr>
            <w:tcW w:w="879" w:type="dxa"/>
            <w:tcBorders>
              <w:top w:val="nil"/>
              <w:left w:val="nil"/>
              <w:bottom w:val="single" w:sz="4" w:space="0" w:color="auto"/>
              <w:right w:val="single" w:sz="4" w:space="0" w:color="auto"/>
            </w:tcBorders>
            <w:shd w:val="clear" w:color="000000" w:fill="FFD966"/>
            <w:noWrap/>
            <w:vAlign w:val="center"/>
            <w:hideMark/>
          </w:tcPr>
          <w:p w14:paraId="0C739E98"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w:t>
            </w:r>
          </w:p>
        </w:tc>
        <w:tc>
          <w:tcPr>
            <w:tcW w:w="763" w:type="dxa"/>
            <w:tcBorders>
              <w:top w:val="nil"/>
              <w:left w:val="nil"/>
              <w:bottom w:val="single" w:sz="4" w:space="0" w:color="auto"/>
              <w:right w:val="single" w:sz="4" w:space="0" w:color="auto"/>
            </w:tcBorders>
            <w:shd w:val="clear" w:color="000000" w:fill="FFD966"/>
            <w:noWrap/>
            <w:vAlign w:val="bottom"/>
            <w:hideMark/>
          </w:tcPr>
          <w:p w14:paraId="4A97F12E"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449</w:t>
            </w:r>
          </w:p>
        </w:tc>
        <w:tc>
          <w:tcPr>
            <w:tcW w:w="897" w:type="dxa"/>
            <w:tcBorders>
              <w:top w:val="nil"/>
              <w:left w:val="nil"/>
              <w:bottom w:val="single" w:sz="4" w:space="0" w:color="auto"/>
              <w:right w:val="single" w:sz="4" w:space="0" w:color="auto"/>
            </w:tcBorders>
            <w:shd w:val="clear" w:color="000000" w:fill="FFD966"/>
            <w:noWrap/>
            <w:vAlign w:val="center"/>
            <w:hideMark/>
          </w:tcPr>
          <w:p w14:paraId="420C41E2"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w:t>
            </w:r>
          </w:p>
        </w:tc>
      </w:tr>
      <w:tr w:rsidR="00056C48" w:rsidRPr="00056C48" w14:paraId="044995F0"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FFD347"/>
            <w:noWrap/>
            <w:vAlign w:val="bottom"/>
            <w:hideMark/>
          </w:tcPr>
          <w:p w14:paraId="52FA9BAF"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Jobs Booked At/Below Cap %</w:t>
            </w:r>
          </w:p>
        </w:tc>
        <w:tc>
          <w:tcPr>
            <w:tcW w:w="1189" w:type="dxa"/>
            <w:tcBorders>
              <w:top w:val="nil"/>
              <w:left w:val="nil"/>
              <w:bottom w:val="single" w:sz="4" w:space="0" w:color="auto"/>
              <w:right w:val="single" w:sz="4" w:space="0" w:color="auto"/>
            </w:tcBorders>
            <w:shd w:val="clear" w:color="000000" w:fill="FFD347"/>
            <w:noWrap/>
            <w:vAlign w:val="bottom"/>
            <w:hideMark/>
          </w:tcPr>
          <w:p w14:paraId="73337332"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48.94%</w:t>
            </w:r>
          </w:p>
        </w:tc>
        <w:tc>
          <w:tcPr>
            <w:tcW w:w="1111" w:type="dxa"/>
            <w:tcBorders>
              <w:top w:val="nil"/>
              <w:left w:val="nil"/>
              <w:bottom w:val="single" w:sz="4" w:space="0" w:color="auto"/>
              <w:right w:val="single" w:sz="4" w:space="0" w:color="auto"/>
            </w:tcBorders>
            <w:shd w:val="clear" w:color="000000" w:fill="FFD966"/>
            <w:noWrap/>
            <w:vAlign w:val="center"/>
            <w:hideMark/>
          </w:tcPr>
          <w:p w14:paraId="17D73137"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0.00%</w:t>
            </w:r>
          </w:p>
        </w:tc>
        <w:tc>
          <w:tcPr>
            <w:tcW w:w="941" w:type="dxa"/>
            <w:tcBorders>
              <w:top w:val="nil"/>
              <w:left w:val="nil"/>
              <w:bottom w:val="single" w:sz="4" w:space="0" w:color="auto"/>
              <w:right w:val="single" w:sz="4" w:space="0" w:color="auto"/>
            </w:tcBorders>
            <w:shd w:val="clear" w:color="000000" w:fill="FFD966"/>
            <w:noWrap/>
            <w:vAlign w:val="bottom"/>
            <w:hideMark/>
          </w:tcPr>
          <w:p w14:paraId="3587BBC2" w14:textId="6BD4872F"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49.</w:t>
            </w:r>
            <w:r w:rsidR="00131E47">
              <w:rPr>
                <w:rFonts w:ascii="Calibri" w:eastAsia="Times New Roman" w:hAnsi="Calibri" w:cs="Calibri"/>
                <w:color w:val="000000"/>
                <w:lang w:eastAsia="en-GB"/>
              </w:rPr>
              <w:t>30</w:t>
            </w:r>
            <w:r w:rsidRPr="00056C48">
              <w:rPr>
                <w:rFonts w:ascii="Calibri" w:eastAsia="Times New Roman" w:hAnsi="Calibri" w:cs="Calibri"/>
                <w:color w:val="000000"/>
                <w:lang w:eastAsia="en-GB"/>
              </w:rPr>
              <w:t>%</w:t>
            </w:r>
          </w:p>
        </w:tc>
        <w:tc>
          <w:tcPr>
            <w:tcW w:w="879" w:type="dxa"/>
            <w:tcBorders>
              <w:top w:val="nil"/>
              <w:left w:val="nil"/>
              <w:bottom w:val="single" w:sz="4" w:space="0" w:color="auto"/>
              <w:right w:val="single" w:sz="4" w:space="0" w:color="auto"/>
            </w:tcBorders>
            <w:shd w:val="clear" w:color="000000" w:fill="FFD966"/>
            <w:noWrap/>
            <w:vAlign w:val="center"/>
            <w:hideMark/>
          </w:tcPr>
          <w:p w14:paraId="333AE4D5"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0.00%</w:t>
            </w:r>
          </w:p>
        </w:tc>
        <w:tc>
          <w:tcPr>
            <w:tcW w:w="763" w:type="dxa"/>
            <w:tcBorders>
              <w:top w:val="nil"/>
              <w:left w:val="nil"/>
              <w:bottom w:val="single" w:sz="4" w:space="0" w:color="auto"/>
              <w:right w:val="single" w:sz="4" w:space="0" w:color="auto"/>
            </w:tcBorders>
            <w:shd w:val="clear" w:color="000000" w:fill="FFD966"/>
            <w:noWrap/>
            <w:vAlign w:val="bottom"/>
            <w:hideMark/>
          </w:tcPr>
          <w:p w14:paraId="756993AC"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44.85%</w:t>
            </w:r>
          </w:p>
        </w:tc>
        <w:tc>
          <w:tcPr>
            <w:tcW w:w="897" w:type="dxa"/>
            <w:tcBorders>
              <w:top w:val="nil"/>
              <w:left w:val="nil"/>
              <w:bottom w:val="single" w:sz="4" w:space="0" w:color="auto"/>
              <w:right w:val="single" w:sz="4" w:space="0" w:color="auto"/>
            </w:tcBorders>
            <w:shd w:val="clear" w:color="000000" w:fill="FFD966"/>
            <w:noWrap/>
            <w:vAlign w:val="center"/>
            <w:hideMark/>
          </w:tcPr>
          <w:p w14:paraId="6E531495"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0.00%</w:t>
            </w:r>
          </w:p>
        </w:tc>
      </w:tr>
      <w:tr w:rsidR="00056C48" w:rsidRPr="00056C48" w14:paraId="38E0FD04"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FFD347"/>
            <w:noWrap/>
            <w:vAlign w:val="bottom"/>
            <w:hideMark/>
          </w:tcPr>
          <w:p w14:paraId="1609CAC4"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Jobs Booked Above Cap</w:t>
            </w:r>
          </w:p>
        </w:tc>
        <w:tc>
          <w:tcPr>
            <w:tcW w:w="1189" w:type="dxa"/>
            <w:tcBorders>
              <w:top w:val="nil"/>
              <w:left w:val="nil"/>
              <w:bottom w:val="single" w:sz="4" w:space="0" w:color="auto"/>
              <w:right w:val="single" w:sz="4" w:space="0" w:color="auto"/>
            </w:tcBorders>
            <w:shd w:val="clear" w:color="000000" w:fill="FFD347"/>
            <w:noWrap/>
            <w:vAlign w:val="bottom"/>
            <w:hideMark/>
          </w:tcPr>
          <w:p w14:paraId="10B48BFC"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533</w:t>
            </w:r>
          </w:p>
        </w:tc>
        <w:tc>
          <w:tcPr>
            <w:tcW w:w="1111" w:type="dxa"/>
            <w:tcBorders>
              <w:top w:val="nil"/>
              <w:left w:val="nil"/>
              <w:bottom w:val="single" w:sz="4" w:space="0" w:color="auto"/>
              <w:right w:val="single" w:sz="4" w:space="0" w:color="auto"/>
            </w:tcBorders>
            <w:shd w:val="clear" w:color="000000" w:fill="FFD966"/>
            <w:noWrap/>
            <w:vAlign w:val="center"/>
            <w:hideMark/>
          </w:tcPr>
          <w:p w14:paraId="796B00A9"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37</w:t>
            </w:r>
          </w:p>
        </w:tc>
        <w:tc>
          <w:tcPr>
            <w:tcW w:w="941" w:type="dxa"/>
            <w:tcBorders>
              <w:top w:val="nil"/>
              <w:left w:val="nil"/>
              <w:bottom w:val="single" w:sz="4" w:space="0" w:color="auto"/>
              <w:right w:val="single" w:sz="4" w:space="0" w:color="auto"/>
            </w:tcBorders>
            <w:shd w:val="clear" w:color="000000" w:fill="FFD966"/>
            <w:noWrap/>
            <w:vAlign w:val="bottom"/>
            <w:hideMark/>
          </w:tcPr>
          <w:p w14:paraId="1905437D"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541</w:t>
            </w:r>
          </w:p>
        </w:tc>
        <w:tc>
          <w:tcPr>
            <w:tcW w:w="879" w:type="dxa"/>
            <w:tcBorders>
              <w:top w:val="nil"/>
              <w:left w:val="nil"/>
              <w:bottom w:val="single" w:sz="4" w:space="0" w:color="auto"/>
              <w:right w:val="single" w:sz="4" w:space="0" w:color="auto"/>
            </w:tcBorders>
            <w:shd w:val="clear" w:color="000000" w:fill="FFD966"/>
            <w:noWrap/>
            <w:vAlign w:val="center"/>
            <w:hideMark/>
          </w:tcPr>
          <w:p w14:paraId="79FAE20E"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16</w:t>
            </w:r>
          </w:p>
        </w:tc>
        <w:tc>
          <w:tcPr>
            <w:tcW w:w="763" w:type="dxa"/>
            <w:tcBorders>
              <w:top w:val="nil"/>
              <w:left w:val="nil"/>
              <w:bottom w:val="single" w:sz="4" w:space="0" w:color="auto"/>
              <w:right w:val="single" w:sz="4" w:space="0" w:color="auto"/>
            </w:tcBorders>
            <w:shd w:val="clear" w:color="000000" w:fill="FFD966"/>
            <w:noWrap/>
            <w:vAlign w:val="bottom"/>
            <w:hideMark/>
          </w:tcPr>
          <w:p w14:paraId="28BF3683"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552</w:t>
            </w:r>
          </w:p>
        </w:tc>
        <w:tc>
          <w:tcPr>
            <w:tcW w:w="897" w:type="dxa"/>
            <w:tcBorders>
              <w:top w:val="nil"/>
              <w:left w:val="nil"/>
              <w:bottom w:val="single" w:sz="4" w:space="0" w:color="auto"/>
              <w:right w:val="single" w:sz="4" w:space="0" w:color="auto"/>
            </w:tcBorders>
            <w:shd w:val="clear" w:color="000000" w:fill="FFD966"/>
            <w:noWrap/>
            <w:vAlign w:val="center"/>
            <w:hideMark/>
          </w:tcPr>
          <w:p w14:paraId="4A9B0A25"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35</w:t>
            </w:r>
          </w:p>
        </w:tc>
      </w:tr>
      <w:tr w:rsidR="00056C48" w:rsidRPr="00056C48" w14:paraId="4EA6F5C5" w14:textId="77777777" w:rsidTr="00056C48">
        <w:trPr>
          <w:trHeight w:val="300"/>
        </w:trPr>
        <w:tc>
          <w:tcPr>
            <w:tcW w:w="3480" w:type="dxa"/>
            <w:tcBorders>
              <w:top w:val="nil"/>
              <w:left w:val="single" w:sz="4" w:space="0" w:color="auto"/>
              <w:bottom w:val="single" w:sz="4" w:space="0" w:color="auto"/>
              <w:right w:val="single" w:sz="4" w:space="0" w:color="auto"/>
            </w:tcBorders>
            <w:shd w:val="clear" w:color="000000" w:fill="FFD347"/>
            <w:noWrap/>
            <w:vAlign w:val="bottom"/>
            <w:hideMark/>
          </w:tcPr>
          <w:p w14:paraId="2A57588C"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lastRenderedPageBreak/>
              <w:t>Jobs Booked Above Cap %</w:t>
            </w:r>
          </w:p>
        </w:tc>
        <w:tc>
          <w:tcPr>
            <w:tcW w:w="1189" w:type="dxa"/>
            <w:tcBorders>
              <w:top w:val="nil"/>
              <w:left w:val="nil"/>
              <w:bottom w:val="single" w:sz="4" w:space="0" w:color="auto"/>
              <w:right w:val="single" w:sz="4" w:space="0" w:color="auto"/>
            </w:tcBorders>
            <w:shd w:val="clear" w:color="000000" w:fill="FFD347"/>
            <w:noWrap/>
            <w:vAlign w:val="bottom"/>
            <w:hideMark/>
          </w:tcPr>
          <w:p w14:paraId="73ECC162" w14:textId="14ED7181"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51.0</w:t>
            </w:r>
            <w:r w:rsidR="00131E47">
              <w:rPr>
                <w:rFonts w:ascii="Calibri" w:eastAsia="Times New Roman" w:hAnsi="Calibri" w:cs="Calibri"/>
                <w:color w:val="000000"/>
                <w:lang w:eastAsia="en-GB"/>
              </w:rPr>
              <w:t>6</w:t>
            </w:r>
            <w:r w:rsidRPr="00056C48">
              <w:rPr>
                <w:rFonts w:ascii="Calibri" w:eastAsia="Times New Roman" w:hAnsi="Calibri" w:cs="Calibri"/>
                <w:color w:val="000000"/>
                <w:lang w:eastAsia="en-GB"/>
              </w:rPr>
              <w:t>%</w:t>
            </w:r>
          </w:p>
        </w:tc>
        <w:tc>
          <w:tcPr>
            <w:tcW w:w="1111" w:type="dxa"/>
            <w:tcBorders>
              <w:top w:val="nil"/>
              <w:left w:val="nil"/>
              <w:bottom w:val="single" w:sz="4" w:space="0" w:color="auto"/>
              <w:right w:val="single" w:sz="4" w:space="0" w:color="auto"/>
            </w:tcBorders>
            <w:shd w:val="clear" w:color="000000" w:fill="FFD966"/>
            <w:noWrap/>
            <w:vAlign w:val="center"/>
            <w:hideMark/>
          </w:tcPr>
          <w:p w14:paraId="5CC3B43A"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100.00%</w:t>
            </w:r>
          </w:p>
        </w:tc>
        <w:tc>
          <w:tcPr>
            <w:tcW w:w="941" w:type="dxa"/>
            <w:tcBorders>
              <w:top w:val="nil"/>
              <w:left w:val="nil"/>
              <w:bottom w:val="single" w:sz="4" w:space="0" w:color="auto"/>
              <w:right w:val="single" w:sz="4" w:space="0" w:color="auto"/>
            </w:tcBorders>
            <w:shd w:val="clear" w:color="000000" w:fill="FFD966"/>
            <w:noWrap/>
            <w:vAlign w:val="bottom"/>
            <w:hideMark/>
          </w:tcPr>
          <w:p w14:paraId="5AE5F700"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50.70%</w:t>
            </w:r>
          </w:p>
        </w:tc>
        <w:tc>
          <w:tcPr>
            <w:tcW w:w="879" w:type="dxa"/>
            <w:tcBorders>
              <w:top w:val="nil"/>
              <w:left w:val="nil"/>
              <w:bottom w:val="single" w:sz="4" w:space="0" w:color="auto"/>
              <w:right w:val="single" w:sz="4" w:space="0" w:color="auto"/>
            </w:tcBorders>
            <w:shd w:val="clear" w:color="000000" w:fill="FFD966"/>
            <w:noWrap/>
            <w:vAlign w:val="center"/>
            <w:hideMark/>
          </w:tcPr>
          <w:p w14:paraId="4341A459"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100.00%</w:t>
            </w:r>
          </w:p>
        </w:tc>
        <w:tc>
          <w:tcPr>
            <w:tcW w:w="763" w:type="dxa"/>
            <w:tcBorders>
              <w:top w:val="nil"/>
              <w:left w:val="nil"/>
              <w:bottom w:val="single" w:sz="4" w:space="0" w:color="auto"/>
              <w:right w:val="single" w:sz="4" w:space="0" w:color="auto"/>
            </w:tcBorders>
            <w:shd w:val="clear" w:color="000000" w:fill="FFD966"/>
            <w:noWrap/>
            <w:vAlign w:val="bottom"/>
            <w:hideMark/>
          </w:tcPr>
          <w:p w14:paraId="484AD302" w14:textId="4CBDC35B"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55.1</w:t>
            </w:r>
            <w:r w:rsidR="00131E47">
              <w:rPr>
                <w:rFonts w:ascii="Calibri" w:eastAsia="Times New Roman" w:hAnsi="Calibri" w:cs="Calibri"/>
                <w:color w:val="000000"/>
                <w:lang w:eastAsia="en-GB"/>
              </w:rPr>
              <w:t>5</w:t>
            </w:r>
            <w:r w:rsidRPr="00056C48">
              <w:rPr>
                <w:rFonts w:ascii="Calibri" w:eastAsia="Times New Roman" w:hAnsi="Calibri" w:cs="Calibri"/>
                <w:color w:val="000000"/>
                <w:lang w:eastAsia="en-GB"/>
              </w:rPr>
              <w:t>%</w:t>
            </w:r>
          </w:p>
        </w:tc>
        <w:tc>
          <w:tcPr>
            <w:tcW w:w="897" w:type="dxa"/>
            <w:tcBorders>
              <w:top w:val="nil"/>
              <w:left w:val="nil"/>
              <w:bottom w:val="single" w:sz="4" w:space="0" w:color="auto"/>
              <w:right w:val="single" w:sz="4" w:space="0" w:color="auto"/>
            </w:tcBorders>
            <w:shd w:val="clear" w:color="000000" w:fill="FFD966"/>
            <w:noWrap/>
            <w:vAlign w:val="center"/>
            <w:hideMark/>
          </w:tcPr>
          <w:p w14:paraId="798DC40C" w14:textId="77777777" w:rsidR="00056C48" w:rsidRPr="00056C48" w:rsidRDefault="00056C48" w:rsidP="00056C48">
            <w:pPr>
              <w:spacing w:after="0" w:line="240" w:lineRule="auto"/>
              <w:jc w:val="center"/>
              <w:rPr>
                <w:rFonts w:ascii="Calibri" w:eastAsia="Times New Roman" w:hAnsi="Calibri" w:cs="Calibri"/>
                <w:color w:val="000000"/>
                <w:lang w:eastAsia="en-GB"/>
              </w:rPr>
            </w:pPr>
            <w:r w:rsidRPr="00056C48">
              <w:rPr>
                <w:rFonts w:ascii="Calibri" w:eastAsia="Times New Roman" w:hAnsi="Calibri" w:cs="Calibri"/>
                <w:color w:val="000000"/>
                <w:lang w:eastAsia="en-GB"/>
              </w:rPr>
              <w:t>100.00%</w:t>
            </w:r>
          </w:p>
        </w:tc>
      </w:tr>
    </w:tbl>
    <w:p w14:paraId="28D78E49" w14:textId="77777777" w:rsidR="0069234E" w:rsidRDefault="0069234E" w:rsidP="00FE3DD3">
      <w:pPr>
        <w:spacing w:after="0" w:line="240" w:lineRule="auto"/>
        <w:jc w:val="both"/>
        <w:rPr>
          <w:rFonts w:ascii="Arial" w:hAnsi="Arial" w:cs="Arial"/>
          <w:b/>
          <w:sz w:val="24"/>
          <w:szCs w:val="24"/>
        </w:rPr>
      </w:pPr>
    </w:p>
    <w:p w14:paraId="7FD6949B" w14:textId="77777777" w:rsidR="00176201" w:rsidRDefault="00176201" w:rsidP="00FE3DD3">
      <w:pPr>
        <w:spacing w:after="0" w:line="240" w:lineRule="auto"/>
        <w:jc w:val="both"/>
        <w:rPr>
          <w:rFonts w:ascii="Arial" w:hAnsi="Arial" w:cs="Arial"/>
          <w:b/>
          <w:sz w:val="24"/>
          <w:szCs w:val="24"/>
        </w:rPr>
      </w:pPr>
    </w:p>
    <w:p w14:paraId="26918D78" w14:textId="4EA3E009" w:rsidR="007B5359" w:rsidRDefault="007B5359" w:rsidP="00FE3DD3">
      <w:pPr>
        <w:spacing w:after="0" w:line="240" w:lineRule="auto"/>
        <w:jc w:val="both"/>
        <w:rPr>
          <w:rFonts w:ascii="Arial" w:hAnsi="Arial" w:cs="Arial"/>
          <w:b/>
          <w:sz w:val="24"/>
          <w:szCs w:val="24"/>
        </w:rPr>
      </w:pPr>
      <w:r>
        <w:rPr>
          <w:rFonts w:ascii="Arial" w:hAnsi="Arial" w:cs="Arial"/>
          <w:b/>
          <w:sz w:val="24"/>
          <w:szCs w:val="24"/>
        </w:rPr>
        <w:t>Improvements</w:t>
      </w:r>
    </w:p>
    <w:p w14:paraId="3BA77A05" w14:textId="77777777" w:rsidR="007B5359" w:rsidRDefault="007B5359" w:rsidP="00FE3DD3">
      <w:pPr>
        <w:spacing w:after="0" w:line="240" w:lineRule="auto"/>
        <w:jc w:val="both"/>
        <w:rPr>
          <w:rFonts w:ascii="Arial" w:hAnsi="Arial" w:cs="Arial"/>
          <w:bCs/>
          <w:sz w:val="24"/>
          <w:szCs w:val="24"/>
        </w:rPr>
      </w:pPr>
    </w:p>
    <w:p w14:paraId="25AFA6E0" w14:textId="437D796B" w:rsidR="0021796F" w:rsidRDefault="0021796F" w:rsidP="00FE3DD3">
      <w:pPr>
        <w:spacing w:after="0" w:line="240" w:lineRule="auto"/>
        <w:jc w:val="both"/>
        <w:rPr>
          <w:rFonts w:ascii="Arial" w:hAnsi="Arial" w:cs="Arial"/>
          <w:bCs/>
          <w:sz w:val="24"/>
          <w:szCs w:val="24"/>
        </w:rPr>
      </w:pPr>
      <w:r>
        <w:rPr>
          <w:rFonts w:ascii="Arial" w:hAnsi="Arial" w:cs="Arial"/>
          <w:bCs/>
          <w:sz w:val="24"/>
          <w:szCs w:val="24"/>
        </w:rPr>
        <w:t xml:space="preserve">A locum dashboard has been created and is planned to be launched </w:t>
      </w:r>
      <w:r w:rsidR="00372EE3">
        <w:rPr>
          <w:rFonts w:ascii="Arial" w:hAnsi="Arial" w:cs="Arial"/>
          <w:bCs/>
          <w:sz w:val="24"/>
          <w:szCs w:val="24"/>
        </w:rPr>
        <w:t>at the medical workforce Board in</w:t>
      </w:r>
      <w:r>
        <w:rPr>
          <w:rFonts w:ascii="Arial" w:hAnsi="Arial" w:cs="Arial"/>
          <w:bCs/>
          <w:sz w:val="24"/>
          <w:szCs w:val="24"/>
        </w:rPr>
        <w:t xml:space="preserve"> February 2024. The dashboard will be updated on a weekly basis and will allow service groups to interrogate their locum spend information. This will increase the visibility of locum usage and spend across the service. </w:t>
      </w:r>
    </w:p>
    <w:p w14:paraId="06D02A94" w14:textId="77777777" w:rsidR="00A66005" w:rsidRDefault="00A66005" w:rsidP="00FE3DD3">
      <w:pPr>
        <w:spacing w:after="0" w:line="240" w:lineRule="auto"/>
        <w:jc w:val="both"/>
        <w:rPr>
          <w:rFonts w:ascii="Arial" w:hAnsi="Arial" w:cs="Arial"/>
          <w:bCs/>
          <w:sz w:val="24"/>
          <w:szCs w:val="24"/>
        </w:rPr>
      </w:pPr>
    </w:p>
    <w:p w14:paraId="1A9B3768" w14:textId="23EC9910" w:rsidR="00B74448" w:rsidRDefault="00A66005" w:rsidP="00B74448">
      <w:pPr>
        <w:spacing w:after="0" w:line="240" w:lineRule="auto"/>
        <w:rPr>
          <w:rFonts w:ascii="Arial" w:hAnsi="Arial" w:cs="Arial"/>
          <w:bCs/>
          <w:sz w:val="24"/>
          <w:szCs w:val="24"/>
        </w:rPr>
      </w:pPr>
      <w:r>
        <w:rPr>
          <w:rFonts w:ascii="Arial" w:hAnsi="Arial" w:cs="Arial"/>
          <w:bCs/>
          <w:sz w:val="24"/>
          <w:szCs w:val="24"/>
        </w:rPr>
        <w:t xml:space="preserve">The Health Board must </w:t>
      </w:r>
      <w:r w:rsidR="00D933F4">
        <w:rPr>
          <w:rFonts w:ascii="Arial" w:hAnsi="Arial" w:cs="Arial"/>
          <w:bCs/>
          <w:sz w:val="24"/>
          <w:szCs w:val="24"/>
        </w:rPr>
        <w:t xml:space="preserve">also </w:t>
      </w:r>
      <w:r>
        <w:rPr>
          <w:rFonts w:ascii="Arial" w:hAnsi="Arial" w:cs="Arial"/>
          <w:bCs/>
          <w:sz w:val="24"/>
          <w:szCs w:val="24"/>
        </w:rPr>
        <w:t xml:space="preserve">consider </w:t>
      </w:r>
      <w:r w:rsidR="00D933F4">
        <w:rPr>
          <w:rFonts w:ascii="Arial" w:hAnsi="Arial" w:cs="Arial"/>
          <w:bCs/>
          <w:sz w:val="24"/>
          <w:szCs w:val="24"/>
        </w:rPr>
        <w:t>what further measures can be implemented to reduce current costs. Possible options for further exploration include:</w:t>
      </w:r>
    </w:p>
    <w:p w14:paraId="00D3F496" w14:textId="77777777" w:rsidR="00D933F4" w:rsidRDefault="00D933F4" w:rsidP="00B74448">
      <w:pPr>
        <w:spacing w:after="0" w:line="240" w:lineRule="auto"/>
        <w:rPr>
          <w:rFonts w:ascii="Arial" w:hAnsi="Arial" w:cs="Arial"/>
          <w:bCs/>
          <w:sz w:val="24"/>
          <w:szCs w:val="24"/>
        </w:rPr>
      </w:pPr>
    </w:p>
    <w:p w14:paraId="369B77B4" w14:textId="6975D386" w:rsidR="00D933F4" w:rsidRDefault="00D933F4" w:rsidP="00D933F4">
      <w:pPr>
        <w:pStyle w:val="ListParagraph"/>
        <w:numPr>
          <w:ilvl w:val="0"/>
          <w:numId w:val="11"/>
        </w:numPr>
        <w:spacing w:after="0" w:line="240" w:lineRule="auto"/>
        <w:rPr>
          <w:rFonts w:ascii="Arial" w:hAnsi="Arial" w:cs="Arial"/>
          <w:bCs/>
          <w:sz w:val="24"/>
          <w:szCs w:val="24"/>
        </w:rPr>
      </w:pPr>
      <w:r>
        <w:rPr>
          <w:rFonts w:ascii="Arial" w:hAnsi="Arial" w:cs="Arial"/>
          <w:bCs/>
          <w:sz w:val="24"/>
          <w:szCs w:val="24"/>
        </w:rPr>
        <w:t>Introducing a RPO model for the existing long term agency locums. Analysis and costings previously provided could deliver a significant saving (estimated at</w:t>
      </w:r>
      <w:r w:rsidR="00496C8F">
        <w:rPr>
          <w:rFonts w:ascii="Arial" w:hAnsi="Arial" w:cs="Arial"/>
          <w:bCs/>
          <w:sz w:val="24"/>
          <w:szCs w:val="24"/>
        </w:rPr>
        <w:t xml:space="preserve"> £</w:t>
      </w:r>
      <w:proofErr w:type="gramStart"/>
      <w:r w:rsidR="00496C8F">
        <w:rPr>
          <w:rFonts w:ascii="Arial" w:hAnsi="Arial" w:cs="Arial"/>
          <w:bCs/>
          <w:sz w:val="24"/>
          <w:szCs w:val="24"/>
        </w:rPr>
        <w:t xml:space="preserve">740,586.49 </w:t>
      </w:r>
      <w:r>
        <w:rPr>
          <w:rFonts w:ascii="Arial" w:hAnsi="Arial" w:cs="Arial"/>
          <w:bCs/>
          <w:sz w:val="24"/>
          <w:szCs w:val="24"/>
        </w:rPr>
        <w:t>)</w:t>
      </w:r>
      <w:proofErr w:type="gramEnd"/>
      <w:r>
        <w:rPr>
          <w:rFonts w:ascii="Arial" w:hAnsi="Arial" w:cs="Arial"/>
          <w:bCs/>
          <w:sz w:val="24"/>
          <w:szCs w:val="24"/>
        </w:rPr>
        <w:t xml:space="preserve"> if permanent appointments are made. </w:t>
      </w:r>
    </w:p>
    <w:p w14:paraId="3115E06D" w14:textId="34B5587C" w:rsidR="00D933F4" w:rsidRPr="00D933F4" w:rsidRDefault="00D933F4" w:rsidP="00D933F4">
      <w:pPr>
        <w:pStyle w:val="ListParagraph"/>
        <w:numPr>
          <w:ilvl w:val="0"/>
          <w:numId w:val="11"/>
        </w:numPr>
        <w:spacing w:after="0" w:line="240" w:lineRule="auto"/>
        <w:rPr>
          <w:rFonts w:ascii="Arial" w:hAnsi="Arial" w:cs="Arial"/>
          <w:bCs/>
          <w:sz w:val="24"/>
          <w:szCs w:val="24"/>
        </w:rPr>
      </w:pPr>
      <w:r>
        <w:rPr>
          <w:rFonts w:ascii="Arial" w:hAnsi="Arial" w:cs="Arial"/>
          <w:bCs/>
          <w:sz w:val="24"/>
          <w:szCs w:val="24"/>
        </w:rPr>
        <w:t>Revising the negotiation abilities within the service groups and implementing alternative arrangements</w:t>
      </w:r>
      <w:r w:rsidR="00131E47">
        <w:rPr>
          <w:rFonts w:ascii="Arial" w:hAnsi="Arial" w:cs="Arial"/>
          <w:bCs/>
          <w:sz w:val="24"/>
          <w:szCs w:val="24"/>
        </w:rPr>
        <w:t xml:space="preserve"> providing more central involvement.</w:t>
      </w:r>
    </w:p>
    <w:p w14:paraId="797C1233" w14:textId="77777777" w:rsidR="00B74448" w:rsidRPr="00B74448" w:rsidRDefault="00B74448" w:rsidP="00B74448">
      <w:pPr>
        <w:spacing w:after="0" w:line="240" w:lineRule="auto"/>
        <w:rPr>
          <w:rFonts w:ascii="Arial" w:hAnsi="Arial" w:cs="Arial"/>
          <w:bCs/>
          <w:sz w:val="24"/>
          <w:szCs w:val="24"/>
        </w:rPr>
      </w:pPr>
    </w:p>
    <w:p w14:paraId="680E57C9" w14:textId="1E5678FB" w:rsidR="00B74448" w:rsidRDefault="00B74448" w:rsidP="00B74448">
      <w:pPr>
        <w:spacing w:after="0" w:line="240" w:lineRule="auto"/>
        <w:rPr>
          <w:rFonts w:ascii="Arial" w:hAnsi="Arial" w:cs="Arial"/>
          <w:b/>
          <w:sz w:val="24"/>
          <w:szCs w:val="24"/>
        </w:rPr>
      </w:pPr>
      <w:r w:rsidRPr="00FE3DD3">
        <w:rPr>
          <w:rFonts w:ascii="Arial" w:hAnsi="Arial" w:cs="Arial"/>
          <w:b/>
          <w:sz w:val="24"/>
          <w:szCs w:val="24"/>
        </w:rPr>
        <w:t>Medic on Duty</w:t>
      </w:r>
    </w:p>
    <w:p w14:paraId="1AFF19E2" w14:textId="77777777" w:rsidR="003153E1" w:rsidRPr="00FE3DD3" w:rsidRDefault="003153E1" w:rsidP="00B74448">
      <w:pPr>
        <w:spacing w:after="0" w:line="240" w:lineRule="auto"/>
        <w:rPr>
          <w:rFonts w:ascii="Arial" w:hAnsi="Arial" w:cs="Arial"/>
          <w:b/>
          <w:sz w:val="24"/>
          <w:szCs w:val="24"/>
        </w:rPr>
      </w:pPr>
    </w:p>
    <w:p w14:paraId="2A5D39C7" w14:textId="6BE4C758" w:rsidR="00B74448" w:rsidRDefault="00B74448" w:rsidP="00D13812">
      <w:pPr>
        <w:spacing w:after="0" w:line="240" w:lineRule="auto"/>
        <w:jc w:val="both"/>
        <w:rPr>
          <w:rFonts w:ascii="Arial" w:hAnsi="Arial" w:cs="Arial"/>
          <w:bCs/>
          <w:sz w:val="24"/>
          <w:szCs w:val="24"/>
        </w:rPr>
      </w:pPr>
      <w:r>
        <w:rPr>
          <w:rFonts w:ascii="Arial" w:hAnsi="Arial" w:cs="Arial"/>
          <w:bCs/>
          <w:sz w:val="24"/>
          <w:szCs w:val="24"/>
        </w:rPr>
        <w:t xml:space="preserve">The Health Board continues to implement </w:t>
      </w:r>
      <w:r w:rsidR="00D13812">
        <w:rPr>
          <w:rFonts w:ascii="Arial" w:hAnsi="Arial" w:cs="Arial"/>
          <w:bCs/>
          <w:sz w:val="24"/>
          <w:szCs w:val="24"/>
        </w:rPr>
        <w:t>M</w:t>
      </w:r>
      <w:r>
        <w:rPr>
          <w:rFonts w:ascii="Arial" w:hAnsi="Arial" w:cs="Arial"/>
          <w:bCs/>
          <w:sz w:val="24"/>
          <w:szCs w:val="24"/>
        </w:rPr>
        <w:t xml:space="preserve">edic on </w:t>
      </w:r>
      <w:r w:rsidR="00D13812">
        <w:rPr>
          <w:rFonts w:ascii="Arial" w:hAnsi="Arial" w:cs="Arial"/>
          <w:bCs/>
          <w:sz w:val="24"/>
          <w:szCs w:val="24"/>
        </w:rPr>
        <w:t>D</w:t>
      </w:r>
      <w:r>
        <w:rPr>
          <w:rFonts w:ascii="Arial" w:hAnsi="Arial" w:cs="Arial"/>
          <w:bCs/>
          <w:sz w:val="24"/>
          <w:szCs w:val="24"/>
        </w:rPr>
        <w:t xml:space="preserve">uty. Mental Health &amp; </w:t>
      </w:r>
      <w:r w:rsidR="0027376F">
        <w:rPr>
          <w:rFonts w:ascii="Arial" w:hAnsi="Arial" w:cs="Arial"/>
          <w:bCs/>
          <w:sz w:val="24"/>
          <w:szCs w:val="24"/>
        </w:rPr>
        <w:t>Learning</w:t>
      </w:r>
      <w:r>
        <w:rPr>
          <w:rFonts w:ascii="Arial" w:hAnsi="Arial" w:cs="Arial"/>
          <w:bCs/>
          <w:sz w:val="24"/>
          <w:szCs w:val="24"/>
        </w:rPr>
        <w:t xml:space="preserve"> Disabilities is the only service group that has completely implemented all modules. Work is being undertaken with the service group to test appropriate key performance indicators for the medical workforce.</w:t>
      </w:r>
      <w:r w:rsidR="00D13812">
        <w:rPr>
          <w:rFonts w:ascii="Arial" w:hAnsi="Arial" w:cs="Arial"/>
          <w:bCs/>
          <w:sz w:val="24"/>
          <w:szCs w:val="24"/>
        </w:rPr>
        <w:t xml:space="preserve"> This will also include the implementation of a scrutiny process which is aligned to the nurse roster effectiveness process.</w:t>
      </w:r>
    </w:p>
    <w:p w14:paraId="5F4975F3" w14:textId="2793FC94" w:rsidR="0027376F" w:rsidRDefault="00A026C9" w:rsidP="00B74448">
      <w:pPr>
        <w:spacing w:after="0" w:line="240" w:lineRule="auto"/>
        <w:rPr>
          <w:rFonts w:ascii="Arial" w:hAnsi="Arial" w:cs="Arial"/>
          <w:bCs/>
          <w:sz w:val="24"/>
          <w:szCs w:val="24"/>
        </w:rPr>
      </w:pPr>
      <w:r>
        <w:rPr>
          <w:rFonts w:ascii="Arial" w:hAnsi="Arial" w:cs="Arial"/>
          <w:bCs/>
          <w:sz w:val="24"/>
          <w:szCs w:val="24"/>
        </w:rPr>
        <w:t xml:space="preserve"> </w:t>
      </w:r>
    </w:p>
    <w:p w14:paraId="28F3A67F" w14:textId="1EEB94B9" w:rsidR="0027376F" w:rsidRDefault="0027376F" w:rsidP="0027376F">
      <w:pPr>
        <w:spacing w:after="0" w:line="240" w:lineRule="auto"/>
        <w:jc w:val="both"/>
        <w:rPr>
          <w:rFonts w:ascii="Arial" w:hAnsi="Arial" w:cs="Arial"/>
          <w:bCs/>
          <w:sz w:val="24"/>
          <w:szCs w:val="24"/>
        </w:rPr>
      </w:pPr>
      <w:r>
        <w:rPr>
          <w:rFonts w:ascii="Arial" w:hAnsi="Arial" w:cs="Arial"/>
          <w:bCs/>
          <w:sz w:val="24"/>
          <w:szCs w:val="24"/>
        </w:rPr>
        <w:t>The recent industrial action has highlighted the importance of Medic on Duty and as a Health Board we were able to use the system to record absence figures and manage the payroll activities for medical staff covering the services. The graph below highlights the number of junior doctors who were absent due to industrial action</w:t>
      </w:r>
      <w:r w:rsidR="003153E1">
        <w:rPr>
          <w:rFonts w:ascii="Arial" w:hAnsi="Arial" w:cs="Arial"/>
          <w:bCs/>
          <w:sz w:val="24"/>
          <w:szCs w:val="24"/>
        </w:rPr>
        <w:t xml:space="preserve"> and those who opted to work.</w:t>
      </w:r>
    </w:p>
    <w:p w14:paraId="13C63E78" w14:textId="77777777" w:rsidR="0027376F" w:rsidRDefault="0027376F" w:rsidP="0027376F">
      <w:pPr>
        <w:spacing w:after="0" w:line="240" w:lineRule="auto"/>
        <w:jc w:val="both"/>
        <w:rPr>
          <w:rFonts w:ascii="Arial" w:hAnsi="Arial" w:cs="Arial"/>
          <w:bCs/>
          <w:sz w:val="24"/>
          <w:szCs w:val="24"/>
        </w:rPr>
      </w:pPr>
    </w:p>
    <w:p w14:paraId="2A3F46D2" w14:textId="63FD8BD2" w:rsidR="0027376F" w:rsidRDefault="003153E1" w:rsidP="0027376F">
      <w:pPr>
        <w:spacing w:after="0" w:line="240" w:lineRule="auto"/>
        <w:jc w:val="both"/>
        <w:rPr>
          <w:rFonts w:ascii="Arial" w:hAnsi="Arial" w:cs="Arial"/>
          <w:bCs/>
          <w:sz w:val="24"/>
          <w:szCs w:val="24"/>
        </w:rPr>
      </w:pPr>
      <w:r>
        <w:rPr>
          <w:noProof/>
          <w:lang w:eastAsia="en-GB"/>
        </w:rPr>
        <w:drawing>
          <wp:inline distT="0" distB="0" distL="0" distR="0" wp14:anchorId="10E9E284" wp14:editId="2B8994F0">
            <wp:extent cx="5476875" cy="2124075"/>
            <wp:effectExtent l="0" t="0" r="9525" b="9525"/>
            <wp:docPr id="46690814" name="Chart 1">
              <a:extLst xmlns:a="http://schemas.openxmlformats.org/drawingml/2006/main">
                <a:ext uri="{FF2B5EF4-FFF2-40B4-BE49-F238E27FC236}">
                  <a16:creationId xmlns:a16="http://schemas.microsoft.com/office/drawing/2014/main" id="{3C0A0D62-E2EB-838C-C8D0-284BEA98C9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93AF49B" w14:textId="77777777" w:rsidR="0027376F" w:rsidRDefault="0027376F" w:rsidP="0027376F">
      <w:pPr>
        <w:spacing w:after="0" w:line="240" w:lineRule="auto"/>
        <w:jc w:val="both"/>
        <w:rPr>
          <w:rFonts w:ascii="Arial" w:hAnsi="Arial" w:cs="Arial"/>
          <w:bCs/>
          <w:sz w:val="24"/>
          <w:szCs w:val="24"/>
        </w:rPr>
      </w:pPr>
    </w:p>
    <w:p w14:paraId="3E2CB9AF" w14:textId="77777777" w:rsidR="0027376F" w:rsidRDefault="0027376F" w:rsidP="0027376F">
      <w:pPr>
        <w:spacing w:after="0" w:line="240" w:lineRule="auto"/>
        <w:jc w:val="both"/>
        <w:rPr>
          <w:rFonts w:ascii="Arial" w:hAnsi="Arial" w:cs="Arial"/>
          <w:bCs/>
          <w:sz w:val="24"/>
          <w:szCs w:val="24"/>
        </w:rPr>
      </w:pPr>
    </w:p>
    <w:p w14:paraId="538E1CFF" w14:textId="641ECAC7" w:rsidR="0027376F" w:rsidRPr="00B74448" w:rsidRDefault="0027376F" w:rsidP="0027376F">
      <w:pPr>
        <w:spacing w:after="0" w:line="240" w:lineRule="auto"/>
        <w:jc w:val="both"/>
        <w:rPr>
          <w:rFonts w:ascii="Arial" w:hAnsi="Arial" w:cs="Arial"/>
          <w:bCs/>
          <w:sz w:val="24"/>
          <w:szCs w:val="24"/>
        </w:rPr>
      </w:pPr>
      <w:r>
        <w:rPr>
          <w:rFonts w:ascii="Arial" w:hAnsi="Arial" w:cs="Arial"/>
          <w:bCs/>
          <w:sz w:val="24"/>
          <w:szCs w:val="24"/>
        </w:rPr>
        <w:t xml:space="preserve">This approach provided consistency and ease of reporting. This also allowed services that are yet to be implemented the opportunity to use the functionality of Medic on </w:t>
      </w:r>
      <w:r>
        <w:rPr>
          <w:rFonts w:ascii="Arial" w:hAnsi="Arial" w:cs="Arial"/>
          <w:bCs/>
          <w:sz w:val="24"/>
          <w:szCs w:val="24"/>
        </w:rPr>
        <w:lastRenderedPageBreak/>
        <w:t xml:space="preserve">Duty. </w:t>
      </w:r>
      <w:r w:rsidR="003153E1">
        <w:rPr>
          <w:rFonts w:ascii="Arial" w:hAnsi="Arial" w:cs="Arial"/>
          <w:bCs/>
          <w:sz w:val="24"/>
          <w:szCs w:val="24"/>
        </w:rPr>
        <w:t>Consequently,</w:t>
      </w:r>
      <w:r>
        <w:rPr>
          <w:rFonts w:ascii="Arial" w:hAnsi="Arial" w:cs="Arial"/>
          <w:bCs/>
          <w:sz w:val="24"/>
          <w:szCs w:val="24"/>
        </w:rPr>
        <w:t xml:space="preserve"> these services have experienced the benefits and have requested an expedited implementation. Currently, implementation is due to be concluded December 2024. However, there is an opportunity to introduce some functionality (such as sickness absence recording) as an interim measure pending full implementation.</w:t>
      </w:r>
    </w:p>
    <w:p w14:paraId="01CFAA94" w14:textId="77777777" w:rsidR="00B74448" w:rsidRDefault="00B74448" w:rsidP="00B74448">
      <w:pPr>
        <w:spacing w:after="0" w:line="240" w:lineRule="auto"/>
        <w:rPr>
          <w:rFonts w:ascii="Arial" w:hAnsi="Arial" w:cs="Arial"/>
          <w:b/>
          <w:sz w:val="24"/>
          <w:szCs w:val="24"/>
        </w:rPr>
      </w:pPr>
    </w:p>
    <w:p w14:paraId="2B70660E" w14:textId="06E66B63" w:rsidR="00D933F4" w:rsidRPr="00D933F4" w:rsidRDefault="00D933F4" w:rsidP="00B74448">
      <w:pPr>
        <w:spacing w:after="0" w:line="240" w:lineRule="auto"/>
        <w:rPr>
          <w:rFonts w:ascii="Arial" w:hAnsi="Arial" w:cs="Arial"/>
          <w:b/>
          <w:sz w:val="24"/>
          <w:szCs w:val="24"/>
        </w:rPr>
      </w:pPr>
      <w:r w:rsidRPr="00D933F4">
        <w:rPr>
          <w:rFonts w:ascii="Arial" w:hAnsi="Arial" w:cs="Arial"/>
          <w:b/>
          <w:sz w:val="24"/>
          <w:szCs w:val="24"/>
        </w:rPr>
        <w:t>Waiting list initiative payments</w:t>
      </w:r>
    </w:p>
    <w:p w14:paraId="68409E81" w14:textId="74345F4E" w:rsidR="00D933F4" w:rsidRPr="00D933F4" w:rsidRDefault="00D933F4" w:rsidP="00D13812">
      <w:pPr>
        <w:spacing w:after="0" w:line="240" w:lineRule="auto"/>
        <w:jc w:val="both"/>
        <w:rPr>
          <w:rFonts w:ascii="Arial" w:hAnsi="Arial" w:cs="Arial"/>
          <w:bCs/>
          <w:sz w:val="24"/>
          <w:szCs w:val="24"/>
        </w:rPr>
      </w:pPr>
      <w:r w:rsidRPr="00D933F4">
        <w:rPr>
          <w:rFonts w:ascii="Arial" w:hAnsi="Arial" w:cs="Arial"/>
          <w:bCs/>
          <w:sz w:val="24"/>
          <w:szCs w:val="24"/>
        </w:rPr>
        <w:t xml:space="preserve">Currently, all waiting list initiative payments are processed via an additional duties claim form which make it challenging to view and scrutinise the costs. </w:t>
      </w:r>
      <w:r>
        <w:rPr>
          <w:rFonts w:ascii="Arial" w:hAnsi="Arial" w:cs="Arial"/>
          <w:bCs/>
          <w:sz w:val="24"/>
          <w:szCs w:val="24"/>
        </w:rPr>
        <w:t xml:space="preserve">Consequently, </w:t>
      </w:r>
      <w:r w:rsidR="00D13812">
        <w:rPr>
          <w:rFonts w:ascii="Arial" w:hAnsi="Arial" w:cs="Arial"/>
          <w:bCs/>
          <w:sz w:val="24"/>
          <w:szCs w:val="24"/>
        </w:rPr>
        <w:t xml:space="preserve">it is planned (from April 2024) to use Medic on Duty to capture waiting list activity and facilitate these payments via the payroll interface. This will support improved reporting and scrutiny. </w:t>
      </w:r>
    </w:p>
    <w:p w14:paraId="3740587D" w14:textId="77777777" w:rsidR="00B74448" w:rsidRDefault="00B74448" w:rsidP="00B74448">
      <w:pPr>
        <w:spacing w:after="0" w:line="240" w:lineRule="auto"/>
        <w:rPr>
          <w:rFonts w:ascii="Arial" w:hAnsi="Arial" w:cs="Arial"/>
          <w:b/>
          <w:sz w:val="24"/>
          <w:szCs w:val="24"/>
        </w:rPr>
      </w:pPr>
    </w:p>
    <w:p w14:paraId="2DF2EB6D" w14:textId="2770A632" w:rsidR="00B74448" w:rsidRDefault="00B74448" w:rsidP="00B74448">
      <w:pPr>
        <w:spacing w:after="0" w:line="240" w:lineRule="auto"/>
        <w:rPr>
          <w:rFonts w:ascii="Arial" w:hAnsi="Arial" w:cs="Arial"/>
          <w:b/>
          <w:sz w:val="24"/>
          <w:szCs w:val="24"/>
        </w:rPr>
      </w:pPr>
      <w:r>
        <w:rPr>
          <w:rFonts w:ascii="Arial" w:hAnsi="Arial" w:cs="Arial"/>
          <w:b/>
          <w:sz w:val="24"/>
          <w:szCs w:val="24"/>
        </w:rPr>
        <w:t>Workforce trian</w:t>
      </w:r>
      <w:r w:rsidR="00FE3DD3">
        <w:rPr>
          <w:rFonts w:ascii="Arial" w:hAnsi="Arial" w:cs="Arial"/>
          <w:b/>
          <w:sz w:val="24"/>
          <w:szCs w:val="24"/>
        </w:rPr>
        <w:t>gulation</w:t>
      </w:r>
    </w:p>
    <w:p w14:paraId="3249C72D" w14:textId="77777777" w:rsidR="00B47CA4" w:rsidRDefault="00B47CA4" w:rsidP="00B74448">
      <w:pPr>
        <w:spacing w:after="0" w:line="240" w:lineRule="auto"/>
        <w:rPr>
          <w:rFonts w:ascii="Arial" w:hAnsi="Arial" w:cs="Arial"/>
          <w:b/>
          <w:sz w:val="24"/>
          <w:szCs w:val="24"/>
        </w:rPr>
      </w:pPr>
    </w:p>
    <w:p w14:paraId="6FBEEA6C" w14:textId="3978FA3B" w:rsidR="00B74448" w:rsidRPr="00D13812" w:rsidRDefault="00D13812" w:rsidP="00D13812">
      <w:pPr>
        <w:spacing w:after="0" w:line="240" w:lineRule="auto"/>
        <w:jc w:val="both"/>
        <w:rPr>
          <w:rFonts w:ascii="Arial" w:hAnsi="Arial" w:cs="Arial"/>
          <w:bCs/>
          <w:sz w:val="24"/>
          <w:szCs w:val="24"/>
        </w:rPr>
      </w:pPr>
      <w:r w:rsidRPr="00D13812">
        <w:rPr>
          <w:rFonts w:ascii="Arial" w:hAnsi="Arial" w:cs="Arial"/>
          <w:bCs/>
          <w:sz w:val="24"/>
          <w:szCs w:val="24"/>
        </w:rPr>
        <w:t>The</w:t>
      </w:r>
      <w:r>
        <w:rPr>
          <w:rFonts w:ascii="Arial" w:hAnsi="Arial" w:cs="Arial"/>
          <w:bCs/>
          <w:sz w:val="24"/>
          <w:szCs w:val="24"/>
        </w:rPr>
        <w:t xml:space="preserve"> full</w:t>
      </w:r>
      <w:r w:rsidRPr="00D13812">
        <w:rPr>
          <w:rFonts w:ascii="Arial" w:hAnsi="Arial" w:cs="Arial"/>
          <w:bCs/>
          <w:sz w:val="24"/>
          <w:szCs w:val="24"/>
        </w:rPr>
        <w:t xml:space="preserve"> implementation of the technology supports the </w:t>
      </w:r>
      <w:r>
        <w:rPr>
          <w:rFonts w:ascii="Arial" w:hAnsi="Arial" w:cs="Arial"/>
          <w:bCs/>
          <w:sz w:val="24"/>
          <w:szCs w:val="24"/>
        </w:rPr>
        <w:t>H</w:t>
      </w:r>
      <w:r w:rsidRPr="00D13812">
        <w:rPr>
          <w:rFonts w:ascii="Arial" w:hAnsi="Arial" w:cs="Arial"/>
          <w:bCs/>
          <w:sz w:val="24"/>
          <w:szCs w:val="24"/>
        </w:rPr>
        <w:t>ealth Board to triangulate information to improve decision making, aligning processes, and consistently applying policies.</w:t>
      </w:r>
      <w:r>
        <w:rPr>
          <w:rFonts w:ascii="Arial" w:hAnsi="Arial" w:cs="Arial"/>
          <w:bCs/>
          <w:sz w:val="24"/>
          <w:szCs w:val="24"/>
        </w:rPr>
        <w:t xml:space="preserve"> </w:t>
      </w:r>
    </w:p>
    <w:p w14:paraId="610B98B8" w14:textId="77777777" w:rsidR="00D13812" w:rsidRPr="00D13812" w:rsidRDefault="00D13812" w:rsidP="00D13812">
      <w:pPr>
        <w:spacing w:after="0" w:line="240" w:lineRule="auto"/>
        <w:rPr>
          <w:rFonts w:ascii="Arial" w:hAnsi="Arial" w:cs="Arial"/>
          <w:b/>
          <w:sz w:val="24"/>
          <w:szCs w:val="24"/>
        </w:rPr>
      </w:pPr>
    </w:p>
    <w:p w14:paraId="124571A4"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EF64DA6" w14:textId="77777777" w:rsidR="00653AEC" w:rsidRDefault="00653AEC" w:rsidP="00B74448">
      <w:pPr>
        <w:spacing w:after="0" w:line="240" w:lineRule="auto"/>
        <w:rPr>
          <w:rFonts w:ascii="Arial" w:hAnsi="Arial" w:cs="Arial"/>
          <w:b/>
          <w:sz w:val="24"/>
          <w:szCs w:val="24"/>
        </w:rPr>
      </w:pPr>
    </w:p>
    <w:p w14:paraId="633FB346" w14:textId="27D139C2" w:rsidR="00B74448" w:rsidRPr="00D13812" w:rsidRDefault="00B74448" w:rsidP="00B74448">
      <w:pPr>
        <w:spacing w:after="0" w:line="240" w:lineRule="auto"/>
        <w:rPr>
          <w:rFonts w:ascii="Arial" w:hAnsi="Arial" w:cs="Arial"/>
          <w:bCs/>
          <w:sz w:val="24"/>
          <w:szCs w:val="24"/>
        </w:rPr>
      </w:pPr>
      <w:r w:rsidRPr="00D13812">
        <w:rPr>
          <w:rFonts w:ascii="Arial" w:hAnsi="Arial" w:cs="Arial"/>
          <w:bCs/>
          <w:sz w:val="24"/>
          <w:szCs w:val="24"/>
        </w:rPr>
        <w:t xml:space="preserve">The cost of filling medical gaps remains a significant pressure for the Health Board. </w:t>
      </w:r>
      <w:r w:rsidR="00D13812">
        <w:rPr>
          <w:rFonts w:ascii="Arial" w:hAnsi="Arial" w:cs="Arial"/>
          <w:bCs/>
          <w:sz w:val="24"/>
          <w:szCs w:val="24"/>
        </w:rPr>
        <w:t xml:space="preserve">The table below outlines the costs during October, November &amp; December 2023. </w:t>
      </w:r>
    </w:p>
    <w:p w14:paraId="7E6F848E" w14:textId="77777777" w:rsidR="00B74448" w:rsidRDefault="00B74448" w:rsidP="00B74448">
      <w:pPr>
        <w:spacing w:after="0" w:line="240" w:lineRule="auto"/>
        <w:rPr>
          <w:rFonts w:ascii="Arial" w:hAnsi="Arial" w:cs="Arial"/>
          <w:b/>
          <w:sz w:val="24"/>
          <w:szCs w:val="24"/>
        </w:rPr>
      </w:pPr>
    </w:p>
    <w:tbl>
      <w:tblPr>
        <w:tblStyle w:val="TableGrid"/>
        <w:tblW w:w="0" w:type="auto"/>
        <w:tblLook w:val="04A0" w:firstRow="1" w:lastRow="0" w:firstColumn="1" w:lastColumn="0" w:noHBand="0" w:noVBand="1"/>
      </w:tblPr>
      <w:tblGrid>
        <w:gridCol w:w="2254"/>
        <w:gridCol w:w="2254"/>
        <w:gridCol w:w="2254"/>
        <w:gridCol w:w="2254"/>
      </w:tblGrid>
      <w:tr w:rsidR="000B2C94" w14:paraId="349C24CE" w14:textId="77777777" w:rsidTr="000B2C94">
        <w:tc>
          <w:tcPr>
            <w:tcW w:w="2254" w:type="dxa"/>
          </w:tcPr>
          <w:p w14:paraId="312028E8" w14:textId="77777777" w:rsidR="000B2C94" w:rsidRDefault="000B2C94" w:rsidP="0026702A">
            <w:pPr>
              <w:jc w:val="center"/>
              <w:rPr>
                <w:rFonts w:ascii="Arial" w:hAnsi="Arial" w:cs="Arial"/>
                <w:b/>
                <w:sz w:val="24"/>
                <w:szCs w:val="24"/>
              </w:rPr>
            </w:pPr>
          </w:p>
        </w:tc>
        <w:tc>
          <w:tcPr>
            <w:tcW w:w="2254" w:type="dxa"/>
          </w:tcPr>
          <w:p w14:paraId="3437C9DC" w14:textId="482769A3" w:rsidR="000B2C94" w:rsidRDefault="0026702A" w:rsidP="0026702A">
            <w:pPr>
              <w:jc w:val="center"/>
              <w:rPr>
                <w:rFonts w:ascii="Arial" w:hAnsi="Arial" w:cs="Arial"/>
                <w:b/>
                <w:sz w:val="24"/>
                <w:szCs w:val="24"/>
              </w:rPr>
            </w:pPr>
            <w:r>
              <w:rPr>
                <w:rFonts w:ascii="Arial" w:hAnsi="Arial" w:cs="Arial"/>
                <w:b/>
                <w:sz w:val="24"/>
                <w:szCs w:val="24"/>
              </w:rPr>
              <w:t>October 2023</w:t>
            </w:r>
          </w:p>
        </w:tc>
        <w:tc>
          <w:tcPr>
            <w:tcW w:w="2254" w:type="dxa"/>
          </w:tcPr>
          <w:p w14:paraId="19A79EB3" w14:textId="5566DF62" w:rsidR="000B2C94" w:rsidRDefault="0026702A" w:rsidP="0026702A">
            <w:pPr>
              <w:jc w:val="center"/>
              <w:rPr>
                <w:rFonts w:ascii="Arial" w:hAnsi="Arial" w:cs="Arial"/>
                <w:b/>
                <w:sz w:val="24"/>
                <w:szCs w:val="24"/>
              </w:rPr>
            </w:pPr>
            <w:r>
              <w:rPr>
                <w:rFonts w:ascii="Arial" w:hAnsi="Arial" w:cs="Arial"/>
                <w:b/>
                <w:sz w:val="24"/>
                <w:szCs w:val="24"/>
              </w:rPr>
              <w:t>November 2023</w:t>
            </w:r>
          </w:p>
        </w:tc>
        <w:tc>
          <w:tcPr>
            <w:tcW w:w="2254" w:type="dxa"/>
          </w:tcPr>
          <w:p w14:paraId="39CE2632" w14:textId="4D4C425C" w:rsidR="000B2C94" w:rsidRDefault="0026702A" w:rsidP="0026702A">
            <w:pPr>
              <w:jc w:val="center"/>
              <w:rPr>
                <w:rFonts w:ascii="Arial" w:hAnsi="Arial" w:cs="Arial"/>
                <w:b/>
                <w:sz w:val="24"/>
                <w:szCs w:val="24"/>
              </w:rPr>
            </w:pPr>
            <w:r>
              <w:rPr>
                <w:rFonts w:ascii="Arial" w:hAnsi="Arial" w:cs="Arial"/>
                <w:b/>
                <w:sz w:val="24"/>
                <w:szCs w:val="24"/>
              </w:rPr>
              <w:t>December 2023</w:t>
            </w:r>
          </w:p>
        </w:tc>
      </w:tr>
      <w:tr w:rsidR="008126E0" w14:paraId="04F8BE61" w14:textId="77777777" w:rsidTr="000B2C94">
        <w:tc>
          <w:tcPr>
            <w:tcW w:w="2254" w:type="dxa"/>
          </w:tcPr>
          <w:p w14:paraId="653CC81A" w14:textId="43181E90" w:rsidR="008126E0" w:rsidRDefault="008126E0" w:rsidP="008126E0">
            <w:pPr>
              <w:jc w:val="center"/>
              <w:rPr>
                <w:rFonts w:ascii="Arial" w:hAnsi="Arial" w:cs="Arial"/>
                <w:b/>
                <w:sz w:val="24"/>
                <w:szCs w:val="24"/>
              </w:rPr>
            </w:pPr>
            <w:r>
              <w:rPr>
                <w:rFonts w:ascii="Arial" w:hAnsi="Arial" w:cs="Arial"/>
                <w:b/>
                <w:sz w:val="24"/>
                <w:szCs w:val="24"/>
              </w:rPr>
              <w:t>Bank</w:t>
            </w:r>
          </w:p>
        </w:tc>
        <w:tc>
          <w:tcPr>
            <w:tcW w:w="2254" w:type="dxa"/>
          </w:tcPr>
          <w:p w14:paraId="4D8A94D2" w14:textId="6988CF2D" w:rsidR="008126E0" w:rsidRPr="00063F17" w:rsidRDefault="008126E0" w:rsidP="008126E0">
            <w:pPr>
              <w:jc w:val="center"/>
              <w:rPr>
                <w:rFonts w:ascii="Arial" w:hAnsi="Arial" w:cs="Arial"/>
                <w:sz w:val="24"/>
                <w:szCs w:val="24"/>
              </w:rPr>
            </w:pPr>
            <w:r w:rsidRPr="00063F17">
              <w:rPr>
                <w:rFonts w:ascii="Arial" w:hAnsi="Arial" w:cs="Arial"/>
                <w:sz w:val="24"/>
                <w:szCs w:val="24"/>
              </w:rPr>
              <w:t>£677,463</w:t>
            </w:r>
          </w:p>
        </w:tc>
        <w:tc>
          <w:tcPr>
            <w:tcW w:w="2254" w:type="dxa"/>
          </w:tcPr>
          <w:p w14:paraId="75B9EBE8" w14:textId="4080E915" w:rsidR="008126E0" w:rsidRPr="00D12FC6" w:rsidRDefault="008126E0" w:rsidP="008126E0">
            <w:pPr>
              <w:jc w:val="center"/>
              <w:rPr>
                <w:rFonts w:ascii="Arial" w:hAnsi="Arial" w:cs="Arial"/>
                <w:sz w:val="24"/>
                <w:szCs w:val="24"/>
              </w:rPr>
            </w:pPr>
            <w:r w:rsidRPr="00063F17">
              <w:rPr>
                <w:rFonts w:ascii="Arial" w:hAnsi="Arial" w:cs="Arial"/>
                <w:sz w:val="24"/>
                <w:szCs w:val="24"/>
              </w:rPr>
              <w:t>£840,299</w:t>
            </w:r>
          </w:p>
        </w:tc>
        <w:tc>
          <w:tcPr>
            <w:tcW w:w="2254" w:type="dxa"/>
          </w:tcPr>
          <w:p w14:paraId="67D58268" w14:textId="2C7AAE83" w:rsidR="008126E0" w:rsidRPr="00D12FC6" w:rsidRDefault="008126E0" w:rsidP="008126E0">
            <w:pPr>
              <w:jc w:val="center"/>
              <w:rPr>
                <w:rFonts w:ascii="Arial" w:hAnsi="Arial" w:cs="Arial"/>
                <w:sz w:val="24"/>
                <w:szCs w:val="24"/>
              </w:rPr>
            </w:pPr>
            <w:r w:rsidRPr="00063F17">
              <w:rPr>
                <w:rFonts w:ascii="Arial" w:hAnsi="Arial" w:cs="Arial"/>
                <w:sz w:val="24"/>
                <w:szCs w:val="24"/>
              </w:rPr>
              <w:t>£624,224</w:t>
            </w:r>
          </w:p>
        </w:tc>
      </w:tr>
      <w:tr w:rsidR="00A339FC" w14:paraId="072C8BE0" w14:textId="77777777" w:rsidTr="000B2C94">
        <w:tc>
          <w:tcPr>
            <w:tcW w:w="2254" w:type="dxa"/>
          </w:tcPr>
          <w:p w14:paraId="55AC469C" w14:textId="59E011F0" w:rsidR="00A339FC" w:rsidRDefault="00A339FC" w:rsidP="00A339FC">
            <w:pPr>
              <w:jc w:val="center"/>
              <w:rPr>
                <w:rFonts w:ascii="Arial" w:hAnsi="Arial" w:cs="Arial"/>
                <w:b/>
                <w:sz w:val="24"/>
                <w:szCs w:val="24"/>
              </w:rPr>
            </w:pPr>
            <w:r>
              <w:rPr>
                <w:rFonts w:ascii="Arial" w:hAnsi="Arial" w:cs="Arial"/>
                <w:b/>
                <w:sz w:val="24"/>
                <w:szCs w:val="24"/>
              </w:rPr>
              <w:t>Agency</w:t>
            </w:r>
          </w:p>
        </w:tc>
        <w:tc>
          <w:tcPr>
            <w:tcW w:w="2254" w:type="dxa"/>
          </w:tcPr>
          <w:p w14:paraId="4689B23A" w14:textId="534A414C" w:rsidR="00A339FC" w:rsidRPr="00063F17" w:rsidRDefault="00A339FC" w:rsidP="00A339FC">
            <w:pPr>
              <w:jc w:val="center"/>
              <w:rPr>
                <w:rFonts w:ascii="Arial" w:hAnsi="Arial" w:cs="Arial"/>
                <w:sz w:val="24"/>
                <w:szCs w:val="24"/>
              </w:rPr>
            </w:pPr>
            <w:r w:rsidRPr="0055300B">
              <w:rPr>
                <w:rFonts w:ascii="Arial" w:hAnsi="Arial" w:cs="Arial"/>
                <w:sz w:val="24"/>
                <w:szCs w:val="24"/>
              </w:rPr>
              <w:t>£417,388</w:t>
            </w:r>
          </w:p>
        </w:tc>
        <w:tc>
          <w:tcPr>
            <w:tcW w:w="2254" w:type="dxa"/>
          </w:tcPr>
          <w:p w14:paraId="3E60C5F2" w14:textId="62B7D62D" w:rsidR="00A339FC" w:rsidRPr="00D12FC6" w:rsidRDefault="00A339FC" w:rsidP="00A339FC">
            <w:pPr>
              <w:jc w:val="center"/>
              <w:rPr>
                <w:rFonts w:ascii="Arial" w:hAnsi="Arial" w:cs="Arial"/>
                <w:sz w:val="24"/>
                <w:szCs w:val="24"/>
              </w:rPr>
            </w:pPr>
            <w:r w:rsidRPr="0055300B">
              <w:rPr>
                <w:rFonts w:ascii="Arial" w:hAnsi="Arial" w:cs="Arial"/>
                <w:sz w:val="24"/>
                <w:szCs w:val="24"/>
              </w:rPr>
              <w:t>£386,482</w:t>
            </w:r>
          </w:p>
        </w:tc>
        <w:tc>
          <w:tcPr>
            <w:tcW w:w="2254" w:type="dxa"/>
          </w:tcPr>
          <w:p w14:paraId="4D1DB16D" w14:textId="41A066D2" w:rsidR="00A339FC" w:rsidRPr="00D12FC6" w:rsidRDefault="00A339FC" w:rsidP="00A339FC">
            <w:pPr>
              <w:jc w:val="center"/>
              <w:rPr>
                <w:rFonts w:ascii="Arial" w:hAnsi="Arial" w:cs="Arial"/>
                <w:sz w:val="24"/>
                <w:szCs w:val="24"/>
              </w:rPr>
            </w:pPr>
            <w:r w:rsidRPr="0055300B">
              <w:rPr>
                <w:rFonts w:ascii="Arial" w:hAnsi="Arial" w:cs="Arial"/>
                <w:sz w:val="24"/>
                <w:szCs w:val="24"/>
              </w:rPr>
              <w:t>£360,025</w:t>
            </w:r>
          </w:p>
        </w:tc>
      </w:tr>
      <w:tr w:rsidR="000B2C94" w14:paraId="32FBB38F" w14:textId="77777777" w:rsidTr="000B2C94">
        <w:tc>
          <w:tcPr>
            <w:tcW w:w="2254" w:type="dxa"/>
          </w:tcPr>
          <w:p w14:paraId="52FECBB8" w14:textId="761D92F5" w:rsidR="000B2C94" w:rsidRDefault="000B2C94" w:rsidP="0026702A">
            <w:pPr>
              <w:jc w:val="center"/>
              <w:rPr>
                <w:rFonts w:ascii="Arial" w:hAnsi="Arial" w:cs="Arial"/>
                <w:b/>
                <w:sz w:val="24"/>
                <w:szCs w:val="24"/>
              </w:rPr>
            </w:pPr>
          </w:p>
        </w:tc>
        <w:tc>
          <w:tcPr>
            <w:tcW w:w="2254" w:type="dxa"/>
          </w:tcPr>
          <w:p w14:paraId="169BD057" w14:textId="77777777" w:rsidR="000B2C94" w:rsidRDefault="000B2C94" w:rsidP="0026702A">
            <w:pPr>
              <w:jc w:val="center"/>
              <w:rPr>
                <w:rFonts w:ascii="Arial" w:hAnsi="Arial" w:cs="Arial"/>
                <w:b/>
                <w:sz w:val="24"/>
                <w:szCs w:val="24"/>
              </w:rPr>
            </w:pPr>
          </w:p>
        </w:tc>
        <w:tc>
          <w:tcPr>
            <w:tcW w:w="2254" w:type="dxa"/>
          </w:tcPr>
          <w:p w14:paraId="61192FBA" w14:textId="71A9B543" w:rsidR="000B2C94" w:rsidRDefault="000B2C94" w:rsidP="0026702A">
            <w:pPr>
              <w:jc w:val="center"/>
              <w:rPr>
                <w:rFonts w:ascii="Arial" w:hAnsi="Arial" w:cs="Arial"/>
                <w:b/>
                <w:sz w:val="24"/>
                <w:szCs w:val="24"/>
              </w:rPr>
            </w:pPr>
          </w:p>
        </w:tc>
        <w:tc>
          <w:tcPr>
            <w:tcW w:w="2254" w:type="dxa"/>
          </w:tcPr>
          <w:p w14:paraId="13DA264A" w14:textId="278980A6" w:rsidR="000B2C94" w:rsidRDefault="000B2C94" w:rsidP="0026702A">
            <w:pPr>
              <w:jc w:val="center"/>
              <w:rPr>
                <w:rFonts w:ascii="Arial" w:hAnsi="Arial" w:cs="Arial"/>
                <w:b/>
                <w:sz w:val="24"/>
                <w:szCs w:val="24"/>
              </w:rPr>
            </w:pPr>
          </w:p>
        </w:tc>
      </w:tr>
      <w:tr w:rsidR="0040523F" w14:paraId="7528CF00" w14:textId="77777777" w:rsidTr="000B2C94">
        <w:tc>
          <w:tcPr>
            <w:tcW w:w="2254" w:type="dxa"/>
          </w:tcPr>
          <w:p w14:paraId="7D244425" w14:textId="32C76613" w:rsidR="0040523F" w:rsidRDefault="0040523F" w:rsidP="0040523F">
            <w:pPr>
              <w:jc w:val="center"/>
              <w:rPr>
                <w:rFonts w:ascii="Arial" w:hAnsi="Arial" w:cs="Arial"/>
                <w:b/>
                <w:sz w:val="24"/>
                <w:szCs w:val="24"/>
              </w:rPr>
            </w:pPr>
            <w:r>
              <w:rPr>
                <w:rFonts w:ascii="Arial" w:hAnsi="Arial" w:cs="Arial"/>
                <w:b/>
                <w:sz w:val="24"/>
                <w:szCs w:val="24"/>
              </w:rPr>
              <w:t>Total</w:t>
            </w:r>
          </w:p>
        </w:tc>
        <w:tc>
          <w:tcPr>
            <w:tcW w:w="2254" w:type="dxa"/>
          </w:tcPr>
          <w:p w14:paraId="2ED24FBD" w14:textId="55A6A473" w:rsidR="0040523F" w:rsidRPr="00B7770A" w:rsidRDefault="0040523F" w:rsidP="0040523F">
            <w:pPr>
              <w:jc w:val="center"/>
              <w:rPr>
                <w:rFonts w:ascii="Arial" w:hAnsi="Arial" w:cs="Arial"/>
                <w:sz w:val="24"/>
                <w:szCs w:val="24"/>
              </w:rPr>
            </w:pPr>
            <w:r w:rsidRPr="00B7770A">
              <w:rPr>
                <w:rFonts w:ascii="Arial" w:hAnsi="Arial" w:cs="Arial"/>
                <w:sz w:val="24"/>
                <w:szCs w:val="24"/>
              </w:rPr>
              <w:t>£1,094,851</w:t>
            </w:r>
          </w:p>
        </w:tc>
        <w:tc>
          <w:tcPr>
            <w:tcW w:w="2254" w:type="dxa"/>
          </w:tcPr>
          <w:p w14:paraId="421CB9B1" w14:textId="74FFA8DD" w:rsidR="0040523F" w:rsidRPr="00B7770A" w:rsidRDefault="0040523F" w:rsidP="0040523F">
            <w:pPr>
              <w:jc w:val="center"/>
              <w:rPr>
                <w:rFonts w:ascii="Arial" w:hAnsi="Arial" w:cs="Arial"/>
                <w:sz w:val="24"/>
                <w:szCs w:val="24"/>
              </w:rPr>
            </w:pPr>
            <w:r w:rsidRPr="00B7770A">
              <w:rPr>
                <w:rFonts w:ascii="Arial" w:hAnsi="Arial" w:cs="Arial"/>
                <w:sz w:val="24"/>
                <w:szCs w:val="24"/>
              </w:rPr>
              <w:t>£1,226,781</w:t>
            </w:r>
          </w:p>
        </w:tc>
        <w:tc>
          <w:tcPr>
            <w:tcW w:w="2254" w:type="dxa"/>
          </w:tcPr>
          <w:p w14:paraId="73573F6B" w14:textId="0EFE255E" w:rsidR="0040523F" w:rsidRPr="00B7770A" w:rsidRDefault="0040523F" w:rsidP="0040523F">
            <w:pPr>
              <w:jc w:val="center"/>
              <w:rPr>
                <w:rFonts w:ascii="Arial" w:hAnsi="Arial" w:cs="Arial"/>
                <w:sz w:val="24"/>
                <w:szCs w:val="24"/>
              </w:rPr>
            </w:pPr>
            <w:r w:rsidRPr="00B7770A">
              <w:rPr>
                <w:rFonts w:ascii="Arial" w:hAnsi="Arial" w:cs="Arial"/>
                <w:sz w:val="24"/>
                <w:szCs w:val="24"/>
              </w:rPr>
              <w:t>£984,249</w:t>
            </w:r>
          </w:p>
        </w:tc>
      </w:tr>
    </w:tbl>
    <w:p w14:paraId="5A96A456" w14:textId="77777777" w:rsidR="00D13812" w:rsidRDefault="00D13812" w:rsidP="00B74448">
      <w:pPr>
        <w:spacing w:after="0" w:line="240" w:lineRule="auto"/>
        <w:rPr>
          <w:rFonts w:ascii="Arial" w:hAnsi="Arial" w:cs="Arial"/>
          <w:b/>
          <w:sz w:val="24"/>
          <w:szCs w:val="24"/>
        </w:rPr>
      </w:pPr>
    </w:p>
    <w:p w14:paraId="7995DB81" w14:textId="77777777" w:rsidR="00D13812" w:rsidRPr="00B74448" w:rsidRDefault="00D13812" w:rsidP="00B74448">
      <w:pPr>
        <w:spacing w:after="0" w:line="240" w:lineRule="auto"/>
        <w:rPr>
          <w:rFonts w:ascii="Arial" w:hAnsi="Arial" w:cs="Arial"/>
          <w:b/>
          <w:sz w:val="24"/>
          <w:szCs w:val="24"/>
        </w:rPr>
      </w:pPr>
    </w:p>
    <w:p w14:paraId="7A0DC5D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0923A429" w14:textId="67B16DD3" w:rsidR="00302FCB" w:rsidRDefault="005E36CB" w:rsidP="005E36CB">
      <w:pPr>
        <w:spacing w:after="0" w:line="240" w:lineRule="auto"/>
        <w:rPr>
          <w:rFonts w:ascii="Arial" w:hAnsi="Arial" w:cs="Arial"/>
          <w:bCs/>
          <w:sz w:val="24"/>
          <w:szCs w:val="24"/>
        </w:rPr>
      </w:pPr>
      <w:r w:rsidRPr="000B2C94">
        <w:rPr>
          <w:rFonts w:ascii="Arial" w:hAnsi="Arial" w:cs="Arial"/>
          <w:bCs/>
          <w:sz w:val="24"/>
          <w:szCs w:val="24"/>
        </w:rPr>
        <w:t>It is recommended that</w:t>
      </w:r>
      <w:r w:rsidR="004929C2">
        <w:rPr>
          <w:rFonts w:ascii="Arial" w:hAnsi="Arial" w:cs="Arial"/>
          <w:bCs/>
          <w:sz w:val="24"/>
          <w:szCs w:val="24"/>
        </w:rPr>
        <w:t xml:space="preserve"> the </w:t>
      </w:r>
      <w:r w:rsidR="00131E47">
        <w:rPr>
          <w:rFonts w:ascii="Arial" w:hAnsi="Arial" w:cs="Arial"/>
          <w:bCs/>
          <w:sz w:val="24"/>
          <w:szCs w:val="24"/>
        </w:rPr>
        <w:t>Workforce, Digital and OD Committee: -</w:t>
      </w:r>
    </w:p>
    <w:p w14:paraId="3E033F39" w14:textId="77777777" w:rsidR="00131E47" w:rsidRDefault="00131E47" w:rsidP="005E36CB">
      <w:pPr>
        <w:spacing w:after="0" w:line="240" w:lineRule="auto"/>
        <w:rPr>
          <w:rFonts w:ascii="Arial" w:hAnsi="Arial" w:cs="Arial"/>
          <w:bCs/>
          <w:sz w:val="24"/>
          <w:szCs w:val="24"/>
        </w:rPr>
      </w:pPr>
    </w:p>
    <w:p w14:paraId="19F9548C" w14:textId="5000DF21" w:rsidR="004929C2" w:rsidRDefault="004929C2" w:rsidP="00302FCB">
      <w:pPr>
        <w:pStyle w:val="ListParagraph"/>
        <w:numPr>
          <w:ilvl w:val="0"/>
          <w:numId w:val="12"/>
        </w:numPr>
        <w:spacing w:after="0" w:line="240" w:lineRule="auto"/>
        <w:rPr>
          <w:rFonts w:ascii="Arial" w:hAnsi="Arial" w:cs="Arial"/>
          <w:bCs/>
          <w:sz w:val="24"/>
          <w:szCs w:val="24"/>
        </w:rPr>
      </w:pPr>
      <w:r>
        <w:rPr>
          <w:rFonts w:ascii="Arial" w:hAnsi="Arial" w:cs="Arial"/>
          <w:bCs/>
          <w:sz w:val="24"/>
          <w:szCs w:val="24"/>
        </w:rPr>
        <w:t>Continues to support the implementation of Medic on Duty</w:t>
      </w:r>
      <w:r w:rsidR="00CC037C">
        <w:rPr>
          <w:rFonts w:ascii="Arial" w:hAnsi="Arial" w:cs="Arial"/>
          <w:bCs/>
          <w:sz w:val="24"/>
          <w:szCs w:val="24"/>
        </w:rPr>
        <w:t xml:space="preserve"> a</w:t>
      </w:r>
      <w:r w:rsidR="00131E47">
        <w:rPr>
          <w:rFonts w:ascii="Arial" w:hAnsi="Arial" w:cs="Arial"/>
          <w:bCs/>
          <w:sz w:val="24"/>
          <w:szCs w:val="24"/>
        </w:rPr>
        <w:t>n</w:t>
      </w:r>
      <w:r w:rsidR="00CC037C">
        <w:rPr>
          <w:rFonts w:ascii="Arial" w:hAnsi="Arial" w:cs="Arial"/>
          <w:bCs/>
          <w:sz w:val="24"/>
          <w:szCs w:val="24"/>
        </w:rPr>
        <w:t>d expansion of functionality.</w:t>
      </w:r>
    </w:p>
    <w:p w14:paraId="3D720223" w14:textId="6A74A21B" w:rsidR="005E36CB" w:rsidRDefault="00131E47" w:rsidP="00302FCB">
      <w:pPr>
        <w:pStyle w:val="ListParagraph"/>
        <w:numPr>
          <w:ilvl w:val="0"/>
          <w:numId w:val="12"/>
        </w:numPr>
        <w:spacing w:after="0" w:line="240" w:lineRule="auto"/>
        <w:rPr>
          <w:rFonts w:ascii="Arial" w:hAnsi="Arial" w:cs="Arial"/>
          <w:bCs/>
          <w:sz w:val="24"/>
          <w:szCs w:val="24"/>
        </w:rPr>
      </w:pPr>
      <w:r>
        <w:rPr>
          <w:rFonts w:ascii="Arial" w:hAnsi="Arial" w:cs="Arial"/>
          <w:bCs/>
          <w:sz w:val="24"/>
          <w:szCs w:val="24"/>
        </w:rPr>
        <w:t xml:space="preserve">Supports any changes to </w:t>
      </w:r>
      <w:r w:rsidR="00CD0C4D">
        <w:rPr>
          <w:rFonts w:ascii="Arial" w:hAnsi="Arial" w:cs="Arial"/>
          <w:bCs/>
          <w:sz w:val="24"/>
          <w:szCs w:val="24"/>
        </w:rPr>
        <w:t xml:space="preserve">the </w:t>
      </w:r>
      <w:r w:rsidR="00CD0C4D" w:rsidRPr="00302FCB">
        <w:rPr>
          <w:rFonts w:ascii="Arial" w:hAnsi="Arial" w:cs="Arial"/>
          <w:bCs/>
          <w:sz w:val="24"/>
          <w:szCs w:val="24"/>
        </w:rPr>
        <w:t>negotiation’s</w:t>
      </w:r>
      <w:r w:rsidR="005E36CB" w:rsidRPr="00302FCB">
        <w:rPr>
          <w:rFonts w:ascii="Arial" w:hAnsi="Arial" w:cs="Arial"/>
          <w:bCs/>
          <w:sz w:val="24"/>
          <w:szCs w:val="24"/>
        </w:rPr>
        <w:t xml:space="preserve"> process within the </w:t>
      </w:r>
      <w:r w:rsidR="00302FCB" w:rsidRPr="00302FCB">
        <w:rPr>
          <w:rFonts w:ascii="Arial" w:hAnsi="Arial" w:cs="Arial"/>
          <w:bCs/>
          <w:sz w:val="24"/>
          <w:szCs w:val="24"/>
        </w:rPr>
        <w:t>service</w:t>
      </w:r>
      <w:r w:rsidR="005E36CB" w:rsidRPr="00302FCB">
        <w:rPr>
          <w:rFonts w:ascii="Arial" w:hAnsi="Arial" w:cs="Arial"/>
          <w:bCs/>
          <w:sz w:val="24"/>
          <w:szCs w:val="24"/>
        </w:rPr>
        <w:t xml:space="preserve"> gro</w:t>
      </w:r>
      <w:r w:rsidR="00193BDF">
        <w:rPr>
          <w:rFonts w:ascii="Arial" w:hAnsi="Arial" w:cs="Arial"/>
          <w:bCs/>
          <w:sz w:val="24"/>
          <w:szCs w:val="24"/>
        </w:rPr>
        <w:t>ups.</w:t>
      </w:r>
    </w:p>
    <w:p w14:paraId="6F311211" w14:textId="01EC795F" w:rsidR="00193BDF" w:rsidRPr="00302FCB" w:rsidRDefault="0055300B" w:rsidP="00302FCB">
      <w:pPr>
        <w:pStyle w:val="ListParagraph"/>
        <w:numPr>
          <w:ilvl w:val="0"/>
          <w:numId w:val="12"/>
        </w:numPr>
        <w:spacing w:after="0" w:line="240" w:lineRule="auto"/>
        <w:rPr>
          <w:rFonts w:ascii="Arial" w:hAnsi="Arial" w:cs="Arial"/>
          <w:bCs/>
          <w:sz w:val="24"/>
          <w:szCs w:val="24"/>
        </w:rPr>
      </w:pPr>
      <w:r>
        <w:rPr>
          <w:rFonts w:ascii="Arial" w:hAnsi="Arial" w:cs="Arial"/>
          <w:bCs/>
          <w:sz w:val="24"/>
          <w:szCs w:val="24"/>
        </w:rPr>
        <w:t xml:space="preserve">Supports the </w:t>
      </w:r>
      <w:r w:rsidR="00CC037C">
        <w:rPr>
          <w:rFonts w:ascii="Arial" w:hAnsi="Arial" w:cs="Arial"/>
          <w:bCs/>
          <w:sz w:val="24"/>
          <w:szCs w:val="24"/>
        </w:rPr>
        <w:t>development of a RPO proposal</w:t>
      </w:r>
      <w:r w:rsidR="00131E47">
        <w:rPr>
          <w:rFonts w:ascii="Arial" w:hAnsi="Arial" w:cs="Arial"/>
          <w:bCs/>
          <w:sz w:val="24"/>
          <w:szCs w:val="24"/>
        </w:rPr>
        <w:t xml:space="preserve"> where appropriate. </w:t>
      </w:r>
    </w:p>
    <w:p w14:paraId="76B53FD9" w14:textId="77777777" w:rsidR="00C33A04" w:rsidRDefault="00C33A04" w:rsidP="00F531BD">
      <w:pPr>
        <w:rPr>
          <w:rFonts w:ascii="Arial" w:hAnsi="Arial" w:cs="Arial"/>
          <w:b/>
          <w:sz w:val="24"/>
          <w:szCs w:val="24"/>
        </w:rPr>
      </w:pPr>
    </w:p>
    <w:p w14:paraId="225F5F1F" w14:textId="77777777" w:rsidR="00762BBE" w:rsidRDefault="00762BBE" w:rsidP="00F531BD">
      <w:pPr>
        <w:rPr>
          <w:rFonts w:ascii="Arial" w:hAnsi="Arial" w:cs="Arial"/>
          <w:b/>
          <w:sz w:val="24"/>
          <w:szCs w:val="24"/>
        </w:rPr>
      </w:pPr>
    </w:p>
    <w:p w14:paraId="3FD0E255" w14:textId="77777777" w:rsidR="00762BBE" w:rsidRDefault="00762BBE" w:rsidP="00F531BD">
      <w:pPr>
        <w:rPr>
          <w:rFonts w:ascii="Arial" w:hAnsi="Arial" w:cs="Arial"/>
          <w:b/>
          <w:sz w:val="24"/>
          <w:szCs w:val="24"/>
        </w:rPr>
      </w:pPr>
    </w:p>
    <w:p w14:paraId="4B87A7F3" w14:textId="77777777" w:rsidR="00762BBE" w:rsidRDefault="00762BBE" w:rsidP="00F531BD">
      <w:pPr>
        <w:rPr>
          <w:rFonts w:ascii="Arial" w:hAnsi="Arial" w:cs="Arial"/>
          <w:b/>
          <w:sz w:val="24"/>
          <w:szCs w:val="24"/>
        </w:rPr>
      </w:pPr>
    </w:p>
    <w:p w14:paraId="2E4303A6" w14:textId="77777777" w:rsidR="00762BBE" w:rsidRDefault="00762BBE" w:rsidP="00F531BD">
      <w:pPr>
        <w:rPr>
          <w:rFonts w:ascii="Arial" w:hAnsi="Arial" w:cs="Arial"/>
          <w:b/>
          <w:sz w:val="24"/>
          <w:szCs w:val="24"/>
        </w:rPr>
      </w:pPr>
    </w:p>
    <w:p w14:paraId="5BEFC022" w14:textId="77777777" w:rsidR="00762BBE" w:rsidRDefault="00762BBE" w:rsidP="00F531BD">
      <w:pPr>
        <w:rPr>
          <w:rFonts w:ascii="Arial" w:hAnsi="Arial" w:cs="Arial"/>
          <w:b/>
          <w:sz w:val="24"/>
          <w:szCs w:val="24"/>
        </w:rPr>
      </w:pPr>
    </w:p>
    <w:p w14:paraId="2E8622DC" w14:textId="77777777" w:rsidR="00302FCB" w:rsidRDefault="00302FCB" w:rsidP="00F531BD">
      <w:pPr>
        <w:rPr>
          <w:rFonts w:ascii="Arial" w:hAnsi="Arial" w:cs="Arial"/>
          <w:b/>
          <w:sz w:val="24"/>
          <w:szCs w:val="24"/>
        </w:rPr>
      </w:pPr>
    </w:p>
    <w:p w14:paraId="17AAC779" w14:textId="77777777" w:rsidR="00762BBE" w:rsidRDefault="00762BBE" w:rsidP="00F531BD">
      <w:pPr>
        <w:rPr>
          <w:rFonts w:ascii="Arial" w:hAnsi="Arial" w:cs="Arial"/>
          <w:b/>
          <w:sz w:val="24"/>
          <w:szCs w:val="24"/>
        </w:rPr>
      </w:pPr>
    </w:p>
    <w:p w14:paraId="619FA8F8" w14:textId="77777777" w:rsidR="00176201" w:rsidRDefault="00176201"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AC4F824" w14:textId="77777777" w:rsidTr="00C95B3C">
        <w:tc>
          <w:tcPr>
            <w:tcW w:w="9245" w:type="dxa"/>
            <w:gridSpan w:val="4"/>
            <w:shd w:val="clear" w:color="auto" w:fill="D5DCE4" w:themeFill="text2" w:themeFillTint="33"/>
          </w:tcPr>
          <w:p w14:paraId="0DB32EBF"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E151B4C" w14:textId="77777777" w:rsidR="00034194" w:rsidRPr="00034194" w:rsidRDefault="00034194">
            <w:pPr>
              <w:rPr>
                <w:rFonts w:ascii="Arial" w:hAnsi="Arial" w:cs="Arial"/>
                <w:sz w:val="24"/>
                <w:szCs w:val="24"/>
              </w:rPr>
            </w:pPr>
          </w:p>
        </w:tc>
      </w:tr>
      <w:tr w:rsidR="00F5324A" w:rsidRPr="00034194" w14:paraId="1D1B0A5A" w14:textId="77777777" w:rsidTr="00F5324A">
        <w:tc>
          <w:tcPr>
            <w:tcW w:w="1809" w:type="dxa"/>
            <w:vMerge w:val="restart"/>
          </w:tcPr>
          <w:p w14:paraId="71706C7E" w14:textId="77777777" w:rsidR="00F5324A" w:rsidRDefault="00F5324A">
            <w:pPr>
              <w:rPr>
                <w:rFonts w:ascii="Arial" w:hAnsi="Arial" w:cs="Arial"/>
                <w:b/>
                <w:sz w:val="24"/>
                <w:szCs w:val="24"/>
              </w:rPr>
            </w:pPr>
            <w:r>
              <w:rPr>
                <w:rFonts w:ascii="Arial" w:hAnsi="Arial" w:cs="Arial"/>
                <w:b/>
                <w:sz w:val="24"/>
                <w:szCs w:val="24"/>
              </w:rPr>
              <w:t>Link to Enabling Objectives</w:t>
            </w:r>
          </w:p>
          <w:p w14:paraId="00FF21E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6C34AD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9334FA0" w14:textId="77777777" w:rsidTr="00F5324A">
        <w:tc>
          <w:tcPr>
            <w:tcW w:w="1809" w:type="dxa"/>
            <w:vMerge/>
          </w:tcPr>
          <w:p w14:paraId="3168E162" w14:textId="77777777" w:rsidR="00F5324A" w:rsidRPr="00034194" w:rsidRDefault="00F5324A">
            <w:pPr>
              <w:rPr>
                <w:rFonts w:ascii="Arial" w:hAnsi="Arial" w:cs="Arial"/>
                <w:b/>
                <w:sz w:val="24"/>
                <w:szCs w:val="24"/>
              </w:rPr>
            </w:pPr>
          </w:p>
        </w:tc>
        <w:tc>
          <w:tcPr>
            <w:tcW w:w="5812" w:type="dxa"/>
            <w:gridSpan w:val="2"/>
          </w:tcPr>
          <w:p w14:paraId="1F9B396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0F6053A" w14:textId="3612A4FA" w:rsidR="00F5324A" w:rsidRPr="00F5324A" w:rsidRDefault="00CC037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7D31E67" w14:textId="77777777" w:rsidTr="00F5324A">
        <w:tc>
          <w:tcPr>
            <w:tcW w:w="1809" w:type="dxa"/>
            <w:vMerge/>
          </w:tcPr>
          <w:p w14:paraId="60826086" w14:textId="77777777" w:rsidR="00F5324A" w:rsidRPr="00034194" w:rsidRDefault="00F5324A">
            <w:pPr>
              <w:rPr>
                <w:rFonts w:ascii="Arial" w:hAnsi="Arial" w:cs="Arial"/>
                <w:b/>
                <w:sz w:val="24"/>
                <w:szCs w:val="24"/>
              </w:rPr>
            </w:pPr>
          </w:p>
        </w:tc>
        <w:tc>
          <w:tcPr>
            <w:tcW w:w="5812" w:type="dxa"/>
            <w:gridSpan w:val="2"/>
          </w:tcPr>
          <w:p w14:paraId="04BDE5C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423ADE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C61F31E" w14:textId="77777777" w:rsidTr="00F5324A">
        <w:tc>
          <w:tcPr>
            <w:tcW w:w="1809" w:type="dxa"/>
            <w:vMerge/>
          </w:tcPr>
          <w:p w14:paraId="29424B0F" w14:textId="77777777" w:rsidR="00F5324A" w:rsidRPr="00034194" w:rsidRDefault="00F5324A">
            <w:pPr>
              <w:rPr>
                <w:rFonts w:ascii="Arial" w:hAnsi="Arial" w:cs="Arial"/>
                <w:b/>
                <w:sz w:val="24"/>
                <w:szCs w:val="24"/>
              </w:rPr>
            </w:pPr>
          </w:p>
        </w:tc>
        <w:tc>
          <w:tcPr>
            <w:tcW w:w="5812" w:type="dxa"/>
            <w:gridSpan w:val="2"/>
          </w:tcPr>
          <w:p w14:paraId="6F4638A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3F8D72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5228E2" w14:textId="77777777" w:rsidTr="00F5324A">
        <w:tc>
          <w:tcPr>
            <w:tcW w:w="1809" w:type="dxa"/>
            <w:vMerge/>
          </w:tcPr>
          <w:p w14:paraId="44B88F8E"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7680343"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4E5CA70" w14:textId="77777777" w:rsidTr="00F5324A">
        <w:tc>
          <w:tcPr>
            <w:tcW w:w="1809" w:type="dxa"/>
            <w:vMerge/>
          </w:tcPr>
          <w:p w14:paraId="26F75692" w14:textId="77777777" w:rsidR="00F5324A" w:rsidRPr="00034194" w:rsidRDefault="00F5324A" w:rsidP="00C107F2">
            <w:pPr>
              <w:rPr>
                <w:rFonts w:ascii="Arial" w:hAnsi="Arial" w:cs="Arial"/>
                <w:b/>
                <w:sz w:val="24"/>
                <w:szCs w:val="24"/>
              </w:rPr>
            </w:pPr>
          </w:p>
        </w:tc>
        <w:tc>
          <w:tcPr>
            <w:tcW w:w="5812" w:type="dxa"/>
            <w:gridSpan w:val="2"/>
          </w:tcPr>
          <w:p w14:paraId="79C0EB3D"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90D78F2" w14:textId="34A11900" w:rsidR="00F5324A" w:rsidRPr="00F5324A" w:rsidRDefault="00CC037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552DA4F" w14:textId="77777777" w:rsidTr="00F5324A">
        <w:tc>
          <w:tcPr>
            <w:tcW w:w="1809" w:type="dxa"/>
            <w:vMerge/>
          </w:tcPr>
          <w:p w14:paraId="4E93DB2A" w14:textId="77777777" w:rsidR="00F5324A" w:rsidRPr="00034194" w:rsidRDefault="00F5324A" w:rsidP="00C107F2">
            <w:pPr>
              <w:rPr>
                <w:rFonts w:ascii="Arial" w:hAnsi="Arial" w:cs="Arial"/>
                <w:b/>
                <w:sz w:val="24"/>
                <w:szCs w:val="24"/>
              </w:rPr>
            </w:pPr>
          </w:p>
        </w:tc>
        <w:tc>
          <w:tcPr>
            <w:tcW w:w="5812" w:type="dxa"/>
            <w:gridSpan w:val="2"/>
          </w:tcPr>
          <w:p w14:paraId="194BC81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0B48723A"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073C1D1" w14:textId="77777777" w:rsidTr="00F5324A">
        <w:tc>
          <w:tcPr>
            <w:tcW w:w="1809" w:type="dxa"/>
            <w:vMerge/>
          </w:tcPr>
          <w:p w14:paraId="068DEE3B" w14:textId="77777777" w:rsidR="00F5324A" w:rsidRPr="00034194" w:rsidRDefault="00F5324A" w:rsidP="00C107F2">
            <w:pPr>
              <w:rPr>
                <w:rFonts w:ascii="Arial" w:hAnsi="Arial" w:cs="Arial"/>
                <w:b/>
                <w:sz w:val="24"/>
                <w:szCs w:val="24"/>
              </w:rPr>
            </w:pPr>
          </w:p>
        </w:tc>
        <w:tc>
          <w:tcPr>
            <w:tcW w:w="5812" w:type="dxa"/>
            <w:gridSpan w:val="2"/>
          </w:tcPr>
          <w:p w14:paraId="0DF905B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55CB40B" w14:textId="3EB20EC8" w:rsidR="00F5324A" w:rsidRPr="00F5324A" w:rsidRDefault="00CC037C"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41E78E3" w14:textId="77777777" w:rsidTr="00F5324A">
        <w:tc>
          <w:tcPr>
            <w:tcW w:w="1809" w:type="dxa"/>
            <w:vMerge/>
          </w:tcPr>
          <w:p w14:paraId="23DF5521" w14:textId="77777777" w:rsidR="00F5324A" w:rsidRPr="00034194" w:rsidRDefault="00F5324A" w:rsidP="00C107F2">
            <w:pPr>
              <w:rPr>
                <w:rFonts w:ascii="Arial" w:hAnsi="Arial" w:cs="Arial"/>
                <w:b/>
                <w:sz w:val="24"/>
                <w:szCs w:val="24"/>
              </w:rPr>
            </w:pPr>
          </w:p>
        </w:tc>
        <w:tc>
          <w:tcPr>
            <w:tcW w:w="5812" w:type="dxa"/>
            <w:gridSpan w:val="2"/>
          </w:tcPr>
          <w:p w14:paraId="49D1A38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A7BA2B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9D015F2" w14:textId="77777777" w:rsidTr="00F5324A">
        <w:tc>
          <w:tcPr>
            <w:tcW w:w="1809" w:type="dxa"/>
            <w:vMerge/>
          </w:tcPr>
          <w:p w14:paraId="60106299" w14:textId="77777777" w:rsidR="00F5324A" w:rsidRPr="00034194" w:rsidRDefault="00F5324A" w:rsidP="00C107F2">
            <w:pPr>
              <w:rPr>
                <w:rFonts w:ascii="Arial" w:hAnsi="Arial" w:cs="Arial"/>
                <w:b/>
                <w:sz w:val="24"/>
                <w:szCs w:val="24"/>
              </w:rPr>
            </w:pPr>
          </w:p>
        </w:tc>
        <w:tc>
          <w:tcPr>
            <w:tcW w:w="5812" w:type="dxa"/>
            <w:gridSpan w:val="2"/>
          </w:tcPr>
          <w:p w14:paraId="6FA3620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9F43CD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5FCDA9B" w14:textId="77777777" w:rsidTr="00CD7AA5">
        <w:tc>
          <w:tcPr>
            <w:tcW w:w="9245" w:type="dxa"/>
            <w:gridSpan w:val="4"/>
            <w:shd w:val="clear" w:color="auto" w:fill="D5DCE4" w:themeFill="text2" w:themeFillTint="33"/>
          </w:tcPr>
          <w:p w14:paraId="1EE6C413"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99AD80A" w14:textId="77777777" w:rsidTr="00F5324A">
        <w:tc>
          <w:tcPr>
            <w:tcW w:w="1809" w:type="dxa"/>
            <w:vMerge w:val="restart"/>
          </w:tcPr>
          <w:p w14:paraId="205B2DA6"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4F2FBC4"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8B16C76"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40CC6AA" w14:textId="77777777" w:rsidTr="00F5324A">
        <w:tc>
          <w:tcPr>
            <w:tcW w:w="1809" w:type="dxa"/>
            <w:vMerge/>
          </w:tcPr>
          <w:p w14:paraId="345EC410" w14:textId="77777777" w:rsidR="00F5324A" w:rsidRPr="00FA0CA9" w:rsidRDefault="00F5324A" w:rsidP="00F5324A">
            <w:pPr>
              <w:rPr>
                <w:rFonts w:ascii="Arial" w:hAnsi="Arial" w:cs="Arial"/>
                <w:b/>
                <w:sz w:val="24"/>
                <w:szCs w:val="24"/>
              </w:rPr>
            </w:pPr>
          </w:p>
        </w:tc>
        <w:tc>
          <w:tcPr>
            <w:tcW w:w="5812" w:type="dxa"/>
            <w:gridSpan w:val="2"/>
          </w:tcPr>
          <w:p w14:paraId="329457C8"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7FF84F72"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B788430" w14:textId="77777777" w:rsidTr="00F5324A">
        <w:tc>
          <w:tcPr>
            <w:tcW w:w="1809" w:type="dxa"/>
            <w:vMerge/>
          </w:tcPr>
          <w:p w14:paraId="292E6A82" w14:textId="77777777" w:rsidR="00F5324A" w:rsidRPr="00FA0CA9" w:rsidRDefault="00F5324A" w:rsidP="00F5324A">
            <w:pPr>
              <w:rPr>
                <w:rFonts w:ascii="Arial" w:hAnsi="Arial" w:cs="Arial"/>
                <w:b/>
                <w:sz w:val="24"/>
                <w:szCs w:val="24"/>
              </w:rPr>
            </w:pPr>
          </w:p>
        </w:tc>
        <w:tc>
          <w:tcPr>
            <w:tcW w:w="5812" w:type="dxa"/>
            <w:gridSpan w:val="2"/>
          </w:tcPr>
          <w:p w14:paraId="74B8D5B7"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71EBBB2C" w14:textId="71D28647" w:rsidR="00F5324A" w:rsidRPr="00FA0CA9" w:rsidRDefault="00CC03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2901038" w14:textId="77777777" w:rsidTr="00F5324A">
        <w:tc>
          <w:tcPr>
            <w:tcW w:w="1809" w:type="dxa"/>
            <w:vMerge/>
          </w:tcPr>
          <w:p w14:paraId="5974135B" w14:textId="77777777" w:rsidR="00F5324A" w:rsidRPr="00FA0CA9" w:rsidRDefault="00F5324A" w:rsidP="00F5324A">
            <w:pPr>
              <w:rPr>
                <w:rFonts w:ascii="Arial" w:hAnsi="Arial" w:cs="Arial"/>
                <w:b/>
                <w:sz w:val="24"/>
                <w:szCs w:val="24"/>
              </w:rPr>
            </w:pPr>
          </w:p>
        </w:tc>
        <w:tc>
          <w:tcPr>
            <w:tcW w:w="5812" w:type="dxa"/>
            <w:gridSpan w:val="2"/>
          </w:tcPr>
          <w:p w14:paraId="551775E1"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012213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4AF6BF" w14:textId="77777777" w:rsidTr="00F5324A">
        <w:tc>
          <w:tcPr>
            <w:tcW w:w="1809" w:type="dxa"/>
            <w:vMerge/>
          </w:tcPr>
          <w:p w14:paraId="7BCB0FC1" w14:textId="77777777" w:rsidR="00F5324A" w:rsidRPr="00FA0CA9" w:rsidRDefault="00F5324A" w:rsidP="00F5324A">
            <w:pPr>
              <w:rPr>
                <w:rFonts w:ascii="Arial" w:hAnsi="Arial" w:cs="Arial"/>
                <w:b/>
                <w:sz w:val="24"/>
                <w:szCs w:val="24"/>
              </w:rPr>
            </w:pPr>
          </w:p>
        </w:tc>
        <w:tc>
          <w:tcPr>
            <w:tcW w:w="5812" w:type="dxa"/>
            <w:gridSpan w:val="2"/>
          </w:tcPr>
          <w:p w14:paraId="38285DAB"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F9E3B0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932306D" w14:textId="77777777" w:rsidTr="00F5324A">
        <w:tc>
          <w:tcPr>
            <w:tcW w:w="1809" w:type="dxa"/>
            <w:vMerge/>
          </w:tcPr>
          <w:p w14:paraId="7AE8E59C" w14:textId="77777777" w:rsidR="00F5324A" w:rsidRPr="00FA0CA9" w:rsidRDefault="00F5324A" w:rsidP="00F5324A">
            <w:pPr>
              <w:rPr>
                <w:rFonts w:ascii="Arial" w:hAnsi="Arial" w:cs="Arial"/>
                <w:b/>
                <w:sz w:val="24"/>
                <w:szCs w:val="24"/>
              </w:rPr>
            </w:pPr>
          </w:p>
        </w:tc>
        <w:tc>
          <w:tcPr>
            <w:tcW w:w="5812" w:type="dxa"/>
            <w:gridSpan w:val="2"/>
          </w:tcPr>
          <w:p w14:paraId="53BD84F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8A3A65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FB16F89" w14:textId="77777777" w:rsidTr="00F5324A">
        <w:tc>
          <w:tcPr>
            <w:tcW w:w="1809" w:type="dxa"/>
            <w:vMerge/>
          </w:tcPr>
          <w:p w14:paraId="05789BFE" w14:textId="77777777" w:rsidR="00F5324A" w:rsidRPr="00FA0CA9" w:rsidRDefault="00F5324A" w:rsidP="00F5324A">
            <w:pPr>
              <w:rPr>
                <w:rFonts w:ascii="Arial" w:hAnsi="Arial" w:cs="Arial"/>
                <w:b/>
                <w:sz w:val="24"/>
                <w:szCs w:val="24"/>
              </w:rPr>
            </w:pPr>
          </w:p>
        </w:tc>
        <w:tc>
          <w:tcPr>
            <w:tcW w:w="5812" w:type="dxa"/>
            <w:gridSpan w:val="2"/>
          </w:tcPr>
          <w:p w14:paraId="7F05234E"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32864D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244AE4" w14:textId="77777777" w:rsidTr="00CD7AA5">
        <w:tc>
          <w:tcPr>
            <w:tcW w:w="9245" w:type="dxa"/>
            <w:gridSpan w:val="4"/>
            <w:shd w:val="clear" w:color="auto" w:fill="D5DCE4" w:themeFill="text2" w:themeFillTint="33"/>
          </w:tcPr>
          <w:p w14:paraId="1510B60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F96B050" w14:textId="77777777" w:rsidTr="00C95B3C">
        <w:tc>
          <w:tcPr>
            <w:tcW w:w="9245" w:type="dxa"/>
            <w:gridSpan w:val="4"/>
          </w:tcPr>
          <w:p w14:paraId="57A38610" w14:textId="76BDAF54" w:rsidR="00F5324A" w:rsidRPr="00CC037C" w:rsidRDefault="00CC037C" w:rsidP="00CC037C">
            <w:pPr>
              <w:rPr>
                <w:rFonts w:ascii="Arial" w:hAnsi="Arial" w:cs="Arial"/>
                <w:sz w:val="24"/>
                <w:szCs w:val="24"/>
              </w:rPr>
            </w:pPr>
            <w:r w:rsidRPr="00CC037C">
              <w:rPr>
                <w:rFonts w:ascii="Arial" w:hAnsi="Arial" w:cs="Arial"/>
                <w:sz w:val="24"/>
                <w:szCs w:val="24"/>
              </w:rPr>
              <w:t>Appropriately skilled medical staff will improve the patient outcomes</w:t>
            </w:r>
            <w:r>
              <w:rPr>
                <w:rFonts w:ascii="Arial" w:hAnsi="Arial" w:cs="Arial"/>
                <w:sz w:val="24"/>
                <w:szCs w:val="24"/>
              </w:rPr>
              <w:t xml:space="preserve"> and delivery of care.</w:t>
            </w:r>
          </w:p>
          <w:p w14:paraId="764992EE" w14:textId="1D32F98E" w:rsidR="00CC037C" w:rsidRPr="00CC037C" w:rsidRDefault="00CC037C" w:rsidP="00CC037C">
            <w:pPr>
              <w:rPr>
                <w:rFonts w:ascii="Arial" w:hAnsi="Arial" w:cs="Arial"/>
                <w:b/>
                <w:sz w:val="24"/>
                <w:szCs w:val="24"/>
              </w:rPr>
            </w:pPr>
          </w:p>
        </w:tc>
      </w:tr>
      <w:tr w:rsidR="00F5324A" w:rsidRPr="00034194" w14:paraId="676ECAA3" w14:textId="77777777" w:rsidTr="00CD7AA5">
        <w:tc>
          <w:tcPr>
            <w:tcW w:w="9245" w:type="dxa"/>
            <w:gridSpan w:val="4"/>
            <w:shd w:val="clear" w:color="auto" w:fill="D5DCE4" w:themeFill="text2" w:themeFillTint="33"/>
          </w:tcPr>
          <w:p w14:paraId="52F6F70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3FB4AE0" w14:textId="77777777" w:rsidTr="00C95B3C">
        <w:tc>
          <w:tcPr>
            <w:tcW w:w="9245" w:type="dxa"/>
            <w:gridSpan w:val="4"/>
          </w:tcPr>
          <w:p w14:paraId="37CB9B92" w14:textId="43E223BD" w:rsidR="00F5324A" w:rsidRPr="00CC037C" w:rsidRDefault="00CC037C" w:rsidP="00CC037C">
            <w:pPr>
              <w:ind w:right="96"/>
              <w:rPr>
                <w:rFonts w:ascii="Arial" w:hAnsi="Arial" w:cs="Arial"/>
                <w:sz w:val="24"/>
                <w:szCs w:val="24"/>
              </w:rPr>
            </w:pPr>
            <w:r w:rsidRPr="00CC037C">
              <w:rPr>
                <w:rFonts w:ascii="Arial" w:hAnsi="Arial" w:cs="Arial"/>
                <w:sz w:val="24"/>
                <w:szCs w:val="24"/>
              </w:rPr>
              <w:t>There are no financial implications outlined in the paper</w:t>
            </w:r>
            <w:r w:rsidR="00131E47">
              <w:rPr>
                <w:rFonts w:ascii="Arial" w:hAnsi="Arial" w:cs="Arial"/>
                <w:sz w:val="24"/>
                <w:szCs w:val="24"/>
              </w:rPr>
              <w:t xml:space="preserve"> other than the cost of locum and agency cover. </w:t>
            </w:r>
          </w:p>
          <w:p w14:paraId="54FA5E2A" w14:textId="456692FF" w:rsidR="00CC037C" w:rsidRPr="00FA0CA9" w:rsidRDefault="00CC037C" w:rsidP="00CC037C">
            <w:pPr>
              <w:ind w:right="96"/>
              <w:rPr>
                <w:rFonts w:ascii="Arial" w:hAnsi="Arial" w:cs="Arial"/>
                <w:color w:val="FF0000"/>
                <w:sz w:val="24"/>
                <w:szCs w:val="24"/>
              </w:rPr>
            </w:pPr>
          </w:p>
        </w:tc>
      </w:tr>
      <w:tr w:rsidR="00F5324A" w:rsidRPr="00BC241D" w14:paraId="5667BAD4" w14:textId="77777777" w:rsidTr="00CD7AA5">
        <w:tc>
          <w:tcPr>
            <w:tcW w:w="9245" w:type="dxa"/>
            <w:gridSpan w:val="4"/>
            <w:shd w:val="clear" w:color="auto" w:fill="D5DCE4" w:themeFill="text2" w:themeFillTint="33"/>
          </w:tcPr>
          <w:p w14:paraId="7A743023"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F7EE237" w14:textId="77777777" w:rsidTr="00C95B3C">
        <w:tc>
          <w:tcPr>
            <w:tcW w:w="9245" w:type="dxa"/>
            <w:gridSpan w:val="4"/>
          </w:tcPr>
          <w:p w14:paraId="4F76E6BE" w14:textId="005811C8" w:rsidR="00F5324A" w:rsidRPr="00FA0CA9" w:rsidRDefault="00CC037C" w:rsidP="00CC037C">
            <w:pPr>
              <w:ind w:right="96"/>
              <w:rPr>
                <w:rFonts w:ascii="Arial" w:hAnsi="Arial" w:cs="Arial"/>
                <w:color w:val="FF0000"/>
                <w:sz w:val="24"/>
                <w:szCs w:val="24"/>
              </w:rPr>
            </w:pPr>
            <w:r w:rsidRPr="00CC037C">
              <w:rPr>
                <w:rFonts w:ascii="Arial" w:hAnsi="Arial" w:cs="Arial"/>
                <w:sz w:val="24"/>
                <w:szCs w:val="24"/>
              </w:rPr>
              <w:t>N/A</w:t>
            </w:r>
          </w:p>
        </w:tc>
      </w:tr>
      <w:tr w:rsidR="00F5324A" w:rsidRPr="00DA76AD" w14:paraId="134CB56E" w14:textId="77777777" w:rsidTr="00CD7AA5">
        <w:tc>
          <w:tcPr>
            <w:tcW w:w="9245" w:type="dxa"/>
            <w:gridSpan w:val="4"/>
            <w:shd w:val="clear" w:color="auto" w:fill="D5DCE4" w:themeFill="text2" w:themeFillTint="33"/>
          </w:tcPr>
          <w:p w14:paraId="61B90DA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D5B21EB" w14:textId="77777777" w:rsidTr="00C95B3C">
        <w:tc>
          <w:tcPr>
            <w:tcW w:w="9245" w:type="dxa"/>
            <w:gridSpan w:val="4"/>
          </w:tcPr>
          <w:p w14:paraId="31CB908D" w14:textId="77777777" w:rsidR="00F5324A" w:rsidRPr="00CC037C" w:rsidRDefault="00CC037C" w:rsidP="00CC037C">
            <w:pPr>
              <w:ind w:right="96"/>
              <w:rPr>
                <w:rFonts w:ascii="Arial" w:hAnsi="Arial" w:cs="Arial"/>
                <w:sz w:val="24"/>
                <w:szCs w:val="24"/>
              </w:rPr>
            </w:pPr>
            <w:r w:rsidRPr="00CC037C">
              <w:rPr>
                <w:rFonts w:ascii="Arial" w:hAnsi="Arial" w:cs="Arial"/>
                <w:sz w:val="24"/>
                <w:szCs w:val="24"/>
              </w:rPr>
              <w:t>There are no staffing implications identified.</w:t>
            </w:r>
          </w:p>
          <w:p w14:paraId="1CD1F2C5" w14:textId="45C4C794" w:rsidR="00CC037C" w:rsidRPr="00CC037C" w:rsidRDefault="00CC037C" w:rsidP="00CC037C">
            <w:pPr>
              <w:ind w:right="96"/>
              <w:rPr>
                <w:rFonts w:ascii="Arial" w:hAnsi="Arial" w:cs="Arial"/>
                <w:sz w:val="24"/>
                <w:szCs w:val="24"/>
              </w:rPr>
            </w:pPr>
          </w:p>
        </w:tc>
      </w:tr>
      <w:tr w:rsidR="00F5324A" w:rsidRPr="00034194" w14:paraId="33103756" w14:textId="77777777" w:rsidTr="00CD7AA5">
        <w:tc>
          <w:tcPr>
            <w:tcW w:w="9245" w:type="dxa"/>
            <w:gridSpan w:val="4"/>
            <w:shd w:val="clear" w:color="auto" w:fill="D5DCE4" w:themeFill="text2" w:themeFillTint="33"/>
          </w:tcPr>
          <w:p w14:paraId="6C311C1B" w14:textId="77777777" w:rsidR="00F5324A" w:rsidRPr="00CC037C" w:rsidRDefault="00296CD9" w:rsidP="00F5324A">
            <w:pPr>
              <w:ind w:right="96"/>
              <w:rPr>
                <w:rFonts w:ascii="Arial" w:hAnsi="Arial" w:cs="Arial"/>
                <w:b/>
                <w:sz w:val="24"/>
                <w:szCs w:val="24"/>
              </w:rPr>
            </w:pPr>
            <w:r w:rsidRPr="00CC037C">
              <w:rPr>
                <w:rFonts w:ascii="Arial" w:hAnsi="Arial" w:cs="Arial"/>
                <w:b/>
                <w:sz w:val="24"/>
                <w:szCs w:val="24"/>
              </w:rPr>
              <w:t>Long Term Implications (including the impact of the Well-being of Future Generations (Wales) Act 2015)</w:t>
            </w:r>
          </w:p>
        </w:tc>
      </w:tr>
      <w:tr w:rsidR="00F5324A" w:rsidRPr="00034194" w14:paraId="0E97AD9E" w14:textId="77777777" w:rsidTr="00C95B3C">
        <w:tc>
          <w:tcPr>
            <w:tcW w:w="9245" w:type="dxa"/>
            <w:gridSpan w:val="4"/>
          </w:tcPr>
          <w:p w14:paraId="5FB3C4F4" w14:textId="1C4BAD8C" w:rsidR="00F5324A" w:rsidRPr="00CC037C" w:rsidRDefault="00131E47" w:rsidP="00131E47">
            <w:pPr>
              <w:ind w:right="96"/>
              <w:rPr>
                <w:rFonts w:ascii="Arial" w:hAnsi="Arial" w:cs="Arial"/>
                <w:sz w:val="24"/>
                <w:szCs w:val="24"/>
              </w:rPr>
            </w:pPr>
            <w:r>
              <w:rPr>
                <w:rFonts w:ascii="Arial" w:hAnsi="Arial" w:cs="Arial"/>
                <w:sz w:val="24"/>
                <w:szCs w:val="24"/>
              </w:rPr>
              <w:t>N/A</w:t>
            </w:r>
          </w:p>
        </w:tc>
      </w:tr>
      <w:tr w:rsidR="00653AEC" w:rsidRPr="00034194" w14:paraId="5AACFE86" w14:textId="77777777" w:rsidTr="00C95B3C">
        <w:tc>
          <w:tcPr>
            <w:tcW w:w="2470" w:type="dxa"/>
            <w:gridSpan w:val="2"/>
          </w:tcPr>
          <w:p w14:paraId="6BEC4C3B" w14:textId="77777777" w:rsidR="00653AEC" w:rsidRPr="00CC037C" w:rsidRDefault="00653AEC" w:rsidP="00653AEC">
            <w:pPr>
              <w:ind w:right="96"/>
              <w:rPr>
                <w:rFonts w:ascii="Arial" w:hAnsi="Arial" w:cs="Arial"/>
                <w:sz w:val="24"/>
                <w:szCs w:val="24"/>
              </w:rPr>
            </w:pPr>
            <w:r w:rsidRPr="00CC037C">
              <w:rPr>
                <w:rFonts w:ascii="Arial" w:hAnsi="Arial" w:cs="Arial"/>
                <w:b/>
                <w:sz w:val="24"/>
                <w:szCs w:val="24"/>
              </w:rPr>
              <w:t>Report History</w:t>
            </w:r>
          </w:p>
        </w:tc>
        <w:tc>
          <w:tcPr>
            <w:tcW w:w="6775" w:type="dxa"/>
            <w:gridSpan w:val="2"/>
          </w:tcPr>
          <w:p w14:paraId="108BB50A" w14:textId="4AD1D5F8" w:rsidR="00653AEC" w:rsidRPr="00CC037C" w:rsidRDefault="00CC037C" w:rsidP="00CC037C">
            <w:pPr>
              <w:ind w:right="96"/>
              <w:rPr>
                <w:rFonts w:ascii="Arial" w:hAnsi="Arial" w:cs="Arial"/>
                <w:sz w:val="24"/>
                <w:szCs w:val="24"/>
              </w:rPr>
            </w:pPr>
            <w:r w:rsidRPr="00CC037C">
              <w:rPr>
                <w:rFonts w:ascii="Arial" w:hAnsi="Arial" w:cs="Arial"/>
                <w:sz w:val="24"/>
                <w:szCs w:val="24"/>
              </w:rPr>
              <w:t>1</w:t>
            </w:r>
          </w:p>
        </w:tc>
      </w:tr>
      <w:tr w:rsidR="00653AEC" w:rsidRPr="00034194" w14:paraId="294CD6EC" w14:textId="77777777" w:rsidTr="00C95B3C">
        <w:tc>
          <w:tcPr>
            <w:tcW w:w="2470" w:type="dxa"/>
            <w:gridSpan w:val="2"/>
          </w:tcPr>
          <w:p w14:paraId="39AD35DE" w14:textId="77777777" w:rsidR="00653AEC" w:rsidRPr="00CC037C" w:rsidRDefault="00653AEC" w:rsidP="00653AEC">
            <w:pPr>
              <w:ind w:right="96"/>
              <w:rPr>
                <w:rFonts w:ascii="Arial" w:hAnsi="Arial" w:cs="Arial"/>
                <w:b/>
                <w:sz w:val="24"/>
                <w:szCs w:val="24"/>
              </w:rPr>
            </w:pPr>
            <w:r w:rsidRPr="00CC037C">
              <w:rPr>
                <w:rFonts w:ascii="Arial" w:hAnsi="Arial" w:cs="Arial"/>
                <w:b/>
                <w:sz w:val="24"/>
                <w:szCs w:val="24"/>
              </w:rPr>
              <w:t>Appendices</w:t>
            </w:r>
          </w:p>
        </w:tc>
        <w:tc>
          <w:tcPr>
            <w:tcW w:w="6775" w:type="dxa"/>
            <w:gridSpan w:val="2"/>
          </w:tcPr>
          <w:p w14:paraId="07C76C56" w14:textId="2ADB336A" w:rsidR="00653AEC" w:rsidRPr="00CC037C" w:rsidRDefault="00CC037C" w:rsidP="00653AEC">
            <w:pPr>
              <w:ind w:right="96"/>
              <w:rPr>
                <w:rFonts w:ascii="Arial" w:hAnsi="Arial" w:cs="Arial"/>
                <w:sz w:val="24"/>
                <w:szCs w:val="24"/>
              </w:rPr>
            </w:pPr>
            <w:r w:rsidRPr="00CC037C">
              <w:rPr>
                <w:rFonts w:ascii="Arial" w:hAnsi="Arial" w:cs="Arial"/>
                <w:sz w:val="24"/>
                <w:szCs w:val="24"/>
              </w:rPr>
              <w:t>N/A</w:t>
            </w:r>
          </w:p>
          <w:p w14:paraId="0893CDDA" w14:textId="77777777" w:rsidR="00653AEC" w:rsidRPr="00CC037C" w:rsidRDefault="00653AEC" w:rsidP="00653AEC">
            <w:pPr>
              <w:ind w:right="96"/>
              <w:rPr>
                <w:rFonts w:ascii="Arial" w:hAnsi="Arial" w:cs="Arial"/>
                <w:sz w:val="24"/>
                <w:szCs w:val="24"/>
              </w:rPr>
            </w:pPr>
          </w:p>
        </w:tc>
      </w:tr>
    </w:tbl>
    <w:p w14:paraId="03DDF474" w14:textId="77777777" w:rsidR="00034194" w:rsidRDefault="00034194"/>
    <w:sectPr w:rsidR="00034194" w:rsidSect="00A15A76">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25BA3A" w14:textId="77777777" w:rsidR="00A15A76" w:rsidRDefault="00A15A76" w:rsidP="00C107F2">
      <w:pPr>
        <w:spacing w:after="0" w:line="240" w:lineRule="auto"/>
      </w:pPr>
      <w:r>
        <w:separator/>
      </w:r>
    </w:p>
  </w:endnote>
  <w:endnote w:type="continuationSeparator" w:id="0">
    <w:p w14:paraId="1EEE371E" w14:textId="77777777" w:rsidR="00A15A76" w:rsidRDefault="00A15A7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FD07CB" w14:textId="34869B40" w:rsidR="003324CB" w:rsidRDefault="00FE3DD3">
    <w:pPr>
      <w:pStyle w:val="Footer"/>
    </w:pPr>
    <w:r>
      <w:t>Workforce</w:t>
    </w:r>
    <w:r w:rsidR="005C5929">
      <w:t xml:space="preserve">, </w:t>
    </w:r>
    <w:r>
      <w:t xml:space="preserve">OD </w:t>
    </w:r>
    <w:r w:rsidR="005C5929">
      <w:t xml:space="preserve">and Digital </w:t>
    </w:r>
    <w:r>
      <w:t>committee</w:t>
    </w:r>
    <w:r w:rsidR="006A22DE">
      <w:t xml:space="preserve"> – Thursday, 15</w:t>
    </w:r>
    <w:r w:rsidR="006A22DE" w:rsidRPr="006A22DE">
      <w:rPr>
        <w:vertAlign w:val="superscript"/>
      </w:rPr>
      <w:t>th</w:t>
    </w:r>
    <w:r w:rsidR="006A22DE">
      <w:t xml:space="preserve"> February 2024 </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CD0C4D">
          <w:rPr>
            <w:noProof/>
          </w:rPr>
          <w:t>1</w:t>
        </w:r>
        <w:r w:rsidR="003324CB">
          <w:rPr>
            <w:noProof/>
          </w:rPr>
          <w:fldChar w:fldCharType="end"/>
        </w:r>
      </w:sdtContent>
    </w:sdt>
  </w:p>
  <w:p w14:paraId="3720ECAF"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515B45" w14:textId="77777777" w:rsidR="00A15A76" w:rsidRDefault="00A15A76" w:rsidP="00C107F2">
      <w:pPr>
        <w:spacing w:after="0" w:line="240" w:lineRule="auto"/>
      </w:pPr>
      <w:r>
        <w:separator/>
      </w:r>
    </w:p>
  </w:footnote>
  <w:footnote w:type="continuationSeparator" w:id="0">
    <w:p w14:paraId="22508C8E" w14:textId="77777777" w:rsidR="00A15A76" w:rsidRDefault="00A15A76"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51AD4"/>
    <w:multiLevelType w:val="hybridMultilevel"/>
    <w:tmpl w:val="DB585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24837E0"/>
    <w:multiLevelType w:val="hybridMultilevel"/>
    <w:tmpl w:val="7A20B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5"/>
  </w:num>
  <w:num w:numId="3">
    <w:abstractNumId w:val="4"/>
  </w:num>
  <w:num w:numId="4">
    <w:abstractNumId w:val="3"/>
  </w:num>
  <w:num w:numId="5">
    <w:abstractNumId w:val="2"/>
  </w:num>
  <w:num w:numId="6">
    <w:abstractNumId w:val="10"/>
  </w:num>
  <w:num w:numId="7">
    <w:abstractNumId w:val="11"/>
  </w:num>
  <w:num w:numId="8">
    <w:abstractNumId w:val="7"/>
  </w:num>
  <w:num w:numId="9">
    <w:abstractNumId w:val="8"/>
  </w:num>
  <w:num w:numId="10">
    <w:abstractNumId w:val="9"/>
  </w:num>
  <w:num w:numId="11">
    <w:abstractNumId w:val="6"/>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6CBB"/>
    <w:rsid w:val="00021C60"/>
    <w:rsid w:val="00034194"/>
    <w:rsid w:val="000375CE"/>
    <w:rsid w:val="00056C48"/>
    <w:rsid w:val="00063F17"/>
    <w:rsid w:val="00067B6C"/>
    <w:rsid w:val="00083378"/>
    <w:rsid w:val="00083FC0"/>
    <w:rsid w:val="000B2C94"/>
    <w:rsid w:val="000F11DD"/>
    <w:rsid w:val="000F361B"/>
    <w:rsid w:val="00131E47"/>
    <w:rsid w:val="00133EA1"/>
    <w:rsid w:val="001562C0"/>
    <w:rsid w:val="0016096B"/>
    <w:rsid w:val="00176201"/>
    <w:rsid w:val="001766CA"/>
    <w:rsid w:val="00193BDF"/>
    <w:rsid w:val="001A09B6"/>
    <w:rsid w:val="001D3C12"/>
    <w:rsid w:val="001E39DA"/>
    <w:rsid w:val="0020539A"/>
    <w:rsid w:val="00217853"/>
    <w:rsid w:val="0021796F"/>
    <w:rsid w:val="00233330"/>
    <w:rsid w:val="00241662"/>
    <w:rsid w:val="00266C65"/>
    <w:rsid w:val="0026702A"/>
    <w:rsid w:val="0027376F"/>
    <w:rsid w:val="00296CD9"/>
    <w:rsid w:val="002C3DD6"/>
    <w:rsid w:val="00302FCB"/>
    <w:rsid w:val="003153E1"/>
    <w:rsid w:val="003324CB"/>
    <w:rsid w:val="00372EE3"/>
    <w:rsid w:val="003C0FF8"/>
    <w:rsid w:val="003C5984"/>
    <w:rsid w:val="00401552"/>
    <w:rsid w:val="0040523F"/>
    <w:rsid w:val="00414894"/>
    <w:rsid w:val="004217AE"/>
    <w:rsid w:val="00421C42"/>
    <w:rsid w:val="00460854"/>
    <w:rsid w:val="00461835"/>
    <w:rsid w:val="004929C2"/>
    <w:rsid w:val="00496C8F"/>
    <w:rsid w:val="005152AC"/>
    <w:rsid w:val="0052237D"/>
    <w:rsid w:val="0052297E"/>
    <w:rsid w:val="00527FDC"/>
    <w:rsid w:val="005436CF"/>
    <w:rsid w:val="0055300B"/>
    <w:rsid w:val="005544B9"/>
    <w:rsid w:val="005708C7"/>
    <w:rsid w:val="00585277"/>
    <w:rsid w:val="005A52DA"/>
    <w:rsid w:val="005C5929"/>
    <w:rsid w:val="005C70E0"/>
    <w:rsid w:val="005D1652"/>
    <w:rsid w:val="005E36CB"/>
    <w:rsid w:val="005F26E4"/>
    <w:rsid w:val="00620776"/>
    <w:rsid w:val="00653AEC"/>
    <w:rsid w:val="00655190"/>
    <w:rsid w:val="00662218"/>
    <w:rsid w:val="00685AE0"/>
    <w:rsid w:val="0069234E"/>
    <w:rsid w:val="00697280"/>
    <w:rsid w:val="006A22DE"/>
    <w:rsid w:val="006D1998"/>
    <w:rsid w:val="006F3232"/>
    <w:rsid w:val="00711095"/>
    <w:rsid w:val="0072604C"/>
    <w:rsid w:val="00762BBE"/>
    <w:rsid w:val="007B5359"/>
    <w:rsid w:val="007D11DF"/>
    <w:rsid w:val="00801BFA"/>
    <w:rsid w:val="008126E0"/>
    <w:rsid w:val="008C15D9"/>
    <w:rsid w:val="008D0747"/>
    <w:rsid w:val="009112DC"/>
    <w:rsid w:val="00942C91"/>
    <w:rsid w:val="0098711A"/>
    <w:rsid w:val="009D4CCD"/>
    <w:rsid w:val="009E7AF7"/>
    <w:rsid w:val="00A026C9"/>
    <w:rsid w:val="00A15A76"/>
    <w:rsid w:val="00A330A0"/>
    <w:rsid w:val="00A339FC"/>
    <w:rsid w:val="00A565E0"/>
    <w:rsid w:val="00A66005"/>
    <w:rsid w:val="00AA5959"/>
    <w:rsid w:val="00AB3BBC"/>
    <w:rsid w:val="00AD064D"/>
    <w:rsid w:val="00AD7DE8"/>
    <w:rsid w:val="00AF5F9D"/>
    <w:rsid w:val="00B1476B"/>
    <w:rsid w:val="00B35ECC"/>
    <w:rsid w:val="00B47CA4"/>
    <w:rsid w:val="00B621F1"/>
    <w:rsid w:val="00B74448"/>
    <w:rsid w:val="00B7770A"/>
    <w:rsid w:val="00BA599D"/>
    <w:rsid w:val="00BC241D"/>
    <w:rsid w:val="00BF27F5"/>
    <w:rsid w:val="00C107F2"/>
    <w:rsid w:val="00C33A04"/>
    <w:rsid w:val="00C414E6"/>
    <w:rsid w:val="00C609FA"/>
    <w:rsid w:val="00C61B1A"/>
    <w:rsid w:val="00C95B3C"/>
    <w:rsid w:val="00CC037C"/>
    <w:rsid w:val="00CD0C4D"/>
    <w:rsid w:val="00CD7AA5"/>
    <w:rsid w:val="00D12FC6"/>
    <w:rsid w:val="00D13812"/>
    <w:rsid w:val="00D62579"/>
    <w:rsid w:val="00D85F54"/>
    <w:rsid w:val="00D933F4"/>
    <w:rsid w:val="00DA76AD"/>
    <w:rsid w:val="00DD4158"/>
    <w:rsid w:val="00E15227"/>
    <w:rsid w:val="00E242E5"/>
    <w:rsid w:val="00E30F68"/>
    <w:rsid w:val="00E33391"/>
    <w:rsid w:val="00E80737"/>
    <w:rsid w:val="00EE7C4E"/>
    <w:rsid w:val="00F06D6F"/>
    <w:rsid w:val="00F11CD2"/>
    <w:rsid w:val="00F5082D"/>
    <w:rsid w:val="00F531BD"/>
    <w:rsid w:val="00F5324A"/>
    <w:rsid w:val="00F57042"/>
    <w:rsid w:val="00F57C68"/>
    <w:rsid w:val="00FA0CA9"/>
    <w:rsid w:val="00FE3D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666E9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E80737"/>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482768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9952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em005656\AppData\Local\Microsoft\Windows\INetCache\Content.Outlook\Z4EKT13D\Copy%20of%20Copy%20of%202024_01_12%20BMA%20JD%20IA%20Workforce%20Indicative%20Strike%20Impact%20Return%2018.01.2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Sheet1!$B$6</c:f>
              <c:strCache>
                <c:ptCount val="1"/>
                <c:pt idx="0">
                  <c:v>In work (and not striking)</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Sheet1!$C$5:$H$5</c:f>
              <c:strCache>
                <c:ptCount val="6"/>
                <c:pt idx="0">
                  <c:v>15/01/24
in hours </c:v>
                </c:pt>
                <c:pt idx="1">
                  <c:v>15/01/24
out of hours </c:v>
                </c:pt>
                <c:pt idx="2">
                  <c:v>16/01/24
in hours </c:v>
                </c:pt>
                <c:pt idx="3">
                  <c:v>16/01/24
out of hours </c:v>
                </c:pt>
                <c:pt idx="4">
                  <c:v>17/01/24
 in hours </c:v>
                </c:pt>
                <c:pt idx="5">
                  <c:v>17/01/24
out of hours </c:v>
                </c:pt>
              </c:strCache>
            </c:strRef>
          </c:cat>
          <c:val>
            <c:numRef>
              <c:f>Sheet1!$C$6:$H$6</c:f>
              <c:numCache>
                <c:formatCode>General</c:formatCode>
                <c:ptCount val="6"/>
                <c:pt idx="0">
                  <c:v>80</c:v>
                </c:pt>
                <c:pt idx="1">
                  <c:v>14</c:v>
                </c:pt>
                <c:pt idx="2">
                  <c:v>53</c:v>
                </c:pt>
                <c:pt idx="3">
                  <c:v>18</c:v>
                </c:pt>
                <c:pt idx="4">
                  <c:v>71</c:v>
                </c:pt>
                <c:pt idx="5">
                  <c:v>14</c:v>
                </c:pt>
              </c:numCache>
            </c:numRef>
          </c:val>
          <c:extLst>
            <c:ext xmlns:c16="http://schemas.microsoft.com/office/drawing/2014/chart" uri="{C3380CC4-5D6E-409C-BE32-E72D297353CC}">
              <c16:uniqueId val="{00000000-75C7-481E-A2AC-F31361149C61}"/>
            </c:ext>
          </c:extLst>
        </c:ser>
        <c:ser>
          <c:idx val="1"/>
          <c:order val="1"/>
          <c:tx>
            <c:strRef>
              <c:f>Sheet1!$B$7</c:f>
              <c:strCache>
                <c:ptCount val="1"/>
                <c:pt idx="0">
                  <c:v>Rostered to work but absent due to strike action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Sheet1!$C$5:$H$5</c:f>
              <c:strCache>
                <c:ptCount val="6"/>
                <c:pt idx="0">
                  <c:v>15/01/24
in hours </c:v>
                </c:pt>
                <c:pt idx="1">
                  <c:v>15/01/24
out of hours </c:v>
                </c:pt>
                <c:pt idx="2">
                  <c:v>16/01/24
in hours </c:v>
                </c:pt>
                <c:pt idx="3">
                  <c:v>16/01/24
out of hours </c:v>
                </c:pt>
                <c:pt idx="4">
                  <c:v>17/01/24
 in hours </c:v>
                </c:pt>
                <c:pt idx="5">
                  <c:v>17/01/24
out of hours </c:v>
                </c:pt>
              </c:strCache>
            </c:strRef>
          </c:cat>
          <c:val>
            <c:numRef>
              <c:f>Sheet1!$C$7:$H$7</c:f>
              <c:numCache>
                <c:formatCode>General</c:formatCode>
                <c:ptCount val="6"/>
                <c:pt idx="0">
                  <c:v>272</c:v>
                </c:pt>
                <c:pt idx="1">
                  <c:v>44</c:v>
                </c:pt>
                <c:pt idx="2">
                  <c:v>284</c:v>
                </c:pt>
                <c:pt idx="3">
                  <c:v>61</c:v>
                </c:pt>
                <c:pt idx="4">
                  <c:v>293</c:v>
                </c:pt>
                <c:pt idx="5">
                  <c:v>39</c:v>
                </c:pt>
              </c:numCache>
            </c:numRef>
          </c:val>
          <c:extLst>
            <c:ext xmlns:c16="http://schemas.microsoft.com/office/drawing/2014/chart" uri="{C3380CC4-5D6E-409C-BE32-E72D297353CC}">
              <c16:uniqueId val="{00000001-75C7-481E-A2AC-F31361149C61}"/>
            </c:ext>
          </c:extLst>
        </c:ser>
        <c:dLbls>
          <c:dLblPos val="outEnd"/>
          <c:showLegendKey val="0"/>
          <c:showVal val="1"/>
          <c:showCatName val="0"/>
          <c:showSerName val="0"/>
          <c:showPercent val="0"/>
          <c:showBubbleSize val="0"/>
        </c:dLbls>
        <c:gapWidth val="219"/>
        <c:overlap val="-27"/>
        <c:axId val="1081756176"/>
        <c:axId val="2103905200"/>
      </c:barChart>
      <c:catAx>
        <c:axId val="1081756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03905200"/>
        <c:crosses val="autoZero"/>
        <c:auto val="1"/>
        <c:lblAlgn val="ctr"/>
        <c:lblOffset val="100"/>
        <c:noMultiLvlLbl val="0"/>
      </c:catAx>
      <c:valAx>
        <c:axId val="2103905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175617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726D82"/>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E20548-48BE-4EC1-8686-43EAB44BF8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1525</Words>
  <Characters>8694</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9</cp:revision>
  <dcterms:created xsi:type="dcterms:W3CDTF">2024-01-29T15:30:00Z</dcterms:created>
  <dcterms:modified xsi:type="dcterms:W3CDTF">2024-02-08T13:08:00Z</dcterms:modified>
</cp:coreProperties>
</file>