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54CDA016"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896731" w14:paraId="6D2903DF" w14:textId="31C7BC82">
                <w:pPr>
                  <w:rPr>
                    <w:b/>
                    <w:bCs/>
                  </w:rPr>
                </w:pPr>
                <w:r>
                  <w:rPr>
                    <w:rStyle w:val="Style1"/>
                    <w:b/>
                    <w:bCs/>
                  </w:rPr>
                  <w:t>20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2F167EA7">
            <w:pPr/>
            <w:r w:rsidRPr="54CDA016" w:rsidR="0C7F4A59">
              <w:rPr>
                <w:b w:val="1"/>
                <w:bCs w:val="1"/>
              </w:rPr>
              <w:t>6.2</w:t>
            </w:r>
          </w:p>
        </w:tc>
      </w:tr>
      <w:tr w:rsidRPr="00F8567E" w:rsidR="00B0479E" w:rsidTr="54CDA016"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A853AB" w14:paraId="5687483E" w14:textId="4C250445">
                <w:pPr>
                  <w:rPr>
                    <w:b/>
                    <w:bCs/>
                  </w:rPr>
                </w:pPr>
                <w:r>
                  <w:rPr>
                    <w:rStyle w:val="CorporateFont"/>
                    <w:b/>
                    <w:bCs/>
                  </w:rPr>
                  <w:t>Workforce and Organisational Development Committee</w:t>
                </w:r>
              </w:p>
            </w:tc>
          </w:sdtContent>
        </w:sdt>
      </w:tr>
      <w:tr w:rsidRPr="00F8567E" w:rsidR="00083FC0" w:rsidTr="54CDA016"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A853AB" w14:paraId="6D2903E4" w14:textId="76A5E92A">
            <w:pPr>
              <w:rPr>
                <w:b/>
                <w:bCs/>
              </w:rPr>
            </w:pPr>
            <w:r>
              <w:rPr>
                <w:b/>
                <w:bCs/>
              </w:rPr>
              <w:t>Allied Health Professions &amp; Health Science WODC Key Issues Report</w:t>
            </w:r>
          </w:p>
        </w:tc>
      </w:tr>
      <w:tr w:rsidRPr="00F8567E" w:rsidR="00083FC0" w:rsidTr="54CDA016"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A853AB" w14:paraId="6D2903E7" w14:textId="2A69C300">
            <w:r w:rsidRPr="00B65BA6">
              <w:t>Alison Clarke – Deputy Director of Allied Health Professions &amp; Health Science</w:t>
            </w:r>
            <w:r>
              <w:br/>
            </w:r>
            <w:r w:rsidRPr="00D73177">
              <w:t xml:space="preserve">Sian Jones – </w:t>
            </w:r>
            <w:r w:rsidR="00F92458">
              <w:t xml:space="preserve">Business Support Officer, </w:t>
            </w:r>
            <w:r w:rsidRPr="00D73177">
              <w:t>Allied Health Professions &amp; Health Science</w:t>
            </w:r>
          </w:p>
        </w:tc>
      </w:tr>
      <w:tr w:rsidRPr="00F8567E" w:rsidR="00762BBE" w:rsidTr="54CDA016"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896731" w14:paraId="6D2903EA" w14:textId="10364FEE">
                <w:r>
                  <w:rPr>
                    <w:rStyle w:val="Style1"/>
                  </w:rPr>
                  <w:t>Executive Director of Nursing and Patient Experience</w:t>
                </w:r>
              </w:p>
            </w:tc>
          </w:sdtContent>
        </w:sdt>
      </w:tr>
      <w:tr w:rsidRPr="00F8567E" w:rsidR="00762BBE" w:rsidTr="54CDA016"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A853AB" w14:paraId="6D2903ED" w14:textId="74837B6D">
            <w:r>
              <w:rPr>
                <w14:ligatures w14:val="standardContextual"/>
              </w:rPr>
              <w:t>Alison Clarke, Deputy Director of Allied Health Professions &amp; Health Science</w:t>
            </w:r>
          </w:p>
        </w:tc>
      </w:tr>
      <w:tr w:rsidRPr="00F8567E" w:rsidR="00653AEC" w:rsidTr="54CDA016"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A853AB" w14:paraId="6D2903F0" w14:textId="07CB9FD9">
                <w:r>
                  <w:rPr>
                    <w:rStyle w:val="Style1"/>
                  </w:rPr>
                  <w:t>Open</w:t>
                </w:r>
              </w:p>
            </w:sdtContent>
          </w:sdt>
        </w:tc>
      </w:tr>
      <w:tr w:rsidRPr="00F8567E" w:rsidR="00041CF6" w:rsidTr="54CDA016"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54CDA016"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54CDA016" w14:paraId="44E771AC" w14:textId="77777777">
        <w:tc>
          <w:tcPr>
            <w:tcW w:w="5812" w:type="dxa"/>
            <w:gridSpan w:val="2"/>
            <w:tcMar/>
          </w:tcPr>
          <w:p w:rsidRPr="00737883" w:rsidR="00A35122" w:rsidP="00110100" w:rsidRDefault="003F2FEC" w14:paraId="5E84E502" w14:textId="49271674">
            <w:pPr>
              <w:rPr>
                <w:b/>
                <w:color w:val="FF0000"/>
              </w:rPr>
            </w:pPr>
            <w:r w:rsidRPr="003F2FEC">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54CDA016"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A853AB" w14:paraId="53EFA578" w14:textId="43022F6D">
                <w:pPr>
                  <w:ind w:right="96"/>
                </w:pPr>
                <w:r>
                  <w:rPr>
                    <w:rStyle w:val="Style1"/>
                  </w:rPr>
                  <w:t>For Assurance</w:t>
                </w:r>
              </w:p>
            </w:tc>
          </w:sdtContent>
        </w:sdt>
      </w:tr>
      <w:tr w:rsidRPr="00F8567E" w:rsidR="00110100" w:rsidTr="54CDA016"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54CDA016" w14:paraId="6D2903F8" w14:textId="77777777">
        <w:tc>
          <w:tcPr>
            <w:tcW w:w="9021" w:type="dxa"/>
            <w:gridSpan w:val="4"/>
            <w:tcMar/>
          </w:tcPr>
          <w:p w:rsidRPr="00737883" w:rsidR="00110100" w:rsidP="00110100" w:rsidRDefault="00A853AB" w14:paraId="6D2903F7" w14:textId="223DC22A">
            <w:pPr>
              <w:rPr>
                <w:b/>
                <w:color w:val="FF0000"/>
              </w:rPr>
            </w:pPr>
            <w:r w:rsidRPr="00173BFB">
              <w:t xml:space="preserve">The report informs the Committee on current, relevant key workforce issues relating to Allied Health Professions </w:t>
            </w:r>
            <w:r>
              <w:t xml:space="preserve">(AHP) </w:t>
            </w:r>
            <w:r w:rsidRPr="00173BFB">
              <w:t>and Health</w:t>
            </w:r>
            <w:r w:rsidR="00B206A4">
              <w:t>care</w:t>
            </w:r>
            <w:r w:rsidRPr="00173BFB">
              <w:t xml:space="preserve"> Science </w:t>
            </w:r>
            <w:r w:rsidR="00B206A4">
              <w:t xml:space="preserve">(HCS) </w:t>
            </w:r>
            <w:r w:rsidRPr="00173BFB">
              <w:t>services.</w:t>
            </w:r>
          </w:p>
        </w:tc>
      </w:tr>
      <w:tr w:rsidRPr="00F8567E" w:rsidR="00110100" w:rsidTr="54CDA016"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54CDA016" w14:paraId="6D290402" w14:textId="77777777">
        <w:tc>
          <w:tcPr>
            <w:tcW w:w="9021" w:type="dxa"/>
            <w:gridSpan w:val="4"/>
            <w:tcMar/>
          </w:tcPr>
          <w:p w:rsidRPr="00A853AB" w:rsidR="00A853AB" w:rsidP="00A853AB" w:rsidRDefault="00A853AB" w14:paraId="009C3639" w14:textId="5AD63B2B">
            <w:pPr>
              <w:ind w:right="96"/>
              <w:rPr>
                <w:b/>
                <w14:ligatures w14:val="standardContextual"/>
              </w:rPr>
            </w:pPr>
          </w:p>
          <w:p w:rsidR="00A853AB" w:rsidP="0083537E" w:rsidRDefault="00A853AB" w14:paraId="2EE606E2" w14:textId="364E84F3">
            <w:pPr>
              <w:numPr>
                <w:ilvl w:val="0"/>
                <w:numId w:val="11"/>
              </w:numPr>
              <w:autoSpaceDE w:val="0"/>
              <w:autoSpaceDN w:val="0"/>
              <w:adjustRightInd w:val="0"/>
              <w:spacing w:after="160" w:line="259" w:lineRule="auto"/>
              <w:contextualSpacing/>
              <w:rPr>
                <w:rFonts w:cs="Verdana"/>
              </w:rPr>
            </w:pPr>
            <w:r w:rsidRPr="00A853AB">
              <w:rPr>
                <w:rFonts w:cs="Verdana"/>
              </w:rPr>
              <w:t>Ongoing focus via AHP, H</w:t>
            </w:r>
            <w:r w:rsidR="00B206A4">
              <w:rPr>
                <w:rFonts w:cs="Verdana"/>
              </w:rPr>
              <w:t>C</w:t>
            </w:r>
            <w:r w:rsidRPr="00A853AB">
              <w:rPr>
                <w:rFonts w:cs="Verdana"/>
              </w:rPr>
              <w:t>S &amp; Pharmacy Professional Workforce Board to support financial recovery of the health board.</w:t>
            </w:r>
          </w:p>
          <w:p w:rsidRPr="00103B31" w:rsidR="00103B31" w:rsidP="00103B31" w:rsidRDefault="00FD0767" w14:paraId="37D5B18C" w14:textId="575A7168">
            <w:pPr>
              <w:numPr>
                <w:ilvl w:val="0"/>
                <w:numId w:val="11"/>
              </w:numPr>
              <w:autoSpaceDE w:val="0"/>
              <w:autoSpaceDN w:val="0"/>
              <w:adjustRightInd w:val="0"/>
              <w:spacing w:after="160" w:line="259" w:lineRule="auto"/>
              <w:contextualSpacing/>
              <w:rPr>
                <w:rFonts w:cs="Verdana"/>
              </w:rPr>
            </w:pPr>
            <w:r>
              <w:rPr>
                <w:rFonts w:eastAsia="Times New Roman" w:cs="Segoe UI"/>
                <w:lang w:eastAsia="en-GB"/>
              </w:rPr>
              <w:t>Strengthening Healthcare Science engagement to support service transformation.</w:t>
            </w:r>
          </w:p>
          <w:p w:rsidR="00110100" w:rsidP="00B269DC" w:rsidRDefault="00F05F7B" w14:paraId="6B97B6B1" w14:textId="77777777">
            <w:pPr>
              <w:numPr>
                <w:ilvl w:val="0"/>
                <w:numId w:val="11"/>
              </w:numPr>
              <w:autoSpaceDE w:val="0"/>
              <w:autoSpaceDN w:val="0"/>
              <w:adjustRightInd w:val="0"/>
              <w:spacing w:after="160" w:line="259" w:lineRule="auto"/>
              <w:contextualSpacing/>
              <w:rPr>
                <w:rFonts w:cs="Verdana"/>
              </w:rPr>
            </w:pPr>
            <w:r>
              <w:rPr>
                <w:rFonts w:cs="Verdana"/>
              </w:rPr>
              <w:t>Ongoing alignment of education commissions, recruitment approvals and workforce controls remains critical to maintaining the AHP pipeline.</w:t>
            </w:r>
          </w:p>
          <w:p w:rsidR="00FD0767" w:rsidP="00B269DC" w:rsidRDefault="00FD0767" w14:paraId="183B70FD" w14:textId="55B15F70">
            <w:pPr>
              <w:numPr>
                <w:ilvl w:val="0"/>
                <w:numId w:val="11"/>
              </w:numPr>
              <w:autoSpaceDE w:val="0"/>
              <w:autoSpaceDN w:val="0"/>
              <w:adjustRightInd w:val="0"/>
              <w:spacing w:after="160" w:line="259" w:lineRule="auto"/>
              <w:contextualSpacing/>
              <w:rPr>
                <w:rFonts w:cs="Verdana"/>
              </w:rPr>
            </w:pPr>
            <w:r>
              <w:rPr>
                <w:rFonts w:cs="Verdana"/>
              </w:rPr>
              <w:t>AHP pathway</w:t>
            </w:r>
            <w:r w:rsidR="00F336A4">
              <w:rPr>
                <w:rFonts w:cs="Verdana"/>
              </w:rPr>
              <w:t xml:space="preserve">s of care </w:t>
            </w:r>
            <w:r>
              <w:rPr>
                <w:rFonts w:cs="Verdana"/>
              </w:rPr>
              <w:t>delay data discrepancies identified; improvement actions underway.</w:t>
            </w:r>
          </w:p>
          <w:p w:rsidR="00FD0767" w:rsidP="00B269DC" w:rsidRDefault="00FD0767" w14:paraId="0129C436" w14:textId="77777777">
            <w:pPr>
              <w:numPr>
                <w:ilvl w:val="0"/>
                <w:numId w:val="11"/>
              </w:numPr>
              <w:autoSpaceDE w:val="0"/>
              <w:autoSpaceDN w:val="0"/>
              <w:adjustRightInd w:val="0"/>
              <w:spacing w:after="160" w:line="259" w:lineRule="auto"/>
              <w:contextualSpacing/>
              <w:rPr>
                <w:rFonts w:cs="Verdana"/>
              </w:rPr>
            </w:pPr>
            <w:r>
              <w:rPr>
                <w:rFonts w:cs="Verdana"/>
              </w:rPr>
              <w:t>Skills-based AHP workforce planning offers opportunities to support future models of care.</w:t>
            </w:r>
          </w:p>
          <w:p w:rsidRPr="002312B3" w:rsidR="002312B3" w:rsidP="002312B3" w:rsidRDefault="002312B3" w14:paraId="3B287672" w14:textId="024E46F1">
            <w:pPr>
              <w:numPr>
                <w:ilvl w:val="0"/>
                <w:numId w:val="11"/>
              </w:numPr>
              <w:autoSpaceDE w:val="0"/>
              <w:autoSpaceDN w:val="0"/>
              <w:adjustRightInd w:val="0"/>
              <w:spacing w:after="160" w:line="259" w:lineRule="auto"/>
              <w:contextualSpacing/>
              <w:rPr>
                <w:rFonts w:cs="Verdana"/>
              </w:rPr>
            </w:pPr>
            <w:r>
              <w:rPr>
                <w:rFonts w:eastAsia="Times New Roman" w:cs="Segoe UI"/>
                <w:lang w:eastAsia="en-GB"/>
              </w:rPr>
              <w:t>Health &amp; Care Professions Council (</w:t>
            </w:r>
            <w:r w:rsidRPr="002312B3">
              <w:rPr>
                <w:rFonts w:eastAsia="Times New Roman" w:cs="Segoe UI"/>
                <w:lang w:eastAsia="en-GB"/>
              </w:rPr>
              <w:t>HCPC</w:t>
            </w:r>
            <w:r>
              <w:rPr>
                <w:rFonts w:eastAsia="Times New Roman" w:cs="Segoe UI"/>
                <w:lang w:eastAsia="en-GB"/>
              </w:rPr>
              <w:t>)</w:t>
            </w:r>
            <w:r w:rsidRPr="002312B3">
              <w:rPr>
                <w:rFonts w:eastAsia="Times New Roman" w:cs="Segoe UI"/>
                <w:lang w:eastAsia="en-GB"/>
              </w:rPr>
              <w:t xml:space="preserve"> performance remains strong overall; however, increasing Fitness to Practise caseloads and delays present potential workforce, wellbeing and governance risks that require ongoing monitoring.</w:t>
            </w:r>
          </w:p>
          <w:p w:rsidRPr="00B269DC" w:rsidR="002312B3" w:rsidP="002312B3" w:rsidRDefault="002312B3" w14:paraId="6D290401" w14:textId="1F99C6A0">
            <w:pPr>
              <w:autoSpaceDE w:val="0"/>
              <w:autoSpaceDN w:val="0"/>
              <w:adjustRightInd w:val="0"/>
              <w:spacing w:after="160" w:line="259" w:lineRule="auto"/>
              <w:ind w:left="360"/>
              <w:contextualSpacing/>
              <w:rPr>
                <w:rFonts w:cs="Verdana"/>
              </w:rPr>
            </w:pPr>
          </w:p>
        </w:tc>
      </w:tr>
      <w:tr w:rsidRPr="00F8567E" w:rsidR="00B22CF9" w:rsidTr="54CDA016" w14:paraId="78C95897" w14:textId="77777777">
        <w:tc>
          <w:tcPr>
            <w:tcW w:w="2977" w:type="dxa"/>
            <w:shd w:val="clear" w:color="auto" w:fill="C1A775"/>
            <w:tcMar/>
          </w:tcPr>
          <w:p w:rsidRPr="00F8567E" w:rsidR="00B22CF9" w:rsidRDefault="00B22CF9" w14:paraId="1B78D4FE" w14:textId="54876F52">
            <w:pPr>
              <w:rPr>
                <w:b/>
                <w:bCs/>
              </w:rPr>
            </w:pPr>
            <w:r w:rsidRPr="6FC5F940">
              <w:rPr>
                <w:b/>
                <w:bCs/>
              </w:rPr>
              <w:lastRenderedPageBreak/>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A853AB" w14:paraId="058FCD73" w14:textId="515BF7A3">
                <w:pPr>
                  <w:rPr>
                    <w:b/>
                  </w:rPr>
                </w:pPr>
                <w:r>
                  <w:rPr>
                    <w:rStyle w:val="Style1"/>
                  </w:rPr>
                  <w:t>No</w:t>
                </w:r>
              </w:p>
            </w:sdtContent>
          </w:sdt>
        </w:tc>
      </w:tr>
      <w:tr w:rsidRPr="00F8567E" w:rsidR="00110100" w:rsidTr="54CDA016"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54CDA016" w14:paraId="6D290418" w14:textId="77777777">
        <w:tc>
          <w:tcPr>
            <w:tcW w:w="9021" w:type="dxa"/>
            <w:gridSpan w:val="4"/>
            <w:tcMar/>
          </w:tcPr>
          <w:p w:rsidRPr="00A853AB" w:rsidR="00110100" w:rsidP="00110100" w:rsidRDefault="00110100" w14:paraId="6D290412" w14:textId="77777777">
            <w:pPr>
              <w:ind w:right="96"/>
            </w:pPr>
            <w:r w:rsidRPr="000940E7">
              <w:t>Members are asked to:</w:t>
            </w:r>
          </w:p>
          <w:p w:rsidRPr="00B269DC" w:rsidR="00110100" w:rsidP="005835C5" w:rsidRDefault="00110100" w14:paraId="6D290415" w14:textId="5E9493B0">
            <w:pPr>
              <w:pStyle w:val="ListParagraph"/>
              <w:numPr>
                <w:ilvl w:val="0"/>
                <w:numId w:val="12"/>
              </w:numPr>
              <w:ind w:right="96"/>
              <w:rPr>
                <w:b/>
              </w:rPr>
            </w:pPr>
            <w:r w:rsidRPr="00A853AB">
              <w:rPr>
                <w:b/>
              </w:rPr>
              <w:t>Receive</w:t>
            </w:r>
            <w:r w:rsidRPr="00A853AB" w:rsidR="00DB76B3">
              <w:rPr>
                <w:b/>
              </w:rPr>
              <w:t xml:space="preserve"> for Assurance</w:t>
            </w:r>
          </w:p>
          <w:p w:rsidRPr="00F8567E" w:rsidR="00110100" w:rsidP="00DB76B3" w:rsidRDefault="00110100" w14:paraId="6D290417" w14:textId="77777777">
            <w:pPr>
              <w:ind w:right="96"/>
            </w:pPr>
          </w:p>
        </w:tc>
      </w:tr>
    </w:tbl>
    <w:p w:rsidRPr="00F8567E" w:rsidR="00653AEC" w:rsidP="00653AEC" w:rsidRDefault="0020539A" w14:paraId="6D29041A" w14:textId="17DAC1E8">
      <w:pPr>
        <w:spacing w:after="0" w:line="240" w:lineRule="auto"/>
        <w:jc w:val="center"/>
        <w:rPr>
          <w:b/>
        </w:rPr>
      </w:pPr>
      <w:r w:rsidRPr="00F8567E">
        <w:br w:type="page"/>
      </w:r>
    </w:p>
    <w:p w:rsidR="00653AEC" w:rsidP="00653AEC" w:rsidRDefault="004C7C61" w14:paraId="6D29041B" w14:textId="7A6744F6">
      <w:pPr>
        <w:spacing w:after="0" w:line="240" w:lineRule="auto"/>
        <w:jc w:val="center"/>
        <w:rPr>
          <w:b/>
        </w:rPr>
      </w:pPr>
      <w:r>
        <w:rPr>
          <w:b/>
          <w:bCs/>
        </w:rPr>
        <w:lastRenderedPageBreak/>
        <w:t>Allied Health Professions &amp; Health Science WODC Key Issues Report</w:t>
      </w:r>
    </w:p>
    <w:p w:rsidRPr="00F8567E" w:rsidR="004C7C61" w:rsidP="004C7C61" w:rsidRDefault="004C7C61" w14:paraId="7A35BB81" w14:textId="77777777">
      <w:pPr>
        <w:spacing w:after="0" w:line="240" w:lineRule="auto"/>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A853AB" w:rsidR="00653AEC" w:rsidP="004221DC" w:rsidRDefault="00653AEC" w14:paraId="6D29041D" w14:textId="050911B1">
      <w:pPr>
        <w:spacing w:after="0" w:line="240" w:lineRule="auto"/>
        <w:jc w:val="both"/>
        <w:rPr>
          <w:b/>
        </w:rPr>
      </w:pPr>
      <w:r w:rsidRPr="00A853AB">
        <w:t>Th</w:t>
      </w:r>
      <w:r w:rsidRPr="00A853AB" w:rsidR="00A853AB">
        <w:t>e purpose of this report is to draw to the attention of the committee, key workforce issues and risks relating to Allied Heath Professions and Health Science services and any mitigation undertaken.</w:t>
      </w:r>
    </w:p>
    <w:p w:rsidRPr="00F8567E" w:rsidR="00653AEC" w:rsidP="00653AEC" w:rsidRDefault="00653AEC" w14:paraId="6D29041E" w14:textId="77777777">
      <w:pPr>
        <w:pStyle w:val="ListParagraph"/>
        <w:spacing w:after="0" w:line="240" w:lineRule="auto"/>
        <w:rPr>
          <w:b/>
        </w:rPr>
      </w:pPr>
    </w:p>
    <w:p w:rsidR="00653AEC" w:rsidP="00653AEC" w:rsidRDefault="00A853AB" w14:paraId="6D29041F" w14:textId="13B53F82">
      <w:pPr>
        <w:pStyle w:val="ListParagraph"/>
        <w:numPr>
          <w:ilvl w:val="0"/>
          <w:numId w:val="1"/>
        </w:numPr>
        <w:spacing w:after="0" w:line="240" w:lineRule="auto"/>
        <w:rPr>
          <w:b/>
        </w:rPr>
      </w:pPr>
      <w:r>
        <w:rPr>
          <w:b/>
        </w:rPr>
        <w:t>KEY ISSUES</w:t>
      </w:r>
    </w:p>
    <w:p w:rsidR="00A853AB" w:rsidP="00A853AB" w:rsidRDefault="00A853AB" w14:paraId="0A608B52" w14:textId="13BB37B3">
      <w:pPr>
        <w:pStyle w:val="ListParagraph"/>
        <w:numPr>
          <w:ilvl w:val="1"/>
          <w:numId w:val="1"/>
        </w:numPr>
        <w:spacing w:after="0" w:line="240" w:lineRule="auto"/>
        <w:rPr>
          <w:b/>
        </w:rPr>
      </w:pPr>
      <w:r w:rsidRPr="00A853AB">
        <w:rPr>
          <w:b/>
        </w:rPr>
        <w:t>Education and Workforce Development</w:t>
      </w:r>
    </w:p>
    <w:p w:rsidRPr="00A853AB" w:rsidR="00A853AB" w:rsidP="00A853AB" w:rsidRDefault="00A853AB" w14:paraId="2E9EE1EC" w14:textId="77777777">
      <w:pPr>
        <w:pStyle w:val="ListParagraph"/>
        <w:spacing w:after="0" w:line="240" w:lineRule="auto"/>
        <w:ind w:left="1080"/>
        <w:rPr>
          <w:b/>
        </w:rPr>
      </w:pPr>
    </w:p>
    <w:p w:rsidR="00A853AB" w:rsidP="00A853AB" w:rsidRDefault="00A853AB" w14:paraId="57303B21" w14:textId="0FC4970B">
      <w:pPr>
        <w:pStyle w:val="ListParagraph"/>
        <w:numPr>
          <w:ilvl w:val="2"/>
          <w:numId w:val="1"/>
        </w:numPr>
        <w:spacing w:after="0" w:line="240" w:lineRule="auto"/>
        <w:rPr>
          <w:b/>
        </w:rPr>
      </w:pPr>
      <w:r w:rsidRPr="00A853AB">
        <w:rPr>
          <w:b/>
        </w:rPr>
        <w:t>Allied Health Professions, Health Science &amp; Pharmacy Professional Workforce Board</w:t>
      </w:r>
      <w:r w:rsidR="00AB61A7">
        <w:rPr>
          <w:b/>
        </w:rPr>
        <w:t xml:space="preserve"> (PWB)</w:t>
      </w:r>
    </w:p>
    <w:p w:rsidRPr="000868BF" w:rsidR="00A853AB" w:rsidP="000868BF" w:rsidRDefault="00A853AB" w14:paraId="1771D9AA" w14:textId="33597C53">
      <w:pPr>
        <w:spacing w:line="300" w:lineRule="atLeast"/>
        <w:rPr>
          <w:rFonts w:eastAsia="Times New Roman" w:cs="Segoe UI"/>
          <w:lang w:eastAsia="en-GB"/>
        </w:rPr>
      </w:pPr>
      <w:r w:rsidRPr="006C2252">
        <w:rPr>
          <w:bCs/>
        </w:rPr>
        <w:t xml:space="preserve">The Allied Health Professions (AHP), Healthcare Science (HCS) &amp; Pharmacy Medicines Management (PMM) Professional Workforce Board continues to </w:t>
      </w:r>
      <w:r w:rsidRPr="004725D3" w:rsidR="004725D3">
        <w:rPr>
          <w:rFonts w:eastAsia="Times New Roman" w:cs="Segoe UI"/>
          <w:lang w:eastAsia="en-GB"/>
        </w:rPr>
        <w:t xml:space="preserve">review progress against the workforce recovery and sustainability programme, with particular focus on workforce Project Initiation Documents (PIDs), variable pay reduction, vacancy management and workforce savings delivery. </w:t>
      </w:r>
      <w:r w:rsidRPr="000868BF" w:rsidR="004725D3">
        <w:rPr>
          <w:rFonts w:eastAsia="Times New Roman" w:cs="Segoe UI"/>
          <w:lang w:eastAsia="en-GB"/>
        </w:rPr>
        <w:t>Services have been asked to review and refresh existing workforce PIDs, ensuring alignment with financial plans, workforce savings schemes and service group programmes. Particular emphasis was placed on strengthening the financial content of PIDs, including savings trajectories, to support assurance and avoid duplication of savings across programmes.  The Board also noted progress in reducing variable pay expenditure and agreed that workforce savings already achieved through reduced variable pay usage should be captured and attributed appropriately within the programme reporting structure.  The Board reviewed a substantial number of vacancy requests across Allied Health Professions, Healthcare Science and Pharmacy services. Recruitment requests included graduate workforce recruitment, specialist clinical posts, externally funded roles and backfill arrangements required to maintain service delivery. Members highlighted concerns regarding delays in progressing some vacancies and training posts through approval processes, particularly HEIW-funded Scientific Training Programme (STP) posts. The Board recognised the potential workforce and service risks associated with recruitment delays where training pipeline opportunities could be lost</w:t>
      </w:r>
      <w:r w:rsidR="000868BF">
        <w:rPr>
          <w:rFonts w:eastAsia="Times New Roman" w:cs="Segoe UI"/>
          <w:lang w:eastAsia="en-GB"/>
        </w:rPr>
        <w:t>.</w:t>
      </w:r>
      <w:r w:rsidR="00F336A4">
        <w:rPr>
          <w:rFonts w:eastAsia="Times New Roman" w:cs="Segoe UI"/>
          <w:lang w:eastAsia="en-GB"/>
        </w:rPr>
        <w:t xml:space="preserve"> Working in collaboration with HEIW and professional leads all STP posts have now been secured.</w:t>
      </w:r>
      <w:r w:rsidRPr="006C2252" w:rsidR="006C2252">
        <w:rPr>
          <w:bCs/>
        </w:rPr>
        <w:br/>
      </w:r>
    </w:p>
    <w:p w:rsidR="003E5353" w:rsidP="001D1A09" w:rsidRDefault="003E5353" w14:paraId="1F1A53E7" w14:textId="68AE02D6">
      <w:pPr>
        <w:pStyle w:val="ListParagraph"/>
        <w:numPr>
          <w:ilvl w:val="2"/>
          <w:numId w:val="1"/>
        </w:numPr>
        <w:spacing w:after="0" w:line="240" w:lineRule="auto"/>
        <w:rPr>
          <w:b/>
        </w:rPr>
      </w:pPr>
      <w:r>
        <w:rPr>
          <w:b/>
        </w:rPr>
        <w:t>Healthcare Science Opportunities – Cluster Collaborative</w:t>
      </w:r>
    </w:p>
    <w:p w:rsidRPr="003E5353" w:rsidR="00EE7686" w:rsidP="003E5353" w:rsidRDefault="003E5353" w14:paraId="0C6D6D9F" w14:textId="5E4CD57E">
      <w:pPr>
        <w:spacing w:after="0" w:line="240" w:lineRule="auto"/>
        <w:rPr>
          <w:b/>
        </w:rPr>
      </w:pPr>
      <w:r w:rsidRPr="003E5353">
        <w:rPr>
          <w:rFonts w:eastAsia="Times New Roman" w:cs="Segoe UI"/>
          <w:lang w:eastAsia="en-GB"/>
        </w:rPr>
        <w:t>On 5</w:t>
      </w:r>
      <w:r w:rsidRPr="003E5353">
        <w:rPr>
          <w:rFonts w:eastAsia="Times New Roman" w:cs="Segoe UI"/>
          <w:vertAlign w:val="superscript"/>
          <w:lang w:eastAsia="en-GB"/>
        </w:rPr>
        <w:t>th</w:t>
      </w:r>
      <w:r w:rsidRPr="003E5353">
        <w:rPr>
          <w:rFonts w:eastAsia="Times New Roman" w:cs="Segoe UI"/>
          <w:lang w:eastAsia="en-GB"/>
        </w:rPr>
        <w:t xml:space="preserve"> June 2026, a dedicated workshop, Healthcare Science opportunities – Cluster Collaborative, was held to introduce Healthcare Science leaders to the Swansea Bay AHP &amp; Health Science Professional Collaborative and </w:t>
      </w:r>
      <w:r w:rsidRPr="003E5353">
        <w:rPr>
          <w:rFonts w:eastAsia="Times New Roman" w:cs="Segoe UI"/>
          <w:lang w:eastAsia="en-GB"/>
        </w:rPr>
        <w:lastRenderedPageBreak/>
        <w:t xml:space="preserve">to explore opportunities for greater Healthcare Science engagement in Primary Care Cluster working. The session highlighted that Swansea Bay is one of the few areas in Wales where Healthcare Science is fully represented within the AHP &amp; Health Science Professional Collaborative, providing a unique opportunity to influence service redesign, prevention, early intervention and population health initiatives.  Presentations provided an overview of the Community by Design agenda, Cluster Collaborative structures and examples of successful cluster-funded developments. In particular, Audiology demonstrated how engagement with cluster planning has enabled the development of a successful Primary Care Audiology model, improving access to specialist assessment, reducing demand on GP and </w:t>
      </w:r>
      <w:r w:rsidR="00757AA4">
        <w:rPr>
          <w:rFonts w:eastAsia="Times New Roman" w:cs="Segoe UI"/>
          <w:lang w:eastAsia="en-GB"/>
        </w:rPr>
        <w:t>Ear, Nose &amp; Throat (</w:t>
      </w:r>
      <w:r w:rsidRPr="003E5353">
        <w:rPr>
          <w:rFonts w:eastAsia="Times New Roman" w:cs="Segoe UI"/>
          <w:lang w:eastAsia="en-GB"/>
        </w:rPr>
        <w:t>ENT</w:t>
      </w:r>
      <w:r w:rsidR="00757AA4">
        <w:rPr>
          <w:rFonts w:eastAsia="Times New Roman" w:cs="Segoe UI"/>
          <w:lang w:eastAsia="en-GB"/>
        </w:rPr>
        <w:t>)</w:t>
      </w:r>
      <w:r w:rsidRPr="003E5353">
        <w:rPr>
          <w:rFonts w:eastAsia="Times New Roman" w:cs="Segoe UI"/>
          <w:lang w:eastAsia="en-GB"/>
        </w:rPr>
        <w:t xml:space="preserve"> services, and supporting earlier intervention and patient self-management.  </w:t>
      </w:r>
      <w:r w:rsidRPr="003E5353">
        <w:rPr>
          <w:rFonts w:eastAsia="Times New Roman" w:cs="Segoe UI"/>
          <w:lang w:eastAsia="en-GB"/>
        </w:rPr>
        <w:br/>
      </w:r>
      <w:r w:rsidRPr="003E5353">
        <w:rPr>
          <w:b/>
        </w:rPr>
        <w:br/>
      </w:r>
      <w:r w:rsidRPr="00103B31">
        <w:rPr>
          <w:rFonts w:eastAsia="Times New Roman" w:cs="Segoe UI"/>
          <w:lang w:eastAsia="en-GB"/>
        </w:rPr>
        <w:t>The workshop generated positive discussion regarding opportunities for Healthcare Science services to contribute to the three Community by Design pillars, including prevention and population health management, long-term condition management, and improved access to urgent and same-day care. Participants identified the need to strengthen Healthcare Science representation within the Collaborative, develop topic areas of shared interest (including point-of-care testing and diagnostic pathways), and explore future project proposals aligned to local population needs and cluster priorities.</w:t>
      </w:r>
      <w:r>
        <w:rPr>
          <w:rFonts w:eastAsia="Times New Roman" w:cs="Segoe UI"/>
          <w:lang w:eastAsia="en-GB"/>
        </w:rPr>
        <w:t xml:space="preserve">  </w:t>
      </w:r>
      <w:r w:rsidRPr="00103B31">
        <w:rPr>
          <w:rFonts w:eastAsia="Times New Roman" w:cs="Segoe UI"/>
          <w:lang w:eastAsia="en-GB"/>
        </w:rPr>
        <w:t xml:space="preserve">Agreed next steps include identifying additional Healthcare Science representatives to engage with the Collaborative, promoting awareness of cluster opportunities across services, gathering potential project ideas for future consideration, and facilitating opportunities for interested staff to observe </w:t>
      </w:r>
      <w:r>
        <w:rPr>
          <w:rFonts w:eastAsia="Times New Roman" w:cs="Segoe UI"/>
          <w:lang w:eastAsia="en-GB"/>
        </w:rPr>
        <w:t xml:space="preserve">the AHP &amp; Health Science Professional </w:t>
      </w:r>
      <w:r w:rsidRPr="00103B31">
        <w:rPr>
          <w:rFonts w:eastAsia="Times New Roman" w:cs="Segoe UI"/>
          <w:lang w:eastAsia="en-GB"/>
        </w:rPr>
        <w:t>Collaborative meetings to build understanding and engagement.</w:t>
      </w:r>
      <w:r w:rsidRPr="003E5353">
        <w:rPr>
          <w:b/>
        </w:rPr>
        <w:br/>
      </w:r>
    </w:p>
    <w:p w:rsidR="007E2050" w:rsidP="001D1A09" w:rsidRDefault="007E2050" w14:paraId="39BCDA77" w14:textId="77777777">
      <w:pPr>
        <w:spacing w:after="0" w:line="240" w:lineRule="auto"/>
        <w:rPr>
          <w:bCs/>
        </w:rPr>
      </w:pPr>
    </w:p>
    <w:p w:rsidR="008534FD" w:rsidP="008534FD" w:rsidRDefault="00D52143" w14:paraId="264714F6" w14:textId="77777777">
      <w:pPr>
        <w:pStyle w:val="ListParagraph"/>
        <w:numPr>
          <w:ilvl w:val="2"/>
          <w:numId w:val="1"/>
        </w:numPr>
        <w:spacing w:after="0" w:line="240" w:lineRule="auto"/>
        <w:rPr>
          <w:b/>
        </w:rPr>
      </w:pPr>
      <w:r>
        <w:rPr>
          <w:b/>
        </w:rPr>
        <w:t>Graduate Recruitment and Commissioned Workforce Pipeline</w:t>
      </w:r>
    </w:p>
    <w:p w:rsidR="008534FD" w:rsidP="008534FD" w:rsidRDefault="00194F9F" w14:paraId="31A2FCA6" w14:textId="77777777">
      <w:pPr>
        <w:spacing w:after="0" w:line="240" w:lineRule="auto"/>
        <w:rPr>
          <w:b/>
        </w:rPr>
      </w:pPr>
      <w:r w:rsidRPr="008534FD">
        <w:rPr>
          <w:bCs/>
        </w:rPr>
        <w:t>Since January 2026, Therapy Services have submitted a series of papers seeking executive approval to recruit newly qualified Band 5 Allied</w:t>
      </w:r>
      <w:r w:rsidRPr="008534FD" w:rsidR="008534FD">
        <w:rPr>
          <w:bCs/>
        </w:rPr>
        <w:t xml:space="preserve"> Health Professionals (AHPs) within Health Education and Improvement Wales (HEIW) commissioned training numbers across Occupational Therapy, Physiotherapy, Dietetics, Speech &amp; Language Therapy, and Podiatry.  </w:t>
      </w:r>
      <w:r w:rsidRPr="008534FD" w:rsidR="008534FD">
        <w:rPr>
          <w:bCs/>
        </w:rPr>
        <w:br/>
      </w:r>
      <w:r w:rsidRPr="008534FD" w:rsidR="008534FD">
        <w:rPr>
          <w:bCs/>
        </w:rPr>
        <w:br/>
      </w:r>
      <w:r w:rsidRPr="008534FD" w:rsidR="008534FD">
        <w:rPr>
          <w:rFonts w:cs="Calibri"/>
        </w:rPr>
        <w:t>For 2026/27, HEIW commissioned 57 WTE Band 5 training places for Swansea Bay UHB. Based on workforce modelling, vacancy rates, service demand and affordability, approval was sought to recruit 51 WTE Band 5 graduates to support workforce sustainability, service resilience and the delivery of safe and timely care.</w:t>
      </w:r>
    </w:p>
    <w:p w:rsidR="008534FD" w:rsidP="008534FD" w:rsidRDefault="008534FD" w14:paraId="628389D1" w14:textId="77777777">
      <w:pPr>
        <w:spacing w:after="0" w:line="240" w:lineRule="auto"/>
        <w:ind w:left="360"/>
        <w:rPr>
          <w:b/>
        </w:rPr>
      </w:pPr>
    </w:p>
    <w:p w:rsidRPr="008534FD" w:rsidR="008534FD" w:rsidP="008534FD" w:rsidRDefault="008534FD" w14:paraId="7E2CFBB9" w14:textId="54C346E4">
      <w:pPr>
        <w:spacing w:after="0" w:line="240" w:lineRule="auto"/>
        <w:rPr>
          <w:b/>
        </w:rPr>
      </w:pPr>
      <w:r w:rsidRPr="008534FD">
        <w:rPr>
          <w:rFonts w:cs="Calibri"/>
        </w:rPr>
        <w:lastRenderedPageBreak/>
        <w:t>Recruitment of newly qualified graduates is a time-critical annual process, with graduates typically entering the workforce from September onwards. Failure to recruit within the required timeframe risks losing graduates in a competitive employment market, adversely affecting service delivery, workforce sustainability and longer-term financial control.</w:t>
      </w:r>
    </w:p>
    <w:p w:rsidRPr="008534FD" w:rsidR="008534FD" w:rsidP="008534FD" w:rsidRDefault="008534FD" w14:paraId="1EC1D202" w14:textId="419DB5AA">
      <w:pPr>
        <w:spacing w:before="100" w:beforeAutospacing="1" w:after="100" w:afterAutospacing="1" w:line="300" w:lineRule="atLeast"/>
        <w:rPr>
          <w:rFonts w:cs="Calibri"/>
        </w:rPr>
      </w:pPr>
      <w:r w:rsidRPr="008534FD">
        <w:rPr>
          <w:rFonts w:cs="Calibri"/>
        </w:rPr>
        <w:t xml:space="preserve">The Executive Panel approved recruitment of 16 WTE Band 5 graduates on 27 May 2026, recognising this was below the HEIW commissioned numbers available to the Health Board. Following further delays in recruitment authorisation, final Executive approval was received on 13 July 2026, </w:t>
      </w:r>
      <w:r w:rsidR="007E29FF">
        <w:rPr>
          <w:rFonts w:cs="Calibri"/>
        </w:rPr>
        <w:t>with posts now out to recruitment.</w:t>
      </w:r>
    </w:p>
    <w:p w:rsidRPr="008534FD" w:rsidR="007E2050" w:rsidP="008534FD" w:rsidRDefault="008534FD" w14:paraId="47629232" w14:textId="0DAEE239">
      <w:pPr>
        <w:spacing w:before="100" w:beforeAutospacing="1" w:after="100" w:afterAutospacing="1" w:line="300" w:lineRule="atLeast"/>
        <w:rPr>
          <w:rFonts w:cs="Calibri"/>
        </w:rPr>
      </w:pPr>
      <w:r w:rsidRPr="008534FD">
        <w:rPr>
          <w:rFonts w:cs="Calibri"/>
        </w:rPr>
        <w:t>The delays have coincided with an increasing number of newly qualified graduates remaining without substantive employment across South Wales and applying for Band 4 Therapy Healthcare Support Worker posts, highlighting the risk of losing graduate talent from the registered therapy workforce pipeline</w:t>
      </w:r>
      <w:r w:rsidR="007E29FF">
        <w:rPr>
          <w:rFonts w:cs="Calibri"/>
        </w:rPr>
        <w:t xml:space="preserve"> across NHS Wales</w:t>
      </w:r>
      <w:r w:rsidRPr="008534FD">
        <w:rPr>
          <w:rFonts w:cs="Calibri"/>
        </w:rPr>
        <w:t>.</w:t>
      </w:r>
      <w:r>
        <w:rPr>
          <w:bCs/>
        </w:rPr>
        <w:br/>
      </w:r>
    </w:p>
    <w:p w:rsidR="00D52143" w:rsidP="00D52143" w:rsidRDefault="00D52143" w14:paraId="2064EE30" w14:textId="4A3255EC">
      <w:pPr>
        <w:pStyle w:val="ListParagraph"/>
        <w:numPr>
          <w:ilvl w:val="2"/>
          <w:numId w:val="1"/>
        </w:numPr>
        <w:spacing w:after="0" w:line="240" w:lineRule="auto"/>
        <w:rPr>
          <w:b/>
        </w:rPr>
      </w:pPr>
      <w:r>
        <w:rPr>
          <w:b/>
        </w:rPr>
        <w:t xml:space="preserve">AHP Assessment / </w:t>
      </w:r>
      <w:r w:rsidR="00097F82">
        <w:rPr>
          <w:b/>
        </w:rPr>
        <w:t>Pathways of Care Delays (</w:t>
      </w:r>
      <w:r>
        <w:rPr>
          <w:b/>
        </w:rPr>
        <w:t>POCD</w:t>
      </w:r>
      <w:r w:rsidR="00097F82">
        <w:rPr>
          <w:b/>
        </w:rPr>
        <w:t>)</w:t>
      </w:r>
      <w:r>
        <w:rPr>
          <w:b/>
        </w:rPr>
        <w:t xml:space="preserve"> – Data Accuracy and Risk</w:t>
      </w:r>
    </w:p>
    <w:p w:rsidRPr="000F5BB7" w:rsidR="00D52143" w:rsidP="00D52143" w:rsidRDefault="00D52143" w14:paraId="3EB23E4E" w14:textId="280A2E8B">
      <w:pPr>
        <w:spacing w:after="0" w:line="240" w:lineRule="auto"/>
        <w:rPr>
          <w:bCs/>
        </w:rPr>
      </w:pPr>
      <w:r w:rsidRPr="000F5BB7">
        <w:rPr>
          <w:bCs/>
        </w:rPr>
        <w:t xml:space="preserve">Therapies have undertaken focused work on reported AHP assessment/pathways of care delays.  This has identified a discrepancy between dashboard-reported and clinically validated positions, creating a risk around data accuracy, workforce burden and potentially misdirected scrutiny.  Actions are being progressed through ROAG </w:t>
      </w:r>
      <w:r w:rsidR="00890021">
        <w:rPr>
          <w:bCs/>
        </w:rPr>
        <w:t>(Re</w:t>
      </w:r>
      <w:r w:rsidR="00097F82">
        <w:rPr>
          <w:bCs/>
        </w:rPr>
        <w:t>gional Operational Assurance</w:t>
      </w:r>
      <w:r w:rsidR="00890021">
        <w:rPr>
          <w:bCs/>
        </w:rPr>
        <w:t xml:space="preserve"> Group) </w:t>
      </w:r>
      <w:r w:rsidRPr="000F5BB7">
        <w:rPr>
          <w:bCs/>
        </w:rPr>
        <w:t xml:space="preserve">and PCTG </w:t>
      </w:r>
      <w:r w:rsidR="00640614">
        <w:rPr>
          <w:bCs/>
        </w:rPr>
        <w:t xml:space="preserve">(Primary, Community &amp; Therapies Group) </w:t>
      </w:r>
      <w:r w:rsidRPr="000F5BB7">
        <w:rPr>
          <w:bCs/>
        </w:rPr>
        <w:t>risk processes, including improved validation</w:t>
      </w:r>
      <w:r w:rsidRPr="000F5BB7" w:rsidR="000F5BB7">
        <w:rPr>
          <w:bCs/>
        </w:rPr>
        <w:t xml:space="preserve">, strengthening code accuracy, benchmarking and alignment with wider </w:t>
      </w:r>
      <w:r w:rsidRPr="00097F82" w:rsidR="000F5BB7">
        <w:rPr>
          <w:bCs/>
        </w:rPr>
        <w:t>POCD</w:t>
      </w:r>
      <w:r w:rsidRPr="000F5BB7" w:rsidR="000F5BB7">
        <w:rPr>
          <w:bCs/>
        </w:rPr>
        <w:t xml:space="preserve"> improvement work.</w:t>
      </w:r>
      <w:r w:rsidR="000F5BB7">
        <w:rPr>
          <w:bCs/>
        </w:rPr>
        <w:br/>
      </w:r>
      <w:r w:rsidRPr="000F5BB7" w:rsidR="000F5BB7">
        <w:rPr>
          <w:bCs/>
        </w:rPr>
        <w:br/>
      </w:r>
    </w:p>
    <w:p w:rsidR="00832792" w:rsidP="00D52143" w:rsidRDefault="000F5BB7" w14:paraId="44BE3AE1" w14:textId="77777777">
      <w:pPr>
        <w:pStyle w:val="ListParagraph"/>
        <w:numPr>
          <w:ilvl w:val="2"/>
          <w:numId w:val="1"/>
        </w:numPr>
        <w:spacing w:after="0" w:line="240" w:lineRule="auto"/>
        <w:rPr>
          <w:b/>
        </w:rPr>
      </w:pPr>
      <w:r>
        <w:rPr>
          <w:b/>
        </w:rPr>
        <w:t>Skills-based Workforce Planning and Community by Design</w:t>
      </w:r>
    </w:p>
    <w:p w:rsidRPr="00832792" w:rsidR="00D52143" w:rsidP="00832792" w:rsidRDefault="00832792" w14:paraId="670599E8" w14:textId="0CC24169">
      <w:pPr>
        <w:spacing w:after="0" w:line="240" w:lineRule="auto"/>
        <w:rPr>
          <w:bCs/>
        </w:rPr>
      </w:pPr>
      <w:r w:rsidRPr="00832792">
        <w:rPr>
          <w:bCs/>
        </w:rPr>
        <w:t>National work is progressing on skill-based AHP workforce planning, with domains including clinical skills, communication, leadership, data-evaluation, population health/prevention and digital/technology.  This may provide an opportunity to strengthen future workforce planning in support of Community by Design and new models of care.</w:t>
      </w:r>
      <w:r w:rsidRPr="00832792">
        <w:rPr>
          <w:bCs/>
        </w:rPr>
        <w:br/>
      </w:r>
      <w:r w:rsidRPr="00832792">
        <w:rPr>
          <w:bCs/>
        </w:rPr>
        <w:br/>
      </w:r>
    </w:p>
    <w:p w:rsidR="00832792" w:rsidP="00D52143" w:rsidRDefault="00832792" w14:paraId="1E210C0E" w14:textId="0733425E">
      <w:pPr>
        <w:pStyle w:val="ListParagraph"/>
        <w:numPr>
          <w:ilvl w:val="2"/>
          <w:numId w:val="1"/>
        </w:numPr>
        <w:spacing w:after="0" w:line="240" w:lineRule="auto"/>
        <w:rPr>
          <w:b/>
        </w:rPr>
      </w:pPr>
      <w:r>
        <w:rPr>
          <w:b/>
        </w:rPr>
        <w:t>Health and Care Professions Council (HCPC) Review</w:t>
      </w:r>
    </w:p>
    <w:p w:rsidRPr="00FB5601" w:rsidR="00FB5601" w:rsidP="00FB5601" w:rsidRDefault="00FB5601" w14:paraId="72237A84" w14:textId="0E9B54BF">
      <w:pPr>
        <w:spacing w:line="300" w:lineRule="atLeast"/>
        <w:rPr>
          <w:rFonts w:eastAsia="Times New Roman" w:cs="Segoe UI"/>
          <w:lang w:eastAsia="en-GB"/>
        </w:rPr>
      </w:pPr>
      <w:r w:rsidRPr="00FB5601">
        <w:rPr>
          <w:rFonts w:eastAsia="Times New Roman" w:cs="Segoe UI"/>
          <w:lang w:eastAsia="en-GB"/>
        </w:rPr>
        <w:t xml:space="preserve">The Professional Standards Authority (PSA) has reported that the Health and Care Professions Council (HCPC) met 16 of 18 Standards of Good Regulation during 2025/26, demonstrating continued strong performance across registration, education and training, professional standards, and </w:t>
      </w:r>
      <w:r w:rsidRPr="00FB5601">
        <w:rPr>
          <w:rFonts w:eastAsia="Times New Roman" w:cs="Segoe UI"/>
          <w:lang w:eastAsia="en-GB"/>
        </w:rPr>
        <w:lastRenderedPageBreak/>
        <w:t xml:space="preserve">equality, diversity and inclusion. The HCPC regulates over 367,000 professionals across 15 health and care professions. </w:t>
      </w:r>
    </w:p>
    <w:p w:rsidRPr="00FB5601" w:rsidR="00FB5601" w:rsidP="00FB5601" w:rsidRDefault="00FB5601" w14:paraId="56201030" w14:textId="6284FF2A">
      <w:pPr>
        <w:spacing w:line="300" w:lineRule="atLeast"/>
        <w:rPr>
          <w:rFonts w:eastAsia="Times New Roman" w:cs="Segoe UI"/>
          <w:lang w:eastAsia="en-GB"/>
        </w:rPr>
      </w:pPr>
      <w:r w:rsidRPr="00FB5601">
        <w:rPr>
          <w:rFonts w:eastAsia="Times New Roman" w:cs="Segoe UI"/>
          <w:lang w:eastAsia="en-GB"/>
        </w:rPr>
        <w:t xml:space="preserve">The PSA recognised Equality, Diversity and Inclusion (EDI) as an area of strong performance for the HCPC during 2025/26. Notable developments include the introduction of EDI Quality Indicators for education providers, enhanced diversity data monitoring, and continued work to identify and address potential inequalities in regulatory processes. These developments align with SBUHB’s commitment to promoting inclusive workforce practices, reducing inequalities and supporting equitable learning, career development and professional governance arrangements across the Allied Health Professions and Healthcare Science workforce. </w:t>
      </w:r>
    </w:p>
    <w:p w:rsidRPr="00FB5601" w:rsidR="00FB5601" w:rsidP="00FB5601" w:rsidRDefault="00FB5601" w14:paraId="2719F38E" w14:textId="21F53533">
      <w:pPr>
        <w:spacing w:before="100" w:beforeAutospacing="1" w:after="100" w:afterAutospacing="1" w:line="300" w:lineRule="atLeast"/>
        <w:rPr>
          <w:rFonts w:eastAsia="Times New Roman" w:cs="Segoe UI"/>
          <w:lang w:eastAsia="en-GB"/>
        </w:rPr>
      </w:pPr>
      <w:r w:rsidRPr="00FB5601">
        <w:rPr>
          <w:rFonts w:eastAsia="Times New Roman" w:cs="Segoe UI"/>
          <w:lang w:eastAsia="en-GB"/>
        </w:rPr>
        <w:t xml:space="preserve">However, the PSA identified ongoing challenges within the HCPC's Fitness to Practise (FTP) function. The HCPC did not meet Standards 15 and 18 due to increasing caseload pressures, delays in progressing cases, and concerns regarding communication and support for registrants involved in FTP investigations. FTP referrals increased by 41% during 2025/26, with a corresponding rise in open caseloads and long-running cases. </w:t>
      </w:r>
    </w:p>
    <w:p w:rsidRPr="000F5BB7" w:rsidR="000F5BB7" w:rsidP="007E29FF" w:rsidRDefault="00FB5601" w14:paraId="4238CC67" w14:textId="4D94FCB8">
      <w:pPr>
        <w:spacing w:before="100" w:beforeAutospacing="1" w:after="100" w:afterAutospacing="1" w:line="300" w:lineRule="atLeast"/>
        <w:rPr>
          <w:bCs/>
        </w:rPr>
      </w:pPr>
      <w:r w:rsidRPr="00FB5601">
        <w:rPr>
          <w:rFonts w:eastAsia="Times New Roman" w:cs="Segoe UI"/>
          <w:lang w:eastAsia="en-GB"/>
        </w:rPr>
        <w:t xml:space="preserve">The findings provide overall assurance regarding the effectiveness of HCPC regulation and public protection arrangements. However, delays in FTP processes may result in extended periods of uncertainty for registrants and employers, with potential workforce and wellbeing implications. The Health Board will continue to monitor national regulatory developments and consider any impact on </w:t>
      </w:r>
      <w:r w:rsidR="007E29FF">
        <w:rPr>
          <w:rFonts w:eastAsia="Times New Roman" w:cs="Segoe UI"/>
          <w:lang w:eastAsia="en-GB"/>
        </w:rPr>
        <w:t xml:space="preserve">its </w:t>
      </w:r>
      <w:r w:rsidRPr="00FB5601">
        <w:rPr>
          <w:rFonts w:eastAsia="Times New Roman" w:cs="Segoe UI"/>
          <w:lang w:eastAsia="en-GB"/>
        </w:rPr>
        <w:t>workforce governance and professional support arrangements.</w:t>
      </w:r>
    </w:p>
    <w:p w:rsidRPr="00F8567E" w:rsidR="00653AEC" w:rsidP="00653AEC" w:rsidRDefault="00653AEC" w14:paraId="6D290421" w14:textId="77777777">
      <w:pPr>
        <w:pStyle w:val="ListParagraph"/>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Pr="006C2252" w:rsidR="00653AEC" w:rsidP="006C2252" w:rsidRDefault="006C2252" w14:paraId="6D290425" w14:textId="3F5F017D">
      <w:pPr>
        <w:spacing w:after="0" w:line="240" w:lineRule="auto"/>
        <w:jc w:val="both"/>
      </w:pPr>
      <w:r w:rsidRPr="006C2252">
        <w:t>Governance and risks have been highlighted in the individual sections identifying the current key issues for the AHP and HCS workforce.</w:t>
      </w: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6C2252" w:rsidR="00B50ABC" w:rsidP="00072D3B" w:rsidRDefault="006C2252" w14:paraId="350FB07C" w14:textId="5CE7989A">
      <w:pPr>
        <w:spacing w:after="0" w:line="240" w:lineRule="auto"/>
        <w:rPr>
          <w:b/>
        </w:rPr>
      </w:pPr>
      <w:r w:rsidRPr="006C2252">
        <w:t>None to note.</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Pr="006C2252" w:rsidR="00653AEC" w:rsidP="004221DC" w:rsidRDefault="006C2252" w14:paraId="6D290428" w14:textId="5EB44FB7">
      <w:pPr>
        <w:spacing w:after="0" w:line="240" w:lineRule="auto"/>
        <w:jc w:val="both"/>
        <w:rPr>
          <w:b/>
        </w:rPr>
      </w:pPr>
      <w:r w:rsidRPr="006C2252">
        <w:t>Service group finance partners are informed of financial risks highlighted in the report where applicable.</w:t>
      </w: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6C2252" w:rsidR="006C2252" w:rsidP="004221DC" w:rsidRDefault="006C2252" w14:paraId="5B4A1EFD" w14:textId="2AA087A9">
      <w:pPr>
        <w:pStyle w:val="Default"/>
        <w:jc w:val="both"/>
        <w:rPr>
          <w:rFonts w:ascii="Verdana" w:hAnsi="Verdana" w:cs="Arial"/>
          <w:color w:val="auto"/>
        </w:rPr>
      </w:pPr>
      <w:r w:rsidRPr="006C2252">
        <w:rPr>
          <w:rFonts w:ascii="Verdana" w:hAnsi="Verdana" w:cs="Arial"/>
          <w:color w:val="auto"/>
        </w:rPr>
        <w:t xml:space="preserve">Members are asked to </w:t>
      </w:r>
      <w:r w:rsidRPr="006C2252">
        <w:rPr>
          <w:rFonts w:ascii="Verdana" w:hAnsi="Verdana" w:cs="Arial"/>
          <w:b/>
          <w:bCs/>
          <w:color w:val="auto"/>
        </w:rPr>
        <w:t>Receive</w:t>
      </w:r>
      <w:r w:rsidRPr="006C2252">
        <w:rPr>
          <w:rFonts w:ascii="Verdana" w:hAnsi="Verdana" w:cs="Arial"/>
          <w:color w:val="auto"/>
        </w:rPr>
        <w:t xml:space="preserve"> the information in the report.</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2D6E8B" w14:paraId="6D290441" w14:textId="15F801EF">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2D6E8B" w14:paraId="6D290445" w14:textId="33B5012F">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Pr>
              <w:p w:rsidRPr="00F8567E" w:rsidR="00C43F7B" w:rsidP="00C43F7B" w:rsidRDefault="009A317F" w14:paraId="6D290462" w14:textId="23ADE71F">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rsidRPr="00F8567E" w:rsidR="00C43F7B" w:rsidP="00C43F7B" w:rsidRDefault="009A317F" w14:paraId="6D290466" w14:textId="6CD97EF1">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rsidRPr="00F8567E" w:rsidR="00C43F7B" w:rsidP="00C43F7B" w:rsidRDefault="009A317F" w14:paraId="6D29046A" w14:textId="46531C09">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rsidRPr="00F8567E" w:rsidR="00C43F7B" w:rsidP="00C43F7B" w:rsidRDefault="009A317F" w14:paraId="6D29046E" w14:textId="0419D94E">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rsidRPr="00F8567E" w:rsidR="00C43F7B" w:rsidP="00C43F7B" w:rsidRDefault="009A317F" w14:paraId="6D290476" w14:textId="32687615">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9A317F" w14:paraId="6D29047A" w14:textId="09619F02">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Pr>
              <w:p w:rsidR="00925DA1" w:rsidP="00925DA1" w:rsidRDefault="009A317F" w14:paraId="15982273" w14:textId="47E981D6">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EndPr/>
          <w:sdtContent>
            <w:tc>
              <w:tcPr>
                <w:tcW w:w="1624" w:type="dxa"/>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00925DA1" w:rsidP="00925DA1" w:rsidRDefault="002D6E8B" w14:paraId="60F96135" w14:textId="15202401">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2D6E8B" w:rsidR="002D6E8B" w:rsidP="002D6E8B" w:rsidRDefault="002D6E8B" w14:paraId="4845D019" w14:textId="77777777">
            <w:pPr>
              <w:rPr>
                <w14:ligatures w14:val="standardContextual"/>
              </w:rPr>
            </w:pPr>
            <w:r w:rsidRPr="002D6E8B">
              <w:rPr>
                <w14:ligatures w14:val="standardContextual"/>
              </w:rPr>
              <w:t xml:space="preserve">A sustainable AHP and HCS workforce is essential to provide effective, patient centred care with improved outcomes for patient, carer and workforce. </w:t>
            </w:r>
          </w:p>
          <w:p w:rsidRPr="002D6E8B" w:rsidR="002D6E8B" w:rsidP="002D6E8B" w:rsidRDefault="002D6E8B" w14:paraId="394D283F" w14:textId="77777777">
            <w:pPr>
              <w:rPr>
                <w14:ligatures w14:val="standardContextual"/>
              </w:rPr>
            </w:pPr>
            <w:r w:rsidRPr="002D6E8B">
              <w:rPr>
                <w14:ligatures w14:val="standardContextual"/>
              </w:rPr>
              <w:t xml:space="preserve">Patient safety runs through education standards and requirements and is inseparable from an excellent learning environment and culture that values and supports learners and educators. </w:t>
            </w:r>
          </w:p>
          <w:p w:rsidRPr="00F8567E" w:rsidR="00925DA1" w:rsidP="002D6E8B" w:rsidRDefault="00925DA1" w14:paraId="6D29047F" w14:textId="77777777">
            <w:pPr>
              <w:rPr>
                <w:b/>
              </w:rPr>
            </w:pP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2D6E8B" w:rsidR="002D6E8B" w:rsidP="002D6E8B" w:rsidRDefault="002D6E8B" w14:paraId="018C2073" w14:textId="77777777">
            <w:pPr>
              <w:ind w:right="96"/>
              <w:rPr>
                <w14:ligatures w14:val="standardContextual"/>
              </w:rPr>
            </w:pPr>
            <w:r w:rsidRPr="002D6E8B">
              <w:rPr>
                <w14:ligatures w14:val="standardContextual"/>
              </w:rPr>
              <w:t>Financial risks associated with the key themes described are not specified in the paper and are operationally managed via Service Groups.</w:t>
            </w:r>
          </w:p>
          <w:p w:rsidRPr="00F8567E" w:rsidR="00925DA1" w:rsidP="002D6E8B" w:rsidRDefault="00925DA1" w14:paraId="6D290486" w14:textId="77777777">
            <w:pPr>
              <w:ind w:right="96"/>
              <w:rPr>
                <w:color w:val="FF0000"/>
              </w:rPr>
            </w:pP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F8567E" w:rsidR="00925DA1" w:rsidP="002D6E8B" w:rsidRDefault="002D6E8B" w14:paraId="6D29048B" w14:textId="6725CAA3">
            <w:pPr>
              <w:ind w:right="96"/>
              <w:rPr>
                <w:color w:val="FF0000"/>
              </w:rPr>
            </w:pPr>
            <w:r w:rsidRPr="00D56D90">
              <w:t xml:space="preserve">As set out in the paper. </w:t>
            </w:r>
            <w:r w:rsidRPr="00D56D90">
              <w:br/>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lastRenderedPageBreak/>
              <w:t>Staffing Implications</w:t>
            </w:r>
          </w:p>
        </w:tc>
      </w:tr>
      <w:tr w:rsidRPr="00F8567E" w:rsidR="00925DA1" w:rsidTr="007B683C" w14:paraId="6D290491" w14:textId="77777777">
        <w:tc>
          <w:tcPr>
            <w:tcW w:w="9245" w:type="dxa"/>
            <w:gridSpan w:val="3"/>
          </w:tcPr>
          <w:p w:rsidR="00925DA1" w:rsidP="002D6E8B" w:rsidRDefault="002D6E8B" w14:paraId="3104D3F3" w14:textId="77777777">
            <w:pPr>
              <w:ind w:right="96"/>
            </w:pPr>
            <w:r w:rsidRPr="00D56D90">
              <w:t>As described in the paper.</w:t>
            </w:r>
          </w:p>
          <w:p w:rsidRPr="00F8567E" w:rsidR="002D6E8B" w:rsidP="002D6E8B" w:rsidRDefault="002D6E8B" w14:paraId="6D290490" w14:textId="0119741A">
            <w:pPr>
              <w:ind w:right="96"/>
              <w:rPr>
                <w:color w:val="FF0000"/>
              </w:rPr>
            </w:pP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00925DA1" w:rsidP="002D6E8B" w:rsidRDefault="002D6E8B" w14:paraId="193B168E" w14:textId="77777777">
            <w:pPr>
              <w:ind w:right="96"/>
            </w:pPr>
            <w:r w:rsidRPr="00D56D90">
              <w:t xml:space="preserve">This paper reflects </w:t>
            </w:r>
            <w:r w:rsidRPr="00D56D90">
              <w:rPr>
                <w:i/>
                <w:iCs/>
              </w:rPr>
              <w:t>The Well-being of Future Generations (Wales) Act</w:t>
            </w:r>
            <w:r w:rsidRPr="00D56D90">
              <w:t xml:space="preserve"> (2015) and working relationships between organisations helping to meet the longer-term needs of NHS Wales and enhance the sustainability of the healthcare workforce.</w:t>
            </w:r>
          </w:p>
          <w:p w:rsidRPr="00F8567E" w:rsidR="002D6E8B" w:rsidP="002D6E8B" w:rsidRDefault="002D6E8B" w14:paraId="6D290495" w14:textId="12E1147F">
            <w:pPr>
              <w:ind w:right="96"/>
              <w:rPr>
                <w:color w:val="FF0000"/>
              </w:rPr>
            </w:pP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14:paraId="6D29049A" w14:textId="77777777">
        <w:tc>
          <w:tcPr>
            <w:tcW w:w="9245" w:type="dxa"/>
            <w:gridSpan w:val="3"/>
          </w:tcPr>
          <w:p w:rsidRPr="0051695E" w:rsidR="00925DA1" w:rsidP="002D6E8B" w:rsidRDefault="0051695E" w14:paraId="5DBB44E9" w14:textId="5792C163">
            <w:pPr>
              <w:ind w:right="96"/>
            </w:pPr>
            <w:r w:rsidRPr="0051695E">
              <w:t xml:space="preserve">Standing Report to Workforce and OD Committee. </w:t>
            </w:r>
          </w:p>
          <w:p w:rsidRPr="0051695E" w:rsidR="002D6E8B" w:rsidP="002D6E8B" w:rsidRDefault="002D6E8B" w14:paraId="6D290499" w14:textId="77777777">
            <w:pPr>
              <w:ind w:right="96"/>
            </w:pPr>
          </w:p>
        </w:tc>
      </w:tr>
      <w:tr w:rsidRPr="00F8567E" w:rsidR="00925DA1" w:rsidTr="002432C6" w14:paraId="08CD5C29" w14:textId="77777777">
        <w:tc>
          <w:tcPr>
            <w:tcW w:w="9245" w:type="dxa"/>
            <w:gridSpan w:val="3"/>
            <w:shd w:val="clear" w:color="auto" w:fill="C1A775"/>
          </w:tcPr>
          <w:p w:rsidRPr="0051695E" w:rsidR="00925DA1" w:rsidP="00925DA1" w:rsidRDefault="00925DA1" w14:paraId="6800FBEB" w14:textId="3ED5416B">
            <w:pPr>
              <w:ind w:right="96"/>
            </w:pPr>
            <w:r w:rsidRPr="0051695E">
              <w:rPr>
                <w:b/>
              </w:rPr>
              <w:t>Appendices</w:t>
            </w:r>
          </w:p>
        </w:tc>
      </w:tr>
      <w:tr w:rsidRPr="00F8567E" w:rsidR="00925DA1" w14:paraId="6D29049F" w14:textId="77777777">
        <w:tc>
          <w:tcPr>
            <w:tcW w:w="9245" w:type="dxa"/>
            <w:gridSpan w:val="3"/>
          </w:tcPr>
          <w:p w:rsidRPr="0051695E" w:rsidR="00925DA1" w:rsidP="00925DA1" w:rsidRDefault="0051695E" w14:paraId="6D29049D" w14:textId="4EB3321B">
            <w:pPr>
              <w:ind w:right="96"/>
            </w:pPr>
            <w:r w:rsidRPr="0051695E">
              <w:t xml:space="preserve">None. </w:t>
            </w:r>
          </w:p>
          <w:p w:rsidRPr="0051695E" w:rsidR="00925DA1" w:rsidP="00925DA1" w:rsidRDefault="00925DA1" w14:paraId="6D29049E" w14:textId="77777777">
            <w:pPr>
              <w:ind w:right="96"/>
            </w:pPr>
          </w:p>
        </w:tc>
      </w:tr>
    </w:tbl>
    <w:p w:rsidRPr="00F8567E" w:rsidR="00034194" w:rsidRDefault="00034194" w14:paraId="6D2904A0" w14:textId="77777777"/>
    <w:sectPr w:rsidRPr="00F8567E" w:rsidR="00034194" w:rsidSect="00FE7070">
      <w:headerReference w:type="even" r:id="rId11"/>
      <w:headerReference w:type="default" r:id="rId12"/>
      <w:footerReference w:type="even" r:id="rId13"/>
      <w:footerReference w:type="default" r:id="rId14"/>
      <w:headerReference w:type="first" r:id="rId15"/>
      <w:footerReference w:type="first" r:id="rId16"/>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0AB" w:rsidP="00C107F2" w:rsidRDefault="003F60AB" w14:paraId="54F348C3" w14:textId="77777777">
      <w:pPr>
        <w:spacing w:after="0" w:line="240" w:lineRule="auto"/>
      </w:pPr>
      <w:r>
        <w:separator/>
      </w:r>
    </w:p>
  </w:endnote>
  <w:endnote w:type="continuationSeparator" w:id="0">
    <w:p w:rsidR="003F60AB" w:rsidP="00C107F2" w:rsidRDefault="003F60AB" w14:paraId="4223F5E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95E" w:rsidRDefault="0051695E" w14:paraId="60EF8B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562DA453">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B55302">
          <w:rPr>
            <w:sz w:val="20"/>
            <w:szCs w:val="20"/>
          </w:rPr>
          <w:t>9</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rsidR="003324CB" w:rsidP="0031077C" w:rsidRDefault="00A853AB" w14:paraId="6D2904A9" w14:textId="269E9DCB">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51695E" w14:paraId="6DC782A8" w14:textId="72B2EC1F">
        <w:pPr>
          <w:pStyle w:val="Footer"/>
          <w:jc w:val="right"/>
          <w:rPr>
            <w:sz w:val="20"/>
            <w:szCs w:val="20"/>
          </w:rPr>
        </w:pPr>
        <w:r>
          <w:rPr>
            <w:rStyle w:val="CorporateStyle2"/>
          </w:rPr>
          <w:t>Thursday, 20 August 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95E" w:rsidRDefault="0051695E" w14:paraId="3C4D7E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0AB" w:rsidP="00C107F2" w:rsidRDefault="003F60AB" w14:paraId="5A9BC6D6" w14:textId="77777777">
      <w:pPr>
        <w:spacing w:after="0" w:line="240" w:lineRule="auto"/>
      </w:pPr>
      <w:r>
        <w:separator/>
      </w:r>
    </w:p>
  </w:footnote>
  <w:footnote w:type="continuationSeparator" w:id="0">
    <w:p w:rsidR="003F60AB" w:rsidP="00C107F2" w:rsidRDefault="003F60AB" w14:paraId="043AA1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95E" w:rsidRDefault="0051695E" w14:paraId="58C32F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95E" w:rsidRDefault="0051695E" w14:paraId="0E4FFF1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CD5"/>
    <w:multiLevelType w:val="hybridMultilevel"/>
    <w:tmpl w:val="86F4C9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63B0B92"/>
    <w:multiLevelType w:val="multilevel"/>
    <w:tmpl w:val="09348C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7DB7964"/>
    <w:multiLevelType w:val="hybridMultilevel"/>
    <w:tmpl w:val="80F835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5"/>
  </w:num>
  <w:num w:numId="3" w16cid:durableId="358313792">
    <w:abstractNumId w:val="4"/>
  </w:num>
  <w:num w:numId="4" w16cid:durableId="1144618638">
    <w:abstractNumId w:val="3"/>
  </w:num>
  <w:num w:numId="5" w16cid:durableId="211239042">
    <w:abstractNumId w:val="2"/>
  </w:num>
  <w:num w:numId="6" w16cid:durableId="1874800944">
    <w:abstractNumId w:val="10"/>
  </w:num>
  <w:num w:numId="7" w16cid:durableId="263198079">
    <w:abstractNumId w:val="11"/>
  </w:num>
  <w:num w:numId="8" w16cid:durableId="1535070366">
    <w:abstractNumId w:val="6"/>
  </w:num>
  <w:num w:numId="9" w16cid:durableId="1823614381">
    <w:abstractNumId w:val="8"/>
  </w:num>
  <w:num w:numId="10" w16cid:durableId="875429971">
    <w:abstractNumId w:val="9"/>
  </w:num>
  <w:num w:numId="11" w16cid:durableId="1939563771">
    <w:abstractNumId w:val="7"/>
  </w:num>
  <w:num w:numId="12" w16cid:durableId="441727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868BF"/>
    <w:rsid w:val="000940E7"/>
    <w:rsid w:val="00097F82"/>
    <w:rsid w:val="000A0751"/>
    <w:rsid w:val="000B44CA"/>
    <w:rsid w:val="000C3280"/>
    <w:rsid w:val="000E379E"/>
    <w:rsid w:val="000F361B"/>
    <w:rsid w:val="000F5BB7"/>
    <w:rsid w:val="00103B31"/>
    <w:rsid w:val="00110100"/>
    <w:rsid w:val="00133EA1"/>
    <w:rsid w:val="0016096B"/>
    <w:rsid w:val="001707C4"/>
    <w:rsid w:val="00176F09"/>
    <w:rsid w:val="0018209C"/>
    <w:rsid w:val="00182C00"/>
    <w:rsid w:val="00194F9F"/>
    <w:rsid w:val="001A4E1B"/>
    <w:rsid w:val="001B3120"/>
    <w:rsid w:val="001C06A8"/>
    <w:rsid w:val="001C6C4F"/>
    <w:rsid w:val="001D1A09"/>
    <w:rsid w:val="001E6F3B"/>
    <w:rsid w:val="001F2857"/>
    <w:rsid w:val="001F3A52"/>
    <w:rsid w:val="001F48BE"/>
    <w:rsid w:val="002010FE"/>
    <w:rsid w:val="00203F67"/>
    <w:rsid w:val="0020539A"/>
    <w:rsid w:val="00217136"/>
    <w:rsid w:val="002312B3"/>
    <w:rsid w:val="00233330"/>
    <w:rsid w:val="00233D58"/>
    <w:rsid w:val="00234AC2"/>
    <w:rsid w:val="00236251"/>
    <w:rsid w:val="00240F00"/>
    <w:rsid w:val="00241662"/>
    <w:rsid w:val="002432C6"/>
    <w:rsid w:val="002477E8"/>
    <w:rsid w:val="002518B7"/>
    <w:rsid w:val="00270897"/>
    <w:rsid w:val="00272BD5"/>
    <w:rsid w:val="002775D4"/>
    <w:rsid w:val="002950FF"/>
    <w:rsid w:val="00296CD9"/>
    <w:rsid w:val="002A706E"/>
    <w:rsid w:val="002B7C9A"/>
    <w:rsid w:val="002C3DD6"/>
    <w:rsid w:val="002D30AC"/>
    <w:rsid w:val="002D6E8B"/>
    <w:rsid w:val="002D77FE"/>
    <w:rsid w:val="002E0BCC"/>
    <w:rsid w:val="0030120F"/>
    <w:rsid w:val="0030739E"/>
    <w:rsid w:val="0031077C"/>
    <w:rsid w:val="00321CAE"/>
    <w:rsid w:val="003261FD"/>
    <w:rsid w:val="00327324"/>
    <w:rsid w:val="0032747D"/>
    <w:rsid w:val="003324CB"/>
    <w:rsid w:val="003464BA"/>
    <w:rsid w:val="00366FDD"/>
    <w:rsid w:val="003748F3"/>
    <w:rsid w:val="00375605"/>
    <w:rsid w:val="00387A41"/>
    <w:rsid w:val="003B31B1"/>
    <w:rsid w:val="003C0FF8"/>
    <w:rsid w:val="003E5353"/>
    <w:rsid w:val="003F2FEC"/>
    <w:rsid w:val="003F60AB"/>
    <w:rsid w:val="0040753F"/>
    <w:rsid w:val="004140C9"/>
    <w:rsid w:val="00414894"/>
    <w:rsid w:val="004221DC"/>
    <w:rsid w:val="004222DD"/>
    <w:rsid w:val="0042635B"/>
    <w:rsid w:val="00461835"/>
    <w:rsid w:val="00466612"/>
    <w:rsid w:val="00466F20"/>
    <w:rsid w:val="004671D2"/>
    <w:rsid w:val="004725D3"/>
    <w:rsid w:val="004754FC"/>
    <w:rsid w:val="004820AC"/>
    <w:rsid w:val="004937D3"/>
    <w:rsid w:val="004C7C61"/>
    <w:rsid w:val="004E109D"/>
    <w:rsid w:val="0051695E"/>
    <w:rsid w:val="0052297E"/>
    <w:rsid w:val="00524839"/>
    <w:rsid w:val="0053076A"/>
    <w:rsid w:val="005404F4"/>
    <w:rsid w:val="005506AE"/>
    <w:rsid w:val="00556711"/>
    <w:rsid w:val="005618F1"/>
    <w:rsid w:val="00574BCF"/>
    <w:rsid w:val="00576395"/>
    <w:rsid w:val="005835C5"/>
    <w:rsid w:val="00585277"/>
    <w:rsid w:val="00594E39"/>
    <w:rsid w:val="005B5CDE"/>
    <w:rsid w:val="005D1652"/>
    <w:rsid w:val="005D2C4A"/>
    <w:rsid w:val="005D3DF1"/>
    <w:rsid w:val="005D5AFA"/>
    <w:rsid w:val="005D5E16"/>
    <w:rsid w:val="005E6797"/>
    <w:rsid w:val="005E7440"/>
    <w:rsid w:val="005F2A11"/>
    <w:rsid w:val="005F38A1"/>
    <w:rsid w:val="005F4E71"/>
    <w:rsid w:val="006201D0"/>
    <w:rsid w:val="00640614"/>
    <w:rsid w:val="0064147E"/>
    <w:rsid w:val="00641883"/>
    <w:rsid w:val="00646AAE"/>
    <w:rsid w:val="00653AEC"/>
    <w:rsid w:val="00655190"/>
    <w:rsid w:val="00656183"/>
    <w:rsid w:val="00662218"/>
    <w:rsid w:val="0067099F"/>
    <w:rsid w:val="006715A4"/>
    <w:rsid w:val="006729DA"/>
    <w:rsid w:val="00672A4C"/>
    <w:rsid w:val="00685AE0"/>
    <w:rsid w:val="00687037"/>
    <w:rsid w:val="006B56D7"/>
    <w:rsid w:val="006C2252"/>
    <w:rsid w:val="006C55FE"/>
    <w:rsid w:val="006D0E46"/>
    <w:rsid w:val="006D1998"/>
    <w:rsid w:val="006F02B9"/>
    <w:rsid w:val="006F0CEA"/>
    <w:rsid w:val="006F549F"/>
    <w:rsid w:val="00703D77"/>
    <w:rsid w:val="00707FAD"/>
    <w:rsid w:val="00711095"/>
    <w:rsid w:val="0072604C"/>
    <w:rsid w:val="007277B5"/>
    <w:rsid w:val="00737883"/>
    <w:rsid w:val="0075502E"/>
    <w:rsid w:val="00757AA4"/>
    <w:rsid w:val="00762BBE"/>
    <w:rsid w:val="0076681D"/>
    <w:rsid w:val="0076731C"/>
    <w:rsid w:val="00767E3E"/>
    <w:rsid w:val="007A23EF"/>
    <w:rsid w:val="007B683C"/>
    <w:rsid w:val="007D313C"/>
    <w:rsid w:val="007D397B"/>
    <w:rsid w:val="007E2050"/>
    <w:rsid w:val="007E29FF"/>
    <w:rsid w:val="007E5BB1"/>
    <w:rsid w:val="007F125F"/>
    <w:rsid w:val="00804324"/>
    <w:rsid w:val="00806CAA"/>
    <w:rsid w:val="00820546"/>
    <w:rsid w:val="008267FB"/>
    <w:rsid w:val="00832792"/>
    <w:rsid w:val="0083537E"/>
    <w:rsid w:val="00850C29"/>
    <w:rsid w:val="008534FD"/>
    <w:rsid w:val="00857D93"/>
    <w:rsid w:val="00860674"/>
    <w:rsid w:val="00870DEB"/>
    <w:rsid w:val="00880939"/>
    <w:rsid w:val="00885CE9"/>
    <w:rsid w:val="00890021"/>
    <w:rsid w:val="00891BA2"/>
    <w:rsid w:val="00896731"/>
    <w:rsid w:val="008C15D9"/>
    <w:rsid w:val="008C50D5"/>
    <w:rsid w:val="008D0747"/>
    <w:rsid w:val="008E13D1"/>
    <w:rsid w:val="008F442A"/>
    <w:rsid w:val="00910C0A"/>
    <w:rsid w:val="009112DC"/>
    <w:rsid w:val="00925DA1"/>
    <w:rsid w:val="009269F1"/>
    <w:rsid w:val="00931E6B"/>
    <w:rsid w:val="009331F3"/>
    <w:rsid w:val="009334D8"/>
    <w:rsid w:val="00982988"/>
    <w:rsid w:val="00983F5E"/>
    <w:rsid w:val="009911F2"/>
    <w:rsid w:val="00996159"/>
    <w:rsid w:val="009A317F"/>
    <w:rsid w:val="009B52E7"/>
    <w:rsid w:val="009C425C"/>
    <w:rsid w:val="009E14BB"/>
    <w:rsid w:val="009E53B8"/>
    <w:rsid w:val="009E7AF7"/>
    <w:rsid w:val="009F7421"/>
    <w:rsid w:val="00A35122"/>
    <w:rsid w:val="00A671E8"/>
    <w:rsid w:val="00A83E54"/>
    <w:rsid w:val="00A84941"/>
    <w:rsid w:val="00A853AB"/>
    <w:rsid w:val="00A94002"/>
    <w:rsid w:val="00A9600C"/>
    <w:rsid w:val="00A97D23"/>
    <w:rsid w:val="00AA4753"/>
    <w:rsid w:val="00AB4B93"/>
    <w:rsid w:val="00AB61A7"/>
    <w:rsid w:val="00AC4AD4"/>
    <w:rsid w:val="00AD064D"/>
    <w:rsid w:val="00AD40B8"/>
    <w:rsid w:val="00AD486E"/>
    <w:rsid w:val="00AD71BC"/>
    <w:rsid w:val="00AF66FE"/>
    <w:rsid w:val="00B0479E"/>
    <w:rsid w:val="00B0564E"/>
    <w:rsid w:val="00B105BD"/>
    <w:rsid w:val="00B13D60"/>
    <w:rsid w:val="00B14EAE"/>
    <w:rsid w:val="00B206A4"/>
    <w:rsid w:val="00B21EDC"/>
    <w:rsid w:val="00B224D7"/>
    <w:rsid w:val="00B22CF9"/>
    <w:rsid w:val="00B25C58"/>
    <w:rsid w:val="00B269DC"/>
    <w:rsid w:val="00B3430C"/>
    <w:rsid w:val="00B35ECC"/>
    <w:rsid w:val="00B368C2"/>
    <w:rsid w:val="00B50ABC"/>
    <w:rsid w:val="00B55302"/>
    <w:rsid w:val="00B6292E"/>
    <w:rsid w:val="00B70ED7"/>
    <w:rsid w:val="00B904E5"/>
    <w:rsid w:val="00BA2507"/>
    <w:rsid w:val="00BA5EB1"/>
    <w:rsid w:val="00BB764F"/>
    <w:rsid w:val="00BC1144"/>
    <w:rsid w:val="00BC241D"/>
    <w:rsid w:val="00BD78A2"/>
    <w:rsid w:val="00C02A6D"/>
    <w:rsid w:val="00C107F2"/>
    <w:rsid w:val="00C2143D"/>
    <w:rsid w:val="00C33A04"/>
    <w:rsid w:val="00C40206"/>
    <w:rsid w:val="00C43F7B"/>
    <w:rsid w:val="00C55C8E"/>
    <w:rsid w:val="00C56152"/>
    <w:rsid w:val="00C61658"/>
    <w:rsid w:val="00C64D27"/>
    <w:rsid w:val="00C74B0D"/>
    <w:rsid w:val="00C77B23"/>
    <w:rsid w:val="00C933BE"/>
    <w:rsid w:val="00C95B3C"/>
    <w:rsid w:val="00CA1009"/>
    <w:rsid w:val="00CA6D65"/>
    <w:rsid w:val="00CB1C7D"/>
    <w:rsid w:val="00CC048E"/>
    <w:rsid w:val="00CC244B"/>
    <w:rsid w:val="00CC381D"/>
    <w:rsid w:val="00CD7AA5"/>
    <w:rsid w:val="00D11351"/>
    <w:rsid w:val="00D16C84"/>
    <w:rsid w:val="00D320D8"/>
    <w:rsid w:val="00D40B91"/>
    <w:rsid w:val="00D45B01"/>
    <w:rsid w:val="00D52143"/>
    <w:rsid w:val="00D53020"/>
    <w:rsid w:val="00D6215B"/>
    <w:rsid w:val="00D63AD7"/>
    <w:rsid w:val="00D7081B"/>
    <w:rsid w:val="00D914F2"/>
    <w:rsid w:val="00DA0F82"/>
    <w:rsid w:val="00DA51E0"/>
    <w:rsid w:val="00DA76AD"/>
    <w:rsid w:val="00DB308E"/>
    <w:rsid w:val="00DB4061"/>
    <w:rsid w:val="00DB76B3"/>
    <w:rsid w:val="00DC6D73"/>
    <w:rsid w:val="00DD41FA"/>
    <w:rsid w:val="00DD6133"/>
    <w:rsid w:val="00DF3645"/>
    <w:rsid w:val="00E06294"/>
    <w:rsid w:val="00E10124"/>
    <w:rsid w:val="00E242E5"/>
    <w:rsid w:val="00E31442"/>
    <w:rsid w:val="00E3794C"/>
    <w:rsid w:val="00E52C94"/>
    <w:rsid w:val="00E575AE"/>
    <w:rsid w:val="00E87B30"/>
    <w:rsid w:val="00EA436A"/>
    <w:rsid w:val="00EA4667"/>
    <w:rsid w:val="00EC231A"/>
    <w:rsid w:val="00EC7151"/>
    <w:rsid w:val="00ED754B"/>
    <w:rsid w:val="00EE7686"/>
    <w:rsid w:val="00EF31AD"/>
    <w:rsid w:val="00F05F7B"/>
    <w:rsid w:val="00F06D6F"/>
    <w:rsid w:val="00F11CD2"/>
    <w:rsid w:val="00F1387A"/>
    <w:rsid w:val="00F17EB4"/>
    <w:rsid w:val="00F204CE"/>
    <w:rsid w:val="00F31EBA"/>
    <w:rsid w:val="00F336A4"/>
    <w:rsid w:val="00F5082D"/>
    <w:rsid w:val="00F531BD"/>
    <w:rsid w:val="00F5324A"/>
    <w:rsid w:val="00F55629"/>
    <w:rsid w:val="00F57042"/>
    <w:rsid w:val="00F57C68"/>
    <w:rsid w:val="00F618CD"/>
    <w:rsid w:val="00F6552E"/>
    <w:rsid w:val="00F7169E"/>
    <w:rsid w:val="00F7288F"/>
    <w:rsid w:val="00F82EA6"/>
    <w:rsid w:val="00F8567E"/>
    <w:rsid w:val="00F86656"/>
    <w:rsid w:val="00F91B06"/>
    <w:rsid w:val="00F92458"/>
    <w:rsid w:val="00F97C38"/>
    <w:rsid w:val="00FA0CA9"/>
    <w:rsid w:val="00FA4762"/>
    <w:rsid w:val="00FA5DEC"/>
    <w:rsid w:val="00FB5601"/>
    <w:rsid w:val="00FC21DB"/>
    <w:rsid w:val="00FC75FE"/>
    <w:rsid w:val="00FD0767"/>
    <w:rsid w:val="00FE7070"/>
    <w:rsid w:val="0C7F4A59"/>
    <w:rsid w:val="12413FBE"/>
    <w:rsid w:val="24D01AD7"/>
    <w:rsid w:val="2A31D359"/>
    <w:rsid w:val="417E2099"/>
    <w:rsid w:val="54CDA016"/>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styleId="xmsonormal" w:customStyle="1">
    <w:name w:val="x_msonormal"/>
    <w:basedOn w:val="Normal"/>
    <w:rsid w:val="003E5353"/>
    <w:pPr>
      <w:spacing w:after="0" w:line="240" w:lineRule="auto"/>
    </w:pPr>
    <w:rPr>
      <w:rFonts w:ascii="Aptos" w:hAnsi="Aptos" w:cs="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015B"/>
    <w:rsid w:val="00066004"/>
    <w:rsid w:val="000756A2"/>
    <w:rsid w:val="000F6DD0"/>
    <w:rsid w:val="001B0EEF"/>
    <w:rsid w:val="001B3EFE"/>
    <w:rsid w:val="001C6C4F"/>
    <w:rsid w:val="00236251"/>
    <w:rsid w:val="00240F00"/>
    <w:rsid w:val="002D7989"/>
    <w:rsid w:val="003261FD"/>
    <w:rsid w:val="00327324"/>
    <w:rsid w:val="00387A41"/>
    <w:rsid w:val="0040753F"/>
    <w:rsid w:val="004140C9"/>
    <w:rsid w:val="00452091"/>
    <w:rsid w:val="00467E8C"/>
    <w:rsid w:val="00500DD2"/>
    <w:rsid w:val="00524839"/>
    <w:rsid w:val="00591655"/>
    <w:rsid w:val="005B5CDE"/>
    <w:rsid w:val="005F2A11"/>
    <w:rsid w:val="00641883"/>
    <w:rsid w:val="00672A4C"/>
    <w:rsid w:val="006D0E46"/>
    <w:rsid w:val="006F549F"/>
    <w:rsid w:val="0076681D"/>
    <w:rsid w:val="007A23EF"/>
    <w:rsid w:val="007D313C"/>
    <w:rsid w:val="007D7F3C"/>
    <w:rsid w:val="008F7DC3"/>
    <w:rsid w:val="009E14BB"/>
    <w:rsid w:val="00A9600C"/>
    <w:rsid w:val="00AC2950"/>
    <w:rsid w:val="00AD486E"/>
    <w:rsid w:val="00B06ACB"/>
    <w:rsid w:val="00B904E5"/>
    <w:rsid w:val="00BD78A2"/>
    <w:rsid w:val="00C02A6D"/>
    <w:rsid w:val="00C3159D"/>
    <w:rsid w:val="00C64D27"/>
    <w:rsid w:val="00CB2F21"/>
    <w:rsid w:val="00CC048E"/>
    <w:rsid w:val="00D06474"/>
    <w:rsid w:val="00D320D8"/>
    <w:rsid w:val="00D914F2"/>
    <w:rsid w:val="00DB0D6E"/>
    <w:rsid w:val="00DD6133"/>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5</revision>
  <dcterms:created xsi:type="dcterms:W3CDTF">2026-08-10T12:55:00.0000000Z</dcterms:created>
  <dcterms:modified xsi:type="dcterms:W3CDTF">2026-08-12T07:34:30.1488471Z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