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4CA8" w14:textId="77777777" w:rsidR="00E5198F" w:rsidRPr="00DB68DC" w:rsidRDefault="00E11685" w:rsidP="00E5198F">
      <w:pPr>
        <w:pStyle w:val="ListParagraph"/>
        <w:spacing w:after="0" w:line="240" w:lineRule="auto"/>
        <w:ind w:left="0"/>
        <w:jc w:val="both"/>
        <w:rPr>
          <w:rFonts w:ascii="Verdana" w:hAnsi="Verdana" w:cs="Arial"/>
          <w:b/>
          <w:caps/>
          <w:sz w:val="28"/>
          <w:szCs w:val="24"/>
        </w:rPr>
      </w:pPr>
      <w:bookmarkStart w:id="0" w:name="Workforce"/>
      <w:r w:rsidRPr="00DB68DC">
        <w:rPr>
          <w:rFonts w:ascii="Verdana" w:hAnsi="Verdana" w:cs="Arial"/>
          <w:b/>
          <w:caps/>
          <w:sz w:val="28"/>
          <w:szCs w:val="24"/>
        </w:rPr>
        <w:t>10</w:t>
      </w:r>
      <w:r w:rsidR="00E5198F" w:rsidRPr="00DB68DC">
        <w:rPr>
          <w:rFonts w:ascii="Verdana" w:hAnsi="Verdana" w:cs="Arial"/>
          <w:b/>
          <w:caps/>
          <w:sz w:val="28"/>
          <w:szCs w:val="24"/>
        </w:rPr>
        <w:t xml:space="preserve">. Workforce Updates and Actions </w:t>
      </w:r>
    </w:p>
    <w:bookmarkEnd w:id="0"/>
    <w:p w14:paraId="3C43A186" w14:textId="5E655B97" w:rsidR="00E5198F" w:rsidRPr="00DB68DC" w:rsidRDefault="00E5198F" w:rsidP="00E5198F">
      <w:pPr>
        <w:spacing w:after="0" w:line="240" w:lineRule="auto"/>
        <w:jc w:val="both"/>
        <w:rPr>
          <w:rFonts w:ascii="Verdana" w:hAnsi="Verdana" w:cs="Arial"/>
          <w:sz w:val="24"/>
        </w:rPr>
      </w:pPr>
      <w:r w:rsidRPr="00DB68DC">
        <w:rPr>
          <w:rFonts w:ascii="Verdana" w:hAnsi="Verdana" w:cs="Arial"/>
          <w:sz w:val="24"/>
          <w:szCs w:val="24"/>
        </w:rPr>
        <w:t>This section of the report provides further detail on key workforce measures.</w:t>
      </w:r>
      <w:r w:rsidR="00BE75DA" w:rsidRPr="00DB68DC">
        <w:rPr>
          <w:rFonts w:ascii="Verdana" w:hAnsi="Verdana" w:cs="Arial"/>
          <w:sz w:val="24"/>
          <w:szCs w:val="24"/>
        </w:rPr>
        <w:t xml:space="preserve"> Caveats and Limitations detailed beneath data in each section.</w:t>
      </w:r>
    </w:p>
    <w:tbl>
      <w:tblPr>
        <w:tblStyle w:val="TableGrid"/>
        <w:tblW w:w="13740" w:type="dxa"/>
        <w:tblInd w:w="5" w:type="dxa"/>
        <w:tblLayout w:type="fixed"/>
        <w:tblLook w:val="0600" w:firstRow="0" w:lastRow="0" w:firstColumn="0" w:lastColumn="0" w:noHBand="1" w:noVBand="1"/>
      </w:tblPr>
      <w:tblGrid>
        <w:gridCol w:w="2117"/>
        <w:gridCol w:w="11623"/>
      </w:tblGrid>
      <w:tr w:rsidR="00D40A65" w:rsidRPr="00DB68DC" w14:paraId="11A3C2E0" w14:textId="77777777" w:rsidTr="00DB68DC">
        <w:tc>
          <w:tcPr>
            <w:tcW w:w="2117" w:type="dxa"/>
            <w:shd w:val="clear" w:color="auto" w:fill="DBE5F1" w:themeFill="accent1" w:themeFillTint="33"/>
          </w:tcPr>
          <w:p w14:paraId="2D289D3F" w14:textId="0408EC17" w:rsidR="00D40A65" w:rsidRPr="00DB68DC" w:rsidRDefault="00D40A65" w:rsidP="00D40A65">
            <w:pPr>
              <w:spacing w:after="0" w:line="240" w:lineRule="auto"/>
              <w:rPr>
                <w:rFonts w:ascii="Verdana" w:hAnsi="Verdana" w:cs="Arial"/>
                <w:bCs/>
                <w:sz w:val="22"/>
                <w:szCs w:val="21"/>
              </w:rPr>
            </w:pPr>
            <w:r w:rsidRPr="00DB68DC">
              <w:rPr>
                <w:rFonts w:ascii="Verdana" w:hAnsi="Verdana" w:cs="Arial"/>
                <w:b/>
                <w:bCs/>
                <w:sz w:val="24"/>
                <w:szCs w:val="21"/>
              </w:rPr>
              <w:t>Staff sickness rates</w:t>
            </w:r>
            <w:r w:rsidR="00D85E6F" w:rsidRPr="00DB68DC">
              <w:rPr>
                <w:rFonts w:ascii="Verdana" w:hAnsi="Verdana" w:cs="Arial"/>
                <w:b/>
                <w:bCs/>
                <w:sz w:val="24"/>
                <w:szCs w:val="21"/>
              </w:rPr>
              <w:t xml:space="preserve"> </w:t>
            </w:r>
            <w:r w:rsidRPr="00DB68DC">
              <w:rPr>
                <w:rFonts w:ascii="Verdana" w:hAnsi="Verdana" w:cs="Arial"/>
                <w:b/>
                <w:bCs/>
                <w:sz w:val="24"/>
                <w:szCs w:val="21"/>
              </w:rPr>
              <w:t xml:space="preserve">- </w:t>
            </w:r>
            <w:r w:rsidRPr="00DB68DC">
              <w:rPr>
                <w:rFonts w:ascii="Verdana" w:hAnsi="Verdana" w:cs="Arial"/>
                <w:bCs/>
                <w:i/>
                <w:sz w:val="22"/>
                <w:szCs w:val="21"/>
              </w:rPr>
              <w:t>Percentage of sickness absence rate of staff</w:t>
            </w:r>
            <w:r w:rsidR="00BE4665" w:rsidRPr="00DB68DC">
              <w:rPr>
                <w:rFonts w:ascii="Verdana" w:hAnsi="Verdana" w:cs="Arial"/>
                <w:bCs/>
                <w:i/>
                <w:sz w:val="22"/>
                <w:szCs w:val="21"/>
              </w:rPr>
              <w:t xml:space="preserve"> (two metrics provided, ‘rolling 12 </w:t>
            </w:r>
            <w:proofErr w:type="gramStart"/>
            <w:r w:rsidR="00BE4665" w:rsidRPr="00DB68DC">
              <w:rPr>
                <w:rFonts w:ascii="Verdana" w:hAnsi="Verdana" w:cs="Arial"/>
                <w:bCs/>
                <w:i/>
                <w:sz w:val="22"/>
                <w:szCs w:val="21"/>
              </w:rPr>
              <w:t>month</w:t>
            </w:r>
            <w:proofErr w:type="gramEnd"/>
            <w:r w:rsidR="00BE4665" w:rsidRPr="00DB68DC">
              <w:rPr>
                <w:rFonts w:ascii="Verdana" w:hAnsi="Verdana" w:cs="Arial"/>
                <w:bCs/>
                <w:i/>
                <w:sz w:val="22"/>
                <w:szCs w:val="21"/>
              </w:rPr>
              <w:t>’ and ‘in month’)</w:t>
            </w:r>
          </w:p>
          <w:p w14:paraId="0676B513" w14:textId="77777777" w:rsidR="00D40A65" w:rsidRPr="00DB68DC" w:rsidRDefault="00D40A65" w:rsidP="00773540">
            <w:pPr>
              <w:spacing w:after="0" w:line="240" w:lineRule="auto"/>
              <w:rPr>
                <w:rFonts w:ascii="Verdana" w:hAnsi="Verdana" w:cs="Arial"/>
                <w:b/>
                <w:bCs/>
                <w:sz w:val="24"/>
                <w:szCs w:val="24"/>
              </w:rPr>
            </w:pPr>
          </w:p>
          <w:p w14:paraId="01F0C1CF" w14:textId="77777777" w:rsidR="003756B7" w:rsidRPr="00DB68DC" w:rsidRDefault="003756B7" w:rsidP="00773540">
            <w:pPr>
              <w:spacing w:after="0" w:line="240" w:lineRule="auto"/>
              <w:rPr>
                <w:rFonts w:ascii="Verdana" w:hAnsi="Verdana" w:cs="Arial"/>
                <w:b/>
                <w:bCs/>
                <w:sz w:val="24"/>
                <w:szCs w:val="24"/>
              </w:rPr>
            </w:pPr>
          </w:p>
          <w:p w14:paraId="3A9262E3" w14:textId="77777777" w:rsidR="003756B7" w:rsidRPr="00DB68DC" w:rsidRDefault="003756B7" w:rsidP="00773540">
            <w:pPr>
              <w:spacing w:after="0" w:line="240" w:lineRule="auto"/>
              <w:rPr>
                <w:rFonts w:ascii="Verdana" w:hAnsi="Verdana" w:cs="Arial"/>
                <w:b/>
                <w:bCs/>
                <w:sz w:val="24"/>
                <w:szCs w:val="24"/>
              </w:rPr>
            </w:pPr>
          </w:p>
          <w:p w14:paraId="0A253216" w14:textId="5BB6364E" w:rsidR="003756B7" w:rsidRPr="00DB68DC" w:rsidRDefault="003756B7" w:rsidP="00773540">
            <w:pPr>
              <w:spacing w:after="0" w:line="240" w:lineRule="auto"/>
              <w:rPr>
                <w:rFonts w:ascii="Verdana" w:hAnsi="Verdana" w:cs="Arial"/>
                <w:b/>
                <w:bCs/>
                <w:sz w:val="24"/>
                <w:szCs w:val="24"/>
              </w:rPr>
            </w:pPr>
            <w:r w:rsidRPr="00DB68DC">
              <w:rPr>
                <w:rFonts w:ascii="Verdana" w:hAnsi="Verdana" w:cs="Arial"/>
                <w:b/>
                <w:bCs/>
                <w:sz w:val="24"/>
                <w:szCs w:val="24"/>
              </w:rPr>
              <w:t>Sickness absence target – 5.5%</w:t>
            </w:r>
          </w:p>
        </w:tc>
        <w:tc>
          <w:tcPr>
            <w:tcW w:w="11623" w:type="dxa"/>
            <w:shd w:val="clear" w:color="auto" w:fill="auto"/>
          </w:tcPr>
          <w:p w14:paraId="4FFF324F" w14:textId="3FAAD834" w:rsidR="00D40A65" w:rsidRPr="00DB68DC" w:rsidRDefault="00D40A65" w:rsidP="001D1DF9">
            <w:pPr>
              <w:spacing w:after="0" w:line="240" w:lineRule="auto"/>
              <w:jc w:val="center"/>
              <w:rPr>
                <w:rFonts w:ascii="Verdana" w:hAnsi="Verdana" w:cs="Arial"/>
                <w:b/>
                <w:sz w:val="24"/>
                <w:szCs w:val="24"/>
              </w:rPr>
            </w:pPr>
            <w:r w:rsidRPr="00DB68DC">
              <w:rPr>
                <w:rFonts w:ascii="Verdana" w:hAnsi="Verdana" w:cs="Arial"/>
                <w:b/>
                <w:sz w:val="24"/>
                <w:szCs w:val="24"/>
              </w:rPr>
              <w:t>% of full time equivalent (FTE) days lost to sickness absence</w:t>
            </w:r>
          </w:p>
          <w:p w14:paraId="0C39E302" w14:textId="638EC11D" w:rsidR="009B7C03" w:rsidRPr="00DB68DC" w:rsidRDefault="009B7C03" w:rsidP="194081B6">
            <w:pPr>
              <w:spacing w:after="0" w:line="240" w:lineRule="auto"/>
              <w:jc w:val="center"/>
              <w:rPr>
                <w:rFonts w:ascii="Verdana" w:hAnsi="Verdana"/>
              </w:rPr>
            </w:pPr>
          </w:p>
          <w:p w14:paraId="18035D3A" w14:textId="6DBAC88A" w:rsidR="00D47F8E" w:rsidRPr="00DB68DC" w:rsidRDefault="0071062B" w:rsidP="194081B6">
            <w:pPr>
              <w:spacing w:after="0" w:line="240" w:lineRule="auto"/>
              <w:jc w:val="center"/>
              <w:rPr>
                <w:rFonts w:ascii="Verdana" w:hAnsi="Verdana"/>
              </w:rPr>
            </w:pPr>
            <w:r w:rsidRPr="00DB68DC">
              <w:rPr>
                <w:rFonts w:ascii="Verdana" w:hAnsi="Verdana"/>
                <w:noProof/>
              </w:rPr>
              <w:drawing>
                <wp:inline distT="0" distB="0" distL="0" distR="0" wp14:anchorId="31AC58F5" wp14:editId="42025318">
                  <wp:extent cx="5857240" cy="2703444"/>
                  <wp:effectExtent l="0" t="0" r="0" b="1905"/>
                  <wp:docPr id="5" name="Chart 5">
                    <a:extLst xmlns:a="http://schemas.openxmlformats.org/drawingml/2006/main">
                      <a:ext uri="{FF2B5EF4-FFF2-40B4-BE49-F238E27FC236}">
                        <a16:creationId xmlns:a16="http://schemas.microsoft.com/office/drawing/2014/main" id="{11CE0FF6-1825-4696-8CEE-BB6766E19E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Pr="00DB68DC" w:rsidRDefault="00D47F8E" w:rsidP="194081B6">
            <w:pPr>
              <w:spacing w:after="0" w:line="240" w:lineRule="auto"/>
              <w:rPr>
                <w:rFonts w:ascii="Verdana" w:hAnsi="Verdana" w:cs="Arial"/>
                <w:i/>
                <w:sz w:val="18"/>
                <w:szCs w:val="18"/>
              </w:rPr>
            </w:pPr>
          </w:p>
          <w:p w14:paraId="036E2B94" w14:textId="48917F0E" w:rsidR="00A6373C" w:rsidRPr="00DB68DC" w:rsidRDefault="009B7C03" w:rsidP="194081B6">
            <w:pPr>
              <w:spacing w:after="0" w:line="240" w:lineRule="auto"/>
              <w:rPr>
                <w:rFonts w:ascii="Verdana" w:hAnsi="Verdana" w:cs="Arial"/>
                <w:i/>
                <w:iCs/>
                <w:sz w:val="18"/>
                <w:szCs w:val="18"/>
              </w:rPr>
            </w:pPr>
            <w:r w:rsidRPr="00DB68DC">
              <w:rPr>
                <w:rFonts w:ascii="Verdana" w:hAnsi="Verdana" w:cs="Arial"/>
                <w:i/>
                <w:sz w:val="18"/>
                <w:szCs w:val="18"/>
              </w:rPr>
              <w:t>C</w:t>
            </w:r>
            <w:r w:rsidR="00EA259B" w:rsidRPr="00DB68DC">
              <w:rPr>
                <w:rFonts w:ascii="Verdana" w:hAnsi="Verdana" w:cs="Arial"/>
                <w:i/>
                <w:sz w:val="18"/>
                <w:szCs w:val="18"/>
              </w:rPr>
              <w:t xml:space="preserve">aveat </w:t>
            </w:r>
            <w:r w:rsidRPr="00DB68DC">
              <w:rPr>
                <w:rFonts w:ascii="Verdana" w:hAnsi="Verdana" w:cs="Arial"/>
                <w:i/>
                <w:sz w:val="18"/>
                <w:szCs w:val="18"/>
              </w:rPr>
              <w:t>&amp;</w:t>
            </w:r>
            <w:r w:rsidR="00EA259B" w:rsidRPr="00DB68DC">
              <w:rPr>
                <w:rFonts w:ascii="Verdana" w:hAnsi="Verdana" w:cs="Arial"/>
                <w:i/>
                <w:sz w:val="18"/>
                <w:szCs w:val="18"/>
              </w:rPr>
              <w:t xml:space="preserve"> </w:t>
            </w:r>
            <w:proofErr w:type="gramStart"/>
            <w:r w:rsidRPr="00DB68DC">
              <w:rPr>
                <w:rFonts w:ascii="Verdana" w:hAnsi="Verdana" w:cs="Arial"/>
                <w:i/>
                <w:sz w:val="18"/>
                <w:szCs w:val="18"/>
              </w:rPr>
              <w:t>L</w:t>
            </w:r>
            <w:r w:rsidR="00EA259B" w:rsidRPr="00DB68DC">
              <w:rPr>
                <w:rFonts w:ascii="Verdana" w:hAnsi="Verdana" w:cs="Arial"/>
                <w:i/>
                <w:sz w:val="18"/>
                <w:szCs w:val="18"/>
              </w:rPr>
              <w:t>imitations</w:t>
            </w:r>
            <w:r w:rsidRPr="00DB68DC">
              <w:rPr>
                <w:rFonts w:ascii="Verdana" w:hAnsi="Verdana" w:cs="Arial"/>
                <w:i/>
                <w:sz w:val="18"/>
                <w:szCs w:val="18"/>
              </w:rPr>
              <w:t>;-</w:t>
            </w:r>
            <w:proofErr w:type="gramEnd"/>
            <w:r w:rsidRPr="00DB68DC">
              <w:rPr>
                <w:rFonts w:ascii="Verdana" w:hAnsi="Verdana" w:cs="Arial"/>
                <w:i/>
                <w:sz w:val="18"/>
                <w:szCs w:val="18"/>
              </w:rPr>
              <w:t xml:space="preserve"> Report generated </w:t>
            </w:r>
            <w:r w:rsidR="0071062B" w:rsidRPr="00DB68DC">
              <w:rPr>
                <w:rFonts w:ascii="Verdana" w:hAnsi="Verdana" w:cs="Arial"/>
                <w:i/>
                <w:sz w:val="18"/>
                <w:szCs w:val="18"/>
              </w:rPr>
              <w:t>Jul</w:t>
            </w:r>
            <w:r w:rsidRPr="00DB68DC">
              <w:rPr>
                <w:rFonts w:ascii="Verdana" w:hAnsi="Verdana" w:cs="Arial"/>
                <w:i/>
                <w:sz w:val="18"/>
                <w:szCs w:val="18"/>
              </w:rPr>
              <w:t xml:space="preserve"> 202</w:t>
            </w:r>
            <w:r w:rsidR="00D85CC9" w:rsidRPr="00DB68DC">
              <w:rPr>
                <w:rFonts w:ascii="Verdana" w:hAnsi="Verdana" w:cs="Arial"/>
                <w:i/>
                <w:sz w:val="18"/>
                <w:szCs w:val="18"/>
              </w:rPr>
              <w:t>5</w:t>
            </w:r>
            <w:r w:rsidRPr="00DB68DC">
              <w:rPr>
                <w:rFonts w:ascii="Verdana" w:hAnsi="Verdana" w:cs="Arial"/>
                <w:i/>
                <w:sz w:val="18"/>
                <w:szCs w:val="18"/>
              </w:rPr>
              <w:t>, within SBUHB (Performance Team)</w:t>
            </w:r>
            <w:r w:rsidR="00CF3BEB" w:rsidRPr="00DB68DC">
              <w:rPr>
                <w:rFonts w:ascii="Verdana" w:hAnsi="Verdana" w:cs="Arial"/>
                <w:i/>
                <w:sz w:val="18"/>
                <w:szCs w:val="18"/>
              </w:rPr>
              <w:t xml:space="preserve"> for substantive and FTC employee types</w:t>
            </w:r>
            <w:r w:rsidRPr="00DB68DC">
              <w:rPr>
                <w:rFonts w:ascii="Verdana" w:hAnsi="Verdana" w:cs="Arial"/>
                <w:i/>
                <w:sz w:val="18"/>
                <w:szCs w:val="18"/>
              </w:rPr>
              <w:t>.</w:t>
            </w:r>
            <w:r w:rsidR="00A6373C" w:rsidRPr="00DB68DC">
              <w:rPr>
                <w:rFonts w:ascii="Verdana" w:hAnsi="Verdana" w:cs="Arial"/>
                <w:i/>
                <w:sz w:val="18"/>
                <w:szCs w:val="18"/>
              </w:rPr>
              <w:t xml:space="preserve"> Data source – ESR</w:t>
            </w:r>
            <w:r w:rsidR="00CF3BEB" w:rsidRPr="00DB68DC">
              <w:rPr>
                <w:rFonts w:ascii="Verdana" w:hAnsi="Verdana" w:cs="Arial"/>
                <w:i/>
                <w:sz w:val="18"/>
                <w:szCs w:val="18"/>
              </w:rPr>
              <w:t>.</w:t>
            </w:r>
            <w:r w:rsidR="00A251A2" w:rsidRPr="00DB68DC">
              <w:rPr>
                <w:rFonts w:ascii="Verdana" w:hAnsi="Verdana" w:cs="Arial"/>
                <w:i/>
                <w:sz w:val="18"/>
                <w:szCs w:val="18"/>
              </w:rPr>
              <w:t xml:space="preserve"> </w:t>
            </w:r>
            <w:r w:rsidR="00913066" w:rsidRPr="00DB68DC">
              <w:rPr>
                <w:rFonts w:ascii="Verdana" w:hAnsi="Verdana" w:cs="Arial"/>
                <w:i/>
                <w:iCs/>
                <w:sz w:val="18"/>
                <w:szCs w:val="18"/>
              </w:rPr>
              <w:t>Target of 5.5% added as blue line</w:t>
            </w:r>
          </w:p>
          <w:p w14:paraId="23C68331" w14:textId="54284CD0" w:rsidR="00A6373C" w:rsidRPr="00DB68DC" w:rsidRDefault="00A6373C" w:rsidP="194081B6">
            <w:pPr>
              <w:spacing w:after="0" w:line="240" w:lineRule="auto"/>
              <w:rPr>
                <w:rFonts w:ascii="Verdana" w:hAnsi="Verdana" w:cs="Arial"/>
                <w:i/>
                <w:iCs/>
                <w:sz w:val="18"/>
                <w:szCs w:val="18"/>
                <w:highlight w:val="yellow"/>
              </w:rPr>
            </w:pPr>
          </w:p>
        </w:tc>
      </w:tr>
      <w:tr w:rsidR="00877518" w:rsidRPr="00DB68DC" w14:paraId="55BC500F" w14:textId="77777777" w:rsidTr="00DB68DC">
        <w:tc>
          <w:tcPr>
            <w:tcW w:w="13740" w:type="dxa"/>
            <w:gridSpan w:val="2"/>
            <w:shd w:val="clear" w:color="auto" w:fill="EAF1DD" w:themeFill="accent3" w:themeFillTint="33"/>
          </w:tcPr>
          <w:p w14:paraId="5277B735" w14:textId="77777777" w:rsidR="00877518" w:rsidRPr="00DB68DC" w:rsidRDefault="00877518" w:rsidP="00D40A65">
            <w:pPr>
              <w:spacing w:after="0" w:line="240" w:lineRule="auto"/>
              <w:rPr>
                <w:rFonts w:ascii="Verdana" w:hAnsi="Verdana" w:cs="Arial"/>
                <w:b/>
              </w:rPr>
            </w:pPr>
            <w:r w:rsidRPr="00DB68DC">
              <w:rPr>
                <w:rFonts w:ascii="Verdana" w:hAnsi="Verdana" w:cs="Arial"/>
                <w:b/>
              </w:rPr>
              <w:t>Current Performance</w:t>
            </w:r>
          </w:p>
        </w:tc>
      </w:tr>
      <w:tr w:rsidR="00994D25" w:rsidRPr="00DB68DC" w14:paraId="6379F7AA" w14:textId="77777777" w:rsidTr="00DB68DC">
        <w:tc>
          <w:tcPr>
            <w:tcW w:w="13740" w:type="dxa"/>
            <w:gridSpan w:val="2"/>
            <w:shd w:val="clear" w:color="auto" w:fill="auto"/>
          </w:tcPr>
          <w:p w14:paraId="00576ECE" w14:textId="77777777" w:rsidR="00FD623D" w:rsidRPr="00DB68DC" w:rsidRDefault="00FD623D" w:rsidP="00FD623D">
            <w:pPr>
              <w:spacing w:after="0" w:line="240" w:lineRule="auto"/>
              <w:rPr>
                <w:rFonts w:ascii="Verdana" w:hAnsi="Verdana" w:cs="Arial"/>
              </w:rPr>
            </w:pPr>
            <w:r w:rsidRPr="00DB68DC">
              <w:rPr>
                <w:rFonts w:ascii="Verdana" w:hAnsi="Verdana" w:cs="Arial"/>
              </w:rPr>
              <w:t xml:space="preserve">In month sickness absence has increased slightly in June to 6.82% from 6.76% reported in April 2025. Long term absence reported in June is 4.31% a slight reduction since the last reporting period by 0.67%. Short term absence reported in June is 2.51%, an increase of 0.76% since the last reporting period.  </w:t>
            </w:r>
          </w:p>
          <w:p w14:paraId="35429593" w14:textId="1206A4FB" w:rsidR="00FD623D" w:rsidRPr="00DB68DC" w:rsidRDefault="00FD623D" w:rsidP="00FD623D">
            <w:pPr>
              <w:pStyle w:val="ListParagraph"/>
              <w:numPr>
                <w:ilvl w:val="0"/>
                <w:numId w:val="33"/>
              </w:numPr>
              <w:spacing w:after="0" w:line="240" w:lineRule="auto"/>
              <w:rPr>
                <w:rFonts w:ascii="Verdana" w:hAnsi="Verdana" w:cs="Arial"/>
              </w:rPr>
            </w:pPr>
            <w:r w:rsidRPr="00DB68DC">
              <w:rPr>
                <w:rFonts w:ascii="Verdana" w:hAnsi="Verdana" w:cs="Arial"/>
              </w:rPr>
              <w:t xml:space="preserve">Anxiety/stress related absence remains the highest reason for long term and short-term absence and accounts for 2.40% of all in month sickness absence. The number of FTE days lost due to Anxiety/Stress/Depression has increased by 0.01% since the last reporting period. </w:t>
            </w:r>
          </w:p>
          <w:p w14:paraId="5670FFD8" w14:textId="3B7E42DC" w:rsidR="00FD623D" w:rsidRPr="00DB68DC" w:rsidRDefault="00FD623D" w:rsidP="00FD623D">
            <w:pPr>
              <w:pStyle w:val="ListParagraph"/>
              <w:numPr>
                <w:ilvl w:val="0"/>
                <w:numId w:val="33"/>
              </w:numPr>
              <w:spacing w:after="0" w:line="240" w:lineRule="auto"/>
              <w:rPr>
                <w:rFonts w:ascii="Verdana" w:hAnsi="Verdana" w:cs="Arial"/>
              </w:rPr>
            </w:pPr>
            <w:r w:rsidRPr="00DB68DC">
              <w:rPr>
                <w:rFonts w:ascii="Verdana" w:hAnsi="Verdana" w:cs="Arial"/>
              </w:rPr>
              <w:t xml:space="preserve">MSK is the second highest long term absence reason at 0.53% of long-term absence. The second highest reason for short term absence is Gastrointestinal problems at 0.31%.  </w:t>
            </w:r>
          </w:p>
          <w:p w14:paraId="4813E8B8" w14:textId="1FA5300E" w:rsidR="00FD623D" w:rsidRPr="00DB68DC" w:rsidRDefault="00FD623D" w:rsidP="00FD623D">
            <w:pPr>
              <w:pStyle w:val="ListParagraph"/>
              <w:numPr>
                <w:ilvl w:val="0"/>
                <w:numId w:val="33"/>
              </w:numPr>
              <w:spacing w:after="0" w:line="240" w:lineRule="auto"/>
              <w:rPr>
                <w:rFonts w:ascii="Verdana" w:hAnsi="Verdana" w:cs="Arial"/>
              </w:rPr>
            </w:pPr>
            <w:r w:rsidRPr="00DB68DC">
              <w:rPr>
                <w:rFonts w:ascii="Verdana" w:hAnsi="Verdana" w:cs="Arial"/>
              </w:rPr>
              <w:t xml:space="preserve">Estates and Ancillary report the highest sickness amongst staff groups at 9.56% in June. Our data supports that the hot spot areas within this professional group is Catering and Domestics. </w:t>
            </w:r>
          </w:p>
          <w:p w14:paraId="3ED3C039" w14:textId="62800306" w:rsidR="00FD623D" w:rsidRPr="00DB68DC" w:rsidRDefault="00FD623D" w:rsidP="00FD623D">
            <w:pPr>
              <w:pStyle w:val="ListParagraph"/>
              <w:numPr>
                <w:ilvl w:val="0"/>
                <w:numId w:val="33"/>
              </w:numPr>
              <w:spacing w:after="0" w:line="240" w:lineRule="auto"/>
              <w:rPr>
                <w:rFonts w:ascii="Verdana" w:hAnsi="Verdana" w:cs="Arial"/>
              </w:rPr>
            </w:pPr>
            <w:r w:rsidRPr="00DB68DC">
              <w:rPr>
                <w:rFonts w:ascii="Verdana" w:hAnsi="Verdana" w:cs="Arial"/>
              </w:rPr>
              <w:lastRenderedPageBreak/>
              <w:t xml:space="preserve">Mental Health &amp; Learning Disabilities remains the Service Group with the highest levels of absence at 7.57%, an increase of 0.53% since the last reporting period. Long term sickness has reduced </w:t>
            </w:r>
            <w:r w:rsidR="00A31416">
              <w:rPr>
                <w:rFonts w:ascii="Verdana" w:hAnsi="Verdana" w:cs="Arial"/>
              </w:rPr>
              <w:t xml:space="preserve">in this Service Group </w:t>
            </w:r>
            <w:r w:rsidRPr="00DB68DC">
              <w:rPr>
                <w:rFonts w:ascii="Verdana" w:hAnsi="Verdana" w:cs="Arial"/>
              </w:rPr>
              <w:t xml:space="preserve">since the last reporting </w:t>
            </w:r>
            <w:proofErr w:type="gramStart"/>
            <w:r w:rsidRPr="00DB68DC">
              <w:rPr>
                <w:rFonts w:ascii="Verdana" w:hAnsi="Verdana" w:cs="Arial"/>
              </w:rPr>
              <w:t>period</w:t>
            </w:r>
            <w:proofErr w:type="gramEnd"/>
            <w:r w:rsidRPr="00DB68DC">
              <w:rPr>
                <w:rFonts w:ascii="Verdana" w:hAnsi="Verdana" w:cs="Arial"/>
              </w:rPr>
              <w:t xml:space="preserve"> but short-term absence has increased by 1.23%</w:t>
            </w:r>
          </w:p>
          <w:p w14:paraId="5C821B54" w14:textId="63A5ED79" w:rsidR="00FD623D" w:rsidRPr="00DB68DC" w:rsidRDefault="00FD623D" w:rsidP="00FD623D">
            <w:pPr>
              <w:pStyle w:val="ListParagraph"/>
              <w:numPr>
                <w:ilvl w:val="0"/>
                <w:numId w:val="33"/>
              </w:numPr>
              <w:spacing w:after="0" w:line="240" w:lineRule="auto"/>
              <w:rPr>
                <w:rFonts w:ascii="Verdana" w:hAnsi="Verdana" w:cs="Arial"/>
              </w:rPr>
            </w:pPr>
            <w:r w:rsidRPr="00DB68DC">
              <w:rPr>
                <w:rFonts w:ascii="Verdana" w:hAnsi="Verdana" w:cs="Arial"/>
              </w:rPr>
              <w:t xml:space="preserve">Primary Community Care &amp; Therapies Service Group remain </w:t>
            </w:r>
            <w:r w:rsidR="00A31416">
              <w:rPr>
                <w:rFonts w:ascii="Verdana" w:hAnsi="Verdana" w:cs="Arial"/>
              </w:rPr>
              <w:t>t</w:t>
            </w:r>
            <w:r w:rsidRPr="00DB68DC">
              <w:rPr>
                <w:rFonts w:ascii="Verdana" w:hAnsi="Verdana" w:cs="Arial"/>
              </w:rPr>
              <w:t xml:space="preserve">he Group with the lowest level of sickness absence, but this has increased from 6.63% in April 2025 to 6.66% in June, this is due to increased absences in the District Nursing team.  </w:t>
            </w:r>
          </w:p>
          <w:p w14:paraId="065F5071" w14:textId="77777777" w:rsidR="00FD623D" w:rsidRPr="00DB68DC" w:rsidRDefault="00FD623D" w:rsidP="00FD623D">
            <w:pPr>
              <w:pStyle w:val="ListParagraph"/>
              <w:numPr>
                <w:ilvl w:val="0"/>
                <w:numId w:val="33"/>
              </w:numPr>
              <w:spacing w:after="0" w:line="240" w:lineRule="auto"/>
              <w:rPr>
                <w:rFonts w:ascii="Verdana" w:hAnsi="Verdana" w:cs="Arial"/>
              </w:rPr>
            </w:pPr>
            <w:r w:rsidRPr="00DB68DC">
              <w:rPr>
                <w:rFonts w:ascii="Verdana" w:hAnsi="Verdana" w:cs="Arial"/>
              </w:rPr>
              <w:t xml:space="preserve">Sickness absence in Morrison (6.81%) has increased slightly since the last reporting period, whereas sickness absence in Neath Port Talbot/Singleton (6.71%) has decreased slightly since the last reporting period. </w:t>
            </w:r>
          </w:p>
          <w:p w14:paraId="62E41802" w14:textId="1B2F6C2E" w:rsidR="00326954" w:rsidRPr="00DB68DC" w:rsidRDefault="00326954" w:rsidP="00FD623D">
            <w:pPr>
              <w:pStyle w:val="ListParagraph"/>
              <w:spacing w:after="0" w:line="240" w:lineRule="auto"/>
              <w:ind w:left="360"/>
              <w:rPr>
                <w:rFonts w:ascii="Verdana" w:hAnsi="Verdana" w:cs="Arial"/>
                <w:highlight w:val="yellow"/>
              </w:rPr>
            </w:pPr>
          </w:p>
        </w:tc>
      </w:tr>
      <w:tr w:rsidR="00994D25" w:rsidRPr="00DB68DC" w14:paraId="1B28EB19" w14:textId="77777777" w:rsidTr="00DB68DC">
        <w:tc>
          <w:tcPr>
            <w:tcW w:w="13740" w:type="dxa"/>
            <w:gridSpan w:val="2"/>
            <w:shd w:val="clear" w:color="auto" w:fill="EAF1DD" w:themeFill="accent3" w:themeFillTint="33"/>
          </w:tcPr>
          <w:p w14:paraId="591F2706" w14:textId="77777777" w:rsidR="00994D25" w:rsidRPr="00DB68DC" w:rsidRDefault="00994D25" w:rsidP="00994D25">
            <w:pPr>
              <w:spacing w:after="0" w:line="240" w:lineRule="auto"/>
              <w:rPr>
                <w:rFonts w:ascii="Verdana" w:hAnsi="Verdana" w:cs="Arial"/>
                <w:b/>
              </w:rPr>
            </w:pPr>
            <w:r w:rsidRPr="00DB68DC">
              <w:rPr>
                <w:rFonts w:ascii="Verdana" w:hAnsi="Verdana" w:cs="Arial"/>
                <w:b/>
              </w:rPr>
              <w:lastRenderedPageBreak/>
              <w:t>Actions for Next Period</w:t>
            </w:r>
          </w:p>
        </w:tc>
      </w:tr>
      <w:tr w:rsidR="00994D25" w:rsidRPr="00DB68DC" w14:paraId="35447E90" w14:textId="77777777" w:rsidTr="00DB68DC">
        <w:tc>
          <w:tcPr>
            <w:tcW w:w="13740" w:type="dxa"/>
            <w:gridSpan w:val="2"/>
            <w:shd w:val="clear" w:color="auto" w:fill="auto"/>
          </w:tcPr>
          <w:p w14:paraId="090F407A" w14:textId="77777777" w:rsidR="00837CDB" w:rsidRPr="00DB68DC" w:rsidRDefault="00837CDB" w:rsidP="00837CDB">
            <w:pPr>
              <w:spacing w:after="0" w:line="240" w:lineRule="auto"/>
              <w:contextualSpacing/>
              <w:textAlignment w:val="baseline"/>
              <w:rPr>
                <w:rFonts w:ascii="Verdana" w:hAnsi="Verdana" w:cs="Arial"/>
                <w:b/>
              </w:rPr>
            </w:pPr>
            <w:r w:rsidRPr="00DB68DC">
              <w:rPr>
                <w:rFonts w:ascii="Verdana" w:hAnsi="Verdana" w:cs="Arial"/>
                <w:b/>
              </w:rPr>
              <w:t>General</w:t>
            </w:r>
          </w:p>
          <w:p w14:paraId="2929441D" w14:textId="77777777" w:rsidR="00837CDB" w:rsidRPr="00DB68DC" w:rsidRDefault="00837CDB" w:rsidP="00837CDB">
            <w:pPr>
              <w:spacing w:after="0" w:line="240" w:lineRule="auto"/>
              <w:contextualSpacing/>
              <w:textAlignment w:val="baseline"/>
              <w:rPr>
                <w:rFonts w:ascii="Verdana" w:hAnsi="Verdana" w:cs="Arial"/>
              </w:rPr>
            </w:pPr>
            <w:r w:rsidRPr="00DB68DC">
              <w:rPr>
                <w:rFonts w:ascii="Verdana" w:hAnsi="Verdana" w:cs="Arial"/>
              </w:rPr>
              <w:t>Current focus on areas with high absences rates, examples of initiatives to support our employees:</w:t>
            </w:r>
          </w:p>
          <w:p w14:paraId="2F26E46D" w14:textId="50BB5F9F" w:rsidR="00837CDB" w:rsidRPr="00DB68DC" w:rsidRDefault="00B13235" w:rsidP="00837CDB">
            <w:pPr>
              <w:pStyle w:val="ListParagraph"/>
              <w:numPr>
                <w:ilvl w:val="0"/>
                <w:numId w:val="21"/>
              </w:numPr>
              <w:spacing w:after="0" w:line="240" w:lineRule="auto"/>
              <w:rPr>
                <w:rFonts w:ascii="Verdana" w:hAnsi="Verdana" w:cs="Arial"/>
                <w:b/>
              </w:rPr>
            </w:pPr>
            <w:r w:rsidRPr="00DB68DC">
              <w:rPr>
                <w:rFonts w:ascii="Verdana" w:eastAsia="Times New Roman" w:hAnsi="Verdana" w:cs="Arial"/>
                <w:lang w:val="en-US"/>
              </w:rPr>
              <w:t xml:space="preserve">Continuing </w:t>
            </w:r>
            <w:r w:rsidR="00A31416">
              <w:rPr>
                <w:rFonts w:ascii="Verdana" w:eastAsia="Times New Roman" w:hAnsi="Verdana" w:cs="Arial"/>
                <w:lang w:val="en-US"/>
              </w:rPr>
              <w:t>t</w:t>
            </w:r>
            <w:r w:rsidR="00837CDB" w:rsidRPr="00DB68DC">
              <w:rPr>
                <w:rFonts w:ascii="Verdana" w:eastAsia="Times New Roman" w:hAnsi="Verdana" w:cs="Arial"/>
                <w:lang w:val="en-US"/>
              </w:rPr>
              <w:t xml:space="preserve">ailored </w:t>
            </w:r>
            <w:r w:rsidR="00A31416">
              <w:rPr>
                <w:rFonts w:ascii="Verdana" w:eastAsia="Times New Roman" w:hAnsi="Verdana" w:cs="Arial"/>
                <w:lang w:val="en-US"/>
              </w:rPr>
              <w:t>a</w:t>
            </w:r>
            <w:r w:rsidR="00837CDB" w:rsidRPr="00DB68DC">
              <w:rPr>
                <w:rFonts w:ascii="Verdana" w:eastAsia="Times New Roman" w:hAnsi="Verdana" w:cs="Arial"/>
                <w:lang w:val="en-US"/>
              </w:rPr>
              <w:t xml:space="preserve">djustment training for managers to increase experience of using these to flexibly support staff to remain in work/return to work </w:t>
            </w:r>
          </w:p>
          <w:p w14:paraId="21ED8D18" w14:textId="7BF70393" w:rsidR="00837CDB" w:rsidRPr="00DB68DC" w:rsidRDefault="00837CDB" w:rsidP="00837CDB">
            <w:pPr>
              <w:pStyle w:val="ListParagraph"/>
              <w:numPr>
                <w:ilvl w:val="0"/>
                <w:numId w:val="21"/>
              </w:numPr>
              <w:spacing w:after="0" w:line="240" w:lineRule="auto"/>
              <w:rPr>
                <w:rFonts w:ascii="Verdana" w:hAnsi="Verdana" w:cs="Arial"/>
                <w:bCs/>
              </w:rPr>
            </w:pPr>
            <w:r w:rsidRPr="00DB68DC">
              <w:rPr>
                <w:rFonts w:ascii="Verdana" w:hAnsi="Verdana" w:cs="Arial"/>
                <w:bCs/>
              </w:rPr>
              <w:t>Case conference training for leaders in partnership with O</w:t>
            </w:r>
            <w:r w:rsidR="00A31416">
              <w:rPr>
                <w:rFonts w:ascii="Verdana" w:hAnsi="Verdana" w:cs="Arial"/>
                <w:bCs/>
              </w:rPr>
              <w:t>ccupational Health</w:t>
            </w:r>
          </w:p>
          <w:p w14:paraId="4677F6FB" w14:textId="01EEA148" w:rsidR="00712C48" w:rsidRPr="00DB68DC" w:rsidRDefault="00712C48" w:rsidP="00712C48">
            <w:pPr>
              <w:pStyle w:val="ListParagraph"/>
              <w:numPr>
                <w:ilvl w:val="0"/>
                <w:numId w:val="21"/>
              </w:numPr>
              <w:spacing w:after="0" w:line="240" w:lineRule="auto"/>
              <w:rPr>
                <w:rFonts w:ascii="Verdana" w:hAnsi="Verdana" w:cs="Arial"/>
                <w:bCs/>
                <w:color w:val="000000" w:themeColor="text1"/>
              </w:rPr>
            </w:pPr>
            <w:r w:rsidRPr="00DB68DC">
              <w:rPr>
                <w:rFonts w:ascii="Verdana" w:hAnsi="Verdana" w:cs="Arial"/>
                <w:bCs/>
                <w:lang w:eastAsia="en-US"/>
              </w:rPr>
              <w:t>A sickness absence action plan has been developed for the Health Board, with a focus on ensuring compliance with the Managing Attendance at Work Policy</w:t>
            </w:r>
          </w:p>
          <w:p w14:paraId="4EC10C83" w14:textId="07299368" w:rsidR="00B6237C" w:rsidRPr="00DB68DC" w:rsidRDefault="00B6237C" w:rsidP="00B6237C">
            <w:pPr>
              <w:pStyle w:val="ListParagraph"/>
              <w:spacing w:after="0" w:line="240" w:lineRule="auto"/>
              <w:textAlignment w:val="baseline"/>
              <w:rPr>
                <w:rFonts w:ascii="Verdana" w:hAnsi="Verdana" w:cs="Arial"/>
                <w:color w:val="000000" w:themeColor="text1"/>
              </w:rPr>
            </w:pPr>
          </w:p>
          <w:p w14:paraId="5F09CB97" w14:textId="77777777" w:rsidR="00B6237C" w:rsidRPr="00DB68DC" w:rsidRDefault="00B6237C" w:rsidP="00B6237C">
            <w:pPr>
              <w:spacing w:after="0" w:line="240" w:lineRule="auto"/>
              <w:contextualSpacing/>
              <w:textAlignment w:val="baseline"/>
              <w:rPr>
                <w:rFonts w:ascii="Verdana" w:hAnsi="Verdana" w:cs="Arial"/>
                <w:b/>
                <w:bCs/>
                <w:color w:val="000000" w:themeColor="text1"/>
              </w:rPr>
            </w:pPr>
            <w:r w:rsidRPr="00DB68DC">
              <w:rPr>
                <w:rFonts w:ascii="Verdana" w:hAnsi="Verdana" w:cs="Arial"/>
                <w:b/>
                <w:bCs/>
                <w:color w:val="000000" w:themeColor="text1"/>
              </w:rPr>
              <w:t>Occupational Health and Staff Health and Wellbeing</w:t>
            </w:r>
          </w:p>
          <w:p w14:paraId="3B6DE455" w14:textId="77777777" w:rsidR="00837CDB" w:rsidRPr="00DB68DC" w:rsidRDefault="00837CDB" w:rsidP="00837CDB">
            <w:pPr>
              <w:spacing w:after="0" w:line="240" w:lineRule="auto"/>
              <w:contextualSpacing/>
              <w:rPr>
                <w:rFonts w:ascii="Verdana" w:hAnsi="Verdana" w:cs="Arial"/>
              </w:rPr>
            </w:pPr>
            <w:r w:rsidRPr="00DB68DC">
              <w:rPr>
                <w:rFonts w:ascii="Verdana" w:hAnsi="Verdana" w:cs="Arial"/>
              </w:rPr>
              <w:t>The services continue to develop high quality multi-disciplinary interventions to contribute to an engaged, motivated and healthy workforce.</w:t>
            </w:r>
          </w:p>
          <w:p w14:paraId="7B058A8F" w14:textId="77777777" w:rsidR="00712C48" w:rsidRPr="00DB68DC" w:rsidRDefault="00712C48" w:rsidP="00712C48">
            <w:pPr>
              <w:pStyle w:val="ListParagraph"/>
              <w:numPr>
                <w:ilvl w:val="0"/>
                <w:numId w:val="31"/>
              </w:numPr>
              <w:spacing w:after="0" w:line="240" w:lineRule="auto"/>
              <w:rPr>
                <w:rFonts w:ascii="Verdana" w:hAnsi="Verdana" w:cs="Arial"/>
              </w:rPr>
            </w:pPr>
            <w:r w:rsidRPr="00DB68DC">
              <w:rPr>
                <w:rFonts w:ascii="Verdana" w:hAnsi="Verdana" w:cs="Arial"/>
              </w:rPr>
              <w:t>Substantive Occupational Health Specialist Doctor recruited to give clinical sustainability/service stability – recruiting sessional Occupational Health Consultant during July/August 2025</w:t>
            </w:r>
          </w:p>
          <w:p w14:paraId="1EA17854" w14:textId="77777777" w:rsidR="00712C48" w:rsidRPr="00DB68DC" w:rsidRDefault="00712C48" w:rsidP="00712C48">
            <w:pPr>
              <w:pStyle w:val="ListParagraph"/>
              <w:numPr>
                <w:ilvl w:val="0"/>
                <w:numId w:val="31"/>
              </w:numPr>
              <w:spacing w:after="0" w:line="240" w:lineRule="auto"/>
              <w:rPr>
                <w:rFonts w:ascii="Verdana" w:hAnsi="Verdana" w:cs="Arial"/>
              </w:rPr>
            </w:pPr>
            <w:r w:rsidRPr="00DB68DC">
              <w:rPr>
                <w:rFonts w:ascii="Verdana" w:hAnsi="Verdana" w:cs="Arial"/>
              </w:rPr>
              <w:t>Roll out of Staff Health Passport, based on NHS Employers model, across the organisation to promote early support/intervention of health conditions and disability in the workplace – July/August 2025</w:t>
            </w:r>
          </w:p>
          <w:p w14:paraId="3391E30B" w14:textId="77777777" w:rsidR="00712C48" w:rsidRPr="00DB68DC" w:rsidRDefault="00712C48" w:rsidP="00712C48">
            <w:pPr>
              <w:pStyle w:val="ListParagraph"/>
              <w:numPr>
                <w:ilvl w:val="0"/>
                <w:numId w:val="31"/>
              </w:numPr>
              <w:autoSpaceDE w:val="0"/>
              <w:autoSpaceDN w:val="0"/>
              <w:adjustRightInd w:val="0"/>
              <w:spacing w:after="0" w:line="240" w:lineRule="auto"/>
              <w:rPr>
                <w:rFonts w:ascii="Verdana" w:hAnsi="Verdana" w:cs="Arial"/>
              </w:rPr>
            </w:pPr>
            <w:r w:rsidRPr="00DB68DC">
              <w:rPr>
                <w:rFonts w:ascii="Verdana" w:hAnsi="Verdana" w:cs="Arial"/>
              </w:rPr>
              <w:t xml:space="preserve">Review and update Occupational Health Management referral training for managers based on feedback and development of recent wellbeing services – July </w:t>
            </w:r>
          </w:p>
          <w:p w14:paraId="240CBBA1" w14:textId="77777777" w:rsidR="00837CDB" w:rsidRPr="00DB68DC" w:rsidRDefault="00837CDB" w:rsidP="00837CDB">
            <w:pPr>
              <w:autoSpaceDE w:val="0"/>
              <w:autoSpaceDN w:val="0"/>
              <w:adjustRightInd w:val="0"/>
              <w:spacing w:after="0" w:line="240" w:lineRule="auto"/>
              <w:rPr>
                <w:rFonts w:ascii="Verdana" w:hAnsi="Verdana" w:cs="Arial"/>
              </w:rPr>
            </w:pPr>
          </w:p>
          <w:p w14:paraId="78B931EF" w14:textId="77777777" w:rsidR="00CC23E6" w:rsidRPr="00DB68DC" w:rsidRDefault="00CC23E6" w:rsidP="00CC23E6">
            <w:pPr>
              <w:autoSpaceDE w:val="0"/>
              <w:autoSpaceDN w:val="0"/>
              <w:adjustRightInd w:val="0"/>
              <w:spacing w:after="0" w:line="240" w:lineRule="auto"/>
              <w:rPr>
                <w:rFonts w:ascii="Verdana" w:hAnsi="Verdana" w:cs="Arial"/>
              </w:rPr>
            </w:pPr>
          </w:p>
          <w:p w14:paraId="73BDA73D" w14:textId="77777777" w:rsidR="00CC23E6" w:rsidRPr="00DB68DC" w:rsidRDefault="00CC23E6" w:rsidP="00CC23E6">
            <w:pPr>
              <w:autoSpaceDE w:val="0"/>
              <w:autoSpaceDN w:val="0"/>
              <w:adjustRightInd w:val="0"/>
              <w:spacing w:after="0" w:line="240" w:lineRule="auto"/>
              <w:ind w:left="360"/>
              <w:rPr>
                <w:rFonts w:ascii="Verdana" w:hAnsi="Verdana" w:cs="Arial"/>
              </w:rPr>
            </w:pPr>
          </w:p>
          <w:p w14:paraId="4FE8CC23" w14:textId="77777777" w:rsidR="00994D25" w:rsidRPr="00DB68DC" w:rsidRDefault="00994D25" w:rsidP="00994D25">
            <w:pPr>
              <w:autoSpaceDE w:val="0"/>
              <w:autoSpaceDN w:val="0"/>
              <w:adjustRightInd w:val="0"/>
              <w:spacing w:after="0" w:line="240" w:lineRule="auto"/>
              <w:ind w:left="360"/>
              <w:rPr>
                <w:rFonts w:ascii="Verdana" w:hAnsi="Verdana" w:cs="Arial"/>
              </w:rPr>
            </w:pPr>
          </w:p>
          <w:p w14:paraId="0C15A415" w14:textId="3914978A" w:rsidR="00994D25" w:rsidRPr="00DB68DC" w:rsidRDefault="00994D25" w:rsidP="00994D25">
            <w:pPr>
              <w:autoSpaceDE w:val="0"/>
              <w:autoSpaceDN w:val="0"/>
              <w:adjustRightInd w:val="0"/>
              <w:spacing w:after="0" w:line="240" w:lineRule="auto"/>
              <w:rPr>
                <w:rFonts w:ascii="Verdana" w:hAnsi="Verdana" w:cs="Arial"/>
              </w:rPr>
            </w:pPr>
          </w:p>
        </w:tc>
      </w:tr>
      <w:tr w:rsidR="00994D25" w:rsidRPr="00DB68DC" w14:paraId="7C7183F0" w14:textId="77777777" w:rsidTr="00DB68DC">
        <w:trPr>
          <w:trHeight w:val="83"/>
        </w:trPr>
        <w:tc>
          <w:tcPr>
            <w:tcW w:w="2117" w:type="dxa"/>
            <w:tcBorders>
              <w:left w:val="nil"/>
              <w:right w:val="nil"/>
            </w:tcBorders>
            <w:shd w:val="clear" w:color="auto" w:fill="auto"/>
          </w:tcPr>
          <w:p w14:paraId="19F4D531" w14:textId="77777777" w:rsidR="00994D25" w:rsidRPr="00DB68DC" w:rsidRDefault="00994D25" w:rsidP="00994D25">
            <w:pPr>
              <w:spacing w:after="0" w:line="240" w:lineRule="auto"/>
              <w:rPr>
                <w:rFonts w:ascii="Verdana" w:hAnsi="Verdana" w:cs="Arial"/>
                <w:b/>
                <w:bCs/>
                <w:sz w:val="18"/>
                <w:szCs w:val="18"/>
              </w:rPr>
            </w:pPr>
          </w:p>
        </w:tc>
        <w:tc>
          <w:tcPr>
            <w:tcW w:w="11623" w:type="dxa"/>
            <w:tcBorders>
              <w:left w:val="nil"/>
              <w:right w:val="nil"/>
            </w:tcBorders>
          </w:tcPr>
          <w:p w14:paraId="445592D5" w14:textId="77777777" w:rsidR="00994D25" w:rsidRPr="00DB68DC" w:rsidRDefault="00994D25" w:rsidP="00994D25">
            <w:pPr>
              <w:spacing w:after="0" w:line="240" w:lineRule="auto"/>
              <w:jc w:val="center"/>
              <w:rPr>
                <w:rFonts w:ascii="Verdana" w:hAnsi="Verdana" w:cs="Arial"/>
                <w:b/>
                <w:sz w:val="24"/>
                <w:szCs w:val="24"/>
              </w:rPr>
            </w:pPr>
          </w:p>
          <w:p w14:paraId="60A386A6" w14:textId="2D49914F" w:rsidR="00994D25" w:rsidRPr="00DB68DC" w:rsidRDefault="00994D25" w:rsidP="00994D25">
            <w:pPr>
              <w:spacing w:after="0" w:line="240" w:lineRule="auto"/>
              <w:rPr>
                <w:rFonts w:ascii="Verdana" w:hAnsi="Verdana" w:cs="Arial"/>
                <w:b/>
                <w:sz w:val="24"/>
                <w:szCs w:val="24"/>
              </w:rPr>
            </w:pPr>
          </w:p>
        </w:tc>
      </w:tr>
      <w:tr w:rsidR="00994D25" w:rsidRPr="00DB68DC" w14:paraId="10B328AC" w14:textId="77777777" w:rsidTr="00DB68DC">
        <w:trPr>
          <w:trHeight w:val="4668"/>
        </w:trPr>
        <w:tc>
          <w:tcPr>
            <w:tcW w:w="2117" w:type="dxa"/>
            <w:shd w:val="clear" w:color="auto" w:fill="DBE5F1" w:themeFill="accent1" w:themeFillTint="33"/>
          </w:tcPr>
          <w:p w14:paraId="1FB8385A" w14:textId="77777777" w:rsidR="00994D25" w:rsidRPr="00DB68DC" w:rsidRDefault="00994D25" w:rsidP="00994D25">
            <w:pPr>
              <w:spacing w:after="0" w:line="240" w:lineRule="auto"/>
              <w:rPr>
                <w:rFonts w:ascii="Verdana" w:hAnsi="Verdana" w:cs="Arial"/>
                <w:bCs/>
                <w:i/>
                <w:sz w:val="24"/>
                <w:szCs w:val="22"/>
              </w:rPr>
            </w:pPr>
            <w:r w:rsidRPr="00DB68DC">
              <w:rPr>
                <w:rFonts w:ascii="Verdana" w:hAnsi="Verdana" w:cs="Arial"/>
                <w:b/>
                <w:bCs/>
                <w:sz w:val="24"/>
                <w:szCs w:val="22"/>
              </w:rPr>
              <w:lastRenderedPageBreak/>
              <w:t xml:space="preserve">Mandatory &amp; Statutory Training-  </w:t>
            </w:r>
          </w:p>
          <w:p w14:paraId="3AAE0E8F" w14:textId="77777777" w:rsidR="00994D25" w:rsidRPr="00DB68DC" w:rsidRDefault="00994D25" w:rsidP="00994D25">
            <w:pPr>
              <w:spacing w:after="0" w:line="240" w:lineRule="auto"/>
              <w:rPr>
                <w:rFonts w:ascii="Verdana" w:hAnsi="Verdana" w:cs="Arial"/>
                <w:bCs/>
                <w:i/>
              </w:rPr>
            </w:pPr>
          </w:p>
          <w:p w14:paraId="7DD30FF5" w14:textId="71934AEB" w:rsidR="00994D25" w:rsidRPr="00DB68DC" w:rsidRDefault="00994D25" w:rsidP="00994D25">
            <w:pPr>
              <w:spacing w:after="0" w:line="240" w:lineRule="auto"/>
              <w:rPr>
                <w:rFonts w:ascii="Verdana" w:hAnsi="Verdana" w:cs="Arial"/>
                <w:bCs/>
                <w:i/>
              </w:rPr>
            </w:pPr>
            <w:r w:rsidRPr="00DB68DC">
              <w:rPr>
                <w:rFonts w:ascii="Verdana" w:hAnsi="Verdana" w:cs="Arial"/>
                <w:bCs/>
                <w:i/>
              </w:rPr>
              <w:t xml:space="preserve">Percentage compliance for all completed Level 1 competencies within the Core Skills and Training Framework by organisation </w:t>
            </w:r>
          </w:p>
          <w:p w14:paraId="28074862" w14:textId="77777777" w:rsidR="00994D25" w:rsidRPr="00DB68DC" w:rsidRDefault="00994D25" w:rsidP="00994D25">
            <w:pPr>
              <w:spacing w:after="0" w:line="240" w:lineRule="auto"/>
              <w:rPr>
                <w:rFonts w:ascii="Verdana" w:hAnsi="Verdana" w:cs="Arial"/>
                <w:bCs/>
                <w:i/>
                <w:sz w:val="22"/>
                <w:szCs w:val="22"/>
              </w:rPr>
            </w:pPr>
          </w:p>
          <w:p w14:paraId="79568698" w14:textId="2DE4301A" w:rsidR="00994D25" w:rsidRPr="00DB68DC" w:rsidRDefault="00994D25" w:rsidP="00994D25">
            <w:pPr>
              <w:spacing w:after="0" w:line="240" w:lineRule="auto"/>
              <w:rPr>
                <w:rFonts w:ascii="Verdana" w:hAnsi="Verdana" w:cs="Arial"/>
                <w:b/>
                <w:bCs/>
                <w:sz w:val="22"/>
                <w:szCs w:val="22"/>
              </w:rPr>
            </w:pPr>
            <w:r w:rsidRPr="00DB68DC">
              <w:rPr>
                <w:rFonts w:ascii="Verdana" w:hAnsi="Verdana" w:cs="Arial"/>
                <w:b/>
                <w:bCs/>
                <w:sz w:val="22"/>
                <w:szCs w:val="22"/>
              </w:rPr>
              <w:t>Mandatory &amp; Statutory Training target – 85%</w:t>
            </w:r>
          </w:p>
        </w:tc>
        <w:tc>
          <w:tcPr>
            <w:tcW w:w="11623" w:type="dxa"/>
            <w:shd w:val="clear" w:color="auto" w:fill="auto"/>
          </w:tcPr>
          <w:p w14:paraId="665B43CA" w14:textId="2BFFC997" w:rsidR="00994D25" w:rsidRPr="00DB68DC" w:rsidRDefault="00994D25" w:rsidP="00994D25">
            <w:pPr>
              <w:spacing w:after="0" w:line="240" w:lineRule="auto"/>
              <w:jc w:val="center"/>
              <w:rPr>
                <w:rFonts w:ascii="Verdana" w:hAnsi="Verdana"/>
              </w:rPr>
            </w:pPr>
            <w:r w:rsidRPr="00DB68DC">
              <w:rPr>
                <w:rFonts w:ascii="Verdana" w:hAnsi="Verdana" w:cs="Arial"/>
                <w:b/>
                <w:bCs/>
                <w:sz w:val="24"/>
                <w:szCs w:val="24"/>
              </w:rPr>
              <w:t>% of compliance (Headcount) with Core Skills and Training Framework</w:t>
            </w:r>
          </w:p>
          <w:p w14:paraId="67D187C7" w14:textId="195BA057" w:rsidR="00994D25" w:rsidRPr="00DB68DC" w:rsidRDefault="0071062B" w:rsidP="00994D25">
            <w:pPr>
              <w:spacing w:after="0" w:line="240" w:lineRule="auto"/>
              <w:jc w:val="center"/>
              <w:rPr>
                <w:rFonts w:ascii="Verdana" w:hAnsi="Verdana" w:cs="Arial"/>
                <w:b/>
                <w:sz w:val="16"/>
                <w:szCs w:val="16"/>
              </w:rPr>
            </w:pPr>
            <w:r w:rsidRPr="00DB68DC">
              <w:rPr>
                <w:rFonts w:ascii="Verdana" w:hAnsi="Verdana"/>
                <w:noProof/>
              </w:rPr>
              <w:drawing>
                <wp:inline distT="0" distB="0" distL="0" distR="0" wp14:anchorId="6B22EB8B" wp14:editId="641299E6">
                  <wp:extent cx="6196110" cy="3055620"/>
                  <wp:effectExtent l="0" t="0" r="0" b="0"/>
                  <wp:docPr id="9" name="Chart 9">
                    <a:extLst xmlns:a="http://schemas.openxmlformats.org/drawingml/2006/main">
                      <a:ext uri="{FF2B5EF4-FFF2-40B4-BE49-F238E27FC236}">
                        <a16:creationId xmlns:a16="http://schemas.microsoft.com/office/drawing/2014/main" id="{DB29A349-2C76-4C3F-9D08-3E87126C78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Pr="00DB68DC" w:rsidRDefault="00994D25" w:rsidP="00994D25">
            <w:pPr>
              <w:spacing w:after="0" w:line="240" w:lineRule="auto"/>
              <w:rPr>
                <w:rFonts w:ascii="Verdana" w:hAnsi="Verdana" w:cs="Arial"/>
                <w:i/>
                <w:iCs/>
                <w:sz w:val="18"/>
                <w:szCs w:val="18"/>
              </w:rPr>
            </w:pPr>
          </w:p>
          <w:p w14:paraId="0B4928E9" w14:textId="567692A2" w:rsidR="00994D25" w:rsidRPr="00DB68DC" w:rsidRDefault="00994D25" w:rsidP="00851990">
            <w:pPr>
              <w:spacing w:after="0" w:line="240" w:lineRule="auto"/>
              <w:rPr>
                <w:rFonts w:ascii="Verdana" w:hAnsi="Verdana" w:cs="Arial"/>
              </w:rPr>
            </w:pPr>
            <w:r w:rsidRPr="00DB68DC">
              <w:rPr>
                <w:rFonts w:ascii="Verdana" w:hAnsi="Verdana" w:cs="Arial"/>
                <w:i/>
                <w:iCs/>
                <w:sz w:val="18"/>
                <w:szCs w:val="18"/>
              </w:rPr>
              <w:t xml:space="preserve">Report generated </w:t>
            </w:r>
            <w:r w:rsidR="00851990" w:rsidRPr="00DB68DC">
              <w:rPr>
                <w:rFonts w:ascii="Verdana" w:hAnsi="Verdana" w:cs="Arial"/>
                <w:i/>
                <w:iCs/>
                <w:sz w:val="18"/>
                <w:szCs w:val="18"/>
              </w:rPr>
              <w:t>Jul</w:t>
            </w:r>
            <w:r w:rsidR="00874895" w:rsidRPr="00DB68DC">
              <w:rPr>
                <w:rFonts w:ascii="Verdana" w:hAnsi="Verdana" w:cs="Arial"/>
                <w:i/>
                <w:iCs/>
                <w:sz w:val="18"/>
                <w:szCs w:val="18"/>
              </w:rPr>
              <w:t xml:space="preserve"> 2025</w:t>
            </w:r>
            <w:r w:rsidRPr="00DB68DC">
              <w:rPr>
                <w:rFonts w:ascii="Verdana" w:hAnsi="Verdana" w:cs="Arial"/>
                <w:i/>
                <w:iCs/>
                <w:sz w:val="18"/>
                <w:szCs w:val="18"/>
              </w:rPr>
              <w:t>, within SBUHB (Performance Team) for substantive and F</w:t>
            </w:r>
            <w:r w:rsidR="00A31416">
              <w:rPr>
                <w:rFonts w:ascii="Verdana" w:hAnsi="Verdana" w:cs="Arial"/>
                <w:i/>
                <w:iCs/>
                <w:sz w:val="18"/>
                <w:szCs w:val="18"/>
              </w:rPr>
              <w:t xml:space="preserve">ixed </w:t>
            </w:r>
            <w:r w:rsidRPr="00DB68DC">
              <w:rPr>
                <w:rFonts w:ascii="Verdana" w:hAnsi="Verdana" w:cs="Arial"/>
                <w:i/>
                <w:iCs/>
                <w:sz w:val="18"/>
                <w:szCs w:val="18"/>
              </w:rPr>
              <w:t>T</w:t>
            </w:r>
            <w:r w:rsidR="00A31416">
              <w:rPr>
                <w:rFonts w:ascii="Verdana" w:hAnsi="Verdana" w:cs="Arial"/>
                <w:i/>
                <w:iCs/>
                <w:sz w:val="18"/>
                <w:szCs w:val="18"/>
              </w:rPr>
              <w:t>erm</w:t>
            </w:r>
            <w:r w:rsidRPr="00DB68DC">
              <w:rPr>
                <w:rFonts w:ascii="Verdana" w:hAnsi="Verdana" w:cs="Arial"/>
                <w:i/>
                <w:iCs/>
                <w:sz w:val="18"/>
                <w:szCs w:val="18"/>
              </w:rPr>
              <w:t xml:space="preserve"> employees. Data source – ESR (OLM Module). Accuracy levels subject to local maintenance and validation standards. Target of 85% added as blue line</w:t>
            </w:r>
          </w:p>
        </w:tc>
      </w:tr>
      <w:tr w:rsidR="00994D25" w:rsidRPr="00DB68DC" w14:paraId="671D6E7F" w14:textId="77777777" w:rsidTr="00DB68DC">
        <w:tc>
          <w:tcPr>
            <w:tcW w:w="13740" w:type="dxa"/>
            <w:gridSpan w:val="2"/>
            <w:shd w:val="clear" w:color="auto" w:fill="EAF1DD" w:themeFill="accent3" w:themeFillTint="33"/>
          </w:tcPr>
          <w:p w14:paraId="442C0089" w14:textId="77777777" w:rsidR="00994D25" w:rsidRPr="00DB68DC" w:rsidRDefault="00994D25" w:rsidP="00994D25">
            <w:pPr>
              <w:spacing w:after="0" w:line="240" w:lineRule="auto"/>
              <w:rPr>
                <w:rFonts w:ascii="Verdana" w:hAnsi="Verdana" w:cs="Arial"/>
                <w:b/>
              </w:rPr>
            </w:pPr>
            <w:r w:rsidRPr="00DB68DC">
              <w:rPr>
                <w:rFonts w:ascii="Verdana" w:hAnsi="Verdana" w:cs="Arial"/>
                <w:b/>
              </w:rPr>
              <w:t>Current Performance</w:t>
            </w:r>
          </w:p>
        </w:tc>
      </w:tr>
      <w:tr w:rsidR="00837CDB" w:rsidRPr="00DB68DC" w14:paraId="129126E9" w14:textId="77777777" w:rsidTr="00DB68DC">
        <w:tc>
          <w:tcPr>
            <w:tcW w:w="13740" w:type="dxa"/>
            <w:gridSpan w:val="2"/>
            <w:shd w:val="clear" w:color="auto" w:fill="auto"/>
          </w:tcPr>
          <w:p w14:paraId="7BF6BD8B" w14:textId="2552725F" w:rsidR="00A31416" w:rsidRDefault="0021137A" w:rsidP="00A31416">
            <w:pPr>
              <w:pStyle w:val="paragraph"/>
              <w:spacing w:before="0" w:beforeAutospacing="0" w:after="0" w:afterAutospacing="0"/>
              <w:textAlignment w:val="baseline"/>
              <w:rPr>
                <w:rFonts w:ascii="Verdana" w:hAnsi="Verdana" w:cs="Arial"/>
                <w:sz w:val="20"/>
                <w:szCs w:val="20"/>
              </w:rPr>
            </w:pPr>
            <w:r w:rsidRPr="00A31416">
              <w:rPr>
                <w:rFonts w:ascii="Verdana" w:hAnsi="Verdana" w:cs="Arial"/>
                <w:sz w:val="20"/>
                <w:szCs w:val="20"/>
              </w:rPr>
              <w:t>Welsh Government (WG) requirement for All Staff (Target 85%</w:t>
            </w:r>
            <w:proofErr w:type="gramStart"/>
            <w:r w:rsidRPr="00A31416">
              <w:rPr>
                <w:rFonts w:ascii="Verdana" w:hAnsi="Verdana" w:cs="Arial"/>
                <w:sz w:val="20"/>
                <w:szCs w:val="20"/>
              </w:rPr>
              <w:t>)</w:t>
            </w:r>
            <w:r w:rsidR="00A31416">
              <w:rPr>
                <w:rFonts w:ascii="Verdana" w:hAnsi="Verdana" w:cs="Arial"/>
                <w:sz w:val="20"/>
                <w:szCs w:val="20"/>
              </w:rPr>
              <w:t>.</w:t>
            </w:r>
            <w:r w:rsidRPr="00A31416">
              <w:rPr>
                <w:rFonts w:ascii="Verdana" w:hAnsi="Verdana" w:cs="Arial"/>
                <w:sz w:val="20"/>
                <w:szCs w:val="20"/>
              </w:rPr>
              <w:t>Overall</w:t>
            </w:r>
            <w:proofErr w:type="gramEnd"/>
            <w:r w:rsidRPr="00A31416">
              <w:rPr>
                <w:rFonts w:ascii="Verdana" w:hAnsi="Verdana" w:cs="Arial"/>
                <w:sz w:val="20"/>
                <w:szCs w:val="20"/>
              </w:rPr>
              <w:t xml:space="preserve"> compliance rate of 90.23% achieved in the 12 modules.</w:t>
            </w:r>
          </w:p>
          <w:p w14:paraId="2E1BA7EB" w14:textId="77777777" w:rsidR="00A31416" w:rsidRDefault="00A31416" w:rsidP="00A31416">
            <w:pPr>
              <w:pStyle w:val="paragraph"/>
              <w:spacing w:before="0" w:beforeAutospacing="0" w:after="0" w:afterAutospacing="0"/>
              <w:textAlignment w:val="baseline"/>
              <w:rPr>
                <w:rFonts w:ascii="Verdana" w:hAnsi="Verdana" w:cs="Arial"/>
                <w:sz w:val="20"/>
                <w:szCs w:val="20"/>
              </w:rPr>
            </w:pPr>
          </w:p>
          <w:p w14:paraId="21AD7017" w14:textId="66FA5F01" w:rsidR="0021137A" w:rsidRPr="00A31416" w:rsidRDefault="0021137A" w:rsidP="00A31416">
            <w:pPr>
              <w:pStyle w:val="paragraph"/>
              <w:spacing w:before="0" w:beforeAutospacing="0" w:after="0" w:afterAutospacing="0"/>
              <w:textAlignment w:val="baseline"/>
              <w:rPr>
                <w:rFonts w:ascii="Verdana" w:hAnsi="Verdana" w:cs="Arial"/>
                <w:sz w:val="20"/>
                <w:szCs w:val="20"/>
              </w:rPr>
            </w:pPr>
            <w:r w:rsidRPr="00A31416">
              <w:rPr>
                <w:rFonts w:ascii="Verdana" w:hAnsi="Verdana" w:cs="Arial"/>
                <w:sz w:val="20"/>
                <w:szCs w:val="20"/>
              </w:rPr>
              <w:t>Welsh Government (WG) requirement for Staff in Public Facing Role (Target 85%), achieved 71.55% to date **</w:t>
            </w:r>
          </w:p>
          <w:p w14:paraId="7D6F2ADF" w14:textId="77777777" w:rsidR="00A31416" w:rsidRDefault="00A31416" w:rsidP="0021137A">
            <w:pPr>
              <w:pStyle w:val="paragraph"/>
              <w:spacing w:before="0" w:beforeAutospacing="0" w:after="0" w:afterAutospacing="0"/>
              <w:textAlignment w:val="baseline"/>
              <w:rPr>
                <w:rFonts w:ascii="Verdana" w:hAnsi="Verdana" w:cs="Arial"/>
                <w:sz w:val="20"/>
                <w:szCs w:val="20"/>
              </w:rPr>
            </w:pPr>
          </w:p>
          <w:p w14:paraId="63B84ECA" w14:textId="426E90B1" w:rsidR="0021137A" w:rsidRPr="00A31416" w:rsidRDefault="0021137A" w:rsidP="0021137A">
            <w:pPr>
              <w:pStyle w:val="paragraph"/>
              <w:spacing w:before="0" w:beforeAutospacing="0" w:after="0" w:afterAutospacing="0"/>
              <w:textAlignment w:val="baseline"/>
              <w:rPr>
                <w:rFonts w:ascii="Verdana" w:hAnsi="Verdana" w:cs="Arial"/>
                <w:sz w:val="20"/>
                <w:szCs w:val="20"/>
              </w:rPr>
            </w:pPr>
            <w:r w:rsidRPr="00A31416">
              <w:rPr>
                <w:rFonts w:ascii="Verdana" w:hAnsi="Verdana" w:cs="Arial"/>
                <w:sz w:val="20"/>
                <w:szCs w:val="20"/>
              </w:rPr>
              <w:t>**Please note: Paul Ridd Learning Disabilities Awareness Training was mandated for completion by ALL Staff in SBUHB as of 30</w:t>
            </w:r>
            <w:r w:rsidRPr="00A31416">
              <w:rPr>
                <w:rFonts w:ascii="Verdana" w:hAnsi="Verdana" w:cs="Arial"/>
                <w:sz w:val="20"/>
                <w:szCs w:val="20"/>
                <w:vertAlign w:val="superscript"/>
              </w:rPr>
              <w:t>th</w:t>
            </w:r>
            <w:r w:rsidRPr="00A31416">
              <w:rPr>
                <w:rFonts w:ascii="Verdana" w:hAnsi="Verdana" w:cs="Arial"/>
                <w:sz w:val="20"/>
                <w:szCs w:val="20"/>
              </w:rPr>
              <w:t xml:space="preserve"> April</w:t>
            </w:r>
            <w:r w:rsidR="00A31416">
              <w:rPr>
                <w:rFonts w:ascii="Verdana" w:hAnsi="Verdana" w:cs="Arial"/>
                <w:sz w:val="20"/>
                <w:szCs w:val="20"/>
              </w:rPr>
              <w:t xml:space="preserve"> </w:t>
            </w:r>
            <w:r w:rsidRPr="00A31416">
              <w:rPr>
                <w:rFonts w:ascii="Verdana" w:hAnsi="Verdana" w:cs="Arial"/>
                <w:sz w:val="20"/>
                <w:szCs w:val="20"/>
              </w:rPr>
              <w:t>2025. The figure of 71.55% is in reference to All Staff, this is an improvement on the compliance rate of 46.08% as of February 2025.</w:t>
            </w:r>
          </w:p>
          <w:p w14:paraId="09324D17" w14:textId="77777777" w:rsidR="00A31416" w:rsidRDefault="00A31416" w:rsidP="00A31416">
            <w:pPr>
              <w:pStyle w:val="paragraph"/>
              <w:spacing w:before="0" w:beforeAutospacing="0" w:after="0" w:afterAutospacing="0"/>
              <w:textAlignment w:val="baseline"/>
              <w:rPr>
                <w:rFonts w:ascii="Verdana" w:hAnsi="Verdana" w:cs="Arial"/>
                <w:sz w:val="20"/>
                <w:szCs w:val="20"/>
              </w:rPr>
            </w:pPr>
          </w:p>
          <w:p w14:paraId="30B38136" w14:textId="26B1AC78" w:rsidR="0021137A" w:rsidRPr="00A31416" w:rsidRDefault="0021137A" w:rsidP="00A31416">
            <w:pPr>
              <w:pStyle w:val="paragraph"/>
              <w:spacing w:before="0" w:beforeAutospacing="0" w:after="0" w:afterAutospacing="0"/>
              <w:textAlignment w:val="baseline"/>
              <w:rPr>
                <w:rFonts w:ascii="Verdana" w:hAnsi="Verdana" w:cs="Arial"/>
                <w:sz w:val="20"/>
                <w:szCs w:val="20"/>
              </w:rPr>
            </w:pPr>
            <w:r w:rsidRPr="00A31416">
              <w:rPr>
                <w:rFonts w:ascii="Verdana" w:hAnsi="Verdana" w:cs="Arial"/>
                <w:sz w:val="20"/>
                <w:szCs w:val="20"/>
              </w:rPr>
              <w:t>SBU Health Board requirement for All Staff (Target 85%) - Overall Compliance – 88.99% achieved in the full 15 mandated modules:</w:t>
            </w:r>
          </w:p>
          <w:p w14:paraId="53DEA320" w14:textId="77777777" w:rsidR="00A31416" w:rsidRDefault="00A31416" w:rsidP="00A31416">
            <w:pPr>
              <w:pStyle w:val="paragraph"/>
              <w:spacing w:before="0" w:beforeAutospacing="0" w:after="0" w:afterAutospacing="0"/>
              <w:textAlignment w:val="baseline"/>
              <w:rPr>
                <w:rFonts w:ascii="Verdana" w:eastAsia="Calibri" w:hAnsi="Verdana" w:cs="Arial"/>
                <w:sz w:val="20"/>
                <w:szCs w:val="20"/>
              </w:rPr>
            </w:pPr>
          </w:p>
          <w:p w14:paraId="7170C8AF" w14:textId="7605B431" w:rsidR="0021137A" w:rsidRDefault="0021137A" w:rsidP="00A31416">
            <w:pPr>
              <w:pStyle w:val="paragraph"/>
              <w:spacing w:before="0" w:beforeAutospacing="0" w:after="0" w:afterAutospacing="0"/>
              <w:textAlignment w:val="baseline"/>
              <w:rPr>
                <w:rFonts w:ascii="Verdana" w:eastAsia="Calibri" w:hAnsi="Verdana" w:cs="Arial"/>
                <w:sz w:val="20"/>
                <w:szCs w:val="20"/>
              </w:rPr>
            </w:pPr>
            <w:r w:rsidRPr="00A31416">
              <w:rPr>
                <w:rFonts w:ascii="Verdana" w:eastAsia="Calibri" w:hAnsi="Verdana" w:cs="Arial"/>
                <w:sz w:val="20"/>
                <w:szCs w:val="20"/>
              </w:rPr>
              <w:t>Service Groups - MH&amp;LD 92.12%, PCCT 93.00%, Morriston 85.62%, Finance &amp; Estates 87.28%, NPTS 92.21%</w:t>
            </w:r>
          </w:p>
          <w:p w14:paraId="66F372D4" w14:textId="77777777" w:rsidR="00A31416" w:rsidRPr="00A31416" w:rsidRDefault="00A31416" w:rsidP="00A31416">
            <w:pPr>
              <w:pStyle w:val="paragraph"/>
              <w:spacing w:before="0" w:beforeAutospacing="0" w:after="0" w:afterAutospacing="0"/>
              <w:textAlignment w:val="baseline"/>
              <w:rPr>
                <w:rFonts w:ascii="Verdana" w:eastAsia="Calibri" w:hAnsi="Verdana" w:cs="Arial"/>
                <w:sz w:val="20"/>
                <w:szCs w:val="20"/>
              </w:rPr>
            </w:pPr>
          </w:p>
          <w:p w14:paraId="22EDA9A0" w14:textId="3A253436" w:rsidR="00B416AC" w:rsidRPr="00DB68DC" w:rsidRDefault="0021137A" w:rsidP="00A31416">
            <w:pPr>
              <w:pStyle w:val="paragraph"/>
              <w:spacing w:before="0" w:beforeAutospacing="0" w:after="0" w:afterAutospacing="0"/>
              <w:textAlignment w:val="baseline"/>
              <w:rPr>
                <w:rFonts w:ascii="Verdana" w:hAnsi="Verdana" w:cs="Arial"/>
                <w:sz w:val="20"/>
                <w:szCs w:val="20"/>
              </w:rPr>
            </w:pPr>
            <w:r w:rsidRPr="00A31416">
              <w:rPr>
                <w:rFonts w:ascii="Verdana" w:eastAsia="Calibri" w:hAnsi="Verdana" w:cs="Arial"/>
                <w:sz w:val="20"/>
                <w:szCs w:val="20"/>
              </w:rPr>
              <w:t xml:space="preserve">Staff Groups - Medical and Dental Staff Group remain the lowest performing area with 69.44%.  Support for this staff group is ongoing by the E-learning Project Support Manager and Executive Medical Directors Department.  Support provided has already seen a positive outcome and continuing improvement of compliance.  </w:t>
            </w:r>
          </w:p>
        </w:tc>
      </w:tr>
      <w:tr w:rsidR="00837CDB" w:rsidRPr="00DB68DC" w14:paraId="23E7F229" w14:textId="77777777" w:rsidTr="00DB68DC">
        <w:tc>
          <w:tcPr>
            <w:tcW w:w="13740" w:type="dxa"/>
            <w:gridSpan w:val="2"/>
            <w:shd w:val="clear" w:color="auto" w:fill="EAF1DD" w:themeFill="accent3" w:themeFillTint="33"/>
          </w:tcPr>
          <w:p w14:paraId="658E6C91" w14:textId="77777777" w:rsidR="00837CDB" w:rsidRPr="00DB68DC" w:rsidRDefault="00837CDB" w:rsidP="00837CDB">
            <w:pPr>
              <w:spacing w:after="0" w:line="240" w:lineRule="auto"/>
              <w:rPr>
                <w:rFonts w:ascii="Verdana" w:hAnsi="Verdana" w:cs="Arial"/>
                <w:b/>
              </w:rPr>
            </w:pPr>
            <w:r w:rsidRPr="00DB68DC">
              <w:rPr>
                <w:rFonts w:ascii="Verdana" w:hAnsi="Verdana" w:cs="Arial"/>
                <w:b/>
              </w:rPr>
              <w:lastRenderedPageBreak/>
              <w:t>Actions for Next Period</w:t>
            </w:r>
          </w:p>
        </w:tc>
      </w:tr>
      <w:tr w:rsidR="00837CDB" w:rsidRPr="00DB68DC" w14:paraId="5F1DB229" w14:textId="77777777" w:rsidTr="00DB68DC">
        <w:tc>
          <w:tcPr>
            <w:tcW w:w="13740" w:type="dxa"/>
            <w:gridSpan w:val="2"/>
            <w:shd w:val="clear" w:color="auto" w:fill="auto"/>
          </w:tcPr>
          <w:p w14:paraId="7073BF6D" w14:textId="77777777" w:rsidR="0021137A" w:rsidRPr="00DB68DC" w:rsidRDefault="0021137A" w:rsidP="0021137A">
            <w:pPr>
              <w:pStyle w:val="paragraph"/>
              <w:numPr>
                <w:ilvl w:val="0"/>
                <w:numId w:val="1"/>
              </w:numPr>
              <w:spacing w:before="0" w:beforeAutospacing="0" w:after="0" w:afterAutospacing="0"/>
              <w:textAlignment w:val="baseline"/>
              <w:rPr>
                <w:rStyle w:val="normaltextrun"/>
                <w:rFonts w:ascii="Verdana" w:hAnsi="Verdana" w:cs="Arial"/>
                <w:sz w:val="20"/>
                <w:szCs w:val="20"/>
              </w:rPr>
            </w:pPr>
            <w:r w:rsidRPr="00DB68DC">
              <w:rPr>
                <w:rStyle w:val="normaltextrun"/>
                <w:rFonts w:ascii="Verdana" w:hAnsi="Verdana" w:cs="Arial"/>
                <w:b/>
                <w:bCs/>
                <w:sz w:val="20"/>
                <w:szCs w:val="20"/>
              </w:rPr>
              <w:t xml:space="preserve">Subscription to Learning Certification and Enrolment onto Statutory/Mandatory Courses </w:t>
            </w:r>
            <w:r w:rsidRPr="00DB68DC">
              <w:rPr>
                <w:rStyle w:val="normaltextrun"/>
                <w:rFonts w:ascii="Verdana" w:hAnsi="Verdana" w:cs="Arial"/>
                <w:sz w:val="20"/>
                <w:szCs w:val="20"/>
              </w:rPr>
              <w:t xml:space="preserve">– User issues identified are being supported on a case-by-case basis via Action Point and from direct contact.  The number of queries seen are minimal, and these have been investigated and resolved with no impact to compliance figures reported. </w:t>
            </w:r>
          </w:p>
          <w:p w14:paraId="2383B475" w14:textId="77777777" w:rsidR="0021137A" w:rsidRPr="00DB68DC" w:rsidRDefault="0021137A" w:rsidP="0021137A">
            <w:pPr>
              <w:pStyle w:val="ListParagraph"/>
              <w:numPr>
                <w:ilvl w:val="0"/>
                <w:numId w:val="1"/>
              </w:numPr>
              <w:spacing w:after="0" w:line="240" w:lineRule="auto"/>
              <w:contextualSpacing w:val="0"/>
              <w:textAlignment w:val="baseline"/>
              <w:rPr>
                <w:rStyle w:val="normaltextrun"/>
                <w:rFonts w:ascii="Verdana" w:hAnsi="Verdana" w:cs="Arial"/>
              </w:rPr>
            </w:pPr>
            <w:r w:rsidRPr="00DB68DC">
              <w:rPr>
                <w:rStyle w:val="normaltextrun"/>
                <w:rFonts w:ascii="Verdana" w:hAnsi="Verdana" w:cs="Arial"/>
                <w:b/>
                <w:bCs/>
              </w:rPr>
              <w:t xml:space="preserve">Medical and Dental Staff Group </w:t>
            </w:r>
            <w:r w:rsidRPr="00DB68DC">
              <w:rPr>
                <w:rStyle w:val="normaltextrun"/>
                <w:rFonts w:ascii="Verdana" w:hAnsi="Verdana" w:cs="Arial"/>
              </w:rPr>
              <w:t>– Ongoing support sessions arranged in conjunction with the Executive Medical Directors Department and the E-Learning Project Support Manager to assist Dr’s with e-learning access issues to continue through 2025.</w:t>
            </w:r>
          </w:p>
          <w:p w14:paraId="0EAEA9B9" w14:textId="77777777" w:rsidR="0021137A" w:rsidRPr="00DB68DC" w:rsidRDefault="0021137A" w:rsidP="0021137A">
            <w:pPr>
              <w:pStyle w:val="ListParagraph"/>
              <w:numPr>
                <w:ilvl w:val="0"/>
                <w:numId w:val="1"/>
              </w:numPr>
              <w:spacing w:after="0" w:line="240" w:lineRule="auto"/>
              <w:contextualSpacing w:val="0"/>
              <w:textAlignment w:val="baseline"/>
              <w:rPr>
                <w:rStyle w:val="normaltextrun"/>
                <w:rFonts w:ascii="Verdana" w:hAnsi="Verdana" w:cs="Arial"/>
              </w:rPr>
            </w:pPr>
            <w:r w:rsidRPr="00DB68DC">
              <w:rPr>
                <w:rStyle w:val="normaltextrun"/>
                <w:rFonts w:ascii="Verdana" w:hAnsi="Verdana" w:cs="Arial"/>
                <w:b/>
                <w:bCs/>
              </w:rPr>
              <w:t xml:space="preserve">Monitoring Compliance – </w:t>
            </w:r>
            <w:r w:rsidRPr="00DB68DC">
              <w:rPr>
                <w:rStyle w:val="normaltextrun"/>
                <w:rFonts w:ascii="Verdana" w:hAnsi="Verdana" w:cs="Arial"/>
              </w:rPr>
              <w:t>Completion of e-learning and compliance rates to be scrutinised bi-monthly to identify where learning has been completed but compliance not recorded due to technical issues experienced by user when undertaking the e-learning, this is to ensure that the learning has been updated accurately for the user and to reflect in overall levels of compliance.</w:t>
            </w:r>
          </w:p>
          <w:p w14:paraId="5DB1E10B" w14:textId="4050D05D" w:rsidR="0021137A" w:rsidRPr="00DB68DC" w:rsidRDefault="0021137A" w:rsidP="0021137A">
            <w:pPr>
              <w:pStyle w:val="ListParagraph"/>
              <w:numPr>
                <w:ilvl w:val="0"/>
                <w:numId w:val="1"/>
              </w:numPr>
              <w:spacing w:after="0" w:line="240" w:lineRule="auto"/>
              <w:contextualSpacing w:val="0"/>
              <w:textAlignment w:val="baseline"/>
              <w:rPr>
                <w:rStyle w:val="normaltextrun"/>
                <w:rFonts w:ascii="Verdana" w:hAnsi="Verdana" w:cs="Arial"/>
              </w:rPr>
            </w:pPr>
            <w:r w:rsidRPr="00DB68DC">
              <w:rPr>
                <w:rStyle w:val="normaltextrun"/>
                <w:rFonts w:ascii="Verdana" w:hAnsi="Verdana" w:cs="Arial"/>
                <w:b/>
                <w:bCs/>
              </w:rPr>
              <w:t>Safeguarding Adults and Safeguarding Children Level 2 –</w:t>
            </w:r>
            <w:r w:rsidRPr="00DB68DC">
              <w:rPr>
                <w:rStyle w:val="normaltextrun"/>
                <w:rFonts w:ascii="Verdana" w:hAnsi="Verdana" w:cs="Arial"/>
              </w:rPr>
              <w:t xml:space="preserve">Levels of compliance for Safeguarding Adults and Safeguarding Children Level 2 are expected to be reportable as a SBU Health Board requirement for All Staff (Target 85%) from August 2025. </w:t>
            </w:r>
          </w:p>
          <w:p w14:paraId="0C133DBD" w14:textId="77777777" w:rsidR="0021137A" w:rsidRPr="00DB68DC" w:rsidRDefault="0021137A" w:rsidP="0021137A">
            <w:pPr>
              <w:pStyle w:val="ListParagraph"/>
              <w:numPr>
                <w:ilvl w:val="0"/>
                <w:numId w:val="1"/>
              </w:numPr>
              <w:spacing w:after="0" w:line="240" w:lineRule="auto"/>
              <w:contextualSpacing w:val="0"/>
              <w:textAlignment w:val="baseline"/>
              <w:rPr>
                <w:rStyle w:val="normaltextrun"/>
                <w:rFonts w:ascii="Verdana" w:hAnsi="Verdana" w:cs="Arial"/>
              </w:rPr>
            </w:pPr>
            <w:r w:rsidRPr="00DB68DC">
              <w:rPr>
                <w:rStyle w:val="normaltextrun"/>
                <w:rFonts w:ascii="Verdana" w:hAnsi="Verdana" w:cs="Arial"/>
                <w:b/>
                <w:bCs/>
              </w:rPr>
              <w:t xml:space="preserve">NPTSSG </w:t>
            </w:r>
            <w:r w:rsidRPr="00DB68DC">
              <w:rPr>
                <w:rStyle w:val="normaltextrun"/>
                <w:rFonts w:ascii="Verdana" w:hAnsi="Verdana" w:cs="Arial"/>
              </w:rPr>
              <w:t>updated that there is a need to continue to focus on improving Mandatory Training compliance within the Medical Staff Group.</w:t>
            </w:r>
          </w:p>
          <w:p w14:paraId="5D924D94" w14:textId="213387ED" w:rsidR="00C624E9" w:rsidRPr="00DB68DC" w:rsidRDefault="0021137A" w:rsidP="00C624E9">
            <w:pPr>
              <w:pStyle w:val="ListParagraph"/>
              <w:numPr>
                <w:ilvl w:val="0"/>
                <w:numId w:val="1"/>
              </w:numPr>
              <w:spacing w:after="0" w:line="240" w:lineRule="auto"/>
              <w:contextualSpacing w:val="0"/>
              <w:textAlignment w:val="baseline"/>
              <w:rPr>
                <w:rStyle w:val="normaltextrun"/>
                <w:rFonts w:ascii="Verdana" w:hAnsi="Verdana" w:cs="Arial"/>
              </w:rPr>
            </w:pPr>
            <w:r w:rsidRPr="00DB68DC">
              <w:rPr>
                <w:rStyle w:val="normaltextrun"/>
                <w:rFonts w:ascii="Verdana" w:hAnsi="Verdana" w:cs="Arial"/>
                <w:b/>
                <w:bCs/>
              </w:rPr>
              <w:t xml:space="preserve">MH &amp; LD </w:t>
            </w:r>
            <w:r w:rsidRPr="00DB68DC">
              <w:rPr>
                <w:rStyle w:val="normaltextrun"/>
                <w:rFonts w:ascii="Verdana" w:hAnsi="Verdana" w:cs="Arial"/>
              </w:rPr>
              <w:t>Clinical Directors &amp; Directorate Managers to work together to focus on improvement of mandatory training for Medical Staff which has improved but remains below target at 74.77%</w:t>
            </w:r>
          </w:p>
          <w:p w14:paraId="7BF33069" w14:textId="77777777" w:rsidR="00C624E9" w:rsidRDefault="00C624E9" w:rsidP="00C624E9">
            <w:pPr>
              <w:spacing w:after="0" w:line="240" w:lineRule="auto"/>
              <w:textAlignment w:val="baseline"/>
              <w:rPr>
                <w:rStyle w:val="normaltextrun"/>
                <w:rFonts w:ascii="Verdana" w:hAnsi="Verdana" w:cs="Arial"/>
              </w:rPr>
            </w:pPr>
          </w:p>
          <w:p w14:paraId="65F856E3" w14:textId="77777777" w:rsidR="00DB68DC" w:rsidRDefault="00DB68DC" w:rsidP="00C624E9">
            <w:pPr>
              <w:spacing w:after="0" w:line="240" w:lineRule="auto"/>
              <w:textAlignment w:val="baseline"/>
              <w:rPr>
                <w:rStyle w:val="normaltextrun"/>
                <w:rFonts w:ascii="Verdana" w:hAnsi="Verdana" w:cs="Arial"/>
              </w:rPr>
            </w:pPr>
          </w:p>
          <w:p w14:paraId="02C5FFEA" w14:textId="77777777" w:rsidR="00DB68DC" w:rsidRDefault="00DB68DC" w:rsidP="00C624E9">
            <w:pPr>
              <w:spacing w:after="0" w:line="240" w:lineRule="auto"/>
              <w:textAlignment w:val="baseline"/>
              <w:rPr>
                <w:rStyle w:val="normaltextrun"/>
                <w:rFonts w:ascii="Verdana" w:hAnsi="Verdana" w:cs="Arial"/>
              </w:rPr>
            </w:pPr>
          </w:p>
          <w:p w14:paraId="2FE4F63A" w14:textId="77777777" w:rsidR="00DB68DC" w:rsidRDefault="00DB68DC" w:rsidP="00C624E9">
            <w:pPr>
              <w:spacing w:after="0" w:line="240" w:lineRule="auto"/>
              <w:textAlignment w:val="baseline"/>
              <w:rPr>
                <w:rStyle w:val="normaltextrun"/>
                <w:rFonts w:ascii="Verdana" w:hAnsi="Verdana" w:cs="Arial"/>
              </w:rPr>
            </w:pPr>
          </w:p>
          <w:p w14:paraId="4E3C8F57" w14:textId="77777777" w:rsidR="00DB68DC" w:rsidRDefault="00DB68DC" w:rsidP="00C624E9">
            <w:pPr>
              <w:spacing w:after="0" w:line="240" w:lineRule="auto"/>
              <w:textAlignment w:val="baseline"/>
              <w:rPr>
                <w:rStyle w:val="normaltextrun"/>
                <w:rFonts w:ascii="Verdana" w:hAnsi="Verdana" w:cs="Arial"/>
              </w:rPr>
            </w:pPr>
          </w:p>
          <w:p w14:paraId="1E652FF4" w14:textId="77777777" w:rsidR="00DB68DC" w:rsidRDefault="00DB68DC" w:rsidP="00C624E9">
            <w:pPr>
              <w:spacing w:after="0" w:line="240" w:lineRule="auto"/>
              <w:textAlignment w:val="baseline"/>
              <w:rPr>
                <w:rStyle w:val="normaltextrun"/>
                <w:rFonts w:ascii="Verdana" w:hAnsi="Verdana" w:cs="Arial"/>
              </w:rPr>
            </w:pPr>
          </w:p>
          <w:p w14:paraId="6E452ACB" w14:textId="77777777" w:rsidR="00DB68DC" w:rsidRDefault="00DB68DC" w:rsidP="00C624E9">
            <w:pPr>
              <w:spacing w:after="0" w:line="240" w:lineRule="auto"/>
              <w:textAlignment w:val="baseline"/>
              <w:rPr>
                <w:rStyle w:val="normaltextrun"/>
                <w:rFonts w:ascii="Verdana" w:hAnsi="Verdana" w:cs="Arial"/>
              </w:rPr>
            </w:pPr>
          </w:p>
          <w:p w14:paraId="6263407A" w14:textId="77777777" w:rsidR="00DB68DC" w:rsidRDefault="00DB68DC" w:rsidP="00C624E9">
            <w:pPr>
              <w:spacing w:after="0" w:line="240" w:lineRule="auto"/>
              <w:textAlignment w:val="baseline"/>
              <w:rPr>
                <w:rStyle w:val="normaltextrun"/>
                <w:rFonts w:ascii="Verdana" w:hAnsi="Verdana" w:cs="Arial"/>
              </w:rPr>
            </w:pPr>
          </w:p>
          <w:p w14:paraId="5C227EFA" w14:textId="77777777" w:rsidR="00DB68DC" w:rsidRDefault="00DB68DC" w:rsidP="00C624E9">
            <w:pPr>
              <w:spacing w:after="0" w:line="240" w:lineRule="auto"/>
              <w:textAlignment w:val="baseline"/>
              <w:rPr>
                <w:rStyle w:val="normaltextrun"/>
                <w:rFonts w:ascii="Verdana" w:hAnsi="Verdana" w:cs="Arial"/>
              </w:rPr>
            </w:pPr>
          </w:p>
          <w:p w14:paraId="4695C9FA" w14:textId="77777777" w:rsidR="00DB68DC" w:rsidRDefault="00DB68DC" w:rsidP="00C624E9">
            <w:pPr>
              <w:spacing w:after="0" w:line="240" w:lineRule="auto"/>
              <w:textAlignment w:val="baseline"/>
              <w:rPr>
                <w:rStyle w:val="normaltextrun"/>
                <w:rFonts w:ascii="Verdana" w:hAnsi="Verdana" w:cs="Arial"/>
              </w:rPr>
            </w:pPr>
          </w:p>
          <w:p w14:paraId="6D277C3C" w14:textId="77777777" w:rsidR="00DB68DC" w:rsidRDefault="00DB68DC" w:rsidP="00C624E9">
            <w:pPr>
              <w:spacing w:after="0" w:line="240" w:lineRule="auto"/>
              <w:textAlignment w:val="baseline"/>
              <w:rPr>
                <w:rStyle w:val="normaltextrun"/>
                <w:rFonts w:ascii="Verdana" w:hAnsi="Verdana" w:cs="Arial"/>
              </w:rPr>
            </w:pPr>
          </w:p>
          <w:p w14:paraId="134D7F21" w14:textId="77777777" w:rsidR="00DB68DC" w:rsidRDefault="00DB68DC" w:rsidP="00C624E9">
            <w:pPr>
              <w:spacing w:after="0" w:line="240" w:lineRule="auto"/>
              <w:textAlignment w:val="baseline"/>
              <w:rPr>
                <w:rStyle w:val="normaltextrun"/>
                <w:rFonts w:ascii="Verdana" w:hAnsi="Verdana" w:cs="Arial"/>
              </w:rPr>
            </w:pPr>
          </w:p>
          <w:p w14:paraId="323645A6" w14:textId="77777777" w:rsidR="00DB68DC" w:rsidRDefault="00DB68DC" w:rsidP="00C624E9">
            <w:pPr>
              <w:spacing w:after="0" w:line="240" w:lineRule="auto"/>
              <w:textAlignment w:val="baseline"/>
              <w:rPr>
                <w:rStyle w:val="normaltextrun"/>
                <w:rFonts w:ascii="Verdana" w:hAnsi="Verdana" w:cs="Arial"/>
              </w:rPr>
            </w:pPr>
          </w:p>
          <w:p w14:paraId="08550E9C" w14:textId="77777777" w:rsidR="00DB68DC" w:rsidRDefault="00DB68DC" w:rsidP="00C624E9">
            <w:pPr>
              <w:spacing w:after="0" w:line="240" w:lineRule="auto"/>
              <w:textAlignment w:val="baseline"/>
              <w:rPr>
                <w:rStyle w:val="normaltextrun"/>
                <w:rFonts w:ascii="Verdana" w:hAnsi="Verdana" w:cs="Arial"/>
              </w:rPr>
            </w:pPr>
          </w:p>
          <w:p w14:paraId="437A662C" w14:textId="77777777" w:rsidR="00A31416" w:rsidRDefault="00A31416" w:rsidP="00C624E9">
            <w:pPr>
              <w:spacing w:after="0" w:line="240" w:lineRule="auto"/>
              <w:textAlignment w:val="baseline"/>
              <w:rPr>
                <w:rStyle w:val="normaltextrun"/>
                <w:rFonts w:ascii="Verdana" w:hAnsi="Verdana" w:cs="Arial"/>
              </w:rPr>
            </w:pPr>
          </w:p>
          <w:p w14:paraId="469E50FF" w14:textId="77777777" w:rsidR="00A31416" w:rsidRDefault="00A31416" w:rsidP="00C624E9">
            <w:pPr>
              <w:spacing w:after="0" w:line="240" w:lineRule="auto"/>
              <w:textAlignment w:val="baseline"/>
              <w:rPr>
                <w:rStyle w:val="normaltextrun"/>
                <w:rFonts w:ascii="Verdana" w:hAnsi="Verdana" w:cs="Arial"/>
              </w:rPr>
            </w:pPr>
          </w:p>
          <w:p w14:paraId="1C464E54" w14:textId="77777777" w:rsidR="00DB68DC" w:rsidRDefault="00DB68DC" w:rsidP="00C624E9">
            <w:pPr>
              <w:spacing w:after="0" w:line="240" w:lineRule="auto"/>
              <w:textAlignment w:val="baseline"/>
              <w:rPr>
                <w:rStyle w:val="normaltextrun"/>
                <w:rFonts w:ascii="Verdana" w:hAnsi="Verdana" w:cs="Arial"/>
              </w:rPr>
            </w:pPr>
          </w:p>
          <w:p w14:paraId="055FD2A4" w14:textId="77777777" w:rsidR="00DB68DC" w:rsidRDefault="00DB68DC" w:rsidP="00C624E9">
            <w:pPr>
              <w:spacing w:after="0" w:line="240" w:lineRule="auto"/>
              <w:textAlignment w:val="baseline"/>
              <w:rPr>
                <w:rStyle w:val="normaltextrun"/>
                <w:rFonts w:ascii="Verdana" w:hAnsi="Verdana" w:cs="Arial"/>
              </w:rPr>
            </w:pPr>
          </w:p>
          <w:p w14:paraId="2591AA70" w14:textId="77777777" w:rsidR="00DB68DC" w:rsidRDefault="00DB68DC" w:rsidP="00C624E9">
            <w:pPr>
              <w:spacing w:after="0" w:line="240" w:lineRule="auto"/>
              <w:textAlignment w:val="baseline"/>
              <w:rPr>
                <w:rStyle w:val="normaltextrun"/>
                <w:rFonts w:ascii="Verdana" w:hAnsi="Verdana" w:cs="Arial"/>
              </w:rPr>
            </w:pPr>
          </w:p>
          <w:p w14:paraId="3A6145C2" w14:textId="77777777" w:rsidR="00DB68DC" w:rsidRDefault="00DB68DC" w:rsidP="00C624E9">
            <w:pPr>
              <w:spacing w:after="0" w:line="240" w:lineRule="auto"/>
              <w:textAlignment w:val="baseline"/>
              <w:rPr>
                <w:rStyle w:val="normaltextrun"/>
                <w:rFonts w:ascii="Verdana" w:hAnsi="Verdana" w:cs="Arial"/>
              </w:rPr>
            </w:pPr>
          </w:p>
          <w:p w14:paraId="7B5AA29F" w14:textId="01741690" w:rsidR="00DB68DC" w:rsidRPr="00DB68DC" w:rsidRDefault="00DB68DC" w:rsidP="00C624E9">
            <w:pPr>
              <w:spacing w:after="0" w:line="240" w:lineRule="auto"/>
              <w:textAlignment w:val="baseline"/>
              <w:rPr>
                <w:rStyle w:val="normaltextrun"/>
                <w:rFonts w:ascii="Verdana" w:hAnsi="Verdana" w:cs="Arial"/>
              </w:rPr>
            </w:pPr>
          </w:p>
        </w:tc>
      </w:tr>
      <w:tr w:rsidR="00837CDB" w:rsidRPr="00DB68DC" w14:paraId="72845006" w14:textId="77777777" w:rsidTr="00DB68DC">
        <w:trPr>
          <w:trHeight w:val="1266"/>
        </w:trPr>
        <w:tc>
          <w:tcPr>
            <w:tcW w:w="2117" w:type="dxa"/>
            <w:shd w:val="clear" w:color="auto" w:fill="DBE5F1" w:themeFill="accent1" w:themeFillTint="33"/>
          </w:tcPr>
          <w:p w14:paraId="7D5500EB" w14:textId="77777777" w:rsidR="00837CDB" w:rsidRPr="00DB68DC" w:rsidRDefault="00837CDB" w:rsidP="00837CDB">
            <w:pPr>
              <w:spacing w:after="0" w:line="240" w:lineRule="auto"/>
              <w:rPr>
                <w:rFonts w:ascii="Verdana" w:hAnsi="Verdana" w:cs="Arial"/>
                <w:b/>
                <w:bCs/>
                <w:sz w:val="22"/>
                <w:szCs w:val="22"/>
              </w:rPr>
            </w:pPr>
            <w:r w:rsidRPr="00DB68DC">
              <w:rPr>
                <w:rFonts w:ascii="Verdana" w:hAnsi="Verdana" w:cs="Arial"/>
                <w:b/>
                <w:bCs/>
                <w:sz w:val="22"/>
                <w:szCs w:val="22"/>
              </w:rPr>
              <w:lastRenderedPageBreak/>
              <w:t xml:space="preserve">Vacancies </w:t>
            </w:r>
          </w:p>
          <w:p w14:paraId="41113F84" w14:textId="77777777" w:rsidR="00837CDB" w:rsidRPr="00DB68DC" w:rsidRDefault="00837CDB" w:rsidP="00837CDB">
            <w:pPr>
              <w:spacing w:after="0" w:line="240" w:lineRule="auto"/>
              <w:rPr>
                <w:rFonts w:ascii="Verdana" w:hAnsi="Verdana" w:cs="Arial"/>
                <w:b/>
                <w:bCs/>
                <w:sz w:val="24"/>
                <w:szCs w:val="24"/>
              </w:rPr>
            </w:pPr>
            <w:r w:rsidRPr="00DB68DC">
              <w:rPr>
                <w:rFonts w:ascii="Verdana" w:hAnsi="Verdana" w:cs="Arial"/>
                <w:bCs/>
                <w:i/>
                <w:sz w:val="22"/>
                <w:szCs w:val="22"/>
              </w:rPr>
              <w:t>Medical and Nursing and Midwifery</w:t>
            </w:r>
            <w:r w:rsidRPr="00DB68DC">
              <w:rPr>
                <w:rFonts w:ascii="Verdana" w:hAnsi="Verdana" w:cs="Arial"/>
                <w:b/>
                <w:bCs/>
                <w:sz w:val="24"/>
                <w:szCs w:val="24"/>
              </w:rPr>
              <w:t xml:space="preserve"> </w:t>
            </w:r>
          </w:p>
        </w:tc>
        <w:tc>
          <w:tcPr>
            <w:tcW w:w="11623" w:type="dxa"/>
            <w:shd w:val="clear" w:color="auto" w:fill="auto"/>
          </w:tcPr>
          <w:p w14:paraId="4DBE8671" w14:textId="691846CA" w:rsidR="00837CDB" w:rsidRPr="00DB68DC" w:rsidRDefault="00837CDB" w:rsidP="00837CDB">
            <w:pPr>
              <w:jc w:val="center"/>
              <w:rPr>
                <w:rFonts w:ascii="Verdana" w:hAnsi="Verdana" w:cs="Arial"/>
                <w:b/>
              </w:rPr>
            </w:pPr>
            <w:r w:rsidRPr="00DB68DC">
              <w:rPr>
                <w:rFonts w:ascii="Verdana" w:hAnsi="Verdana" w:cs="Arial"/>
                <w:b/>
                <w:bCs/>
              </w:rPr>
              <w:t xml:space="preserve">Vacancies (FTE) </w:t>
            </w:r>
            <w:r w:rsidR="00F40BCB" w:rsidRPr="00DB68DC">
              <w:rPr>
                <w:rFonts w:ascii="Verdana" w:hAnsi="Verdana" w:cs="Arial"/>
                <w:b/>
                <w:bCs/>
              </w:rPr>
              <w:t>Mar</w:t>
            </w:r>
            <w:r w:rsidRPr="00DB68DC">
              <w:rPr>
                <w:rFonts w:ascii="Verdana" w:hAnsi="Verdana" w:cs="Arial"/>
                <w:b/>
                <w:bCs/>
              </w:rPr>
              <w:t xml:space="preserve"> 2</w:t>
            </w:r>
            <w:r w:rsidR="00F40BCB" w:rsidRPr="00DB68DC">
              <w:rPr>
                <w:rFonts w:ascii="Verdana" w:hAnsi="Verdana" w:cs="Arial"/>
                <w:b/>
                <w:bCs/>
              </w:rPr>
              <w:t>5</w:t>
            </w:r>
            <w:r w:rsidRPr="00DB68DC">
              <w:rPr>
                <w:rFonts w:ascii="Verdana" w:hAnsi="Verdana" w:cs="Arial"/>
                <w:b/>
                <w:bCs/>
              </w:rPr>
              <w:t xml:space="preserve"> to </w:t>
            </w:r>
            <w:r w:rsidR="00F40BCB" w:rsidRPr="00DB68DC">
              <w:rPr>
                <w:rFonts w:ascii="Verdana" w:hAnsi="Verdana" w:cs="Arial"/>
                <w:b/>
                <w:bCs/>
              </w:rPr>
              <w:t>Apr</w:t>
            </w:r>
            <w:r w:rsidRPr="00DB68DC">
              <w:rPr>
                <w:rFonts w:ascii="Verdana" w:hAnsi="Verdana" w:cs="Arial"/>
                <w:b/>
                <w:bCs/>
              </w:rPr>
              <w:t xml:space="preserve"> 25</w:t>
            </w:r>
          </w:p>
          <w:p w14:paraId="21386E93" w14:textId="3C273131" w:rsidR="00837CDB" w:rsidRPr="00DB68DC" w:rsidRDefault="00A8556A" w:rsidP="00837CDB">
            <w:pPr>
              <w:jc w:val="center"/>
              <w:rPr>
                <w:rFonts w:ascii="Verdana" w:hAnsi="Verdana"/>
              </w:rPr>
            </w:pPr>
            <w:r w:rsidRPr="00DB68DC">
              <w:rPr>
                <w:rFonts w:ascii="Verdana" w:hAnsi="Verdana"/>
                <w:noProof/>
              </w:rPr>
              <w:drawing>
                <wp:inline distT="0" distB="0" distL="0" distR="0" wp14:anchorId="4697060F" wp14:editId="6DDE1D3D">
                  <wp:extent cx="3200400" cy="3008376"/>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40960" cy="3046503"/>
                          </a:xfrm>
                          <a:prstGeom prst="rect">
                            <a:avLst/>
                          </a:prstGeom>
                        </pic:spPr>
                      </pic:pic>
                    </a:graphicData>
                  </a:graphic>
                </wp:inline>
              </w:drawing>
            </w:r>
            <w:r w:rsidR="00837CDB" w:rsidRPr="00DB68DC">
              <w:rPr>
                <w:rFonts w:ascii="Verdana" w:hAnsi="Verdana" w:cs="Arial"/>
              </w:rPr>
              <w:t xml:space="preserve">      </w:t>
            </w:r>
            <w:r w:rsidR="00CE05D2" w:rsidRPr="00DB68DC">
              <w:rPr>
                <w:rFonts w:ascii="Verdana" w:hAnsi="Verdana" w:cs="Arial"/>
                <w:noProof/>
              </w:rPr>
              <w:drawing>
                <wp:inline distT="0" distB="0" distL="0" distR="0" wp14:anchorId="6A986F1E" wp14:editId="2E7FFD84">
                  <wp:extent cx="3163051" cy="146905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16916" cy="1494068"/>
                          </a:xfrm>
                          <a:prstGeom prst="rect">
                            <a:avLst/>
                          </a:prstGeom>
                        </pic:spPr>
                      </pic:pic>
                    </a:graphicData>
                  </a:graphic>
                </wp:inline>
              </w:drawing>
            </w:r>
          </w:p>
          <w:p w14:paraId="0CF6C8DC" w14:textId="3A4CEF55" w:rsidR="00837CDB" w:rsidRPr="00DB68DC" w:rsidRDefault="00837CDB" w:rsidP="00A8556A">
            <w:pPr>
              <w:spacing w:after="0"/>
              <w:jc w:val="both"/>
              <w:rPr>
                <w:rFonts w:ascii="Verdana" w:hAnsi="Verdana" w:cs="Arial"/>
                <w:i/>
                <w:sz w:val="18"/>
                <w:szCs w:val="18"/>
              </w:rPr>
            </w:pPr>
            <w:r w:rsidRPr="00DB68DC">
              <w:rPr>
                <w:rFonts w:ascii="Verdana" w:hAnsi="Verdana" w:cs="Arial"/>
                <w:i/>
                <w:sz w:val="18"/>
                <w:szCs w:val="18"/>
              </w:rPr>
              <w:t xml:space="preserve">Report generated </w:t>
            </w:r>
            <w:r w:rsidR="00A8556A" w:rsidRPr="00DB68DC">
              <w:rPr>
                <w:rFonts w:ascii="Verdana" w:hAnsi="Verdana" w:cs="Arial"/>
                <w:i/>
                <w:sz w:val="18"/>
                <w:szCs w:val="18"/>
              </w:rPr>
              <w:t>July</w:t>
            </w:r>
            <w:r w:rsidRPr="00DB68DC">
              <w:rPr>
                <w:rFonts w:ascii="Verdana" w:hAnsi="Verdana" w:cs="Arial"/>
                <w:i/>
                <w:sz w:val="18"/>
                <w:szCs w:val="18"/>
              </w:rPr>
              <w:t xml:space="preserve"> 2025,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w:t>
            </w:r>
            <w:proofErr w:type="gramStart"/>
            <w:r w:rsidRPr="00DB68DC">
              <w:rPr>
                <w:rFonts w:ascii="Verdana" w:hAnsi="Verdana" w:cs="Arial"/>
                <w:i/>
                <w:sz w:val="18"/>
                <w:szCs w:val="18"/>
              </w:rPr>
              <w:t>holders</w:t>
            </w:r>
            <w:proofErr w:type="gramEnd"/>
            <w:r w:rsidRPr="00DB68DC">
              <w:rPr>
                <w:rFonts w:ascii="Verdana" w:hAnsi="Verdana" w:cs="Arial"/>
                <w:i/>
                <w:sz w:val="18"/>
                <w:szCs w:val="18"/>
              </w:rPr>
              <w:t xml:space="preserve"> intelligence.</w:t>
            </w:r>
          </w:p>
        </w:tc>
      </w:tr>
      <w:tr w:rsidR="00837CDB" w:rsidRPr="00DB68DC" w14:paraId="4605B8F4" w14:textId="77777777" w:rsidTr="00DB68DC">
        <w:tc>
          <w:tcPr>
            <w:tcW w:w="13740" w:type="dxa"/>
            <w:gridSpan w:val="2"/>
            <w:shd w:val="clear" w:color="auto" w:fill="EAF1DD" w:themeFill="accent3" w:themeFillTint="33"/>
          </w:tcPr>
          <w:p w14:paraId="58FEE78C" w14:textId="77777777" w:rsidR="00837CDB" w:rsidRPr="00DB68DC" w:rsidRDefault="00837CDB" w:rsidP="00837CDB">
            <w:pPr>
              <w:spacing w:after="0" w:line="240" w:lineRule="auto"/>
              <w:contextualSpacing/>
              <w:rPr>
                <w:rFonts w:ascii="Verdana" w:hAnsi="Verdana" w:cs="Arial"/>
                <w:b/>
              </w:rPr>
            </w:pPr>
            <w:r w:rsidRPr="00DB68DC">
              <w:rPr>
                <w:rFonts w:ascii="Verdana" w:hAnsi="Verdana" w:cs="Arial"/>
                <w:b/>
              </w:rPr>
              <w:t>Current Performance</w:t>
            </w:r>
          </w:p>
        </w:tc>
      </w:tr>
      <w:tr w:rsidR="00837CDB" w:rsidRPr="00DB68DC" w14:paraId="24DA82B3" w14:textId="77777777" w:rsidTr="00DB68DC">
        <w:tc>
          <w:tcPr>
            <w:tcW w:w="13740" w:type="dxa"/>
            <w:gridSpan w:val="2"/>
            <w:shd w:val="clear" w:color="auto" w:fill="auto"/>
          </w:tcPr>
          <w:p w14:paraId="3D42C752" w14:textId="77777777" w:rsidR="00A31416" w:rsidRDefault="00CE05D2" w:rsidP="00A31416">
            <w:pPr>
              <w:spacing w:after="0" w:line="240" w:lineRule="auto"/>
              <w:rPr>
                <w:rFonts w:ascii="Verdana" w:hAnsi="Verdana" w:cs="Arial"/>
              </w:rPr>
            </w:pPr>
            <w:r w:rsidRPr="00A31416">
              <w:rPr>
                <w:rFonts w:ascii="Verdana" w:hAnsi="Verdana" w:cs="Arial"/>
              </w:rPr>
              <w:t>Budget for NMC Regist</w:t>
            </w:r>
            <w:r w:rsidR="00A8556A" w:rsidRPr="00A31416">
              <w:rPr>
                <w:rFonts w:ascii="Verdana" w:hAnsi="Verdana" w:cs="Arial"/>
              </w:rPr>
              <w:t>rants</w:t>
            </w:r>
            <w:r w:rsidRPr="00A31416">
              <w:rPr>
                <w:rFonts w:ascii="Verdana" w:hAnsi="Verdana" w:cs="Arial"/>
              </w:rPr>
              <w:t xml:space="preserve"> has increased from 4</w:t>
            </w:r>
            <w:r w:rsidR="00A31416">
              <w:rPr>
                <w:rFonts w:ascii="Verdana" w:hAnsi="Verdana" w:cs="Arial"/>
              </w:rPr>
              <w:t>,</w:t>
            </w:r>
            <w:r w:rsidRPr="00A31416">
              <w:rPr>
                <w:rFonts w:ascii="Verdana" w:hAnsi="Verdana" w:cs="Arial"/>
              </w:rPr>
              <w:t>154.02 WTE to 4</w:t>
            </w:r>
            <w:r w:rsidR="00A31416">
              <w:rPr>
                <w:rFonts w:ascii="Verdana" w:hAnsi="Verdana" w:cs="Arial"/>
              </w:rPr>
              <w:t>,</w:t>
            </w:r>
            <w:r w:rsidRPr="00A31416">
              <w:rPr>
                <w:rFonts w:ascii="Verdana" w:hAnsi="Verdana" w:cs="Arial"/>
              </w:rPr>
              <w:t>166.16 WTE between April and June 2025</w:t>
            </w:r>
            <w:r w:rsidR="00A8556A" w:rsidRPr="00A31416">
              <w:rPr>
                <w:rFonts w:ascii="Verdana" w:hAnsi="Verdana" w:cs="Arial"/>
              </w:rPr>
              <w:t>.</w:t>
            </w:r>
          </w:p>
          <w:p w14:paraId="59FEE50A" w14:textId="1619F98F" w:rsidR="00CE05D2" w:rsidRPr="00A31416" w:rsidRDefault="00A8556A" w:rsidP="00A31416">
            <w:pPr>
              <w:spacing w:after="0" w:line="240" w:lineRule="auto"/>
              <w:rPr>
                <w:rFonts w:ascii="Verdana" w:hAnsi="Verdana" w:cs="Arial"/>
              </w:rPr>
            </w:pPr>
            <w:r w:rsidRPr="00A31416">
              <w:rPr>
                <w:rFonts w:ascii="Verdana" w:hAnsi="Verdana" w:cs="Arial"/>
              </w:rPr>
              <w:t>Budget for M&amp;D has increased from 1</w:t>
            </w:r>
            <w:r w:rsidR="00A31416">
              <w:rPr>
                <w:rFonts w:ascii="Verdana" w:hAnsi="Verdana" w:cs="Arial"/>
              </w:rPr>
              <w:t>,</w:t>
            </w:r>
            <w:r w:rsidRPr="00A31416">
              <w:rPr>
                <w:rFonts w:ascii="Verdana" w:hAnsi="Verdana" w:cs="Arial"/>
              </w:rPr>
              <w:t>361.7 in Apr 2025 to 1</w:t>
            </w:r>
            <w:r w:rsidR="00A31416">
              <w:rPr>
                <w:rFonts w:ascii="Verdana" w:hAnsi="Verdana" w:cs="Arial"/>
              </w:rPr>
              <w:t>,</w:t>
            </w:r>
            <w:r w:rsidRPr="00A31416">
              <w:rPr>
                <w:rFonts w:ascii="Verdana" w:hAnsi="Verdana" w:cs="Arial"/>
              </w:rPr>
              <w:t>365.47 in Jun 2025.</w:t>
            </w:r>
            <w:r w:rsidR="00CE05D2" w:rsidRPr="00A31416">
              <w:rPr>
                <w:rFonts w:ascii="Verdana" w:hAnsi="Verdana" w:cs="Arial"/>
              </w:rPr>
              <w:t xml:space="preserve"> </w:t>
            </w:r>
          </w:p>
          <w:p w14:paraId="176E1B0A" w14:textId="77777777" w:rsidR="00A31416" w:rsidRDefault="00A31416" w:rsidP="00A31416">
            <w:pPr>
              <w:spacing w:after="0" w:line="240" w:lineRule="auto"/>
              <w:rPr>
                <w:rFonts w:ascii="Verdana" w:hAnsi="Verdana" w:cs="Arial"/>
              </w:rPr>
            </w:pPr>
          </w:p>
          <w:p w14:paraId="5DD7A3D6" w14:textId="77777777" w:rsidR="00A31416" w:rsidRDefault="00712C48" w:rsidP="00A31416">
            <w:pPr>
              <w:spacing w:after="0" w:line="240" w:lineRule="auto"/>
              <w:rPr>
                <w:rFonts w:ascii="Verdana" w:hAnsi="Verdana" w:cs="Arial"/>
              </w:rPr>
            </w:pPr>
            <w:r w:rsidRPr="00A31416">
              <w:rPr>
                <w:rFonts w:ascii="Verdana" w:hAnsi="Verdana" w:cs="Arial"/>
              </w:rPr>
              <w:t>The Health Board (HB) continues to be over-recruited</w:t>
            </w:r>
            <w:r w:rsidR="00A8556A" w:rsidRPr="00A31416">
              <w:rPr>
                <w:rFonts w:ascii="Verdana" w:hAnsi="Verdana" w:cs="Arial"/>
              </w:rPr>
              <w:t xml:space="preserve"> on NMC Registrants</w:t>
            </w:r>
            <w:r w:rsidRPr="00A31416">
              <w:rPr>
                <w:rFonts w:ascii="Verdana" w:hAnsi="Verdana" w:cs="Arial"/>
              </w:rPr>
              <w:t xml:space="preserve"> as at the end of June 2025 by 75.55 FTE, </w:t>
            </w:r>
            <w:proofErr w:type="gramStart"/>
            <w:r w:rsidR="00A8556A" w:rsidRPr="00A31416">
              <w:rPr>
                <w:rFonts w:ascii="Verdana" w:hAnsi="Verdana" w:cs="Arial"/>
              </w:rPr>
              <w:t>in spite of</w:t>
            </w:r>
            <w:proofErr w:type="gramEnd"/>
            <w:r w:rsidR="00A8556A" w:rsidRPr="00A31416">
              <w:rPr>
                <w:rFonts w:ascii="Verdana" w:hAnsi="Verdana" w:cs="Arial"/>
              </w:rPr>
              <w:t xml:space="preserve"> an increase to </w:t>
            </w:r>
            <w:proofErr w:type="spellStart"/>
            <w:proofErr w:type="gramStart"/>
            <w:r w:rsidR="00A8556A" w:rsidRPr="00A31416">
              <w:rPr>
                <w:rFonts w:ascii="Verdana" w:hAnsi="Verdana" w:cs="Arial"/>
              </w:rPr>
              <w:t>budget.</w:t>
            </w:r>
            <w:r w:rsidRPr="00A31416">
              <w:rPr>
                <w:rFonts w:ascii="Verdana" w:hAnsi="Verdana" w:cs="Arial"/>
              </w:rPr>
              <w:t>For</w:t>
            </w:r>
            <w:proofErr w:type="spellEnd"/>
            <w:proofErr w:type="gramEnd"/>
            <w:r w:rsidRPr="00A31416">
              <w:rPr>
                <w:rFonts w:ascii="Verdana" w:hAnsi="Verdana" w:cs="Arial"/>
              </w:rPr>
              <w:t xml:space="preserve"> Band 5 nurses, the HB was over-recruited by 99 FTEs as of June 25, a reduction from 110FTEs in April 2025. This is due to the Health Board continuing to accommodate newly qualified nurses starting in Band 5 roles through our student streamlining programme, whereby</w:t>
            </w:r>
            <w:r w:rsidRPr="00A31416">
              <w:rPr>
                <w:rFonts w:ascii="Verdana" w:eastAsia="Times New Roman" w:hAnsi="Verdana"/>
                <w:color w:val="0C64C0"/>
              </w:rPr>
              <w:t xml:space="preserve"> </w:t>
            </w:r>
            <w:r w:rsidRPr="00A31416">
              <w:rPr>
                <w:rFonts w:ascii="Verdana" w:hAnsi="Verdana" w:cs="Arial"/>
              </w:rPr>
              <w:t xml:space="preserve">181 have now started in post between 01/09/24 and 10/07/2025 (compared to 145 as of 18/03/2025). </w:t>
            </w:r>
          </w:p>
          <w:p w14:paraId="5FA70DAE" w14:textId="095A0753" w:rsidR="00712C48" w:rsidRPr="00DB68DC" w:rsidRDefault="00712C48" w:rsidP="00A31416">
            <w:pPr>
              <w:spacing w:after="0" w:line="240" w:lineRule="auto"/>
              <w:rPr>
                <w:rFonts w:ascii="Verdana" w:hAnsi="Verdana" w:cs="Arial"/>
              </w:rPr>
            </w:pPr>
            <w:r w:rsidRPr="00DB68DC">
              <w:rPr>
                <w:rFonts w:ascii="Verdana" w:hAnsi="Verdana" w:cs="Arial"/>
              </w:rPr>
              <w:t xml:space="preserve">In July 2025, 5 international nurses have started in post for theatres. No further international recruitment is planned for this financial year. The 5 staff will remain on a Band 4 salary until OSCE training is completed and their NMC PIN is received, after which point, they will then move to a Band 5 post. </w:t>
            </w:r>
          </w:p>
          <w:p w14:paraId="26C4C898" w14:textId="77777777" w:rsidR="00712C48" w:rsidRPr="00A31416" w:rsidRDefault="00712C48" w:rsidP="00A31416">
            <w:pPr>
              <w:spacing w:after="0" w:line="240" w:lineRule="auto"/>
              <w:rPr>
                <w:rFonts w:ascii="Verdana" w:hAnsi="Verdana" w:cs="Arial"/>
              </w:rPr>
            </w:pPr>
            <w:r w:rsidRPr="00A31416">
              <w:rPr>
                <w:rFonts w:ascii="Verdana" w:hAnsi="Verdana" w:cs="Arial"/>
              </w:rPr>
              <w:t xml:space="preserve">In addition to the above, our Central Resourcing Team (CRT) continue to support service groups with any other Band 5 Nursing or Band 2 HCSW recruitment. They are currently supporting Morriston Service Group with their latest recruitment round for HCSWs. </w:t>
            </w:r>
            <w:r w:rsidRPr="00A31416">
              <w:rPr>
                <w:rFonts w:ascii="Verdana" w:hAnsi="Verdana" w:cs="Arial"/>
              </w:rPr>
              <w:lastRenderedPageBreak/>
              <w:t xml:space="preserve">They also continue to provide support for the Mental Health and Learning Disabilities Service Group for various Nursing and HCSW vacancies </w:t>
            </w:r>
          </w:p>
          <w:p w14:paraId="699799D7" w14:textId="77777777" w:rsidR="00A31416" w:rsidRDefault="00A31416" w:rsidP="00A31416">
            <w:pPr>
              <w:spacing w:after="0" w:line="240" w:lineRule="auto"/>
              <w:rPr>
                <w:rFonts w:ascii="Verdana" w:hAnsi="Verdana" w:cs="Arial"/>
              </w:rPr>
            </w:pPr>
          </w:p>
          <w:p w14:paraId="665036C6" w14:textId="605CF7B4" w:rsidR="00712C48" w:rsidRPr="00A31416" w:rsidRDefault="00712C48" w:rsidP="00A31416">
            <w:pPr>
              <w:spacing w:after="0" w:line="240" w:lineRule="auto"/>
              <w:rPr>
                <w:rFonts w:ascii="Verdana" w:hAnsi="Verdana" w:cs="Arial"/>
              </w:rPr>
            </w:pPr>
            <w:r w:rsidRPr="00A31416">
              <w:rPr>
                <w:rFonts w:ascii="Verdana" w:hAnsi="Verdana" w:cs="Arial"/>
              </w:rPr>
              <w:t xml:space="preserve">The rich supply of Band 5 nurses from all three recruitment sources should ensure that no band 5 nursing gaps arise over the next 12 months due to turnover and/or internal movements into higher banded roles  </w:t>
            </w:r>
          </w:p>
          <w:p w14:paraId="5B6F9D2C" w14:textId="77777777" w:rsidR="00A31416" w:rsidRDefault="00A31416" w:rsidP="00A31416">
            <w:pPr>
              <w:spacing w:after="0" w:line="240" w:lineRule="auto"/>
              <w:rPr>
                <w:rFonts w:ascii="Verdana" w:hAnsi="Verdana" w:cs="Arial"/>
              </w:rPr>
            </w:pPr>
          </w:p>
          <w:p w14:paraId="604258DF" w14:textId="0E1F2232" w:rsidR="00837CDB" w:rsidRPr="00A31416" w:rsidRDefault="00837CDB" w:rsidP="00A31416">
            <w:pPr>
              <w:spacing w:after="0" w:line="240" w:lineRule="auto"/>
              <w:rPr>
                <w:rFonts w:ascii="Verdana" w:hAnsi="Verdana" w:cs="Arial"/>
              </w:rPr>
            </w:pPr>
            <w:r w:rsidRPr="00A31416">
              <w:rPr>
                <w:rFonts w:ascii="Verdana" w:hAnsi="Verdana" w:cs="Arial"/>
              </w:rPr>
              <w:t xml:space="preserve">It is important to note that the vacancy exception process remains in </w:t>
            </w:r>
            <w:proofErr w:type="gramStart"/>
            <w:r w:rsidRPr="00A31416">
              <w:rPr>
                <w:rFonts w:ascii="Verdana" w:hAnsi="Verdana" w:cs="Arial"/>
              </w:rPr>
              <w:t>place</w:t>
            </w:r>
            <w:proofErr w:type="gramEnd"/>
            <w:r w:rsidRPr="00A31416">
              <w:rPr>
                <w:rFonts w:ascii="Verdana" w:hAnsi="Verdana" w:cs="Arial"/>
              </w:rPr>
              <w:t xml:space="preserve"> which is impacting on timescales, staff wellbeing/experience and can be demonstrated within the high levels of variable pay. </w:t>
            </w:r>
          </w:p>
          <w:p w14:paraId="342C5C37" w14:textId="22E4E544" w:rsidR="00837CDB" w:rsidRPr="00DB68DC" w:rsidRDefault="00837CDB" w:rsidP="00C624E9">
            <w:pPr>
              <w:spacing w:after="0" w:line="240" w:lineRule="auto"/>
              <w:rPr>
                <w:rFonts w:ascii="Verdana" w:hAnsi="Verdana" w:cs="Arial"/>
              </w:rPr>
            </w:pPr>
          </w:p>
        </w:tc>
      </w:tr>
      <w:tr w:rsidR="00837CDB" w:rsidRPr="00DB68DC" w14:paraId="1645E266" w14:textId="77777777" w:rsidTr="00DB68DC">
        <w:tc>
          <w:tcPr>
            <w:tcW w:w="13740" w:type="dxa"/>
            <w:gridSpan w:val="2"/>
            <w:shd w:val="clear" w:color="auto" w:fill="EAF1DD" w:themeFill="accent3" w:themeFillTint="33"/>
          </w:tcPr>
          <w:p w14:paraId="6DD4C2E6" w14:textId="77777777" w:rsidR="00837CDB" w:rsidRPr="00DB68DC" w:rsidRDefault="00837CDB" w:rsidP="00837CDB">
            <w:pPr>
              <w:spacing w:after="0" w:line="240" w:lineRule="auto"/>
              <w:rPr>
                <w:rFonts w:ascii="Verdana" w:hAnsi="Verdana" w:cs="Arial"/>
                <w:b/>
              </w:rPr>
            </w:pPr>
            <w:r w:rsidRPr="00DB68DC">
              <w:rPr>
                <w:rFonts w:ascii="Verdana" w:hAnsi="Verdana" w:cs="Arial"/>
                <w:b/>
              </w:rPr>
              <w:lastRenderedPageBreak/>
              <w:t>Actions for Next Period</w:t>
            </w:r>
          </w:p>
        </w:tc>
      </w:tr>
      <w:tr w:rsidR="00837CDB" w:rsidRPr="00DB68DC" w14:paraId="00E15887" w14:textId="77777777" w:rsidTr="00DB68DC">
        <w:trPr>
          <w:trHeight w:val="67"/>
        </w:trPr>
        <w:tc>
          <w:tcPr>
            <w:tcW w:w="13740" w:type="dxa"/>
            <w:gridSpan w:val="2"/>
            <w:shd w:val="clear" w:color="auto" w:fill="auto"/>
          </w:tcPr>
          <w:p w14:paraId="1FEE95A5" w14:textId="77777777" w:rsidR="00712C48" w:rsidRPr="00DB68DC" w:rsidRDefault="00712C48" w:rsidP="00B416AC">
            <w:pPr>
              <w:pStyle w:val="ListParagraph"/>
              <w:numPr>
                <w:ilvl w:val="0"/>
                <w:numId w:val="2"/>
              </w:numPr>
              <w:rPr>
                <w:rFonts w:ascii="Verdana" w:hAnsi="Verdana" w:cs="Arial"/>
              </w:rPr>
            </w:pPr>
            <w:r w:rsidRPr="00DB68DC">
              <w:rPr>
                <w:rFonts w:ascii="Verdana" w:hAnsi="Verdana" w:cs="Arial"/>
              </w:rPr>
              <w:t>International recruitment to cease</w:t>
            </w:r>
          </w:p>
          <w:p w14:paraId="1EEFA31A" w14:textId="3B444C2C" w:rsidR="00712C48" w:rsidRPr="00DB68DC" w:rsidRDefault="00A31416" w:rsidP="00B416AC">
            <w:pPr>
              <w:pStyle w:val="ListParagraph"/>
              <w:numPr>
                <w:ilvl w:val="0"/>
                <w:numId w:val="2"/>
              </w:numPr>
              <w:rPr>
                <w:rFonts w:ascii="Verdana" w:hAnsi="Verdana" w:cs="Arial"/>
              </w:rPr>
            </w:pPr>
            <w:r>
              <w:rPr>
                <w:rFonts w:ascii="Verdana" w:hAnsi="Verdana" w:cs="Arial"/>
              </w:rPr>
              <w:t xml:space="preserve">We </w:t>
            </w:r>
            <w:r w:rsidR="00712C48" w:rsidRPr="00DB68DC">
              <w:rPr>
                <w:rFonts w:ascii="Verdana" w:hAnsi="Verdana" w:cs="Arial"/>
              </w:rPr>
              <w:t>will continue to support pre-employment checks for newly qualified nurses for the March 2025 cohort and will start to support the September 2025 cohort of approximately 140 newly qualified nurses over the coming months</w:t>
            </w:r>
          </w:p>
          <w:p w14:paraId="6A50CCD9" w14:textId="627B9CDE" w:rsidR="00712C48" w:rsidRPr="00DB68DC" w:rsidRDefault="00712C48" w:rsidP="00B416AC">
            <w:pPr>
              <w:pStyle w:val="ListParagraph"/>
              <w:numPr>
                <w:ilvl w:val="0"/>
                <w:numId w:val="2"/>
              </w:numPr>
              <w:rPr>
                <w:rFonts w:ascii="Verdana" w:hAnsi="Verdana" w:cs="Arial"/>
              </w:rPr>
            </w:pPr>
            <w:r w:rsidRPr="00DB68DC">
              <w:rPr>
                <w:rFonts w:ascii="Verdana" w:hAnsi="Verdana" w:cs="Arial"/>
              </w:rPr>
              <w:t xml:space="preserve">Domestic nurse and HCSW recruitment will continue as approved by the </w:t>
            </w:r>
            <w:r w:rsidR="00A31416">
              <w:rPr>
                <w:rFonts w:ascii="Verdana" w:hAnsi="Verdana" w:cs="Arial"/>
              </w:rPr>
              <w:t>vacancy control panel</w:t>
            </w:r>
          </w:p>
          <w:p w14:paraId="38CF87B6" w14:textId="00B8BD7F" w:rsidR="00712C48" w:rsidRPr="00DB68DC" w:rsidRDefault="00A31416" w:rsidP="00B416AC">
            <w:pPr>
              <w:pStyle w:val="ListParagraph"/>
              <w:numPr>
                <w:ilvl w:val="0"/>
                <w:numId w:val="2"/>
              </w:numPr>
              <w:rPr>
                <w:rFonts w:ascii="Verdana" w:hAnsi="Verdana" w:cs="Arial"/>
              </w:rPr>
            </w:pPr>
            <w:r>
              <w:rPr>
                <w:rFonts w:ascii="Verdana" w:hAnsi="Verdana" w:cs="Arial"/>
              </w:rPr>
              <w:t xml:space="preserve">We </w:t>
            </w:r>
            <w:r w:rsidR="00712C48" w:rsidRPr="00DB68DC">
              <w:rPr>
                <w:rFonts w:ascii="Verdana" w:hAnsi="Verdana" w:cs="Arial"/>
              </w:rPr>
              <w:t xml:space="preserve">will continue to support with chasing pre-employment checks for key roles to reduce time to hire and fill vacancies </w:t>
            </w:r>
          </w:p>
          <w:p w14:paraId="0C9613A8" w14:textId="2BEFABE8" w:rsidR="00712C48" w:rsidRPr="00DB68DC" w:rsidRDefault="00A31416" w:rsidP="00B416AC">
            <w:pPr>
              <w:pStyle w:val="ListParagraph"/>
              <w:numPr>
                <w:ilvl w:val="0"/>
                <w:numId w:val="2"/>
              </w:numPr>
              <w:rPr>
                <w:rFonts w:ascii="Verdana" w:hAnsi="Verdana" w:cs="Arial"/>
              </w:rPr>
            </w:pPr>
            <w:r>
              <w:rPr>
                <w:rFonts w:ascii="Verdana" w:hAnsi="Verdana" w:cs="Arial"/>
              </w:rPr>
              <w:t xml:space="preserve">We </w:t>
            </w:r>
            <w:r w:rsidR="00712C48" w:rsidRPr="00DB68DC">
              <w:rPr>
                <w:rFonts w:ascii="Verdana" w:hAnsi="Verdana" w:cs="Arial"/>
              </w:rPr>
              <w:t>have developed a checklist of actions for recruiting managers to consider when trying to fill hard to recruit roles, which is now published and available on the intranet</w:t>
            </w:r>
          </w:p>
          <w:p w14:paraId="08104175" w14:textId="414BFE6E" w:rsidR="00DB68DC" w:rsidRDefault="00A50BC1" w:rsidP="00163782">
            <w:pPr>
              <w:pStyle w:val="ListParagraph"/>
              <w:numPr>
                <w:ilvl w:val="0"/>
                <w:numId w:val="2"/>
              </w:numPr>
              <w:rPr>
                <w:rFonts w:ascii="Verdana" w:hAnsi="Verdana" w:cs="Arial"/>
              </w:rPr>
            </w:pPr>
            <w:r w:rsidRPr="00A50BC1">
              <w:rPr>
                <w:rFonts w:ascii="Verdana" w:hAnsi="Verdana" w:cs="Arial"/>
              </w:rPr>
              <w:t>We</w:t>
            </w:r>
            <w:r w:rsidR="00712C48" w:rsidRPr="00A50BC1">
              <w:rPr>
                <w:rFonts w:ascii="Verdana" w:hAnsi="Verdana" w:cs="Arial"/>
              </w:rPr>
              <w:t xml:space="preserve"> will continue supporting the Executive Clinical Vacancy Scrutiny Panel which takes place weekly, including collating submissions, attending the panel meetings, and distributing outcomes to the Service Groups. </w:t>
            </w:r>
          </w:p>
          <w:p w14:paraId="2E62F303" w14:textId="77777777" w:rsidR="00A50BC1" w:rsidRDefault="00A50BC1" w:rsidP="00A50BC1">
            <w:pPr>
              <w:rPr>
                <w:rFonts w:ascii="Verdana" w:hAnsi="Verdana" w:cs="Arial"/>
              </w:rPr>
            </w:pPr>
          </w:p>
          <w:p w14:paraId="20AD3FB1" w14:textId="77777777" w:rsidR="00A50BC1" w:rsidRDefault="00A50BC1" w:rsidP="00A50BC1">
            <w:pPr>
              <w:rPr>
                <w:rFonts w:ascii="Verdana" w:hAnsi="Verdana" w:cs="Arial"/>
              </w:rPr>
            </w:pPr>
          </w:p>
          <w:p w14:paraId="5F6C01CB" w14:textId="77777777" w:rsidR="00A50BC1" w:rsidRDefault="00A50BC1" w:rsidP="00A50BC1">
            <w:pPr>
              <w:rPr>
                <w:rFonts w:ascii="Verdana" w:hAnsi="Verdana" w:cs="Arial"/>
              </w:rPr>
            </w:pPr>
          </w:p>
          <w:p w14:paraId="514F1BE0" w14:textId="77777777" w:rsidR="00A50BC1" w:rsidRPr="00A50BC1" w:rsidRDefault="00A50BC1" w:rsidP="00A50BC1">
            <w:pPr>
              <w:rPr>
                <w:rFonts w:ascii="Verdana" w:hAnsi="Verdana" w:cs="Arial"/>
              </w:rPr>
            </w:pPr>
          </w:p>
          <w:p w14:paraId="44A772C1" w14:textId="77777777" w:rsidR="00DB68DC" w:rsidRDefault="00DB68DC" w:rsidP="00DB68DC">
            <w:pPr>
              <w:rPr>
                <w:rFonts w:ascii="Verdana" w:hAnsi="Verdana" w:cs="Arial"/>
              </w:rPr>
            </w:pPr>
          </w:p>
          <w:p w14:paraId="40867D97" w14:textId="77777777" w:rsidR="00DB68DC" w:rsidRDefault="00DB68DC" w:rsidP="00DB68DC">
            <w:pPr>
              <w:rPr>
                <w:rFonts w:ascii="Verdana" w:hAnsi="Verdana" w:cs="Arial"/>
              </w:rPr>
            </w:pPr>
          </w:p>
          <w:p w14:paraId="713EBE63" w14:textId="77777777" w:rsidR="00DB68DC" w:rsidRDefault="00DB68DC" w:rsidP="00DB68DC">
            <w:pPr>
              <w:rPr>
                <w:rFonts w:ascii="Verdana" w:hAnsi="Verdana" w:cs="Arial"/>
              </w:rPr>
            </w:pPr>
          </w:p>
          <w:p w14:paraId="11A8E6E4" w14:textId="77777777" w:rsidR="00DB68DC" w:rsidRDefault="00DB68DC" w:rsidP="00DB68DC">
            <w:pPr>
              <w:rPr>
                <w:rFonts w:ascii="Verdana" w:hAnsi="Verdana" w:cs="Arial"/>
              </w:rPr>
            </w:pPr>
          </w:p>
          <w:p w14:paraId="187829C7" w14:textId="77777777" w:rsidR="00DB68DC" w:rsidRDefault="00DB68DC" w:rsidP="00DB68DC">
            <w:pPr>
              <w:rPr>
                <w:rFonts w:ascii="Verdana" w:hAnsi="Verdana" w:cs="Arial"/>
              </w:rPr>
            </w:pPr>
          </w:p>
          <w:p w14:paraId="74BFE5D7" w14:textId="1AC46C0E" w:rsidR="00DB68DC" w:rsidRPr="00DB68DC" w:rsidRDefault="00DB68DC" w:rsidP="00DB68DC">
            <w:pPr>
              <w:rPr>
                <w:rFonts w:ascii="Verdana" w:hAnsi="Verdana" w:cs="Arial"/>
              </w:rPr>
            </w:pPr>
          </w:p>
        </w:tc>
      </w:tr>
      <w:tr w:rsidR="00837CDB" w:rsidRPr="00DB68DC" w14:paraId="78CAAE90" w14:textId="77777777" w:rsidTr="00DB68DC">
        <w:tc>
          <w:tcPr>
            <w:tcW w:w="2117" w:type="dxa"/>
            <w:shd w:val="clear" w:color="auto" w:fill="DBE5F1" w:themeFill="accent1" w:themeFillTint="33"/>
          </w:tcPr>
          <w:p w14:paraId="05C99ADB" w14:textId="77777777" w:rsidR="00837CDB" w:rsidRPr="00DB68DC" w:rsidRDefault="00837CDB" w:rsidP="00837CDB">
            <w:pPr>
              <w:spacing w:after="0" w:line="240" w:lineRule="auto"/>
              <w:rPr>
                <w:rFonts w:ascii="Verdana" w:hAnsi="Verdana" w:cs="Arial"/>
                <w:b/>
                <w:bCs/>
                <w:sz w:val="22"/>
              </w:rPr>
            </w:pPr>
          </w:p>
          <w:p w14:paraId="003A789C" w14:textId="53191F10" w:rsidR="00837CDB" w:rsidRPr="00DB68DC" w:rsidRDefault="00837CDB" w:rsidP="00837CDB">
            <w:pPr>
              <w:spacing w:after="0" w:line="240" w:lineRule="auto"/>
              <w:rPr>
                <w:rFonts w:ascii="Verdana" w:hAnsi="Verdana" w:cs="Arial"/>
                <w:b/>
                <w:bCs/>
              </w:rPr>
            </w:pPr>
            <w:r w:rsidRPr="00DB68DC">
              <w:rPr>
                <w:rFonts w:ascii="Verdana" w:hAnsi="Verdana" w:cs="Arial"/>
                <w:b/>
                <w:bCs/>
                <w:sz w:val="22"/>
              </w:rPr>
              <w:t>Recruitment</w:t>
            </w:r>
            <w:r w:rsidRPr="00DB68DC">
              <w:rPr>
                <w:rFonts w:ascii="Verdana" w:hAnsi="Verdana" w:cs="Arial"/>
                <w:b/>
                <w:bCs/>
              </w:rPr>
              <w:t xml:space="preserve"> </w:t>
            </w:r>
          </w:p>
          <w:p w14:paraId="2C8CA198" w14:textId="77777777" w:rsidR="00837CDB" w:rsidRPr="00DB68DC" w:rsidRDefault="00837CDB" w:rsidP="00837CDB">
            <w:pPr>
              <w:spacing w:after="0" w:line="240" w:lineRule="auto"/>
              <w:rPr>
                <w:rFonts w:ascii="Verdana" w:hAnsi="Verdana" w:cs="Arial"/>
                <w:bCs/>
                <w:i/>
                <w:sz w:val="21"/>
                <w:szCs w:val="21"/>
              </w:rPr>
            </w:pPr>
            <w:r w:rsidRPr="00DB68DC">
              <w:rPr>
                <w:rFonts w:ascii="Verdana" w:hAnsi="Verdana" w:cs="Arial"/>
                <w:bCs/>
                <w:i/>
                <w:sz w:val="21"/>
                <w:szCs w:val="21"/>
              </w:rPr>
              <w:t>Metrics provided by NWSSP.  Comparison with all-Wales benchmarking</w:t>
            </w:r>
          </w:p>
          <w:p w14:paraId="4EDA2AA3" w14:textId="77777777" w:rsidR="00837CDB" w:rsidRPr="00DB68DC" w:rsidRDefault="00837CDB" w:rsidP="00837CDB">
            <w:pPr>
              <w:spacing w:after="0" w:line="240" w:lineRule="auto"/>
              <w:rPr>
                <w:rFonts w:ascii="Verdana" w:hAnsi="Verdana" w:cs="Arial"/>
                <w:bCs/>
                <w:i/>
                <w:sz w:val="21"/>
                <w:szCs w:val="21"/>
              </w:rPr>
            </w:pPr>
          </w:p>
          <w:p w14:paraId="5E31B164" w14:textId="3EA71514" w:rsidR="00837CDB" w:rsidRPr="00DB68DC" w:rsidRDefault="00837CDB" w:rsidP="00837CDB">
            <w:pPr>
              <w:spacing w:after="0" w:line="240" w:lineRule="auto"/>
              <w:rPr>
                <w:rFonts w:ascii="Verdana" w:hAnsi="Verdana" w:cs="Arial"/>
                <w:b/>
                <w:bCs/>
                <w:sz w:val="24"/>
                <w:szCs w:val="24"/>
              </w:rPr>
            </w:pPr>
            <w:r w:rsidRPr="00DB68DC">
              <w:rPr>
                <w:rFonts w:ascii="Verdana" w:hAnsi="Verdana" w:cs="Arial"/>
                <w:bCs/>
                <w:i/>
                <w:sz w:val="21"/>
                <w:szCs w:val="21"/>
              </w:rPr>
              <w:t>Target 44 days</w:t>
            </w:r>
          </w:p>
        </w:tc>
        <w:tc>
          <w:tcPr>
            <w:tcW w:w="11623" w:type="dxa"/>
            <w:shd w:val="clear" w:color="auto" w:fill="auto"/>
          </w:tcPr>
          <w:p w14:paraId="15BA2956" w14:textId="242AA793" w:rsidR="00837CDB" w:rsidRPr="00DB68DC" w:rsidRDefault="00837CDB" w:rsidP="00837CDB">
            <w:pPr>
              <w:spacing w:after="0" w:line="240" w:lineRule="auto"/>
              <w:jc w:val="center"/>
              <w:rPr>
                <w:rFonts w:ascii="Verdana" w:hAnsi="Verdana"/>
              </w:rPr>
            </w:pPr>
            <w:r w:rsidRPr="00DB68DC">
              <w:rPr>
                <w:rFonts w:ascii="Verdana" w:hAnsi="Verdana" w:cs="Arial"/>
                <w:b/>
                <w:bCs/>
                <w:noProof/>
                <w:sz w:val="22"/>
                <w:szCs w:val="22"/>
                <w:lang w:val="en-US"/>
              </w:rPr>
              <w:t xml:space="preserve">Vacancy Creation to Conditional Offer </w:t>
            </w:r>
            <w:r w:rsidR="00F1548C" w:rsidRPr="00DB68DC">
              <w:rPr>
                <w:rFonts w:ascii="Verdana" w:hAnsi="Verdana" w:cs="Arial"/>
                <w:b/>
                <w:bCs/>
                <w:noProof/>
                <w:sz w:val="22"/>
                <w:szCs w:val="22"/>
                <w:lang w:val="en-US"/>
              </w:rPr>
              <w:t>April 2025</w:t>
            </w:r>
            <w:r w:rsidRPr="00DB68DC">
              <w:rPr>
                <w:rFonts w:ascii="Verdana" w:hAnsi="Verdana" w:cs="Arial"/>
                <w:b/>
                <w:bCs/>
                <w:noProof/>
                <w:sz w:val="22"/>
                <w:szCs w:val="22"/>
                <w:lang w:val="en-US"/>
              </w:rPr>
              <w:t xml:space="preserve"> (working days) T13</w:t>
            </w:r>
            <w:r w:rsidR="00F1548C" w:rsidRPr="00DB68DC">
              <w:rPr>
                <w:rFonts w:ascii="Verdana" w:hAnsi="Verdana" w:cs="Arial"/>
                <w:b/>
                <w:bCs/>
                <w:noProof/>
                <w:sz w:val="22"/>
                <w:szCs w:val="22"/>
                <w:lang w:val="en-US"/>
              </w:rPr>
              <w:t xml:space="preserve"> (exc outliers)</w:t>
            </w:r>
          </w:p>
          <w:p w14:paraId="0FFB1DB5" w14:textId="5F2D36FB" w:rsidR="00837CDB" w:rsidRPr="00DB68DC" w:rsidRDefault="00837CDB" w:rsidP="00837CDB">
            <w:pPr>
              <w:spacing w:after="0" w:line="240" w:lineRule="auto"/>
              <w:jc w:val="center"/>
              <w:rPr>
                <w:rFonts w:ascii="Verdana" w:hAnsi="Verdana" w:cs="Arial"/>
                <w:b/>
                <w:bCs/>
                <w:noProof/>
                <w:sz w:val="22"/>
              </w:rPr>
            </w:pPr>
          </w:p>
          <w:p w14:paraId="64A329DA" w14:textId="3FF5E686" w:rsidR="00837CDB" w:rsidRPr="00DB68DC" w:rsidRDefault="00851990" w:rsidP="00837CDB">
            <w:pPr>
              <w:spacing w:after="0" w:line="240" w:lineRule="auto"/>
              <w:jc w:val="center"/>
              <w:rPr>
                <w:rFonts w:ascii="Verdana" w:hAnsi="Verdana" w:cs="Arial"/>
                <w:b/>
                <w:bCs/>
                <w:noProof/>
                <w:sz w:val="22"/>
              </w:rPr>
            </w:pPr>
            <w:r w:rsidRPr="00DB68DC">
              <w:rPr>
                <w:rFonts w:ascii="Verdana" w:hAnsi="Verdana"/>
                <w:noProof/>
              </w:rPr>
              <w:drawing>
                <wp:inline distT="0" distB="0" distL="0" distR="0" wp14:anchorId="579988F5" wp14:editId="14800FD5">
                  <wp:extent cx="6676390" cy="1924160"/>
                  <wp:effectExtent l="0" t="0" r="10160" b="0"/>
                  <wp:docPr id="11" name="Chart 11">
                    <a:extLst xmlns:a="http://schemas.openxmlformats.org/drawingml/2006/main">
                      <a:ext uri="{FF2B5EF4-FFF2-40B4-BE49-F238E27FC236}">
                        <a16:creationId xmlns:a16="http://schemas.microsoft.com/office/drawing/2014/main" id="{00000000-0008-0000-0100-000025000000}"/>
                      </a:ext>
                      <a:ext uri="{147F2762-F138-4A5C-976F-8EAC2B608ADB}">
                        <a16:predDERef xmlns:a16="http://schemas.microsoft.com/office/drawing/2014/main" pred="{00000000-0008-0000-01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E7101DD" w14:textId="77777777" w:rsidR="00837CDB" w:rsidRPr="00DB68DC" w:rsidRDefault="00837CDB" w:rsidP="00837CDB">
            <w:pPr>
              <w:spacing w:after="0" w:line="240" w:lineRule="auto"/>
              <w:jc w:val="center"/>
              <w:rPr>
                <w:rFonts w:ascii="Verdana" w:hAnsi="Verdana" w:cs="Arial"/>
                <w:b/>
                <w:bCs/>
                <w:noProof/>
                <w:sz w:val="22"/>
              </w:rPr>
            </w:pPr>
          </w:p>
          <w:p w14:paraId="2FAF728F" w14:textId="74C9DC50" w:rsidR="00837CDB" w:rsidRPr="00DB68DC" w:rsidRDefault="00837CDB" w:rsidP="00851990">
            <w:pPr>
              <w:spacing w:after="0" w:line="240" w:lineRule="auto"/>
              <w:rPr>
                <w:rFonts w:ascii="Verdana" w:hAnsi="Verdana" w:cs="Arial"/>
              </w:rPr>
            </w:pPr>
            <w:r w:rsidRPr="00DB68DC">
              <w:rPr>
                <w:rFonts w:ascii="Verdana" w:hAnsi="Verdana" w:cs="Arial"/>
                <w:i/>
                <w:iCs/>
                <w:sz w:val="18"/>
                <w:szCs w:val="18"/>
              </w:rPr>
              <w:t>C&amp;</w:t>
            </w:r>
            <w:proofErr w:type="gramStart"/>
            <w:r w:rsidRPr="00DB68DC">
              <w:rPr>
                <w:rFonts w:ascii="Verdana" w:hAnsi="Verdana" w:cs="Arial"/>
                <w:i/>
                <w:iCs/>
                <w:sz w:val="18"/>
                <w:szCs w:val="18"/>
              </w:rPr>
              <w:t>L;-</w:t>
            </w:r>
            <w:proofErr w:type="gramEnd"/>
            <w:r w:rsidRPr="00DB68DC">
              <w:rPr>
                <w:rFonts w:ascii="Verdana" w:hAnsi="Verdana" w:cs="Arial"/>
                <w:i/>
                <w:iCs/>
                <w:sz w:val="18"/>
                <w:szCs w:val="18"/>
              </w:rPr>
              <w:t xml:space="preserve"> Report generated </w:t>
            </w:r>
            <w:r w:rsidR="00851990" w:rsidRPr="00DB68DC">
              <w:rPr>
                <w:rFonts w:ascii="Verdana" w:hAnsi="Verdana" w:cs="Arial"/>
                <w:i/>
                <w:iCs/>
                <w:sz w:val="18"/>
                <w:szCs w:val="18"/>
              </w:rPr>
              <w:t>Jul</w:t>
            </w:r>
            <w:r w:rsidRPr="00DB68DC">
              <w:rPr>
                <w:rFonts w:ascii="Verdana" w:hAnsi="Verdana" w:cs="Arial"/>
                <w:i/>
                <w:iCs/>
                <w:sz w:val="18"/>
                <w:szCs w:val="18"/>
              </w:rPr>
              <w:t xml:space="preserve"> 2025, by NWSSP (Recruitment). Data source – TRAC system. Outliers are excluded. This is day to day vacancy management. Data excludes outliers.</w:t>
            </w:r>
          </w:p>
        </w:tc>
      </w:tr>
      <w:tr w:rsidR="00837CDB" w:rsidRPr="00DB68DC" w14:paraId="641E7D40" w14:textId="77777777" w:rsidTr="00DB68DC">
        <w:tc>
          <w:tcPr>
            <w:tcW w:w="13740" w:type="dxa"/>
            <w:gridSpan w:val="2"/>
            <w:shd w:val="clear" w:color="auto" w:fill="EAF1DD" w:themeFill="accent3" w:themeFillTint="33"/>
          </w:tcPr>
          <w:p w14:paraId="1297C99E" w14:textId="77777777" w:rsidR="00837CDB" w:rsidRPr="00DB68DC" w:rsidRDefault="00837CDB" w:rsidP="00837CDB">
            <w:pPr>
              <w:spacing w:after="0" w:line="240" w:lineRule="auto"/>
              <w:rPr>
                <w:rFonts w:ascii="Verdana" w:hAnsi="Verdana" w:cs="Arial"/>
                <w:b/>
              </w:rPr>
            </w:pPr>
            <w:r w:rsidRPr="00DB68DC">
              <w:rPr>
                <w:rFonts w:ascii="Verdana" w:hAnsi="Verdana" w:cs="Arial"/>
                <w:b/>
              </w:rPr>
              <w:t>Current Performance</w:t>
            </w:r>
          </w:p>
        </w:tc>
      </w:tr>
      <w:tr w:rsidR="00837CDB" w:rsidRPr="00DB68DC" w14:paraId="348D55F5" w14:textId="77777777" w:rsidTr="00DB68DC">
        <w:tc>
          <w:tcPr>
            <w:tcW w:w="13740" w:type="dxa"/>
            <w:gridSpan w:val="2"/>
            <w:shd w:val="clear" w:color="auto" w:fill="auto"/>
          </w:tcPr>
          <w:p w14:paraId="71CD438D" w14:textId="77777777" w:rsidR="00837CDB" w:rsidRPr="00DB68DC" w:rsidRDefault="00837CDB" w:rsidP="00837CDB">
            <w:pPr>
              <w:spacing w:after="0" w:line="240" w:lineRule="auto"/>
              <w:ind w:left="360"/>
              <w:contextualSpacing/>
              <w:rPr>
                <w:rFonts w:ascii="Verdana" w:hAnsi="Verdana" w:cs="Arial"/>
              </w:rPr>
            </w:pPr>
          </w:p>
          <w:p w14:paraId="579E452B" w14:textId="364074A5" w:rsidR="00712C48" w:rsidRDefault="00712C48" w:rsidP="00A50BC1">
            <w:pPr>
              <w:spacing w:after="0" w:line="240" w:lineRule="auto"/>
              <w:contextualSpacing/>
              <w:rPr>
                <w:rFonts w:ascii="Verdana" w:hAnsi="Verdana" w:cs="Arial"/>
              </w:rPr>
            </w:pPr>
            <w:r w:rsidRPr="00DB68DC">
              <w:rPr>
                <w:rFonts w:ascii="Verdana" w:hAnsi="Verdana" w:cs="Arial"/>
              </w:rPr>
              <w:t xml:space="preserve">Swansea Bay UHB’s in-month (June 2025) time to hire performance continues to exceed the </w:t>
            </w:r>
            <w:proofErr w:type="gramStart"/>
            <w:r w:rsidRPr="00DB68DC">
              <w:rPr>
                <w:rFonts w:ascii="Verdana" w:hAnsi="Verdana" w:cs="Arial"/>
              </w:rPr>
              <w:t>44 day</w:t>
            </w:r>
            <w:proofErr w:type="gramEnd"/>
            <w:r w:rsidRPr="00DB68DC">
              <w:rPr>
                <w:rFonts w:ascii="Verdana" w:hAnsi="Verdana" w:cs="Arial"/>
              </w:rPr>
              <w:t xml:space="preserve"> T13 target at 50.9 working days, albeit a slight improvement to May’s figure of 57.7 working days. SBUHB’s T13 average for the previous 12 months as of June 2025 is also above the 44-day target at 53.1 working days, which is also above the All-Wales </w:t>
            </w:r>
            <w:proofErr w:type="gramStart"/>
            <w:r w:rsidRPr="00DB68DC">
              <w:rPr>
                <w:rFonts w:ascii="Verdana" w:hAnsi="Verdana" w:cs="Arial"/>
              </w:rPr>
              <w:t>12 month</w:t>
            </w:r>
            <w:proofErr w:type="gramEnd"/>
            <w:r w:rsidRPr="00DB68DC">
              <w:rPr>
                <w:rFonts w:ascii="Verdana" w:hAnsi="Verdana" w:cs="Arial"/>
              </w:rPr>
              <w:t xml:space="preserve"> average of 43.9 working days</w:t>
            </w:r>
            <w:r w:rsidR="00A50BC1">
              <w:rPr>
                <w:rFonts w:ascii="Verdana" w:hAnsi="Verdana" w:cs="Arial"/>
              </w:rPr>
              <w:t>.</w:t>
            </w:r>
          </w:p>
          <w:p w14:paraId="41130AD6" w14:textId="77777777" w:rsidR="00A50BC1" w:rsidRPr="00DB68DC" w:rsidRDefault="00A50BC1" w:rsidP="00A50BC1">
            <w:pPr>
              <w:spacing w:after="0" w:line="240" w:lineRule="auto"/>
              <w:contextualSpacing/>
              <w:rPr>
                <w:rFonts w:ascii="Verdana" w:hAnsi="Verdana" w:cs="Arial"/>
              </w:rPr>
            </w:pPr>
          </w:p>
          <w:p w14:paraId="6DD0672C" w14:textId="209CB109" w:rsidR="00712C48" w:rsidRPr="00DB68DC" w:rsidRDefault="00A50BC1" w:rsidP="00A50BC1">
            <w:pPr>
              <w:spacing w:after="0" w:line="240" w:lineRule="auto"/>
              <w:contextualSpacing/>
              <w:rPr>
                <w:rFonts w:ascii="Verdana" w:hAnsi="Verdana" w:cs="Arial"/>
              </w:rPr>
            </w:pPr>
            <w:r>
              <w:rPr>
                <w:rFonts w:ascii="Verdana" w:hAnsi="Verdana" w:cs="Arial"/>
              </w:rPr>
              <w:t>The i</w:t>
            </w:r>
            <w:r w:rsidR="0021137A" w:rsidRPr="00DB68DC">
              <w:rPr>
                <w:rFonts w:ascii="Verdana" w:hAnsi="Verdana" w:cs="Arial"/>
              </w:rPr>
              <w:t>ncrease in</w:t>
            </w:r>
            <w:r w:rsidR="00712C48" w:rsidRPr="00DB68DC">
              <w:rPr>
                <w:rFonts w:ascii="Verdana" w:hAnsi="Verdana" w:cs="Arial"/>
              </w:rPr>
              <w:t xml:space="preserve"> T13 </w:t>
            </w:r>
            <w:r w:rsidR="0021137A" w:rsidRPr="00DB68DC">
              <w:rPr>
                <w:rFonts w:ascii="Verdana" w:hAnsi="Verdana" w:cs="Arial"/>
              </w:rPr>
              <w:t>time</w:t>
            </w:r>
            <w:r w:rsidR="00712C48" w:rsidRPr="00DB68DC">
              <w:rPr>
                <w:rFonts w:ascii="Verdana" w:hAnsi="Verdana" w:cs="Arial"/>
              </w:rPr>
              <w:t xml:space="preserve"> is mainly due to Welsh language translation requirements, which came into force in November 2024, and </w:t>
            </w:r>
            <w:r w:rsidR="0021137A" w:rsidRPr="00DB68DC">
              <w:rPr>
                <w:rFonts w:ascii="Verdana" w:hAnsi="Verdana" w:cs="Arial"/>
              </w:rPr>
              <w:t xml:space="preserve">additional approvals required due to </w:t>
            </w:r>
            <w:r w:rsidR="00712C48" w:rsidRPr="00DB68DC">
              <w:rPr>
                <w:rFonts w:ascii="Verdana" w:hAnsi="Verdana" w:cs="Arial"/>
              </w:rPr>
              <w:t>the ongoing admin</w:t>
            </w:r>
            <w:r w:rsidR="0021137A" w:rsidRPr="00DB68DC">
              <w:rPr>
                <w:rFonts w:ascii="Verdana" w:hAnsi="Verdana" w:cs="Arial"/>
              </w:rPr>
              <w:t xml:space="preserve"> and clerical recruitment pause.</w:t>
            </w:r>
            <w:r w:rsidR="00712C48" w:rsidRPr="00DB68DC">
              <w:rPr>
                <w:rFonts w:ascii="Verdana" w:hAnsi="Verdana" w:cs="Arial"/>
              </w:rPr>
              <w:t xml:space="preserve"> The HB’s recruiting managers also need to reduce the time tak</w:t>
            </w:r>
            <w:r w:rsidR="0021137A" w:rsidRPr="00DB68DC">
              <w:rPr>
                <w:rFonts w:ascii="Verdana" w:hAnsi="Verdana" w:cs="Arial"/>
              </w:rPr>
              <w:t>en</w:t>
            </w:r>
            <w:r w:rsidR="00712C48" w:rsidRPr="00DB68DC">
              <w:rPr>
                <w:rFonts w:ascii="Verdana" w:hAnsi="Verdana" w:cs="Arial"/>
              </w:rPr>
              <w:t xml:space="preserve"> to shortlist during this period (currently 7.1 working days on average instead of the 3 working days target) to improve th</w:t>
            </w:r>
            <w:r w:rsidR="0021137A" w:rsidRPr="00DB68DC">
              <w:rPr>
                <w:rFonts w:ascii="Verdana" w:hAnsi="Verdana" w:cs="Arial"/>
              </w:rPr>
              <w:t>e</w:t>
            </w:r>
            <w:r w:rsidR="00712C48" w:rsidRPr="00DB68DC">
              <w:rPr>
                <w:rFonts w:ascii="Verdana" w:hAnsi="Verdana" w:cs="Arial"/>
              </w:rPr>
              <w:t xml:space="preserve"> position</w:t>
            </w:r>
            <w:r>
              <w:rPr>
                <w:rFonts w:ascii="Verdana" w:hAnsi="Verdana" w:cs="Arial"/>
              </w:rPr>
              <w:t>.</w:t>
            </w:r>
          </w:p>
          <w:p w14:paraId="45DC8596" w14:textId="77777777" w:rsidR="00A50BC1" w:rsidRDefault="00A50BC1" w:rsidP="00A50BC1">
            <w:pPr>
              <w:spacing w:after="0" w:line="240" w:lineRule="auto"/>
              <w:contextualSpacing/>
              <w:rPr>
                <w:rFonts w:ascii="Verdana" w:hAnsi="Verdana" w:cs="Arial"/>
              </w:rPr>
            </w:pPr>
          </w:p>
          <w:p w14:paraId="6F12FA0B" w14:textId="61C7B7A1" w:rsidR="00712C48" w:rsidRPr="00DB68DC" w:rsidRDefault="00712C48" w:rsidP="00A50BC1">
            <w:pPr>
              <w:spacing w:after="0" w:line="240" w:lineRule="auto"/>
              <w:contextualSpacing/>
              <w:rPr>
                <w:rFonts w:ascii="Verdana" w:hAnsi="Verdana" w:cs="Arial"/>
              </w:rPr>
            </w:pPr>
            <w:r w:rsidRPr="00DB68DC">
              <w:rPr>
                <w:rFonts w:ascii="Verdana" w:hAnsi="Verdana" w:cs="Arial"/>
              </w:rPr>
              <w:t xml:space="preserve">On a more positive note, SBUHB’s in month (June 2025) time to hire from the point a conditional offer letter is issued to the point a start date can be agreed is 11.6 working days, which continues to be significantly below the All Wales T23 target of 27 working days (without outliers). This is also an improvement compared to </w:t>
            </w:r>
            <w:r w:rsidR="0021137A" w:rsidRPr="00DB68DC">
              <w:rPr>
                <w:rFonts w:ascii="Verdana" w:hAnsi="Verdana" w:cs="Arial"/>
              </w:rPr>
              <w:t>May</w:t>
            </w:r>
            <w:r w:rsidRPr="00DB68DC">
              <w:rPr>
                <w:rFonts w:ascii="Verdana" w:hAnsi="Verdana" w:cs="Arial"/>
              </w:rPr>
              <w:t xml:space="preserve">, which was 13.2 working days.  SBUHB’s 12-month average remains stable at 13.5 working days (without outliers) which is </w:t>
            </w:r>
            <w:proofErr w:type="gramStart"/>
            <w:r w:rsidRPr="00DB68DC">
              <w:rPr>
                <w:rFonts w:ascii="Verdana" w:hAnsi="Verdana" w:cs="Arial"/>
              </w:rPr>
              <w:t>similar to</w:t>
            </w:r>
            <w:proofErr w:type="gramEnd"/>
            <w:r w:rsidRPr="00DB68DC">
              <w:rPr>
                <w:rFonts w:ascii="Verdana" w:hAnsi="Verdana" w:cs="Arial"/>
              </w:rPr>
              <w:t xml:space="preserve"> the All-Wales average to date performance of 13.6 working days. </w:t>
            </w:r>
          </w:p>
          <w:p w14:paraId="19E7721A" w14:textId="77777777" w:rsidR="00A50BC1" w:rsidRDefault="00A50BC1" w:rsidP="00A50BC1">
            <w:pPr>
              <w:spacing w:after="0" w:line="240" w:lineRule="auto"/>
              <w:contextualSpacing/>
              <w:rPr>
                <w:rFonts w:ascii="Verdana" w:hAnsi="Verdana" w:cs="Arial"/>
              </w:rPr>
            </w:pPr>
          </w:p>
          <w:p w14:paraId="461EAF6F" w14:textId="37FDAD20" w:rsidR="00712C48" w:rsidRPr="00DB68DC" w:rsidRDefault="00712C48" w:rsidP="00A50BC1">
            <w:pPr>
              <w:spacing w:after="0" w:line="240" w:lineRule="auto"/>
              <w:contextualSpacing/>
              <w:rPr>
                <w:rFonts w:ascii="Verdana" w:hAnsi="Verdana" w:cs="Arial"/>
              </w:rPr>
            </w:pPr>
            <w:r w:rsidRPr="00DB68DC">
              <w:rPr>
                <w:rFonts w:ascii="Verdana" w:hAnsi="Verdana" w:cs="Arial"/>
              </w:rPr>
              <w:t xml:space="preserve">During June 2025, the Central Resourcing Team (CRT) have continued to coach candidates through the pre-employment check process for Band 5 nursing roles and Band 2 Health Care Support Worker roles and have also been supporting with other stages of </w:t>
            </w:r>
            <w:r w:rsidRPr="00DB68DC">
              <w:rPr>
                <w:rFonts w:ascii="Verdana" w:hAnsi="Verdana" w:cs="Arial"/>
              </w:rPr>
              <w:lastRenderedPageBreak/>
              <w:t xml:space="preserve">the recruitment process for some areas as and when requested (e.g., shortlisting for mental health nursing and HCSW roles) to continue to assist in reducing the T13 and T27 time to hire targets, mentioned above. </w:t>
            </w:r>
          </w:p>
          <w:p w14:paraId="2F5B7359" w14:textId="77777777" w:rsidR="00A50BC1" w:rsidRDefault="00A50BC1" w:rsidP="00A50BC1">
            <w:pPr>
              <w:spacing w:after="0" w:line="240" w:lineRule="auto"/>
              <w:contextualSpacing/>
              <w:rPr>
                <w:rFonts w:ascii="Verdana" w:hAnsi="Verdana" w:cs="Arial"/>
              </w:rPr>
            </w:pPr>
          </w:p>
          <w:p w14:paraId="0813D1C3" w14:textId="5F11223D" w:rsidR="00837CDB" w:rsidRPr="00DB68DC" w:rsidRDefault="00712C48" w:rsidP="00A50BC1">
            <w:pPr>
              <w:spacing w:after="0" w:line="240" w:lineRule="auto"/>
              <w:contextualSpacing/>
              <w:rPr>
                <w:rFonts w:ascii="Verdana" w:hAnsi="Verdana" w:cs="Arial"/>
              </w:rPr>
            </w:pPr>
            <w:r w:rsidRPr="00DB68DC">
              <w:rPr>
                <w:rFonts w:ascii="Verdana" w:hAnsi="Verdana" w:cs="Arial"/>
              </w:rPr>
              <w:t xml:space="preserve">The CRT also took over the final quality check/ granting stage for all agenda for change posts in April 2025, which has started to show an improvement in our “time to approve vacancy requests” T1a performance data, whereby it was taking, on average, 15 working days across January to March 2025, but is now taking, on average, 10.1 days across April to June 2025 and is currently 9.4 working days for June 2025 (target of 10 working days) </w:t>
            </w:r>
          </w:p>
          <w:p w14:paraId="7503F9A6" w14:textId="2B506AD7" w:rsidR="00EB28B0" w:rsidRPr="00DB68DC" w:rsidRDefault="00EB28B0" w:rsidP="00EB28B0">
            <w:pPr>
              <w:spacing w:after="0" w:line="240" w:lineRule="auto"/>
              <w:contextualSpacing/>
              <w:rPr>
                <w:rFonts w:ascii="Verdana" w:hAnsi="Verdana" w:cs="Arial"/>
              </w:rPr>
            </w:pPr>
          </w:p>
        </w:tc>
      </w:tr>
      <w:tr w:rsidR="00837CDB" w:rsidRPr="00DB68DC" w14:paraId="5C950528" w14:textId="77777777" w:rsidTr="00DB68DC">
        <w:tc>
          <w:tcPr>
            <w:tcW w:w="13740" w:type="dxa"/>
            <w:gridSpan w:val="2"/>
            <w:shd w:val="clear" w:color="auto" w:fill="EAF1DD" w:themeFill="accent3" w:themeFillTint="33"/>
          </w:tcPr>
          <w:p w14:paraId="2D276D33" w14:textId="77777777" w:rsidR="00837CDB" w:rsidRPr="00DB68DC" w:rsidRDefault="00837CDB" w:rsidP="00837CDB">
            <w:pPr>
              <w:spacing w:after="0" w:line="240" w:lineRule="auto"/>
              <w:rPr>
                <w:rFonts w:ascii="Verdana" w:hAnsi="Verdana" w:cs="Arial"/>
                <w:b/>
              </w:rPr>
            </w:pPr>
            <w:r w:rsidRPr="00DB68DC">
              <w:rPr>
                <w:rFonts w:ascii="Verdana" w:hAnsi="Verdana" w:cs="Arial"/>
                <w:b/>
              </w:rPr>
              <w:lastRenderedPageBreak/>
              <w:t>Actions for Next Period</w:t>
            </w:r>
          </w:p>
        </w:tc>
      </w:tr>
      <w:tr w:rsidR="00837CDB" w:rsidRPr="00DB68DC" w14:paraId="10824AE5" w14:textId="77777777" w:rsidTr="00DB68DC">
        <w:tc>
          <w:tcPr>
            <w:tcW w:w="13740" w:type="dxa"/>
            <w:gridSpan w:val="2"/>
            <w:shd w:val="clear" w:color="auto" w:fill="auto"/>
          </w:tcPr>
          <w:p w14:paraId="6A43F1B3" w14:textId="77777777" w:rsidR="00837CDB" w:rsidRPr="00DB68DC" w:rsidRDefault="00837CDB" w:rsidP="00837CDB">
            <w:pPr>
              <w:spacing w:after="0" w:line="240" w:lineRule="auto"/>
              <w:ind w:left="360"/>
              <w:contextualSpacing/>
              <w:rPr>
                <w:rFonts w:ascii="Verdana" w:hAnsi="Verdana" w:cs="Arial"/>
              </w:rPr>
            </w:pPr>
          </w:p>
          <w:p w14:paraId="0D8D91A3" w14:textId="77777777" w:rsidR="0021137A" w:rsidRPr="00DB68DC" w:rsidRDefault="0021137A" w:rsidP="0021137A">
            <w:pPr>
              <w:numPr>
                <w:ilvl w:val="0"/>
                <w:numId w:val="2"/>
              </w:numPr>
              <w:spacing w:after="0" w:line="240" w:lineRule="auto"/>
              <w:ind w:left="360"/>
              <w:contextualSpacing/>
              <w:rPr>
                <w:rFonts w:ascii="Verdana" w:hAnsi="Verdana" w:cs="Arial"/>
              </w:rPr>
            </w:pPr>
            <w:r w:rsidRPr="00DB68DC">
              <w:rPr>
                <w:rFonts w:ascii="Verdana" w:hAnsi="Verdana" w:cs="Arial"/>
              </w:rPr>
              <w:t>NWSSP will continue to provide training sessions and drop-in sessions for SBU recruiting managers to improve time to hire. There are also guidance documents on the HB and NWSSP recruitment SharePoint pages</w:t>
            </w:r>
          </w:p>
          <w:p w14:paraId="0B18D7E2" w14:textId="5B844D9C" w:rsidR="0021137A" w:rsidRPr="00DB68DC" w:rsidRDefault="0021137A" w:rsidP="0021137A">
            <w:pPr>
              <w:numPr>
                <w:ilvl w:val="0"/>
                <w:numId w:val="2"/>
              </w:numPr>
              <w:spacing w:after="0" w:line="240" w:lineRule="auto"/>
              <w:ind w:left="360"/>
              <w:contextualSpacing/>
              <w:rPr>
                <w:rFonts w:ascii="Verdana" w:hAnsi="Verdana" w:cs="Arial"/>
              </w:rPr>
            </w:pPr>
            <w:r w:rsidRPr="00DB68DC">
              <w:rPr>
                <w:rFonts w:ascii="Verdana" w:hAnsi="Verdana" w:cs="Arial"/>
              </w:rPr>
              <w:t xml:space="preserve">The CRT will continue focussing on the recruitment of B2 ward based HCSWs and newly qualified nurses, as well as specific hard to recruit posts. </w:t>
            </w:r>
          </w:p>
          <w:p w14:paraId="531EBF62" w14:textId="6AA486AB" w:rsidR="0021137A" w:rsidRPr="00DB68DC" w:rsidRDefault="0021137A" w:rsidP="0021137A">
            <w:pPr>
              <w:numPr>
                <w:ilvl w:val="0"/>
                <w:numId w:val="2"/>
              </w:numPr>
              <w:spacing w:after="0" w:line="240" w:lineRule="auto"/>
              <w:ind w:left="360"/>
              <w:contextualSpacing/>
              <w:rPr>
                <w:rFonts w:ascii="Verdana" w:hAnsi="Verdana" w:cs="Arial"/>
              </w:rPr>
            </w:pPr>
            <w:r w:rsidRPr="00DB68DC">
              <w:rPr>
                <w:rFonts w:ascii="Verdana" w:hAnsi="Verdana" w:cs="Arial"/>
              </w:rPr>
              <w:t xml:space="preserve">In collaboration with NWSSP, the CRT will continue to chase outstanding management actions for the recruitment process, to further improve the HB’s overall time to hire performance. </w:t>
            </w:r>
          </w:p>
          <w:p w14:paraId="5DA0FAFA" w14:textId="77777777" w:rsidR="0021137A" w:rsidRPr="00DB68DC" w:rsidRDefault="0021137A" w:rsidP="0021137A">
            <w:pPr>
              <w:numPr>
                <w:ilvl w:val="0"/>
                <w:numId w:val="2"/>
              </w:numPr>
              <w:spacing w:after="0" w:line="240" w:lineRule="auto"/>
              <w:ind w:left="360"/>
              <w:contextualSpacing/>
              <w:rPr>
                <w:rFonts w:ascii="Verdana" w:hAnsi="Verdana" w:cs="Arial"/>
              </w:rPr>
            </w:pPr>
            <w:r w:rsidRPr="00DB68DC">
              <w:rPr>
                <w:rFonts w:ascii="Verdana" w:hAnsi="Verdana" w:cs="Arial"/>
              </w:rPr>
              <w:t xml:space="preserve">Members are asked to note that the HB’s T13 time to hire performance is likely to continue to deteriorate over the coming months due to the additional executive scrutiny panel processes. Suggestions to amend the process have been submitted but require a decision on the scope of the panels before finalising </w:t>
            </w:r>
          </w:p>
          <w:p w14:paraId="03C923A3" w14:textId="77777777" w:rsidR="0021137A" w:rsidRPr="00DB68DC" w:rsidRDefault="0021137A" w:rsidP="0021137A">
            <w:pPr>
              <w:numPr>
                <w:ilvl w:val="0"/>
                <w:numId w:val="2"/>
              </w:numPr>
              <w:spacing w:after="0" w:line="240" w:lineRule="auto"/>
              <w:ind w:left="360"/>
              <w:contextualSpacing/>
              <w:rPr>
                <w:rFonts w:ascii="Verdana" w:hAnsi="Verdana" w:cs="Arial"/>
              </w:rPr>
            </w:pPr>
            <w:r w:rsidRPr="00DB68DC">
              <w:rPr>
                <w:rFonts w:ascii="Verdana" w:hAnsi="Verdana" w:cs="Arial"/>
              </w:rPr>
              <w:t>Over the next 6 months, the CRT will also be working on updating the recruitment SharePoint pages to provide additional guidance to recruiting managers</w:t>
            </w:r>
          </w:p>
          <w:p w14:paraId="495D4585" w14:textId="77777777" w:rsidR="00837CDB" w:rsidRPr="00DB68DC" w:rsidRDefault="00837CDB" w:rsidP="00837CDB">
            <w:pPr>
              <w:spacing w:after="0" w:line="240" w:lineRule="auto"/>
              <w:ind w:left="360"/>
              <w:contextualSpacing/>
              <w:rPr>
                <w:rFonts w:ascii="Verdana" w:hAnsi="Verdana" w:cs="Arial"/>
              </w:rPr>
            </w:pPr>
          </w:p>
          <w:p w14:paraId="66D0442B" w14:textId="77777777" w:rsidR="00837CDB" w:rsidRPr="00DB68DC" w:rsidRDefault="00837CDB" w:rsidP="00837CDB">
            <w:pPr>
              <w:spacing w:after="0" w:line="240" w:lineRule="auto"/>
              <w:ind w:left="360"/>
              <w:contextualSpacing/>
              <w:rPr>
                <w:rFonts w:ascii="Verdana" w:hAnsi="Verdana" w:cs="Arial"/>
              </w:rPr>
            </w:pPr>
          </w:p>
          <w:p w14:paraId="53C7A589" w14:textId="73F2E10C" w:rsidR="00837CDB" w:rsidRPr="00DB68DC" w:rsidRDefault="00837CDB" w:rsidP="00837CDB">
            <w:pPr>
              <w:spacing w:after="0" w:line="240" w:lineRule="auto"/>
              <w:ind w:left="360"/>
              <w:contextualSpacing/>
              <w:rPr>
                <w:rFonts w:ascii="Verdana" w:hAnsi="Verdana" w:cs="Arial"/>
              </w:rPr>
            </w:pPr>
          </w:p>
          <w:p w14:paraId="47B08511" w14:textId="683EC117" w:rsidR="00EB28B0" w:rsidRPr="00DB68DC" w:rsidRDefault="00EB28B0" w:rsidP="00837CDB">
            <w:pPr>
              <w:spacing w:after="0" w:line="240" w:lineRule="auto"/>
              <w:ind w:left="360"/>
              <w:contextualSpacing/>
              <w:rPr>
                <w:rFonts w:ascii="Verdana" w:hAnsi="Verdana" w:cs="Arial"/>
              </w:rPr>
            </w:pPr>
          </w:p>
          <w:p w14:paraId="4A8288F7" w14:textId="5E16E604" w:rsidR="00EB28B0" w:rsidRPr="00DB68DC" w:rsidRDefault="00EB28B0" w:rsidP="00837CDB">
            <w:pPr>
              <w:spacing w:after="0" w:line="240" w:lineRule="auto"/>
              <w:ind w:left="360"/>
              <w:contextualSpacing/>
              <w:rPr>
                <w:rFonts w:ascii="Verdana" w:hAnsi="Verdana" w:cs="Arial"/>
              </w:rPr>
            </w:pPr>
          </w:p>
          <w:p w14:paraId="2F831AB2" w14:textId="30AFF667" w:rsidR="00EB28B0" w:rsidRPr="00DB68DC" w:rsidRDefault="00EB28B0" w:rsidP="00837CDB">
            <w:pPr>
              <w:spacing w:after="0" w:line="240" w:lineRule="auto"/>
              <w:ind w:left="360"/>
              <w:contextualSpacing/>
              <w:rPr>
                <w:rFonts w:ascii="Verdana" w:hAnsi="Verdana" w:cs="Arial"/>
              </w:rPr>
            </w:pPr>
          </w:p>
          <w:p w14:paraId="698CA78E" w14:textId="0709ADF7" w:rsidR="00EB28B0" w:rsidRPr="00DB68DC" w:rsidRDefault="00EB28B0" w:rsidP="00837CDB">
            <w:pPr>
              <w:spacing w:after="0" w:line="240" w:lineRule="auto"/>
              <w:ind w:left="360"/>
              <w:contextualSpacing/>
              <w:rPr>
                <w:rFonts w:ascii="Verdana" w:hAnsi="Verdana" w:cs="Arial"/>
              </w:rPr>
            </w:pPr>
          </w:p>
          <w:p w14:paraId="19638964" w14:textId="28B767F5" w:rsidR="00EB28B0" w:rsidRPr="00DB68DC" w:rsidRDefault="00EB28B0" w:rsidP="00837CDB">
            <w:pPr>
              <w:spacing w:after="0" w:line="240" w:lineRule="auto"/>
              <w:ind w:left="360"/>
              <w:contextualSpacing/>
              <w:rPr>
                <w:rFonts w:ascii="Verdana" w:hAnsi="Verdana" w:cs="Arial"/>
              </w:rPr>
            </w:pPr>
          </w:p>
          <w:p w14:paraId="1F1BDF39" w14:textId="3CECC08B" w:rsidR="00EB28B0" w:rsidRPr="00DB68DC" w:rsidRDefault="00EB28B0" w:rsidP="00837CDB">
            <w:pPr>
              <w:spacing w:after="0" w:line="240" w:lineRule="auto"/>
              <w:ind w:left="360"/>
              <w:contextualSpacing/>
              <w:rPr>
                <w:rFonts w:ascii="Verdana" w:hAnsi="Verdana" w:cs="Arial"/>
              </w:rPr>
            </w:pPr>
          </w:p>
          <w:p w14:paraId="61A35887" w14:textId="5E21347F" w:rsidR="00EB28B0" w:rsidRPr="00DB68DC" w:rsidRDefault="00EB28B0" w:rsidP="00837CDB">
            <w:pPr>
              <w:spacing w:after="0" w:line="240" w:lineRule="auto"/>
              <w:ind w:left="360"/>
              <w:contextualSpacing/>
              <w:rPr>
                <w:rFonts w:ascii="Verdana" w:hAnsi="Verdana" w:cs="Arial"/>
              </w:rPr>
            </w:pPr>
          </w:p>
          <w:p w14:paraId="3AE7C740" w14:textId="2AA8E503" w:rsidR="00EB28B0" w:rsidRPr="00DB68DC" w:rsidRDefault="00EB28B0" w:rsidP="00837CDB">
            <w:pPr>
              <w:spacing w:after="0" w:line="240" w:lineRule="auto"/>
              <w:ind w:left="360"/>
              <w:contextualSpacing/>
              <w:rPr>
                <w:rFonts w:ascii="Verdana" w:hAnsi="Verdana" w:cs="Arial"/>
              </w:rPr>
            </w:pPr>
          </w:p>
          <w:p w14:paraId="2C66620F" w14:textId="1963AE98" w:rsidR="00EB28B0" w:rsidRPr="00DB68DC" w:rsidRDefault="00EB28B0" w:rsidP="00837CDB">
            <w:pPr>
              <w:spacing w:after="0" w:line="240" w:lineRule="auto"/>
              <w:ind w:left="360"/>
              <w:contextualSpacing/>
              <w:rPr>
                <w:rFonts w:ascii="Verdana" w:hAnsi="Verdana" w:cs="Arial"/>
              </w:rPr>
            </w:pPr>
          </w:p>
          <w:p w14:paraId="202DC9DF" w14:textId="50BC9CD9" w:rsidR="00EB28B0" w:rsidRPr="00DB68DC" w:rsidRDefault="00EB28B0" w:rsidP="00837CDB">
            <w:pPr>
              <w:spacing w:after="0" w:line="240" w:lineRule="auto"/>
              <w:ind w:left="360"/>
              <w:contextualSpacing/>
              <w:rPr>
                <w:rFonts w:ascii="Verdana" w:hAnsi="Verdana" w:cs="Arial"/>
              </w:rPr>
            </w:pPr>
          </w:p>
          <w:p w14:paraId="6EDA0E7D" w14:textId="6E8B8987" w:rsidR="00EB28B0" w:rsidRPr="00DB68DC" w:rsidRDefault="00EB28B0" w:rsidP="00837CDB">
            <w:pPr>
              <w:spacing w:after="0" w:line="240" w:lineRule="auto"/>
              <w:ind w:left="360"/>
              <w:contextualSpacing/>
              <w:rPr>
                <w:rFonts w:ascii="Verdana" w:hAnsi="Verdana" w:cs="Arial"/>
              </w:rPr>
            </w:pPr>
          </w:p>
          <w:p w14:paraId="7A27EA4A" w14:textId="0759AE29" w:rsidR="00EB28B0" w:rsidRPr="00DB68DC" w:rsidRDefault="00EB28B0" w:rsidP="00837CDB">
            <w:pPr>
              <w:spacing w:after="0" w:line="240" w:lineRule="auto"/>
              <w:ind w:left="360"/>
              <w:contextualSpacing/>
              <w:rPr>
                <w:rFonts w:ascii="Verdana" w:hAnsi="Verdana" w:cs="Arial"/>
              </w:rPr>
            </w:pPr>
          </w:p>
          <w:p w14:paraId="167B108C" w14:textId="4A018015" w:rsidR="00EB28B0" w:rsidRPr="00DB68DC" w:rsidRDefault="00EB28B0" w:rsidP="00837CDB">
            <w:pPr>
              <w:spacing w:after="0" w:line="240" w:lineRule="auto"/>
              <w:ind w:left="360"/>
              <w:contextualSpacing/>
              <w:rPr>
                <w:rFonts w:ascii="Verdana" w:hAnsi="Verdana" w:cs="Arial"/>
              </w:rPr>
            </w:pPr>
          </w:p>
          <w:p w14:paraId="5A6127E4" w14:textId="3F1B98A5" w:rsidR="00EB28B0" w:rsidRPr="00DB68DC" w:rsidRDefault="00EB28B0" w:rsidP="00837CDB">
            <w:pPr>
              <w:spacing w:after="0" w:line="240" w:lineRule="auto"/>
              <w:ind w:left="360"/>
              <w:contextualSpacing/>
              <w:rPr>
                <w:rFonts w:ascii="Verdana" w:hAnsi="Verdana" w:cs="Arial"/>
              </w:rPr>
            </w:pPr>
          </w:p>
          <w:p w14:paraId="55E684AE" w14:textId="77777777" w:rsidR="00837CDB" w:rsidRPr="00DB68DC" w:rsidRDefault="00837CDB" w:rsidP="00DB68DC">
            <w:pPr>
              <w:spacing w:after="0" w:line="240" w:lineRule="auto"/>
              <w:contextualSpacing/>
              <w:rPr>
                <w:rFonts w:ascii="Verdana" w:hAnsi="Verdana" w:cs="Arial"/>
              </w:rPr>
            </w:pPr>
          </w:p>
          <w:p w14:paraId="175E1CC4" w14:textId="5E5AA130" w:rsidR="00837CDB" w:rsidRPr="00DB68DC" w:rsidRDefault="00837CDB" w:rsidP="00837CDB">
            <w:pPr>
              <w:spacing w:after="0" w:line="240" w:lineRule="auto"/>
              <w:ind w:left="360"/>
              <w:contextualSpacing/>
              <w:rPr>
                <w:rFonts w:ascii="Verdana" w:hAnsi="Verdana" w:cs="Arial"/>
              </w:rPr>
            </w:pPr>
          </w:p>
        </w:tc>
      </w:tr>
      <w:tr w:rsidR="00837CDB" w:rsidRPr="00DB68DC" w14:paraId="07AF20CC" w14:textId="77777777" w:rsidTr="00DB68DC">
        <w:tc>
          <w:tcPr>
            <w:tcW w:w="2117" w:type="dxa"/>
            <w:shd w:val="clear" w:color="auto" w:fill="DBE5F1" w:themeFill="accent1" w:themeFillTint="33"/>
          </w:tcPr>
          <w:p w14:paraId="3214E06A" w14:textId="77777777" w:rsidR="00837CDB" w:rsidRPr="00DB68DC" w:rsidRDefault="00837CDB" w:rsidP="00837CDB">
            <w:pPr>
              <w:spacing w:after="0" w:line="240" w:lineRule="auto"/>
              <w:rPr>
                <w:rFonts w:ascii="Verdana" w:hAnsi="Verdana" w:cs="Arial"/>
                <w:b/>
                <w:bCs/>
                <w:sz w:val="22"/>
                <w:szCs w:val="21"/>
              </w:rPr>
            </w:pPr>
            <w:r w:rsidRPr="00DB68DC">
              <w:rPr>
                <w:rFonts w:ascii="Verdana" w:hAnsi="Verdana" w:cs="Arial"/>
                <w:b/>
                <w:bCs/>
                <w:sz w:val="22"/>
                <w:szCs w:val="21"/>
              </w:rPr>
              <w:lastRenderedPageBreak/>
              <w:t>Turnover</w:t>
            </w:r>
          </w:p>
          <w:p w14:paraId="65F21E25" w14:textId="77777777" w:rsidR="00837CDB" w:rsidRPr="00DB68DC" w:rsidRDefault="00837CDB" w:rsidP="00837CDB">
            <w:pPr>
              <w:spacing w:after="0" w:line="240" w:lineRule="auto"/>
              <w:rPr>
                <w:rFonts w:ascii="Verdana" w:hAnsi="Verdana" w:cs="Arial"/>
                <w:bCs/>
                <w:i/>
                <w:sz w:val="22"/>
                <w:szCs w:val="22"/>
              </w:rPr>
            </w:pPr>
            <w:r w:rsidRPr="00DB68DC">
              <w:rPr>
                <w:rFonts w:ascii="Verdana" w:hAnsi="Verdana" w:cs="Arial"/>
                <w:bCs/>
                <w:i/>
                <w:sz w:val="22"/>
                <w:szCs w:val="22"/>
              </w:rPr>
              <w:t>% turnover by occupational group</w:t>
            </w:r>
          </w:p>
        </w:tc>
        <w:tc>
          <w:tcPr>
            <w:tcW w:w="11623" w:type="dxa"/>
            <w:shd w:val="clear" w:color="auto" w:fill="auto"/>
          </w:tcPr>
          <w:p w14:paraId="147B50E7" w14:textId="08066F50" w:rsidR="00837CDB" w:rsidRPr="00DB68DC" w:rsidRDefault="00837CDB" w:rsidP="00837CDB">
            <w:pPr>
              <w:spacing w:after="0" w:line="240" w:lineRule="auto"/>
              <w:jc w:val="center"/>
              <w:rPr>
                <w:rFonts w:ascii="Verdana" w:hAnsi="Verdana" w:cs="Arial"/>
                <w:b/>
                <w:bCs/>
                <w:color w:val="000000"/>
              </w:rPr>
            </w:pPr>
            <w:r w:rsidRPr="00DB68DC">
              <w:rPr>
                <w:rFonts w:ascii="Verdana" w:hAnsi="Verdana" w:cs="Arial"/>
                <w:b/>
                <w:bCs/>
                <w:color w:val="000000"/>
              </w:rPr>
              <w:t xml:space="preserve">12 month rolling Turnover Rate (Swansea Bay) – 01 </w:t>
            </w:r>
            <w:r w:rsidR="00506037" w:rsidRPr="00DB68DC">
              <w:rPr>
                <w:rFonts w:ascii="Verdana" w:hAnsi="Verdana" w:cs="Arial"/>
                <w:b/>
                <w:bCs/>
                <w:color w:val="000000"/>
              </w:rPr>
              <w:t>May</w:t>
            </w:r>
            <w:r w:rsidRPr="00DB68DC">
              <w:rPr>
                <w:rFonts w:ascii="Verdana" w:hAnsi="Verdana" w:cs="Arial"/>
                <w:b/>
                <w:bCs/>
                <w:color w:val="000000"/>
              </w:rPr>
              <w:t xml:space="preserve"> 2024 – 28 </w:t>
            </w:r>
            <w:r w:rsidR="00506037" w:rsidRPr="00DB68DC">
              <w:rPr>
                <w:rFonts w:ascii="Verdana" w:hAnsi="Verdana" w:cs="Arial"/>
                <w:b/>
                <w:bCs/>
                <w:color w:val="000000"/>
              </w:rPr>
              <w:t>Apr</w:t>
            </w:r>
            <w:r w:rsidRPr="00DB68DC">
              <w:rPr>
                <w:rFonts w:ascii="Verdana" w:hAnsi="Verdana" w:cs="Arial"/>
                <w:b/>
                <w:bCs/>
                <w:color w:val="000000"/>
              </w:rPr>
              <w:t xml:space="preserve"> 2025</w:t>
            </w:r>
          </w:p>
          <w:p w14:paraId="59DB7121" w14:textId="77777777" w:rsidR="00837CDB" w:rsidRPr="00DB68DC" w:rsidRDefault="00837CDB" w:rsidP="00837CDB">
            <w:pPr>
              <w:spacing w:after="0" w:line="240" w:lineRule="auto"/>
              <w:jc w:val="center"/>
              <w:rPr>
                <w:rFonts w:ascii="Verdana" w:hAnsi="Verdana" w:cs="Arial"/>
                <w:b/>
                <w:sz w:val="10"/>
                <w:szCs w:val="24"/>
              </w:rPr>
            </w:pPr>
          </w:p>
          <w:p w14:paraId="528FD634" w14:textId="531B4A37" w:rsidR="00837CDB" w:rsidRPr="00DB68DC" w:rsidRDefault="00B40881" w:rsidP="00837CDB">
            <w:pPr>
              <w:spacing w:after="0"/>
              <w:jc w:val="center"/>
              <w:rPr>
                <w:rFonts w:ascii="Verdana" w:hAnsi="Verdana"/>
              </w:rPr>
            </w:pPr>
            <w:r w:rsidRPr="00DB68DC">
              <w:rPr>
                <w:rFonts w:ascii="Verdana" w:hAnsi="Verdana"/>
                <w:b/>
                <w:noProof/>
              </w:rPr>
              <w:drawing>
                <wp:inline distT="0" distB="0" distL="0" distR="0" wp14:anchorId="58FB0CC6" wp14:editId="0698FC3E">
                  <wp:extent cx="3757352" cy="1828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41355" cy="1869687"/>
                          </a:xfrm>
                          <a:prstGeom prst="rect">
                            <a:avLst/>
                          </a:prstGeom>
                        </pic:spPr>
                      </pic:pic>
                    </a:graphicData>
                  </a:graphic>
                </wp:inline>
              </w:drawing>
            </w:r>
            <w:r w:rsidR="00837CDB" w:rsidRPr="00DB68DC">
              <w:rPr>
                <w:rFonts w:ascii="Verdana" w:hAnsi="Verdana"/>
                <w:noProof/>
              </w:rPr>
              <w:t xml:space="preserve">    </w:t>
            </w:r>
          </w:p>
          <w:p w14:paraId="73197336" w14:textId="77777777" w:rsidR="00837CDB" w:rsidRPr="00DB68DC" w:rsidRDefault="00837CDB" w:rsidP="00837CDB">
            <w:pPr>
              <w:spacing w:after="0"/>
              <w:rPr>
                <w:rFonts w:ascii="Verdana" w:hAnsi="Verdana" w:cs="Arial"/>
                <w:i/>
                <w:sz w:val="18"/>
                <w:szCs w:val="18"/>
              </w:rPr>
            </w:pPr>
          </w:p>
          <w:p w14:paraId="3265D528" w14:textId="14B65510" w:rsidR="00837CDB" w:rsidRPr="00DB68DC" w:rsidRDefault="00837CDB" w:rsidP="00B40881">
            <w:pPr>
              <w:spacing w:after="0"/>
              <w:rPr>
                <w:rFonts w:ascii="Verdana" w:hAnsi="Verdana" w:cs="Arial"/>
              </w:rPr>
            </w:pPr>
            <w:r w:rsidRPr="00DB68DC">
              <w:rPr>
                <w:rFonts w:ascii="Verdana" w:hAnsi="Verdana" w:cs="Arial"/>
                <w:i/>
                <w:sz w:val="18"/>
                <w:szCs w:val="18"/>
              </w:rPr>
              <w:t xml:space="preserve">Report generated </w:t>
            </w:r>
            <w:r w:rsidR="00B40881" w:rsidRPr="00DB68DC">
              <w:rPr>
                <w:rFonts w:ascii="Verdana" w:hAnsi="Verdana" w:cs="Arial"/>
                <w:i/>
                <w:sz w:val="18"/>
                <w:szCs w:val="18"/>
              </w:rPr>
              <w:t>Jul</w:t>
            </w:r>
            <w:r w:rsidRPr="00DB68DC">
              <w:rPr>
                <w:rFonts w:ascii="Verdana" w:hAnsi="Verdana" w:cs="Arial"/>
                <w:i/>
                <w:sz w:val="18"/>
                <w:szCs w:val="18"/>
              </w:rPr>
              <w:t xml:space="preserve"> 2025,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837CDB" w:rsidRPr="00DB68DC" w14:paraId="1A6D0F54" w14:textId="77777777" w:rsidTr="00DB68DC">
        <w:tc>
          <w:tcPr>
            <w:tcW w:w="13740" w:type="dxa"/>
            <w:gridSpan w:val="2"/>
            <w:shd w:val="clear" w:color="auto" w:fill="EAF1DD" w:themeFill="accent3" w:themeFillTint="33"/>
          </w:tcPr>
          <w:p w14:paraId="6489ED9A" w14:textId="77777777" w:rsidR="00837CDB" w:rsidRPr="00DB68DC" w:rsidRDefault="00837CDB" w:rsidP="00837CDB">
            <w:pPr>
              <w:spacing w:after="0" w:line="240" w:lineRule="auto"/>
              <w:rPr>
                <w:rFonts w:ascii="Verdana" w:hAnsi="Verdana" w:cs="Arial"/>
                <w:b/>
              </w:rPr>
            </w:pPr>
            <w:r w:rsidRPr="00DB68DC">
              <w:rPr>
                <w:rFonts w:ascii="Verdana" w:hAnsi="Verdana" w:cs="Arial"/>
                <w:b/>
              </w:rPr>
              <w:t>Current Performance</w:t>
            </w:r>
          </w:p>
        </w:tc>
      </w:tr>
      <w:tr w:rsidR="00837CDB" w:rsidRPr="00DB68DC" w14:paraId="57A6AA7C" w14:textId="77777777" w:rsidTr="00DB68DC">
        <w:tc>
          <w:tcPr>
            <w:tcW w:w="13740" w:type="dxa"/>
            <w:gridSpan w:val="2"/>
            <w:shd w:val="clear" w:color="auto" w:fill="auto"/>
          </w:tcPr>
          <w:p w14:paraId="4A14B548" w14:textId="77777777" w:rsidR="0021137A" w:rsidRPr="00A50BC1" w:rsidRDefault="0021137A" w:rsidP="00A50BC1">
            <w:pPr>
              <w:spacing w:after="0" w:line="240" w:lineRule="auto"/>
              <w:rPr>
                <w:rFonts w:ascii="Verdana" w:hAnsi="Verdana" w:cs="Arial"/>
                <w:color w:val="000000" w:themeColor="text1"/>
              </w:rPr>
            </w:pPr>
            <w:r w:rsidRPr="00A50BC1">
              <w:rPr>
                <w:rFonts w:ascii="Verdana" w:hAnsi="Verdana" w:cs="Arial"/>
                <w:color w:val="000000" w:themeColor="text1"/>
              </w:rPr>
              <w:t>Organisational turnover has decreased by 1% since May 2024 to June 2025 highlighting the impact of retention initiatives.</w:t>
            </w:r>
          </w:p>
          <w:p w14:paraId="43E71C26" w14:textId="77777777" w:rsidR="00A50BC1" w:rsidRDefault="00A50BC1" w:rsidP="00A50BC1">
            <w:pPr>
              <w:spacing w:after="0" w:line="240" w:lineRule="auto"/>
              <w:rPr>
                <w:rFonts w:ascii="Verdana" w:hAnsi="Verdana" w:cs="Arial"/>
                <w:color w:val="000000" w:themeColor="text1"/>
              </w:rPr>
            </w:pPr>
          </w:p>
          <w:p w14:paraId="177B5BB5" w14:textId="7FF0C862" w:rsidR="0021137A" w:rsidRPr="00A50BC1" w:rsidRDefault="0021137A" w:rsidP="00A50BC1">
            <w:pPr>
              <w:spacing w:after="0" w:line="240" w:lineRule="auto"/>
              <w:rPr>
                <w:rFonts w:ascii="Verdana" w:hAnsi="Verdana" w:cs="Arial"/>
                <w:color w:val="000000" w:themeColor="text1"/>
              </w:rPr>
            </w:pPr>
            <w:r w:rsidRPr="00A50BC1">
              <w:rPr>
                <w:rFonts w:ascii="Verdana" w:hAnsi="Verdana" w:cs="Arial"/>
                <w:color w:val="000000" w:themeColor="text1"/>
              </w:rPr>
              <w:t>Medical and Dental staffing has shown the most notable improvement in retention, with a 0.72% decrease in FTE turnover. This positive trend reflects the success of recent retention strategies. While turnover in this group may appear as an outlier compared to other staffing categories, this is largely due to the short-term nature of some substantive appointments. For instance, the Medical HR team may fill a post lasting only four months using fixed term and locum appointments to cover vacant HEIW posts. This approach not only enhances continuity of patient care but also contributes to reduced reliance on bank staffing, leading to cost efficiencies.</w:t>
            </w:r>
          </w:p>
          <w:p w14:paraId="7279EC58" w14:textId="1B22071C" w:rsidR="0021137A" w:rsidRPr="00A50BC1" w:rsidRDefault="0021137A" w:rsidP="00A50BC1">
            <w:pPr>
              <w:spacing w:after="0" w:line="240" w:lineRule="auto"/>
              <w:rPr>
                <w:rFonts w:ascii="Verdana" w:hAnsi="Verdana" w:cs="Arial"/>
                <w:color w:val="000000" w:themeColor="text1"/>
              </w:rPr>
            </w:pPr>
            <w:r w:rsidRPr="00A50BC1">
              <w:rPr>
                <w:rFonts w:ascii="Verdana" w:hAnsi="Verdana" w:cs="Arial"/>
                <w:color w:val="000000" w:themeColor="text1"/>
              </w:rPr>
              <w:t>The Nursing and Midwifery staff group remained relatively stable between May and June 2025, with a slight decrease in</w:t>
            </w:r>
            <w:r w:rsidR="00A50BC1">
              <w:rPr>
                <w:rFonts w:ascii="Verdana" w:hAnsi="Verdana" w:cs="Arial"/>
                <w:color w:val="000000" w:themeColor="text1"/>
              </w:rPr>
              <w:t xml:space="preserve"> </w:t>
            </w:r>
            <w:r w:rsidRPr="00A50BC1">
              <w:rPr>
                <w:rFonts w:ascii="Verdana" w:hAnsi="Verdana" w:cs="Arial"/>
                <w:color w:val="000000" w:themeColor="text1"/>
              </w:rPr>
              <w:t xml:space="preserve">FTE turnover (0.36%). Looking at the longer-term trend, from May 2024 to June 2025, the group has seen an overall reduction in turnover of nearly 1% (0.89% in headcount and 0.72% in FTE), suggesting that retention strategies are gradually taking effect within this workforce. </w:t>
            </w:r>
          </w:p>
          <w:p w14:paraId="486EA46C" w14:textId="0748B2E9" w:rsidR="00B416AC" w:rsidRPr="00DB68DC" w:rsidRDefault="0021137A" w:rsidP="00A50BC1">
            <w:pPr>
              <w:spacing w:after="0" w:line="240" w:lineRule="auto"/>
              <w:rPr>
                <w:rFonts w:ascii="Verdana" w:hAnsi="Verdana" w:cs="Arial"/>
                <w:color w:val="000000" w:themeColor="text1"/>
              </w:rPr>
            </w:pPr>
            <w:r w:rsidRPr="00A50BC1">
              <w:rPr>
                <w:rFonts w:ascii="Verdana" w:hAnsi="Verdana" w:cs="Arial"/>
                <w:color w:val="000000" w:themeColor="text1"/>
              </w:rPr>
              <w:t>Turnover within the Admin and Clerical group has experienced a modest decline, accompanied by a slight improvement in headcount stability. This suggests that fewer staff are leaving, despite the ongoing vacancy freeze affecting this group.</w:t>
            </w:r>
          </w:p>
        </w:tc>
      </w:tr>
      <w:tr w:rsidR="00837CDB" w:rsidRPr="00DB68DC" w14:paraId="5505F238" w14:textId="77777777" w:rsidTr="00DB68DC">
        <w:tc>
          <w:tcPr>
            <w:tcW w:w="13740" w:type="dxa"/>
            <w:gridSpan w:val="2"/>
            <w:shd w:val="clear" w:color="auto" w:fill="EAF1DD" w:themeFill="accent3" w:themeFillTint="33"/>
          </w:tcPr>
          <w:p w14:paraId="2FE73C6D" w14:textId="77777777" w:rsidR="00837CDB" w:rsidRPr="00DB68DC" w:rsidRDefault="00837CDB" w:rsidP="00837CDB">
            <w:pPr>
              <w:spacing w:after="0" w:line="240" w:lineRule="auto"/>
              <w:rPr>
                <w:rFonts w:ascii="Verdana" w:hAnsi="Verdana" w:cs="Arial"/>
                <w:b/>
              </w:rPr>
            </w:pPr>
            <w:r w:rsidRPr="00DB68DC">
              <w:rPr>
                <w:rFonts w:ascii="Verdana" w:hAnsi="Verdana" w:cs="Arial"/>
                <w:b/>
              </w:rPr>
              <w:t>Actions for Next Period</w:t>
            </w:r>
          </w:p>
        </w:tc>
      </w:tr>
      <w:tr w:rsidR="00837CDB" w:rsidRPr="00DB68DC" w14:paraId="69192ABF" w14:textId="77777777" w:rsidTr="00DB68DC">
        <w:tc>
          <w:tcPr>
            <w:tcW w:w="13740" w:type="dxa"/>
            <w:gridSpan w:val="2"/>
            <w:shd w:val="clear" w:color="auto" w:fill="auto"/>
          </w:tcPr>
          <w:p w14:paraId="310E7369" w14:textId="77777777" w:rsidR="0021137A" w:rsidRPr="00A50BC1" w:rsidRDefault="0021137A" w:rsidP="00A50BC1">
            <w:pPr>
              <w:spacing w:after="120" w:line="240" w:lineRule="auto"/>
              <w:rPr>
                <w:rFonts w:ascii="Verdana" w:hAnsi="Verdana" w:cs="Arial"/>
                <w:color w:val="000000" w:themeColor="text1"/>
              </w:rPr>
            </w:pPr>
            <w:r w:rsidRPr="00A50BC1">
              <w:rPr>
                <w:rFonts w:ascii="Verdana" w:hAnsi="Verdana" w:cs="Arial"/>
                <w:color w:val="000000" w:themeColor="text1"/>
              </w:rPr>
              <w:t>The Retention Lead will continue collaborating with Workforce Business Partners to ensure effective rollout of targeted actions, particularly in hotspot areas of increased turnover.</w:t>
            </w:r>
          </w:p>
          <w:p w14:paraId="3CABF1D1" w14:textId="77777777" w:rsidR="00837CDB" w:rsidRDefault="0021137A" w:rsidP="00A50BC1">
            <w:pPr>
              <w:spacing w:after="120" w:line="240" w:lineRule="auto"/>
              <w:rPr>
                <w:rFonts w:ascii="Verdana" w:hAnsi="Verdana" w:cs="Arial"/>
                <w:color w:val="000000" w:themeColor="text1"/>
              </w:rPr>
            </w:pPr>
            <w:r w:rsidRPr="00A50BC1">
              <w:rPr>
                <w:rFonts w:ascii="Verdana" w:hAnsi="Verdana" w:cs="Arial"/>
                <w:color w:val="000000" w:themeColor="text1"/>
              </w:rPr>
              <w:t>Stakeholder engagement within Medical and Dental will remain a key focus, capitalising on current improvements to understand success factors and reinforce long-term workforce stability.</w:t>
            </w:r>
          </w:p>
          <w:p w14:paraId="13601BDA" w14:textId="3C89C4FF" w:rsidR="00A50BC1" w:rsidRPr="00A50BC1" w:rsidRDefault="00A50BC1" w:rsidP="00A50BC1">
            <w:pPr>
              <w:spacing w:after="120" w:line="240" w:lineRule="auto"/>
              <w:rPr>
                <w:rFonts w:ascii="Verdana" w:hAnsi="Verdana" w:cs="Arial"/>
                <w:b/>
              </w:rPr>
            </w:pPr>
          </w:p>
        </w:tc>
      </w:tr>
      <w:tr w:rsidR="00837CDB" w:rsidRPr="00DB68DC" w14:paraId="48FAFB9B" w14:textId="77777777" w:rsidTr="00DB68DC">
        <w:tc>
          <w:tcPr>
            <w:tcW w:w="2117" w:type="dxa"/>
            <w:shd w:val="clear" w:color="auto" w:fill="DBE5F1" w:themeFill="accent1" w:themeFillTint="33"/>
          </w:tcPr>
          <w:p w14:paraId="6E96F804" w14:textId="77777777" w:rsidR="00837CDB" w:rsidRPr="00DB68DC" w:rsidRDefault="00837CDB" w:rsidP="00837CDB">
            <w:pPr>
              <w:spacing w:after="0" w:line="240" w:lineRule="auto"/>
              <w:rPr>
                <w:rFonts w:ascii="Verdana" w:hAnsi="Verdana" w:cs="Arial"/>
                <w:b/>
                <w:bCs/>
                <w:sz w:val="24"/>
                <w:szCs w:val="24"/>
              </w:rPr>
            </w:pPr>
            <w:r w:rsidRPr="00DB68DC">
              <w:rPr>
                <w:rFonts w:ascii="Verdana" w:hAnsi="Verdana" w:cs="Arial"/>
                <w:b/>
                <w:bCs/>
                <w:sz w:val="24"/>
                <w:szCs w:val="24"/>
              </w:rPr>
              <w:lastRenderedPageBreak/>
              <w:t>PADR</w:t>
            </w:r>
          </w:p>
          <w:p w14:paraId="30B5A884" w14:textId="77777777" w:rsidR="00837CDB" w:rsidRPr="00DB68DC" w:rsidRDefault="00837CDB" w:rsidP="00837CDB">
            <w:pPr>
              <w:spacing w:after="0" w:line="240" w:lineRule="auto"/>
              <w:rPr>
                <w:rFonts w:ascii="Verdana" w:hAnsi="Verdana" w:cs="Arial"/>
                <w:bCs/>
                <w:i/>
                <w:sz w:val="24"/>
                <w:szCs w:val="24"/>
              </w:rPr>
            </w:pPr>
            <w:r w:rsidRPr="00DB68DC">
              <w:rPr>
                <w:rFonts w:ascii="Verdana" w:hAnsi="Verdana" w:cs="Arial"/>
                <w:bCs/>
                <w:i/>
                <w:sz w:val="24"/>
                <w:szCs w:val="24"/>
              </w:rPr>
              <w:t>% staff who have a current PADR review recorded</w:t>
            </w:r>
          </w:p>
          <w:p w14:paraId="531D3C89" w14:textId="77777777" w:rsidR="00837CDB" w:rsidRPr="00DB68DC" w:rsidRDefault="00837CDB" w:rsidP="00837CDB">
            <w:pPr>
              <w:spacing w:after="0" w:line="240" w:lineRule="auto"/>
              <w:rPr>
                <w:rFonts w:ascii="Verdana" w:hAnsi="Verdana" w:cs="Arial"/>
                <w:bCs/>
                <w:i/>
                <w:sz w:val="24"/>
                <w:szCs w:val="24"/>
              </w:rPr>
            </w:pPr>
          </w:p>
          <w:p w14:paraId="09E9DD4F" w14:textId="1C4D709E" w:rsidR="00837CDB" w:rsidRPr="00DB68DC" w:rsidRDefault="00837CDB" w:rsidP="00837CDB">
            <w:pPr>
              <w:spacing w:after="0" w:line="240" w:lineRule="auto"/>
              <w:rPr>
                <w:rFonts w:ascii="Verdana" w:hAnsi="Verdana" w:cs="Arial"/>
                <w:b/>
                <w:i/>
                <w:sz w:val="22"/>
                <w:szCs w:val="22"/>
              </w:rPr>
            </w:pPr>
            <w:r w:rsidRPr="00DB68DC">
              <w:rPr>
                <w:rFonts w:ascii="Verdana" w:hAnsi="Verdana" w:cs="Arial"/>
                <w:b/>
                <w:i/>
                <w:sz w:val="22"/>
                <w:szCs w:val="22"/>
              </w:rPr>
              <w:t>PADR target – 85%</w:t>
            </w:r>
          </w:p>
          <w:p w14:paraId="440E9B8E" w14:textId="77777777" w:rsidR="00837CDB" w:rsidRPr="00DB68DC" w:rsidRDefault="00837CDB" w:rsidP="00837CDB">
            <w:pPr>
              <w:spacing w:after="0" w:line="240" w:lineRule="auto"/>
              <w:rPr>
                <w:rFonts w:ascii="Verdana" w:hAnsi="Verdana" w:cs="Arial"/>
                <w:b/>
                <w:bCs/>
                <w:sz w:val="24"/>
                <w:szCs w:val="24"/>
              </w:rPr>
            </w:pPr>
          </w:p>
        </w:tc>
        <w:tc>
          <w:tcPr>
            <w:tcW w:w="11623" w:type="dxa"/>
            <w:shd w:val="clear" w:color="auto" w:fill="auto"/>
          </w:tcPr>
          <w:p w14:paraId="7F727AFC" w14:textId="0D224B1B" w:rsidR="00837CDB" w:rsidRPr="00DB68DC" w:rsidRDefault="00837CDB" w:rsidP="00837CDB">
            <w:pPr>
              <w:spacing w:after="0" w:line="240" w:lineRule="auto"/>
              <w:jc w:val="center"/>
              <w:rPr>
                <w:rFonts w:ascii="Verdana" w:hAnsi="Verdana" w:cs="Arial"/>
                <w:b/>
                <w:bCs/>
                <w:sz w:val="24"/>
                <w:szCs w:val="24"/>
              </w:rPr>
            </w:pPr>
            <w:r w:rsidRPr="00DB68DC">
              <w:rPr>
                <w:rFonts w:ascii="Verdana" w:hAnsi="Verdana" w:cs="Arial"/>
                <w:b/>
                <w:bCs/>
                <w:sz w:val="24"/>
                <w:szCs w:val="24"/>
              </w:rPr>
              <w:t>% of staff (Headcount) who have had a PADR in previous 12 months</w:t>
            </w:r>
          </w:p>
          <w:p w14:paraId="3D94D67F" w14:textId="019CD883" w:rsidR="00837CDB" w:rsidRPr="00DB68DC" w:rsidRDefault="00851990" w:rsidP="00837CDB">
            <w:pPr>
              <w:spacing w:after="0" w:line="240" w:lineRule="auto"/>
              <w:jc w:val="center"/>
              <w:rPr>
                <w:rFonts w:ascii="Verdana" w:hAnsi="Verdana" w:cs="Arial"/>
                <w:b/>
                <w:sz w:val="24"/>
                <w:szCs w:val="24"/>
              </w:rPr>
            </w:pPr>
            <w:r w:rsidRPr="00DB68DC">
              <w:rPr>
                <w:rFonts w:ascii="Verdana" w:hAnsi="Verdana"/>
                <w:noProof/>
              </w:rPr>
              <w:drawing>
                <wp:inline distT="0" distB="0" distL="0" distR="0" wp14:anchorId="792AC38C" wp14:editId="6C13AF9A">
                  <wp:extent cx="4898004" cy="1987826"/>
                  <wp:effectExtent l="0" t="0" r="0" b="0"/>
                  <wp:docPr id="10" name="Chart 10">
                    <a:extLst xmlns:a="http://schemas.openxmlformats.org/drawingml/2006/main">
                      <a:ext uri="{FF2B5EF4-FFF2-40B4-BE49-F238E27FC236}">
                        <a16:creationId xmlns:a16="http://schemas.microsoft.com/office/drawing/2014/main" id="{106B42CB-E0B8-42B7-838D-2608BAD2A8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5E52508" w14:textId="6BFBF1E8" w:rsidR="00837CDB" w:rsidRPr="00DB68DC" w:rsidRDefault="00837CDB" w:rsidP="00837CDB">
            <w:pPr>
              <w:spacing w:after="0" w:line="240" w:lineRule="auto"/>
              <w:jc w:val="center"/>
              <w:rPr>
                <w:rFonts w:ascii="Verdana" w:hAnsi="Verdana"/>
              </w:rPr>
            </w:pPr>
          </w:p>
          <w:p w14:paraId="486ED1C8" w14:textId="4B1B0A2D" w:rsidR="00837CDB" w:rsidRPr="00DB68DC" w:rsidRDefault="00837CDB" w:rsidP="00837CDB">
            <w:pPr>
              <w:spacing w:after="0" w:line="240" w:lineRule="auto"/>
              <w:rPr>
                <w:rFonts w:ascii="Verdana" w:hAnsi="Verdana" w:cs="Arial"/>
                <w:i/>
                <w:iCs/>
                <w:sz w:val="18"/>
                <w:szCs w:val="18"/>
              </w:rPr>
            </w:pPr>
            <w:r w:rsidRPr="00DB68DC">
              <w:rPr>
                <w:rFonts w:ascii="Verdana" w:hAnsi="Verdana" w:cs="Arial"/>
                <w:i/>
                <w:sz w:val="18"/>
                <w:szCs w:val="18"/>
              </w:rPr>
              <w:t xml:space="preserve">Report generated </w:t>
            </w:r>
            <w:r w:rsidR="00851990" w:rsidRPr="00DB68DC">
              <w:rPr>
                <w:rFonts w:ascii="Verdana" w:hAnsi="Verdana" w:cs="Arial"/>
                <w:i/>
                <w:sz w:val="18"/>
                <w:szCs w:val="18"/>
              </w:rPr>
              <w:t>Jul</w:t>
            </w:r>
            <w:r w:rsidRPr="00DB68DC">
              <w:rPr>
                <w:rFonts w:ascii="Verdana" w:hAnsi="Verdana" w:cs="Arial"/>
                <w:i/>
                <w:sz w:val="18"/>
                <w:szCs w:val="18"/>
              </w:rPr>
              <w:t xml:space="preserve"> 2025, within SBUHB (Performance Team). Data source – ESR (OLM Module). Accuracy levels subject to local maintenance and validation standards. </w:t>
            </w:r>
            <w:r w:rsidRPr="00DB68DC">
              <w:rPr>
                <w:rFonts w:ascii="Verdana" w:hAnsi="Verdana" w:cs="Arial"/>
                <w:i/>
                <w:iCs/>
                <w:sz w:val="18"/>
                <w:szCs w:val="18"/>
              </w:rPr>
              <w:t>Target of 85% added as blue line.</w:t>
            </w:r>
          </w:p>
          <w:p w14:paraId="5220A230" w14:textId="00AC91A7" w:rsidR="00837CDB" w:rsidRPr="00DB68DC" w:rsidRDefault="00837CDB" w:rsidP="00837CDB">
            <w:pPr>
              <w:spacing w:after="0" w:line="240" w:lineRule="auto"/>
              <w:rPr>
                <w:rFonts w:ascii="Verdana" w:hAnsi="Verdana" w:cs="Arial"/>
              </w:rPr>
            </w:pPr>
          </w:p>
        </w:tc>
      </w:tr>
      <w:tr w:rsidR="00837CDB" w:rsidRPr="00DB68DC" w14:paraId="2F08400A" w14:textId="77777777" w:rsidTr="00DB68DC">
        <w:tc>
          <w:tcPr>
            <w:tcW w:w="13740" w:type="dxa"/>
            <w:gridSpan w:val="2"/>
            <w:shd w:val="clear" w:color="auto" w:fill="EAF1DD" w:themeFill="accent3" w:themeFillTint="33"/>
          </w:tcPr>
          <w:p w14:paraId="5F933FED" w14:textId="77777777" w:rsidR="00837CDB" w:rsidRPr="00DB68DC" w:rsidRDefault="00837CDB" w:rsidP="00837CDB">
            <w:pPr>
              <w:spacing w:after="0" w:line="240" w:lineRule="auto"/>
              <w:rPr>
                <w:rFonts w:ascii="Verdana" w:hAnsi="Verdana" w:cs="Arial"/>
                <w:b/>
              </w:rPr>
            </w:pPr>
            <w:r w:rsidRPr="00DB68DC">
              <w:rPr>
                <w:rFonts w:ascii="Verdana" w:hAnsi="Verdana" w:cs="Arial"/>
                <w:b/>
              </w:rPr>
              <w:t>Current Performance</w:t>
            </w:r>
          </w:p>
        </w:tc>
      </w:tr>
      <w:tr w:rsidR="00837CDB" w:rsidRPr="00DB68DC" w14:paraId="301B5DD5" w14:textId="77777777" w:rsidTr="00DB68DC">
        <w:tc>
          <w:tcPr>
            <w:tcW w:w="13740" w:type="dxa"/>
            <w:gridSpan w:val="2"/>
            <w:shd w:val="clear" w:color="auto" w:fill="auto"/>
          </w:tcPr>
          <w:p w14:paraId="168E2535" w14:textId="77777777" w:rsidR="0021137A" w:rsidRPr="00DB68DC" w:rsidRDefault="0021137A" w:rsidP="00A50BC1">
            <w:pPr>
              <w:pStyle w:val="BodyTextIndent"/>
              <w:spacing w:after="0"/>
              <w:ind w:left="0"/>
              <w:rPr>
                <w:rStyle w:val="normaltextrun"/>
                <w:rFonts w:ascii="Verdana" w:hAnsi="Verdana" w:cs="Arial"/>
              </w:rPr>
            </w:pPr>
            <w:r w:rsidRPr="00DB68DC">
              <w:rPr>
                <w:rStyle w:val="normaltextrun"/>
                <w:rFonts w:ascii="Verdana" w:hAnsi="Verdana" w:cs="Arial"/>
              </w:rPr>
              <w:t>Staff who have had a Personal Appraisal and Development Review (PADR) as of 30</w:t>
            </w:r>
            <w:r w:rsidRPr="00DB68DC">
              <w:rPr>
                <w:rStyle w:val="normaltextrun"/>
                <w:rFonts w:ascii="Verdana" w:hAnsi="Verdana" w:cs="Arial"/>
                <w:vertAlign w:val="superscript"/>
              </w:rPr>
              <w:t>th</w:t>
            </w:r>
            <w:r w:rsidRPr="00DB68DC">
              <w:rPr>
                <w:rStyle w:val="normaltextrun"/>
                <w:rFonts w:ascii="Verdana" w:hAnsi="Verdana" w:cs="Arial"/>
              </w:rPr>
              <w:t xml:space="preserve"> June 2025 is 72.82 %.</w:t>
            </w:r>
          </w:p>
          <w:p w14:paraId="66361281" w14:textId="6762396F" w:rsidR="0021137A" w:rsidRPr="00DB68DC" w:rsidRDefault="0021137A" w:rsidP="00A50BC1">
            <w:pPr>
              <w:pStyle w:val="BodyTextIndent"/>
              <w:spacing w:after="0"/>
              <w:ind w:left="0"/>
              <w:rPr>
                <w:rStyle w:val="normaltextrun"/>
                <w:rFonts w:ascii="Verdana" w:hAnsi="Verdana" w:cs="Arial"/>
              </w:rPr>
            </w:pPr>
            <w:r w:rsidRPr="00DB68DC">
              <w:rPr>
                <w:rStyle w:val="normaltextrun"/>
                <w:rFonts w:ascii="Verdana" w:hAnsi="Verdana" w:cs="Arial"/>
              </w:rPr>
              <w:t xml:space="preserve">During March and April 2025, a total of 58 staff completed Personal Appraisal Review for Managers delivered by the Education and Learning Team. In addition, the How to Complete PADR Documentation and PADR Hints &amp; Tips bitesize learning modules have been added to the Brilliant Basics Platform from January 2025.  </w:t>
            </w:r>
          </w:p>
          <w:p w14:paraId="26053051" w14:textId="4370DE2B" w:rsidR="00837CDB" w:rsidRPr="00DB68DC" w:rsidRDefault="0021137A" w:rsidP="00A50BC1">
            <w:pPr>
              <w:pStyle w:val="BodyTextIndent"/>
              <w:spacing w:after="0"/>
              <w:ind w:left="0"/>
              <w:rPr>
                <w:rFonts w:ascii="Verdana" w:hAnsi="Verdana" w:cs="Arial"/>
              </w:rPr>
            </w:pPr>
            <w:r w:rsidRPr="00DB68DC">
              <w:rPr>
                <w:rStyle w:val="normaltextrun"/>
                <w:rFonts w:ascii="Verdana" w:hAnsi="Verdana" w:cs="Arial"/>
              </w:rPr>
              <w:t>Compliance figures per Service Group (excluding Medical and Dental Staff) – MH&amp;LD 76.97%, NPTS 79.47%, PCCT 83.24%, Morriston 64.32%, Finance and Estates 64.21%</w:t>
            </w:r>
          </w:p>
        </w:tc>
      </w:tr>
      <w:tr w:rsidR="00837CDB" w:rsidRPr="00DB68DC" w14:paraId="781B55C9" w14:textId="77777777" w:rsidTr="00DB68DC">
        <w:tc>
          <w:tcPr>
            <w:tcW w:w="13740" w:type="dxa"/>
            <w:gridSpan w:val="2"/>
            <w:shd w:val="clear" w:color="auto" w:fill="EAF1DD" w:themeFill="accent3" w:themeFillTint="33"/>
          </w:tcPr>
          <w:p w14:paraId="24EB7605" w14:textId="77777777" w:rsidR="00837CDB" w:rsidRPr="00DB68DC" w:rsidRDefault="00837CDB" w:rsidP="00837CDB">
            <w:pPr>
              <w:spacing w:after="0" w:line="240" w:lineRule="auto"/>
              <w:rPr>
                <w:rFonts w:ascii="Verdana" w:hAnsi="Verdana" w:cs="Arial"/>
                <w:b/>
              </w:rPr>
            </w:pPr>
            <w:r w:rsidRPr="00DB68DC">
              <w:rPr>
                <w:rFonts w:ascii="Verdana" w:hAnsi="Verdana" w:cs="Arial"/>
                <w:b/>
              </w:rPr>
              <w:t>Actions Planned for Next Period</w:t>
            </w:r>
          </w:p>
        </w:tc>
      </w:tr>
      <w:tr w:rsidR="00837CDB" w:rsidRPr="00DB68DC" w14:paraId="7EA0A092" w14:textId="77777777" w:rsidTr="00DB68DC">
        <w:tc>
          <w:tcPr>
            <w:tcW w:w="13740" w:type="dxa"/>
            <w:gridSpan w:val="2"/>
            <w:shd w:val="clear" w:color="auto" w:fill="auto"/>
          </w:tcPr>
          <w:p w14:paraId="7C228D76" w14:textId="77777777" w:rsidR="0021137A" w:rsidRPr="00A50BC1" w:rsidRDefault="0021137A" w:rsidP="00A50BC1">
            <w:pPr>
              <w:spacing w:after="0" w:line="240" w:lineRule="auto"/>
              <w:rPr>
                <w:rFonts w:ascii="Verdana" w:hAnsi="Verdana" w:cs="Arial"/>
              </w:rPr>
            </w:pPr>
            <w:r w:rsidRPr="00A50BC1">
              <w:rPr>
                <w:rFonts w:ascii="Verdana" w:hAnsi="Verdana" w:cs="Arial"/>
                <w:b/>
                <w:bCs/>
              </w:rPr>
              <w:t>NPTSG</w:t>
            </w:r>
            <w:r w:rsidRPr="00A50BC1">
              <w:rPr>
                <w:rFonts w:ascii="Verdana" w:hAnsi="Verdana" w:cs="Arial"/>
              </w:rPr>
              <w:t xml:space="preserve"> updated that Improvement plans should be in place for Divisions below the target of 85% (this is coordinated via the Divisional Workforce Groups) and that they are using PADRs as an enabler to support Quality and Safety Strategy.</w:t>
            </w:r>
          </w:p>
          <w:p w14:paraId="3F6CDCCE" w14:textId="2A09EED7" w:rsidR="00837CDB" w:rsidRPr="00A50BC1" w:rsidRDefault="0021137A" w:rsidP="00A50BC1">
            <w:pPr>
              <w:spacing w:after="0" w:line="240" w:lineRule="auto"/>
              <w:rPr>
                <w:rFonts w:ascii="Verdana" w:hAnsi="Verdana" w:cs="Arial"/>
              </w:rPr>
            </w:pPr>
            <w:r w:rsidRPr="00A50BC1">
              <w:rPr>
                <w:rFonts w:ascii="Verdana" w:hAnsi="Verdana" w:cs="Arial"/>
                <w:b/>
                <w:bCs/>
              </w:rPr>
              <w:t>MH &amp; LD</w:t>
            </w:r>
            <w:r w:rsidRPr="00A50BC1">
              <w:rPr>
                <w:rFonts w:ascii="Verdana" w:hAnsi="Verdana"/>
              </w:rPr>
              <w:t xml:space="preserve"> </w:t>
            </w:r>
            <w:r w:rsidRPr="00A50BC1">
              <w:rPr>
                <w:rFonts w:ascii="Verdana" w:hAnsi="Verdana" w:cs="Arial"/>
              </w:rPr>
              <w:t>Plans to be put in place to identify dedicated time to meet with all staff for objectives and development and to prioritize the 412 staff that have not received a PADR and ensure ESR records are updated.</w:t>
            </w:r>
          </w:p>
          <w:p w14:paraId="5A1C6926" w14:textId="77777777" w:rsidR="00EB28B0" w:rsidRPr="00DB68DC" w:rsidRDefault="00EB28B0" w:rsidP="0021137A">
            <w:pPr>
              <w:pStyle w:val="ListParagraph"/>
              <w:spacing w:after="0" w:line="240" w:lineRule="auto"/>
              <w:ind w:left="360"/>
              <w:rPr>
                <w:rFonts w:ascii="Verdana" w:hAnsi="Verdana" w:cs="Arial"/>
              </w:rPr>
            </w:pPr>
          </w:p>
          <w:p w14:paraId="03952CCA" w14:textId="77777777" w:rsidR="0021137A" w:rsidRPr="00DB68DC" w:rsidRDefault="0021137A" w:rsidP="0021137A">
            <w:pPr>
              <w:pStyle w:val="NormalWeb"/>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The Education &amp; Learning team within Workforce &amp; OD has an enabling role in delivering PADR training to managers and leaders so they can deliver high-quality, person-centred reviews that meet the needs of our staff as aligned to our People Strategy.</w:t>
            </w:r>
          </w:p>
          <w:p w14:paraId="0CE3E2A8" w14:textId="77777777" w:rsidR="0021137A" w:rsidRPr="00DB68DC" w:rsidRDefault="0021137A" w:rsidP="0021137A">
            <w:pPr>
              <w:pStyle w:val="NormalWeb"/>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PADR training is currently offered through two primary formats to support staff development and accessibility:</w:t>
            </w:r>
          </w:p>
          <w:p w14:paraId="71DD7CF8" w14:textId="77777777" w:rsidR="00A50BC1" w:rsidRDefault="0021137A" w:rsidP="00A50BC1">
            <w:pPr>
              <w:pStyle w:val="NormalWeb"/>
              <w:numPr>
                <w:ilvl w:val="0"/>
                <w:numId w:val="42"/>
              </w:numPr>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Face-to-Face Trainin</w:t>
            </w:r>
            <w:r w:rsidR="00A50BC1">
              <w:rPr>
                <w:rFonts w:ascii="Verdana" w:eastAsia="Calibri" w:hAnsi="Verdana" w:cs="Arial"/>
                <w:sz w:val="20"/>
                <w:szCs w:val="20"/>
              </w:rPr>
              <w:t>g i</w:t>
            </w:r>
            <w:r w:rsidRPr="00DB68DC">
              <w:rPr>
                <w:rFonts w:ascii="Verdana" w:eastAsia="Calibri" w:hAnsi="Verdana" w:cs="Arial"/>
                <w:sz w:val="20"/>
                <w:szCs w:val="20"/>
              </w:rPr>
              <w:t>ntegrated into the Managers’ Pathway Programme, providing structured learning for managers enrolled on the programme.</w:t>
            </w:r>
          </w:p>
          <w:p w14:paraId="2DD0C2A0" w14:textId="6128B610" w:rsidR="0021137A" w:rsidRPr="00DB68DC" w:rsidRDefault="0021137A" w:rsidP="00A50BC1">
            <w:pPr>
              <w:pStyle w:val="NormalWeb"/>
              <w:numPr>
                <w:ilvl w:val="0"/>
                <w:numId w:val="42"/>
              </w:numPr>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Delivered as standalone sessions, which managers and leaders can book independently to enhance their understanding and application of the PADR process.</w:t>
            </w:r>
          </w:p>
          <w:p w14:paraId="3CC74BA4" w14:textId="0DF1A98A" w:rsidR="0021137A" w:rsidRPr="00DB68DC" w:rsidRDefault="0021137A" w:rsidP="0021137A">
            <w:pPr>
              <w:pStyle w:val="NormalWeb"/>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lastRenderedPageBreak/>
              <w:t>In the last 12 months, 245 participants have attended a face-to-face PADR training module. Flexible early morning training sessions are being trialled to provide participants with the option of attending a session outside of core operating hours of 9am-5pm. </w:t>
            </w:r>
          </w:p>
          <w:p w14:paraId="0B01C75D" w14:textId="77777777" w:rsidR="00EB28B0" w:rsidRPr="00DB68DC" w:rsidRDefault="00EB28B0" w:rsidP="0021137A">
            <w:pPr>
              <w:pStyle w:val="NormalWeb"/>
              <w:spacing w:before="0" w:beforeAutospacing="0" w:after="0" w:afterAutospacing="0"/>
              <w:rPr>
                <w:rFonts w:ascii="Verdana" w:eastAsia="Calibri" w:hAnsi="Verdana" w:cs="Arial"/>
                <w:sz w:val="20"/>
                <w:szCs w:val="20"/>
              </w:rPr>
            </w:pPr>
          </w:p>
          <w:p w14:paraId="2B520324" w14:textId="3F163483" w:rsidR="0021137A" w:rsidRPr="00DB68DC" w:rsidRDefault="0021137A" w:rsidP="0021137A">
            <w:pPr>
              <w:pStyle w:val="NormalWeb"/>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Digital Learning:</w:t>
            </w:r>
            <w:r w:rsidR="00A50BC1">
              <w:rPr>
                <w:rFonts w:ascii="Verdana" w:eastAsia="Calibri" w:hAnsi="Verdana" w:cs="Arial"/>
                <w:sz w:val="20"/>
                <w:szCs w:val="20"/>
              </w:rPr>
              <w:t xml:space="preserve"> </w:t>
            </w:r>
            <w:r w:rsidRPr="00DB68DC">
              <w:rPr>
                <w:rFonts w:ascii="Verdana" w:eastAsia="Calibri" w:hAnsi="Verdana" w:cs="Arial"/>
                <w:sz w:val="20"/>
                <w:szCs w:val="20"/>
              </w:rPr>
              <w:t>Bitesize modules were launched as part of the Brilliant Basics digital learning platform in January 2025, offering flexible, on-demand access to core PADR content.</w:t>
            </w:r>
            <w:r w:rsidR="00A50BC1">
              <w:rPr>
                <w:rFonts w:ascii="Verdana" w:eastAsia="Calibri" w:hAnsi="Verdana" w:cs="Arial"/>
                <w:sz w:val="20"/>
                <w:szCs w:val="20"/>
              </w:rPr>
              <w:t xml:space="preserve"> </w:t>
            </w:r>
            <w:r w:rsidRPr="00DB68DC">
              <w:rPr>
                <w:rFonts w:ascii="Verdana" w:eastAsia="Calibri" w:hAnsi="Verdana" w:cs="Arial"/>
                <w:sz w:val="20"/>
                <w:szCs w:val="20"/>
              </w:rPr>
              <w:t>The bitesize learning has been highlighted as part of one of three key areas of learning in the Brilliant Basics communication campaign. This blended approach to learning ensures that staff at all levels have access to appropriate training in a format that suits their learning preferences and operational needs.</w:t>
            </w:r>
          </w:p>
          <w:p w14:paraId="13FCFB9C" w14:textId="77777777" w:rsidR="00EB28B0" w:rsidRPr="00DB68DC" w:rsidRDefault="00EB28B0" w:rsidP="0021137A">
            <w:pPr>
              <w:pStyle w:val="NormalWeb"/>
              <w:spacing w:before="0" w:beforeAutospacing="0" w:after="0" w:afterAutospacing="0"/>
              <w:rPr>
                <w:rFonts w:ascii="Verdana" w:eastAsia="Calibri" w:hAnsi="Verdana" w:cs="Arial"/>
                <w:sz w:val="20"/>
                <w:szCs w:val="20"/>
              </w:rPr>
            </w:pPr>
          </w:p>
          <w:p w14:paraId="5C2ABF35" w14:textId="77777777" w:rsidR="00A50BC1" w:rsidRDefault="0021137A" w:rsidP="00A50BC1">
            <w:pPr>
              <w:pStyle w:val="NormalWeb"/>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Service Groups are being supported to monitor compliance through the following operational activities</w:t>
            </w:r>
          </w:p>
          <w:p w14:paraId="2E4EDC7A" w14:textId="77777777" w:rsidR="00A50BC1" w:rsidRDefault="0021137A" w:rsidP="00A50BC1">
            <w:pPr>
              <w:pStyle w:val="NormalWeb"/>
              <w:numPr>
                <w:ilvl w:val="0"/>
                <w:numId w:val="43"/>
              </w:numPr>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 xml:space="preserve">Development of an Establishment Control Toolkit for leaders. Ensuring our establishment is correct on ESR supports the accurate recording of PADR discussions.   </w:t>
            </w:r>
          </w:p>
          <w:p w14:paraId="1051E3C2" w14:textId="77777777" w:rsidR="00A50BC1" w:rsidRDefault="0021137A" w:rsidP="00A50BC1">
            <w:pPr>
              <w:pStyle w:val="NormalWeb"/>
              <w:numPr>
                <w:ilvl w:val="0"/>
                <w:numId w:val="43"/>
              </w:numPr>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 xml:space="preserve">The introduction of the Workforce Dashboard in 2024 enables us to report and monitor PADR compliance by Service </w:t>
            </w:r>
            <w:proofErr w:type="spellStart"/>
            <w:r w:rsidRPr="00DB68DC">
              <w:rPr>
                <w:rFonts w:ascii="Verdana" w:eastAsia="Calibri" w:hAnsi="Verdana" w:cs="Arial"/>
                <w:sz w:val="20"/>
                <w:szCs w:val="20"/>
              </w:rPr>
              <w:t>Grou</w:t>
            </w:r>
            <w:proofErr w:type="spellEnd"/>
          </w:p>
          <w:p w14:paraId="0D1EE992" w14:textId="77777777" w:rsidR="00A50BC1" w:rsidRDefault="0021137A" w:rsidP="00A50BC1">
            <w:pPr>
              <w:pStyle w:val="NormalWeb"/>
              <w:numPr>
                <w:ilvl w:val="0"/>
                <w:numId w:val="43"/>
              </w:numPr>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Monthly Service Group Performance Meetings are utilised to report and monitor PADR compliance. Barriers to completing the PADR process explored and actions to address agreed.</w:t>
            </w:r>
          </w:p>
          <w:p w14:paraId="61D020D9" w14:textId="256ACBF3" w:rsidR="0021137A" w:rsidRPr="00DB68DC" w:rsidRDefault="0021137A" w:rsidP="00A50BC1">
            <w:pPr>
              <w:pStyle w:val="NormalWeb"/>
              <w:numPr>
                <w:ilvl w:val="0"/>
                <w:numId w:val="43"/>
              </w:numPr>
              <w:spacing w:before="0" w:beforeAutospacing="0" w:after="0" w:afterAutospacing="0"/>
              <w:rPr>
                <w:rFonts w:ascii="Verdana" w:eastAsia="Calibri" w:hAnsi="Verdana" w:cs="Arial"/>
                <w:sz w:val="20"/>
                <w:szCs w:val="20"/>
              </w:rPr>
            </w:pPr>
            <w:r w:rsidRPr="00DB68DC">
              <w:rPr>
                <w:rFonts w:ascii="Verdana" w:eastAsia="Calibri" w:hAnsi="Verdana" w:cs="Arial"/>
                <w:sz w:val="20"/>
                <w:szCs w:val="20"/>
              </w:rPr>
              <w:t>Leaders are encouraged to allocate dedicated time to conduct quality PADRs.</w:t>
            </w:r>
          </w:p>
          <w:p w14:paraId="503B30E6" w14:textId="77777777" w:rsidR="0021137A" w:rsidRPr="00DB68DC" w:rsidRDefault="0021137A" w:rsidP="0021137A">
            <w:pPr>
              <w:pStyle w:val="NormalWeb"/>
              <w:spacing w:before="0" w:beforeAutospacing="0" w:after="0" w:afterAutospacing="0"/>
              <w:ind w:left="1491" w:hanging="357"/>
              <w:rPr>
                <w:rFonts w:ascii="Verdana" w:eastAsia="Calibri" w:hAnsi="Verdana" w:cs="Arial"/>
                <w:sz w:val="20"/>
                <w:szCs w:val="20"/>
              </w:rPr>
            </w:pPr>
          </w:p>
          <w:p w14:paraId="71F789FD" w14:textId="77777777" w:rsidR="00EB28B0" w:rsidRDefault="00EB28B0" w:rsidP="0021137A">
            <w:pPr>
              <w:pStyle w:val="ListParagraph"/>
              <w:spacing w:after="0" w:line="240" w:lineRule="auto"/>
              <w:ind w:left="0"/>
              <w:rPr>
                <w:rFonts w:ascii="Verdana" w:hAnsi="Verdana" w:cs="Calibri"/>
                <w:sz w:val="22"/>
                <w:szCs w:val="22"/>
              </w:rPr>
            </w:pPr>
          </w:p>
          <w:p w14:paraId="7B6A58B2" w14:textId="77777777" w:rsidR="00A50BC1" w:rsidRDefault="00A50BC1" w:rsidP="0021137A">
            <w:pPr>
              <w:pStyle w:val="ListParagraph"/>
              <w:spacing w:after="0" w:line="240" w:lineRule="auto"/>
              <w:ind w:left="0"/>
              <w:rPr>
                <w:rFonts w:ascii="Verdana" w:hAnsi="Verdana" w:cs="Calibri"/>
                <w:sz w:val="22"/>
                <w:szCs w:val="22"/>
              </w:rPr>
            </w:pPr>
          </w:p>
          <w:p w14:paraId="6D434E38" w14:textId="77777777" w:rsidR="00A50BC1" w:rsidRDefault="00A50BC1" w:rsidP="0021137A">
            <w:pPr>
              <w:pStyle w:val="ListParagraph"/>
              <w:spacing w:after="0" w:line="240" w:lineRule="auto"/>
              <w:ind w:left="0"/>
              <w:rPr>
                <w:rFonts w:ascii="Verdana" w:hAnsi="Verdana" w:cs="Calibri"/>
                <w:sz w:val="22"/>
                <w:szCs w:val="22"/>
              </w:rPr>
            </w:pPr>
          </w:p>
          <w:p w14:paraId="481CA1FD" w14:textId="77777777" w:rsidR="00A50BC1" w:rsidRDefault="00A50BC1" w:rsidP="0021137A">
            <w:pPr>
              <w:pStyle w:val="ListParagraph"/>
              <w:spacing w:after="0" w:line="240" w:lineRule="auto"/>
              <w:ind w:left="0"/>
              <w:rPr>
                <w:rFonts w:ascii="Verdana" w:hAnsi="Verdana" w:cs="Calibri"/>
                <w:sz w:val="22"/>
                <w:szCs w:val="22"/>
              </w:rPr>
            </w:pPr>
          </w:p>
          <w:p w14:paraId="64098CC2" w14:textId="77777777" w:rsidR="00A50BC1" w:rsidRDefault="00A50BC1" w:rsidP="0021137A">
            <w:pPr>
              <w:pStyle w:val="ListParagraph"/>
              <w:spacing w:after="0" w:line="240" w:lineRule="auto"/>
              <w:ind w:left="0"/>
              <w:rPr>
                <w:rFonts w:ascii="Verdana" w:hAnsi="Verdana" w:cs="Calibri"/>
                <w:sz w:val="22"/>
                <w:szCs w:val="22"/>
              </w:rPr>
            </w:pPr>
          </w:p>
          <w:p w14:paraId="424FCDE5" w14:textId="77777777" w:rsidR="00A50BC1" w:rsidRDefault="00A50BC1" w:rsidP="0021137A">
            <w:pPr>
              <w:pStyle w:val="ListParagraph"/>
              <w:spacing w:after="0" w:line="240" w:lineRule="auto"/>
              <w:ind w:left="0"/>
              <w:rPr>
                <w:rFonts w:ascii="Verdana" w:hAnsi="Verdana" w:cs="Calibri"/>
                <w:sz w:val="22"/>
                <w:szCs w:val="22"/>
              </w:rPr>
            </w:pPr>
          </w:p>
          <w:p w14:paraId="684EC731" w14:textId="77777777" w:rsidR="00A50BC1" w:rsidRDefault="00A50BC1" w:rsidP="0021137A">
            <w:pPr>
              <w:pStyle w:val="ListParagraph"/>
              <w:spacing w:after="0" w:line="240" w:lineRule="auto"/>
              <w:ind w:left="0"/>
              <w:rPr>
                <w:rFonts w:ascii="Verdana" w:hAnsi="Verdana" w:cs="Calibri"/>
                <w:sz w:val="22"/>
                <w:szCs w:val="22"/>
              </w:rPr>
            </w:pPr>
          </w:p>
          <w:p w14:paraId="794148D7" w14:textId="77777777" w:rsidR="00A50BC1" w:rsidRDefault="00A50BC1" w:rsidP="0021137A">
            <w:pPr>
              <w:pStyle w:val="ListParagraph"/>
              <w:spacing w:after="0" w:line="240" w:lineRule="auto"/>
              <w:ind w:left="0"/>
              <w:rPr>
                <w:rFonts w:ascii="Verdana" w:hAnsi="Verdana" w:cs="Calibri"/>
                <w:sz w:val="22"/>
                <w:szCs w:val="22"/>
              </w:rPr>
            </w:pPr>
          </w:p>
          <w:p w14:paraId="4F482822" w14:textId="77777777" w:rsidR="00A50BC1" w:rsidRDefault="00A50BC1" w:rsidP="0021137A">
            <w:pPr>
              <w:pStyle w:val="ListParagraph"/>
              <w:spacing w:after="0" w:line="240" w:lineRule="auto"/>
              <w:ind w:left="0"/>
              <w:rPr>
                <w:rFonts w:ascii="Verdana" w:hAnsi="Verdana" w:cs="Calibri"/>
                <w:sz w:val="22"/>
                <w:szCs w:val="22"/>
              </w:rPr>
            </w:pPr>
          </w:p>
          <w:p w14:paraId="68E39A3A" w14:textId="2E3261AD" w:rsidR="00A50BC1" w:rsidRPr="00DB68DC" w:rsidRDefault="00A50BC1" w:rsidP="0021137A">
            <w:pPr>
              <w:pStyle w:val="ListParagraph"/>
              <w:spacing w:after="0" w:line="240" w:lineRule="auto"/>
              <w:ind w:left="0"/>
              <w:rPr>
                <w:rFonts w:ascii="Verdana" w:hAnsi="Verdana" w:cs="Calibri"/>
                <w:sz w:val="22"/>
                <w:szCs w:val="22"/>
              </w:rPr>
            </w:pPr>
          </w:p>
        </w:tc>
      </w:tr>
      <w:tr w:rsidR="00837CDB" w:rsidRPr="00DB68DC" w14:paraId="6B2CD376" w14:textId="77777777" w:rsidTr="00DB68DC">
        <w:trPr>
          <w:trHeight w:val="3920"/>
        </w:trPr>
        <w:tc>
          <w:tcPr>
            <w:tcW w:w="2117" w:type="dxa"/>
            <w:shd w:val="clear" w:color="auto" w:fill="DBE5F1" w:themeFill="accent1" w:themeFillTint="33"/>
          </w:tcPr>
          <w:p w14:paraId="733D0AC1" w14:textId="77777777" w:rsidR="00837CDB" w:rsidRPr="00DB68DC" w:rsidRDefault="00837CDB" w:rsidP="00837CDB">
            <w:pPr>
              <w:spacing w:after="0" w:line="240" w:lineRule="auto"/>
              <w:rPr>
                <w:rFonts w:ascii="Verdana" w:hAnsi="Verdana" w:cs="Arial"/>
                <w:b/>
                <w:bCs/>
                <w:sz w:val="24"/>
                <w:szCs w:val="24"/>
              </w:rPr>
            </w:pPr>
            <w:bookmarkStart w:id="1" w:name="Finance"/>
            <w:r w:rsidRPr="00DB68DC">
              <w:rPr>
                <w:rFonts w:ascii="Verdana" w:hAnsi="Verdana" w:cs="Arial"/>
                <w:b/>
                <w:bCs/>
                <w:sz w:val="24"/>
                <w:szCs w:val="24"/>
              </w:rPr>
              <w:lastRenderedPageBreak/>
              <w:t>Operational Casework</w:t>
            </w:r>
          </w:p>
          <w:p w14:paraId="07D288ED" w14:textId="77777777" w:rsidR="00837CDB" w:rsidRPr="00DB68DC" w:rsidRDefault="00837CDB" w:rsidP="00837CDB">
            <w:pPr>
              <w:spacing w:after="0" w:line="240" w:lineRule="auto"/>
              <w:rPr>
                <w:rFonts w:ascii="Verdana" w:hAnsi="Verdana" w:cs="Arial"/>
                <w:b/>
                <w:bCs/>
                <w:sz w:val="24"/>
                <w:szCs w:val="24"/>
              </w:rPr>
            </w:pPr>
            <w:r w:rsidRPr="00DB68DC">
              <w:rPr>
                <w:rFonts w:ascii="Verdana" w:hAnsi="Verdana" w:cs="Arial"/>
                <w:bCs/>
                <w:i/>
                <w:sz w:val="24"/>
                <w:szCs w:val="24"/>
              </w:rPr>
              <w:t>Number of current operational cases.</w:t>
            </w:r>
          </w:p>
        </w:tc>
        <w:tc>
          <w:tcPr>
            <w:tcW w:w="11623" w:type="dxa"/>
            <w:shd w:val="clear" w:color="auto" w:fill="auto"/>
          </w:tcPr>
          <w:p w14:paraId="32DB947C" w14:textId="77777777" w:rsidR="00837CDB" w:rsidRPr="00DB68DC" w:rsidRDefault="00837CDB" w:rsidP="00837CDB">
            <w:pPr>
              <w:spacing w:after="0"/>
              <w:rPr>
                <w:rFonts w:ascii="Verdana" w:hAnsi="Verdana" w:cs="Arial"/>
              </w:rPr>
            </w:pPr>
          </w:p>
          <w:p w14:paraId="2CDC2F37" w14:textId="71E65213" w:rsidR="00837CDB" w:rsidRPr="00DB68DC" w:rsidRDefault="00FD623D" w:rsidP="00837CDB">
            <w:pPr>
              <w:spacing w:after="0"/>
              <w:jc w:val="center"/>
              <w:rPr>
                <w:rFonts w:ascii="Verdana" w:hAnsi="Verdana"/>
              </w:rPr>
            </w:pPr>
            <w:r w:rsidRPr="00DB68DC">
              <w:rPr>
                <w:rFonts w:ascii="Verdana" w:hAnsi="Verdana"/>
                <w:noProof/>
              </w:rPr>
              <w:drawing>
                <wp:inline distT="0" distB="0" distL="0" distR="0" wp14:anchorId="2BE78F2D" wp14:editId="3185C085">
                  <wp:extent cx="5365750" cy="2101850"/>
                  <wp:effectExtent l="0" t="0" r="635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0C267A" w14:textId="0DACFBF8" w:rsidR="00837CDB" w:rsidRPr="00DB68DC" w:rsidRDefault="00837CDB" w:rsidP="00712C48">
            <w:pPr>
              <w:spacing w:after="0"/>
              <w:rPr>
                <w:rFonts w:ascii="Verdana" w:hAnsi="Verdana" w:cs="Arial"/>
              </w:rPr>
            </w:pPr>
            <w:r w:rsidRPr="00DB68DC">
              <w:rPr>
                <w:rFonts w:ascii="Verdana" w:hAnsi="Verdana" w:cs="Arial"/>
                <w:i/>
                <w:sz w:val="18"/>
                <w:szCs w:val="18"/>
              </w:rPr>
              <w:t xml:space="preserve">Report generated </w:t>
            </w:r>
            <w:r w:rsidR="00712C48" w:rsidRPr="00DB68DC">
              <w:rPr>
                <w:rFonts w:ascii="Verdana" w:hAnsi="Verdana" w:cs="Arial"/>
                <w:i/>
                <w:sz w:val="18"/>
                <w:szCs w:val="18"/>
              </w:rPr>
              <w:t>Jul 2025</w:t>
            </w:r>
            <w:r w:rsidRPr="00DB68DC">
              <w:rPr>
                <w:rFonts w:ascii="Verdana" w:hAnsi="Verdana" w:cs="Arial"/>
                <w:i/>
                <w:sz w:val="18"/>
                <w:szCs w:val="18"/>
              </w:rPr>
              <w:t>, within SBUHB (Workforce Digital). Data source – ER Tracker. Accuracy levels subject to local maintenance and validation standards.</w:t>
            </w:r>
          </w:p>
        </w:tc>
      </w:tr>
      <w:tr w:rsidR="00837CDB" w:rsidRPr="00DB68DC" w14:paraId="29A9F605" w14:textId="77777777" w:rsidTr="00DB68DC">
        <w:tc>
          <w:tcPr>
            <w:tcW w:w="13740" w:type="dxa"/>
            <w:gridSpan w:val="2"/>
            <w:shd w:val="clear" w:color="auto" w:fill="EAF1DD" w:themeFill="accent3" w:themeFillTint="33"/>
          </w:tcPr>
          <w:p w14:paraId="31B93819" w14:textId="77777777" w:rsidR="00837CDB" w:rsidRPr="00DB68DC" w:rsidRDefault="00837CDB" w:rsidP="00837CDB">
            <w:pPr>
              <w:spacing w:after="0" w:line="240" w:lineRule="auto"/>
              <w:rPr>
                <w:rFonts w:ascii="Verdana" w:hAnsi="Verdana" w:cs="Arial"/>
                <w:b/>
              </w:rPr>
            </w:pPr>
            <w:r w:rsidRPr="00DB68DC">
              <w:rPr>
                <w:rFonts w:ascii="Verdana" w:hAnsi="Verdana" w:cs="Arial"/>
                <w:b/>
              </w:rPr>
              <w:t>Current Performance</w:t>
            </w:r>
          </w:p>
        </w:tc>
      </w:tr>
      <w:tr w:rsidR="00837CDB" w:rsidRPr="00DB68DC" w14:paraId="4096AA13" w14:textId="77777777" w:rsidTr="00DB68DC">
        <w:tc>
          <w:tcPr>
            <w:tcW w:w="13740" w:type="dxa"/>
            <w:gridSpan w:val="2"/>
            <w:shd w:val="clear" w:color="auto" w:fill="auto"/>
          </w:tcPr>
          <w:p w14:paraId="038A7ABD" w14:textId="3674AA5A" w:rsidR="00FD623D" w:rsidRPr="00DB68DC" w:rsidRDefault="00FD623D" w:rsidP="00A50BC1">
            <w:pPr>
              <w:spacing w:after="0" w:line="240" w:lineRule="auto"/>
              <w:contextualSpacing/>
              <w:rPr>
                <w:rFonts w:ascii="Verdana" w:hAnsi="Verdana" w:cs="Arial"/>
              </w:rPr>
            </w:pPr>
            <w:r w:rsidRPr="00DB68DC">
              <w:rPr>
                <w:rFonts w:ascii="Verdana" w:hAnsi="Verdana" w:cs="Arial"/>
              </w:rPr>
              <w:t>Number of open Formal Disciplinaries since the last reporting period have increased from 56 to 68 open cases</w:t>
            </w:r>
          </w:p>
          <w:p w14:paraId="729367F1" w14:textId="19B27446" w:rsidR="00FD623D" w:rsidRPr="00DB68DC" w:rsidRDefault="00FD623D" w:rsidP="00A50BC1">
            <w:pPr>
              <w:spacing w:after="0" w:line="240" w:lineRule="auto"/>
              <w:contextualSpacing/>
              <w:rPr>
                <w:rFonts w:ascii="Verdana" w:hAnsi="Verdana" w:cs="Arial"/>
              </w:rPr>
            </w:pPr>
            <w:r w:rsidRPr="00DB68DC">
              <w:rPr>
                <w:rFonts w:ascii="Verdana" w:hAnsi="Verdana" w:cs="Arial"/>
              </w:rPr>
              <w:t xml:space="preserve">Number of Formal requests for </w:t>
            </w:r>
            <w:r w:rsidR="00A50BC1">
              <w:rPr>
                <w:rFonts w:ascii="Verdana" w:hAnsi="Verdana" w:cs="Arial"/>
              </w:rPr>
              <w:t>r</w:t>
            </w:r>
            <w:r w:rsidRPr="00DB68DC">
              <w:rPr>
                <w:rFonts w:ascii="Verdana" w:hAnsi="Verdana" w:cs="Arial"/>
              </w:rPr>
              <w:t xml:space="preserve">esolution which remain open within this period have increased from 52 to 55. </w:t>
            </w:r>
          </w:p>
          <w:p w14:paraId="1C078D1A" w14:textId="41102998" w:rsidR="00FD623D" w:rsidRPr="00DB68DC" w:rsidRDefault="00FD623D" w:rsidP="00A50BC1">
            <w:pPr>
              <w:spacing w:after="0" w:line="240" w:lineRule="auto"/>
              <w:contextualSpacing/>
              <w:rPr>
                <w:rFonts w:ascii="Verdana" w:hAnsi="Verdana" w:cs="Arial"/>
              </w:rPr>
            </w:pPr>
            <w:r w:rsidRPr="00DB68DC">
              <w:rPr>
                <w:rFonts w:ascii="Verdana" w:hAnsi="Verdana" w:cs="Arial"/>
              </w:rPr>
              <w:t>Suspensions, since the last reporting period, have increased from 6 to 9</w:t>
            </w:r>
          </w:p>
          <w:p w14:paraId="12757F05" w14:textId="45350630" w:rsidR="00837CDB" w:rsidRPr="00DB68DC" w:rsidRDefault="00A50BC1" w:rsidP="00A50BC1">
            <w:pPr>
              <w:spacing w:after="0" w:line="240" w:lineRule="auto"/>
              <w:contextualSpacing/>
              <w:rPr>
                <w:rFonts w:ascii="Verdana" w:hAnsi="Verdana" w:cs="Arial"/>
              </w:rPr>
            </w:pPr>
            <w:r>
              <w:rPr>
                <w:rFonts w:ascii="Verdana" w:hAnsi="Verdana" w:cs="Arial"/>
              </w:rPr>
              <w:t xml:space="preserve">Employment tribunals </w:t>
            </w:r>
            <w:r w:rsidR="00FD623D" w:rsidRPr="00DB68DC">
              <w:rPr>
                <w:rFonts w:ascii="Verdana" w:hAnsi="Verdana" w:cs="Arial"/>
              </w:rPr>
              <w:t>have increased from 3 to 4</w:t>
            </w:r>
          </w:p>
        </w:tc>
      </w:tr>
      <w:tr w:rsidR="00837CDB" w:rsidRPr="00DB68DC" w14:paraId="0A981FE6" w14:textId="77777777" w:rsidTr="00DB68DC">
        <w:tc>
          <w:tcPr>
            <w:tcW w:w="13740" w:type="dxa"/>
            <w:gridSpan w:val="2"/>
            <w:shd w:val="clear" w:color="auto" w:fill="EAF1DD" w:themeFill="accent3" w:themeFillTint="33"/>
          </w:tcPr>
          <w:p w14:paraId="6F076AC6" w14:textId="77777777" w:rsidR="00837CDB" w:rsidRPr="00DB68DC" w:rsidRDefault="00837CDB" w:rsidP="00837CDB">
            <w:pPr>
              <w:spacing w:after="0" w:line="240" w:lineRule="auto"/>
              <w:rPr>
                <w:rFonts w:ascii="Verdana" w:hAnsi="Verdana" w:cs="Arial"/>
                <w:b/>
              </w:rPr>
            </w:pPr>
            <w:r w:rsidRPr="00DB68DC">
              <w:rPr>
                <w:rFonts w:ascii="Verdana" w:hAnsi="Verdana" w:cs="Arial"/>
                <w:b/>
              </w:rPr>
              <w:t>Actions for Next Period</w:t>
            </w:r>
          </w:p>
        </w:tc>
      </w:tr>
      <w:tr w:rsidR="00837CDB" w:rsidRPr="00DB68DC" w14:paraId="35F6D1A1" w14:textId="77777777" w:rsidTr="00DB68DC">
        <w:tc>
          <w:tcPr>
            <w:tcW w:w="13740" w:type="dxa"/>
            <w:gridSpan w:val="2"/>
            <w:shd w:val="clear" w:color="auto" w:fill="auto"/>
          </w:tcPr>
          <w:p w14:paraId="20021537" w14:textId="0A40D5D7" w:rsidR="00837CDB" w:rsidRPr="00DB68DC" w:rsidRDefault="00837CDB" w:rsidP="00860808">
            <w:pPr>
              <w:spacing w:after="0" w:line="240" w:lineRule="auto"/>
              <w:contextualSpacing/>
              <w:rPr>
                <w:rFonts w:ascii="Verdana" w:hAnsi="Verdana" w:cs="Arial"/>
              </w:rPr>
            </w:pPr>
            <w:proofErr w:type="gramStart"/>
            <w:r w:rsidRPr="00DB68DC">
              <w:rPr>
                <w:rFonts w:ascii="Verdana" w:hAnsi="Verdana" w:cs="Arial"/>
              </w:rPr>
              <w:t>A number of</w:t>
            </w:r>
            <w:proofErr w:type="gramEnd"/>
            <w:r w:rsidRPr="00DB68DC">
              <w:rPr>
                <w:rFonts w:ascii="Verdana" w:hAnsi="Verdana" w:cs="Arial"/>
              </w:rPr>
              <w:t xml:space="preserve"> actions are on-going in line with the Best Practice Review</w:t>
            </w:r>
            <w:r w:rsidR="00860808">
              <w:rPr>
                <w:rFonts w:ascii="Verdana" w:hAnsi="Verdana" w:cs="Arial"/>
              </w:rPr>
              <w:t xml:space="preserve">. This project </w:t>
            </w:r>
            <w:r w:rsidRPr="00DB68DC">
              <w:rPr>
                <w:rFonts w:ascii="Verdana" w:hAnsi="Verdana" w:cs="Arial"/>
              </w:rPr>
              <w:t xml:space="preserve">has been refreshed with the introduction of multidisciplinary subgroups focusing on priority areas of work, reporting into the Core Working Group. </w:t>
            </w:r>
          </w:p>
          <w:p w14:paraId="0AF49755" w14:textId="77777777" w:rsidR="00837CDB" w:rsidRPr="00DB68DC" w:rsidRDefault="00837CDB" w:rsidP="00860808">
            <w:pPr>
              <w:spacing w:after="0" w:line="240" w:lineRule="auto"/>
              <w:contextualSpacing/>
              <w:rPr>
                <w:rFonts w:ascii="Verdana" w:hAnsi="Verdana" w:cs="Arial"/>
              </w:rPr>
            </w:pPr>
            <w:r w:rsidRPr="00DB68DC">
              <w:rPr>
                <w:rFonts w:ascii="Verdana" w:hAnsi="Verdana" w:cs="Arial"/>
              </w:rPr>
              <w:t xml:space="preserve">3 workshops have taken place in partnership with our Trade Unions facilitated by HEIW and SBUHB covering the following: Employee Investigations – Avoiding Employee Harm. </w:t>
            </w:r>
          </w:p>
          <w:p w14:paraId="645E3BC5" w14:textId="77777777" w:rsidR="00837CDB" w:rsidRPr="00DB68DC" w:rsidRDefault="00837CDB" w:rsidP="00860808">
            <w:pPr>
              <w:spacing w:after="0" w:line="240" w:lineRule="auto"/>
              <w:contextualSpacing/>
              <w:rPr>
                <w:rFonts w:ascii="Verdana" w:hAnsi="Verdana" w:cs="Arial"/>
              </w:rPr>
            </w:pPr>
            <w:r w:rsidRPr="00DB68DC">
              <w:rPr>
                <w:rFonts w:ascii="Verdana" w:hAnsi="Verdana" w:cs="Arial"/>
              </w:rPr>
              <w:t>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leaders, this is being embedded and continually reviewed</w:t>
            </w:r>
          </w:p>
          <w:p w14:paraId="445C39C3" w14:textId="77777777" w:rsidR="00837CDB" w:rsidRPr="00860808" w:rsidRDefault="00837CDB" w:rsidP="00860808">
            <w:pPr>
              <w:spacing w:after="0" w:line="240" w:lineRule="auto"/>
              <w:rPr>
                <w:rFonts w:ascii="Verdana" w:hAnsi="Verdana" w:cs="Arial"/>
              </w:rPr>
            </w:pPr>
            <w:r w:rsidRPr="00860808">
              <w:rPr>
                <w:rFonts w:ascii="Verdana" w:hAnsi="Verdana" w:cs="Arial"/>
              </w:rPr>
              <w:t>Suspension Guidance for leaders and employees has been shared for comment with the aim of supporting both groups and clarifying the process</w:t>
            </w:r>
          </w:p>
          <w:p w14:paraId="1E4E1E8D" w14:textId="3CAC9851" w:rsidR="00FD623D" w:rsidRPr="00DB68DC" w:rsidRDefault="00FD623D" w:rsidP="00FD623D">
            <w:pPr>
              <w:spacing w:after="0" w:line="240" w:lineRule="auto"/>
              <w:rPr>
                <w:rFonts w:ascii="Verdana" w:hAnsi="Verdana" w:cs="Arial"/>
              </w:rPr>
            </w:pPr>
          </w:p>
        </w:tc>
      </w:tr>
      <w:bookmarkEnd w:id="1"/>
    </w:tbl>
    <w:p w14:paraId="58D4CF20" w14:textId="77777777" w:rsidR="006314C7" w:rsidRPr="00DB68DC" w:rsidRDefault="006314C7" w:rsidP="0004342F">
      <w:pPr>
        <w:spacing w:after="0" w:line="240" w:lineRule="auto"/>
        <w:rPr>
          <w:rFonts w:ascii="Verdana" w:hAnsi="Verdana" w:cs="Arial"/>
          <w:b/>
          <w:caps/>
          <w:sz w:val="28"/>
          <w:szCs w:val="24"/>
        </w:rPr>
      </w:pPr>
    </w:p>
    <w:sectPr w:rsidR="006314C7" w:rsidRPr="00DB68DC" w:rsidSect="00CF7017">
      <w:footerReference w:type="default" r:id="rId19"/>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DE412" w14:textId="77777777" w:rsidR="004C7F64" w:rsidRDefault="004C7F64" w:rsidP="00F000BB">
      <w:pPr>
        <w:spacing w:after="0" w:line="240" w:lineRule="auto"/>
      </w:pPr>
      <w:r>
        <w:separator/>
      </w:r>
    </w:p>
  </w:endnote>
  <w:endnote w:type="continuationSeparator" w:id="0">
    <w:p w14:paraId="7ECF76EA" w14:textId="77777777" w:rsidR="004C7F64" w:rsidRDefault="004C7F64" w:rsidP="00F000BB">
      <w:pPr>
        <w:spacing w:after="0" w:line="240" w:lineRule="auto"/>
      </w:pPr>
      <w:r>
        <w:continuationSeparator/>
      </w:r>
    </w:p>
  </w:endnote>
  <w:endnote w:type="continuationNotice" w:id="1">
    <w:p w14:paraId="621B877C" w14:textId="77777777" w:rsidR="004C7F64" w:rsidRDefault="004C7F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C6B23" w14:textId="53738A1B"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B416AC">
      <w:rPr>
        <w:rFonts w:ascii="Arial" w:hAnsi="Arial" w:cs="Arial"/>
        <w:noProof/>
      </w:rPr>
      <w:t>12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7EB35" w14:textId="77777777" w:rsidR="004C7F64" w:rsidRDefault="004C7F64" w:rsidP="00F000BB">
      <w:pPr>
        <w:spacing w:after="0" w:line="240" w:lineRule="auto"/>
      </w:pPr>
      <w:r>
        <w:separator/>
      </w:r>
    </w:p>
  </w:footnote>
  <w:footnote w:type="continuationSeparator" w:id="0">
    <w:p w14:paraId="59185770" w14:textId="77777777" w:rsidR="004C7F64" w:rsidRDefault="004C7F64" w:rsidP="00F000BB">
      <w:pPr>
        <w:spacing w:after="0" w:line="240" w:lineRule="auto"/>
      </w:pPr>
      <w:r>
        <w:continuationSeparator/>
      </w:r>
    </w:p>
  </w:footnote>
  <w:footnote w:type="continuationNotice" w:id="1">
    <w:p w14:paraId="33A68EEB" w14:textId="77777777" w:rsidR="004C7F64" w:rsidRDefault="004C7F6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D16BE"/>
    <w:multiLevelType w:val="hybridMultilevel"/>
    <w:tmpl w:val="7C7AD0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2"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4" w15:restartNumberingAfterBreak="0">
    <w:nsid w:val="089F7A8B"/>
    <w:multiLevelType w:val="hybridMultilevel"/>
    <w:tmpl w:val="D22EE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C81F1F"/>
    <w:multiLevelType w:val="hybridMultilevel"/>
    <w:tmpl w:val="3572C940"/>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1FF0989"/>
    <w:multiLevelType w:val="hybridMultilevel"/>
    <w:tmpl w:val="C704958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B0C5284"/>
    <w:multiLevelType w:val="hybridMultilevel"/>
    <w:tmpl w:val="833878BC"/>
    <w:lvl w:ilvl="0" w:tplc="08090001">
      <w:start w:val="1"/>
      <w:numFmt w:val="bullet"/>
      <w:lvlText w:val=""/>
      <w:lvlJc w:val="left"/>
      <w:pPr>
        <w:ind w:left="720" w:hanging="360"/>
      </w:pPr>
      <w:rPr>
        <w:rFonts w:ascii="Symbol" w:hAnsi="Symbol" w:hint="default"/>
      </w:rPr>
    </w:lvl>
    <w:lvl w:ilvl="1" w:tplc="8E22511E">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545D40"/>
    <w:multiLevelType w:val="hybridMultilevel"/>
    <w:tmpl w:val="4D08AC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ED39A7"/>
    <w:multiLevelType w:val="hybridMultilevel"/>
    <w:tmpl w:val="76D09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6D16856"/>
    <w:multiLevelType w:val="hybridMultilevel"/>
    <w:tmpl w:val="36EEB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37153E"/>
    <w:multiLevelType w:val="hybridMultilevel"/>
    <w:tmpl w:val="20F6F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020D9B"/>
    <w:multiLevelType w:val="hybridMultilevel"/>
    <w:tmpl w:val="C410355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2BA4A69"/>
    <w:multiLevelType w:val="hybridMultilevel"/>
    <w:tmpl w:val="A61A9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20"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1"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2"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3"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535E0B34"/>
    <w:multiLevelType w:val="hybridMultilevel"/>
    <w:tmpl w:val="F9C0C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7" w15:restartNumberingAfterBreak="0">
    <w:nsid w:val="566F1655"/>
    <w:multiLevelType w:val="hybridMultilevel"/>
    <w:tmpl w:val="5290C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1" w15:restartNumberingAfterBreak="0">
    <w:nsid w:val="63655AD8"/>
    <w:multiLevelType w:val="hybridMultilevel"/>
    <w:tmpl w:val="AA1ED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4" w15:restartNumberingAfterBreak="0">
    <w:nsid w:val="69152ABC"/>
    <w:multiLevelType w:val="hybridMultilevel"/>
    <w:tmpl w:val="8514BFAC"/>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35"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A47D08"/>
    <w:multiLevelType w:val="hybridMultilevel"/>
    <w:tmpl w:val="F32691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8" w15:restartNumberingAfterBreak="0">
    <w:nsid w:val="72A03E3B"/>
    <w:multiLevelType w:val="hybridMultilevel"/>
    <w:tmpl w:val="833E69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15537081">
    <w:abstractNumId w:val="19"/>
  </w:num>
  <w:num w:numId="2" w16cid:durableId="1503160174">
    <w:abstractNumId w:val="38"/>
  </w:num>
  <w:num w:numId="3" w16cid:durableId="687028869">
    <w:abstractNumId w:val="11"/>
  </w:num>
  <w:num w:numId="4" w16cid:durableId="1073430264">
    <w:abstractNumId w:val="3"/>
  </w:num>
  <w:num w:numId="5" w16cid:durableId="1722365031">
    <w:abstractNumId w:val="33"/>
  </w:num>
  <w:num w:numId="6" w16cid:durableId="586039988">
    <w:abstractNumId w:val="26"/>
  </w:num>
  <w:num w:numId="7" w16cid:durableId="1735464763">
    <w:abstractNumId w:val="22"/>
  </w:num>
  <w:num w:numId="8" w16cid:durableId="1123839704">
    <w:abstractNumId w:val="1"/>
  </w:num>
  <w:num w:numId="9" w16cid:durableId="1377004957">
    <w:abstractNumId w:val="2"/>
  </w:num>
  <w:num w:numId="10" w16cid:durableId="970207441">
    <w:abstractNumId w:val="30"/>
  </w:num>
  <w:num w:numId="11" w16cid:durableId="2064674671">
    <w:abstractNumId w:val="20"/>
  </w:num>
  <w:num w:numId="12" w16cid:durableId="687291362">
    <w:abstractNumId w:val="37"/>
  </w:num>
  <w:num w:numId="13" w16cid:durableId="393821592">
    <w:abstractNumId w:val="28"/>
  </w:num>
  <w:num w:numId="14" w16cid:durableId="36054731">
    <w:abstractNumId w:val="21"/>
  </w:num>
  <w:num w:numId="15" w16cid:durableId="766584563">
    <w:abstractNumId w:val="24"/>
  </w:num>
  <w:num w:numId="16" w16cid:durableId="1371491083">
    <w:abstractNumId w:val="13"/>
  </w:num>
  <w:num w:numId="17" w16cid:durableId="1687827004">
    <w:abstractNumId w:val="16"/>
  </w:num>
  <w:num w:numId="18" w16cid:durableId="891038133">
    <w:abstractNumId w:val="40"/>
  </w:num>
  <w:num w:numId="19" w16cid:durableId="323509323">
    <w:abstractNumId w:val="32"/>
  </w:num>
  <w:num w:numId="20" w16cid:durableId="127481870">
    <w:abstractNumId w:val="29"/>
  </w:num>
  <w:num w:numId="21" w16cid:durableId="1202742596">
    <w:abstractNumId w:val="23"/>
  </w:num>
  <w:num w:numId="22" w16cid:durableId="644940950">
    <w:abstractNumId w:val="39"/>
  </w:num>
  <w:num w:numId="23" w16cid:durableId="941837199">
    <w:abstractNumId w:val="15"/>
  </w:num>
  <w:num w:numId="24" w16cid:durableId="899629118">
    <w:abstractNumId w:val="35"/>
  </w:num>
  <w:num w:numId="25" w16cid:durableId="123549791">
    <w:abstractNumId w:val="14"/>
  </w:num>
  <w:num w:numId="26" w16cid:durableId="1011643054">
    <w:abstractNumId w:val="38"/>
  </w:num>
  <w:num w:numId="27" w16cid:durableId="1403872859">
    <w:abstractNumId w:val="38"/>
  </w:num>
  <w:num w:numId="28" w16cid:durableId="1584339095">
    <w:abstractNumId w:val="7"/>
  </w:num>
  <w:num w:numId="29" w16cid:durableId="763496728">
    <w:abstractNumId w:val="10"/>
  </w:num>
  <w:num w:numId="30" w16cid:durableId="991567514">
    <w:abstractNumId w:val="36"/>
  </w:num>
  <w:num w:numId="31" w16cid:durableId="958073203">
    <w:abstractNumId w:val="25"/>
  </w:num>
  <w:num w:numId="32" w16cid:durableId="695617946">
    <w:abstractNumId w:val="34"/>
  </w:num>
  <w:num w:numId="33" w16cid:durableId="723217438">
    <w:abstractNumId w:val="9"/>
  </w:num>
  <w:num w:numId="34" w16cid:durableId="1633484870">
    <w:abstractNumId w:val="31"/>
  </w:num>
  <w:num w:numId="35" w16cid:durableId="260996515">
    <w:abstractNumId w:val="27"/>
  </w:num>
  <w:num w:numId="36" w16cid:durableId="147209660">
    <w:abstractNumId w:val="12"/>
  </w:num>
  <w:num w:numId="37" w16cid:durableId="1373843043">
    <w:abstractNumId w:val="5"/>
  </w:num>
  <w:num w:numId="38" w16cid:durableId="2068531448">
    <w:abstractNumId w:val="6"/>
  </w:num>
  <w:num w:numId="39" w16cid:durableId="1370179883">
    <w:abstractNumId w:val="17"/>
  </w:num>
  <w:num w:numId="40" w16cid:durableId="1172179014">
    <w:abstractNumId w:val="0"/>
  </w:num>
  <w:num w:numId="41" w16cid:durableId="1109348794">
    <w:abstractNumId w:val="8"/>
  </w:num>
  <w:num w:numId="42" w16cid:durableId="2137940304">
    <w:abstractNumId w:val="4"/>
  </w:num>
  <w:num w:numId="43" w16cid:durableId="677315561">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78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F5B"/>
    <w:rsid w:val="00042AAF"/>
    <w:rsid w:val="0004342F"/>
    <w:rsid w:val="00043C6B"/>
    <w:rsid w:val="00043CE6"/>
    <w:rsid w:val="00043E7E"/>
    <w:rsid w:val="000447FB"/>
    <w:rsid w:val="0004482B"/>
    <w:rsid w:val="000461CD"/>
    <w:rsid w:val="0004754E"/>
    <w:rsid w:val="000475BD"/>
    <w:rsid w:val="00047DE0"/>
    <w:rsid w:val="00047F42"/>
    <w:rsid w:val="00050048"/>
    <w:rsid w:val="0005089F"/>
    <w:rsid w:val="0005129B"/>
    <w:rsid w:val="00051B8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93A"/>
    <w:rsid w:val="00072CE9"/>
    <w:rsid w:val="00073A50"/>
    <w:rsid w:val="00073DAA"/>
    <w:rsid w:val="00074060"/>
    <w:rsid w:val="000745AB"/>
    <w:rsid w:val="00074678"/>
    <w:rsid w:val="00075166"/>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868"/>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5AD"/>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91"/>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6BE"/>
    <w:rsid w:val="00190E16"/>
    <w:rsid w:val="00190FAB"/>
    <w:rsid w:val="00191AD0"/>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137A"/>
    <w:rsid w:val="00212BFC"/>
    <w:rsid w:val="00212C97"/>
    <w:rsid w:val="00212EF5"/>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4A7"/>
    <w:rsid w:val="0023380D"/>
    <w:rsid w:val="00233A02"/>
    <w:rsid w:val="00233D8C"/>
    <w:rsid w:val="00233FBE"/>
    <w:rsid w:val="00234126"/>
    <w:rsid w:val="0023439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06A"/>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7E1"/>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4CC4"/>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2DB5"/>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0B5"/>
    <w:rsid w:val="003243FA"/>
    <w:rsid w:val="00324BF4"/>
    <w:rsid w:val="003256DC"/>
    <w:rsid w:val="00325BCB"/>
    <w:rsid w:val="00326547"/>
    <w:rsid w:val="00326954"/>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977C9"/>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7DB"/>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AC4"/>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38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80"/>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9A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BBE"/>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291"/>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C7F64"/>
    <w:rsid w:val="004D0964"/>
    <w:rsid w:val="004D0F7A"/>
    <w:rsid w:val="004D0FCB"/>
    <w:rsid w:val="004D13A8"/>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7EA"/>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484A"/>
    <w:rsid w:val="005055BA"/>
    <w:rsid w:val="00505ED9"/>
    <w:rsid w:val="00505FE7"/>
    <w:rsid w:val="0050603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3BAF"/>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368"/>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AAE"/>
    <w:rsid w:val="005F7E19"/>
    <w:rsid w:val="005F7EB3"/>
    <w:rsid w:val="006007E7"/>
    <w:rsid w:val="00600AB1"/>
    <w:rsid w:val="006010B2"/>
    <w:rsid w:val="006015B7"/>
    <w:rsid w:val="00601DC1"/>
    <w:rsid w:val="00602D2E"/>
    <w:rsid w:val="0060368C"/>
    <w:rsid w:val="006040FE"/>
    <w:rsid w:val="0060466E"/>
    <w:rsid w:val="00604E6F"/>
    <w:rsid w:val="006050DD"/>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2A4E"/>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275"/>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62B"/>
    <w:rsid w:val="00710926"/>
    <w:rsid w:val="00710F1A"/>
    <w:rsid w:val="00711386"/>
    <w:rsid w:val="0071185A"/>
    <w:rsid w:val="00711F3D"/>
    <w:rsid w:val="007126C9"/>
    <w:rsid w:val="00712887"/>
    <w:rsid w:val="007129B8"/>
    <w:rsid w:val="00712C4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34"/>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779"/>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6114"/>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BA6"/>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AA6"/>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314"/>
    <w:rsid w:val="00834653"/>
    <w:rsid w:val="00834C0D"/>
    <w:rsid w:val="00834EED"/>
    <w:rsid w:val="008353B7"/>
    <w:rsid w:val="00835692"/>
    <w:rsid w:val="00836CD5"/>
    <w:rsid w:val="00836DD5"/>
    <w:rsid w:val="008374C5"/>
    <w:rsid w:val="008375FB"/>
    <w:rsid w:val="00837CD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990"/>
    <w:rsid w:val="00851BBB"/>
    <w:rsid w:val="008523A0"/>
    <w:rsid w:val="00852623"/>
    <w:rsid w:val="00852A3F"/>
    <w:rsid w:val="008532D3"/>
    <w:rsid w:val="00854A57"/>
    <w:rsid w:val="00855530"/>
    <w:rsid w:val="00855F25"/>
    <w:rsid w:val="008567D8"/>
    <w:rsid w:val="00856EAB"/>
    <w:rsid w:val="00857263"/>
    <w:rsid w:val="00857DC5"/>
    <w:rsid w:val="008601A3"/>
    <w:rsid w:val="008602B2"/>
    <w:rsid w:val="00860808"/>
    <w:rsid w:val="00860E4A"/>
    <w:rsid w:val="00860F44"/>
    <w:rsid w:val="00861097"/>
    <w:rsid w:val="00861340"/>
    <w:rsid w:val="0086273E"/>
    <w:rsid w:val="0086278C"/>
    <w:rsid w:val="00863A4E"/>
    <w:rsid w:val="00864BA6"/>
    <w:rsid w:val="00864BCD"/>
    <w:rsid w:val="00865DF9"/>
    <w:rsid w:val="008674C1"/>
    <w:rsid w:val="00867714"/>
    <w:rsid w:val="008703F1"/>
    <w:rsid w:val="008705C7"/>
    <w:rsid w:val="00870ABF"/>
    <w:rsid w:val="008725E9"/>
    <w:rsid w:val="00872D5A"/>
    <w:rsid w:val="00874895"/>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2CE"/>
    <w:rsid w:val="00892939"/>
    <w:rsid w:val="00893258"/>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7A5"/>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CAD"/>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41C"/>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416"/>
    <w:rsid w:val="00A3180A"/>
    <w:rsid w:val="00A31A84"/>
    <w:rsid w:val="00A31ED1"/>
    <w:rsid w:val="00A324FE"/>
    <w:rsid w:val="00A32DE4"/>
    <w:rsid w:val="00A335A8"/>
    <w:rsid w:val="00A33B5C"/>
    <w:rsid w:val="00A34233"/>
    <w:rsid w:val="00A34858"/>
    <w:rsid w:val="00A350B5"/>
    <w:rsid w:val="00A37D0E"/>
    <w:rsid w:val="00A37F7A"/>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0BC1"/>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56A"/>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1CD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6AF1"/>
    <w:rsid w:val="00B07442"/>
    <w:rsid w:val="00B07961"/>
    <w:rsid w:val="00B07A2B"/>
    <w:rsid w:val="00B0D702"/>
    <w:rsid w:val="00B103EA"/>
    <w:rsid w:val="00B112CA"/>
    <w:rsid w:val="00B115F7"/>
    <w:rsid w:val="00B116EE"/>
    <w:rsid w:val="00B116FC"/>
    <w:rsid w:val="00B1176D"/>
    <w:rsid w:val="00B11F04"/>
    <w:rsid w:val="00B13235"/>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5B28"/>
    <w:rsid w:val="00B36AD4"/>
    <w:rsid w:val="00B3719D"/>
    <w:rsid w:val="00B378F9"/>
    <w:rsid w:val="00B37A7B"/>
    <w:rsid w:val="00B37B04"/>
    <w:rsid w:val="00B40881"/>
    <w:rsid w:val="00B416AC"/>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37C"/>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4D94"/>
    <w:rsid w:val="00B96ACE"/>
    <w:rsid w:val="00B96D5E"/>
    <w:rsid w:val="00B97075"/>
    <w:rsid w:val="00B9789E"/>
    <w:rsid w:val="00B97A46"/>
    <w:rsid w:val="00BA01DA"/>
    <w:rsid w:val="00BA02E0"/>
    <w:rsid w:val="00BA0508"/>
    <w:rsid w:val="00BA05C8"/>
    <w:rsid w:val="00BA0C60"/>
    <w:rsid w:val="00BA1197"/>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631"/>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853"/>
    <w:rsid w:val="00C27BDA"/>
    <w:rsid w:val="00C27D37"/>
    <w:rsid w:val="00C317CB"/>
    <w:rsid w:val="00C31B45"/>
    <w:rsid w:val="00C321E9"/>
    <w:rsid w:val="00C33DBB"/>
    <w:rsid w:val="00C34CC7"/>
    <w:rsid w:val="00C3550F"/>
    <w:rsid w:val="00C35DC0"/>
    <w:rsid w:val="00C3652E"/>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6571"/>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24E9"/>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0EC"/>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5F5"/>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3E6"/>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29A"/>
    <w:rsid w:val="00CE04F2"/>
    <w:rsid w:val="00CE05D2"/>
    <w:rsid w:val="00CE0D88"/>
    <w:rsid w:val="00CE10AD"/>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CC9"/>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1D23"/>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8DC"/>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9A9"/>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5C4"/>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4933"/>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8B0"/>
    <w:rsid w:val="00EB2F12"/>
    <w:rsid w:val="00EB30D1"/>
    <w:rsid w:val="00EB32EC"/>
    <w:rsid w:val="00EB351B"/>
    <w:rsid w:val="00EB384A"/>
    <w:rsid w:val="00EB3F45"/>
    <w:rsid w:val="00EB4066"/>
    <w:rsid w:val="00EB407A"/>
    <w:rsid w:val="00EB46F3"/>
    <w:rsid w:val="00EB4709"/>
    <w:rsid w:val="00EB49C3"/>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9AD"/>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915"/>
    <w:rsid w:val="00F14A27"/>
    <w:rsid w:val="00F14D6A"/>
    <w:rsid w:val="00F151BA"/>
    <w:rsid w:val="00F1548C"/>
    <w:rsid w:val="00F15655"/>
    <w:rsid w:val="00F15E3D"/>
    <w:rsid w:val="00F1702B"/>
    <w:rsid w:val="00F170BD"/>
    <w:rsid w:val="00F174B0"/>
    <w:rsid w:val="00F17581"/>
    <w:rsid w:val="00F21ECC"/>
    <w:rsid w:val="00F222AD"/>
    <w:rsid w:val="00F222DB"/>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BCB"/>
    <w:rsid w:val="00F40D74"/>
    <w:rsid w:val="00F42417"/>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08A7"/>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2D32"/>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23D"/>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207"/>
    <w:rsid w:val="00FE7793"/>
    <w:rsid w:val="00FE7A51"/>
    <w:rsid w:val="00FE7B34"/>
    <w:rsid w:val="00FE7F21"/>
    <w:rsid w:val="00FF044E"/>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7889"/>
    <o:shapelayout v:ext="edit">
      <o:idmap v:ext="edit" data="1"/>
    </o:shapelayout>
  </w:shapeDefaults>
  <w:decimalSymbol w:val="."/>
  <w:listSeparator w:val=","/>
  <w14:docId w14:val="7AF3A6F0"/>
  <w15:chartTrackingRefBased/>
  <w15:docId w15:val="{212E1F20-F77A-4FED-9B29-54FEC483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 w:type="table" w:styleId="TableGridLight">
    <w:name w:val="Grid Table Light"/>
    <w:basedOn w:val="TableNormal"/>
    <w:uiPriority w:val="40"/>
    <w:rsid w:val="00C3652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elementtoproof">
    <w:name w:val="elementtoproof"/>
    <w:basedOn w:val="Normal"/>
    <w:uiPriority w:val="99"/>
    <w:semiHidden/>
    <w:rsid w:val="0021137A"/>
    <w:pPr>
      <w:spacing w:after="0" w:line="240" w:lineRule="auto"/>
    </w:pPr>
    <w:rPr>
      <w:rFonts w:ascii="Aptos" w:eastAsiaTheme="minorHAnsi" w:hAnsi="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96487052">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48933110">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31404388">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73205939">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48072889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92347890">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chart" Target="charts/chart3.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SDYUWYA0\Charts%20for%20Metrics%20Report%20(July25).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em184278\AppData\Local\Microsoft\Windows\INetCache\Content.Outlook\SDYUWYA0\Charts%20for%20Metrics%20Report%20(July2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m184278\AppData\Local\Microsoft\Windows\INetCache\Content.Outlook\SDYUWYA0\NHS%20Wales%20Performance%20%20Volumes%20Report%20-%20JUNE%202025.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em184278\AppData\Local\Microsoft\Windows\INetCache\Content.Outlook\SDYUWYA0\Charts%20for%20Metrics%20Report%20(July2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701718063584154E-2"/>
          <c:y val="4.107647277074658E-2"/>
          <c:w val="0.69444528851252174"/>
          <c:h val="0.76718176196561816"/>
        </c:manualLayout>
      </c:layout>
      <c:lineChart>
        <c:grouping val="standard"/>
        <c:varyColors val="0"/>
        <c:ser>
          <c:idx val="0"/>
          <c:order val="0"/>
          <c:tx>
            <c:v>% sickness rate (12 month rolling)</c:v>
          </c:tx>
          <c:spPr>
            <a:ln w="22225" cap="rnd">
              <a:solidFill>
                <a:srgbClr val="ED7D31"/>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7.6499999999999999E-2</c:v>
              </c:pt>
              <c:pt idx="1">
                <c:v>7.46E-2</c:v>
              </c:pt>
              <c:pt idx="2">
                <c:v>7.3700000000000002E-2</c:v>
              </c:pt>
              <c:pt idx="3">
                <c:v>7.2800000000000004E-2</c:v>
              </c:pt>
              <c:pt idx="4">
                <c:v>7.1099999999999997E-2</c:v>
              </c:pt>
              <c:pt idx="5">
                <c:v>7.0800000000000002E-2</c:v>
              </c:pt>
              <c:pt idx="6">
                <c:v>7.0800000000000002E-2</c:v>
              </c:pt>
              <c:pt idx="7">
                <c:v>7.0499999999999993E-2</c:v>
              </c:pt>
              <c:pt idx="8">
                <c:v>7.0900000000000005E-2</c:v>
              </c:pt>
              <c:pt idx="9">
                <c:v>6.9599999999999995E-2</c:v>
              </c:pt>
              <c:pt idx="10">
                <c:v>6.9599999999999995E-2</c:v>
              </c:pt>
              <c:pt idx="11">
                <c:v>6.9900000000000004E-2</c:v>
              </c:pt>
              <c:pt idx="12">
                <c:v>6.9599999999999995E-2</c:v>
              </c:pt>
              <c:pt idx="13">
                <c:v>7.0000000000000007E-2</c:v>
              </c:pt>
              <c:pt idx="14">
                <c:v>7.0499999999999993E-2</c:v>
              </c:pt>
              <c:pt idx="15">
                <c:v>7.0900000000000005E-2</c:v>
              </c:pt>
              <c:pt idx="16">
                <c:v>7.2700000000000001E-2</c:v>
              </c:pt>
              <c:pt idx="17">
                <c:v>7.0699999999999999E-2</c:v>
              </c:pt>
              <c:pt idx="18">
                <c:v>7.0699999999999999E-2</c:v>
              </c:pt>
              <c:pt idx="19">
                <c:v>7.0499999999999993E-2</c:v>
              </c:pt>
              <c:pt idx="20">
                <c:v>7.2400000000000006E-2</c:v>
              </c:pt>
              <c:pt idx="21">
                <c:v>7.0599999999999996E-2</c:v>
              </c:pt>
              <c:pt idx="22">
                <c:v>7.0800000000000002E-2</c:v>
              </c:pt>
              <c:pt idx="23">
                <c:v>7.0800000000000002E-2</c:v>
              </c:pt>
              <c:pt idx="24">
                <c:v>7.0699999999999999E-2</c:v>
              </c:pt>
              <c:pt idx="25">
                <c:v>7.0800000000000002E-2</c:v>
              </c:pt>
              <c:pt idx="26">
                <c:v>7.0400000000000004E-2</c:v>
              </c:pt>
              <c:pt idx="27">
                <c:v>7.0099999999999996E-2</c:v>
              </c:pt>
            </c:numLit>
          </c:val>
          <c:smooth val="0"/>
          <c:extLst>
            <c:ext xmlns:c16="http://schemas.microsoft.com/office/drawing/2014/chart" uri="{C3380CC4-5D6E-409C-BE32-E72D297353CC}">
              <c16:uniqueId val="{00000000-FD62-4073-B965-3A93CBB94199}"/>
            </c:ext>
          </c:extLst>
        </c:ser>
        <c:ser>
          <c:idx val="1"/>
          <c:order val="1"/>
          <c:tx>
            <c:v>% sickness rate (in-month)</c:v>
          </c:tx>
          <c:spPr>
            <a:ln w="22225" cap="rnd">
              <a:solidFill>
                <a:srgbClr val="FFD550"/>
              </a:solidFill>
              <a:round/>
            </a:ln>
            <a:effectLst/>
          </c:spPr>
          <c:marker>
            <c:symbol val="diamond"/>
            <c:size val="5"/>
            <c:spPr>
              <a:solidFill>
                <a:srgbClr val="FFD550"/>
              </a:solidFill>
              <a:ln w="9525">
                <a:solidFill>
                  <a:srgbClr val="FFD550"/>
                </a:solidFill>
              </a:ln>
              <a:effectLst/>
            </c:spPr>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6.7900000000000002E-2</c:v>
              </c:pt>
              <c:pt idx="1">
                <c:v>6.2399999999999997E-2</c:v>
              </c:pt>
              <c:pt idx="2">
                <c:v>5.8500000000000003E-2</c:v>
              </c:pt>
              <c:pt idx="3">
                <c:v>6.3E-2</c:v>
              </c:pt>
              <c:pt idx="4">
                <c:v>6.7599999999999993E-2</c:v>
              </c:pt>
              <c:pt idx="5">
                <c:v>6.6799999999999998E-2</c:v>
              </c:pt>
              <c:pt idx="6">
                <c:v>6.6900000000000001E-2</c:v>
              </c:pt>
              <c:pt idx="7">
                <c:v>6.9900000000000004E-2</c:v>
              </c:pt>
              <c:pt idx="8">
                <c:v>7.1099999999999997E-2</c:v>
              </c:pt>
              <c:pt idx="9">
                <c:v>7.3499999999999996E-2</c:v>
              </c:pt>
              <c:pt idx="10">
                <c:v>7.2400000000000006E-2</c:v>
              </c:pt>
              <c:pt idx="11">
                <c:v>6.9500000000000006E-2</c:v>
              </c:pt>
              <c:pt idx="12">
                <c:v>6.6699999999999995E-2</c:v>
              </c:pt>
              <c:pt idx="13">
                <c:v>6.6100000000000006E-2</c:v>
              </c:pt>
              <c:pt idx="14">
                <c:v>6.7599999999999993E-2</c:v>
              </c:pt>
              <c:pt idx="15">
                <c:v>7.1499999999999994E-2</c:v>
              </c:pt>
              <c:pt idx="16">
                <c:v>7.0999999999999994E-2</c:v>
              </c:pt>
              <c:pt idx="17">
                <c:v>6.6699999999999995E-2</c:v>
              </c:pt>
              <c:pt idx="18">
                <c:v>6.6699999999999995E-2</c:v>
              </c:pt>
              <c:pt idx="19">
                <c:v>7.0499999999999993E-2</c:v>
              </c:pt>
              <c:pt idx="20">
                <c:v>7.0599999999999996E-2</c:v>
              </c:pt>
              <c:pt idx="21">
                <c:v>7.7299999999999994E-2</c:v>
              </c:pt>
              <c:pt idx="22">
                <c:v>7.7100000000000002E-2</c:v>
              </c:pt>
              <c:pt idx="23">
                <c:v>7.0599999999999996E-2</c:v>
              </c:pt>
              <c:pt idx="24">
                <c:v>6.6500000000000004E-2</c:v>
              </c:pt>
              <c:pt idx="25">
                <c:v>6.8199999999999997E-2</c:v>
              </c:pt>
              <c:pt idx="26">
                <c:v>6.4100000000000004E-2</c:v>
              </c:pt>
              <c:pt idx="27">
                <c:v>6.8199999999999997E-2</c:v>
              </c:pt>
            </c:numLit>
          </c:val>
          <c:smooth val="0"/>
          <c:extLst>
            <c:ext xmlns:c16="http://schemas.microsoft.com/office/drawing/2014/chart" uri="{C3380CC4-5D6E-409C-BE32-E72D297353CC}">
              <c16:uniqueId val="{00000001-FD62-4073-B965-3A93CBB94199}"/>
            </c:ext>
          </c:extLst>
        </c:ser>
        <c:ser>
          <c:idx val="3"/>
          <c:order val="3"/>
          <c:tx>
            <c:v>WG Target 12 month reduction trend</c:v>
          </c:tx>
          <c:spPr>
            <a:ln w="28575" cap="rnd">
              <a:solidFill>
                <a:srgbClr val="FF0000"/>
              </a:solidFill>
              <a:round/>
            </a:ln>
            <a:effectLst/>
          </c:spPr>
          <c:marker>
            <c:symbol val="none"/>
          </c:marker>
          <c:val>
            <c:numLit>
              <c:formatCode>General</c:formatCode>
              <c:ptCount val="37"/>
              <c:pt idx="25" formatCode="0.00%">
                <c:v>0</c:v>
              </c:pt>
            </c:numLit>
          </c:val>
          <c:smooth val="0"/>
          <c:extLst>
            <c:ext xmlns:c16="http://schemas.microsoft.com/office/drawing/2014/chart" uri="{C3380CC4-5D6E-409C-BE32-E72D297353CC}">
              <c16:uniqueId val="{00000002-FD62-4073-B965-3A93CBB94199}"/>
            </c:ext>
          </c:extLst>
        </c:ser>
        <c:dLbls>
          <c:showLegendKey val="0"/>
          <c:showVal val="0"/>
          <c:showCatName val="0"/>
          <c:showSerName val="0"/>
          <c:showPercent val="0"/>
          <c:showBubbleSize val="0"/>
        </c:dLbls>
        <c:smooth val="0"/>
        <c:axId val="800349472"/>
        <c:axId val="800349864"/>
        <c:extLst>
          <c:ext xmlns:c15="http://schemas.microsoft.com/office/drawing/2012/chart" uri="{02D57815-91ED-43cb-92C2-25804820EDAC}">
            <c15:filteredLineSeries>
              <c15:ser>
                <c:idx val="2"/>
                <c:order val="2"/>
                <c:tx>
                  <c:v>Trajectory (12 month rolling)</c:v>
                </c:tx>
                <c:spPr>
                  <a:ln w="22225" cap="rnd">
                    <a:solidFill>
                      <a:srgbClr val="C00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General</c:formatCode>
                    <c:ptCount val="49"/>
                  </c:numLit>
                </c:val>
                <c:smooth val="0"/>
                <c:extLst>
                  <c:ext xmlns:c16="http://schemas.microsoft.com/office/drawing/2014/chart" uri="{C3380CC4-5D6E-409C-BE32-E72D297353CC}">
                    <c16:uniqueId val="{00000003-FD62-4073-B965-3A93CBB94199}"/>
                  </c:ext>
                </c:extLst>
              </c15:ser>
            </c15:filteredLineSeries>
          </c:ext>
        </c:extLst>
      </c:lineChart>
      <c:dateAx>
        <c:axId val="800349472"/>
        <c:scaling>
          <c:orientation val="minMax"/>
          <c:max val="45809"/>
          <c:min val="45444"/>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2.0000000000000004E-2"/>
      </c:valAx>
      <c:spPr>
        <a:noFill/>
        <a:ln>
          <a:noFill/>
        </a:ln>
        <a:effectLst/>
      </c:spPr>
    </c:plotArea>
    <c:legend>
      <c:legendPos val="r"/>
      <c:legendEntry>
        <c:idx val="2"/>
        <c:delete val="1"/>
      </c:legendEntry>
      <c:layout>
        <c:manualLayout>
          <c:xMode val="edge"/>
          <c:yMode val="edge"/>
          <c:x val="0.7867533511304613"/>
          <c:y val="0.16412680875623531"/>
          <c:w val="0.20023851656761479"/>
          <c:h val="0.5879764191779692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40393420125432"/>
          <c:y val="5.2800482208735913E-2"/>
          <c:w val="0.68725542493618552"/>
          <c:h val="0.75935244759546827"/>
        </c:manualLayout>
      </c:layout>
      <c:barChart>
        <c:barDir val="col"/>
        <c:grouping val="clustered"/>
        <c:varyColors val="0"/>
        <c:ser>
          <c:idx val="4"/>
          <c:order val="0"/>
          <c:tx>
            <c:v>HB Total</c:v>
          </c:tx>
          <c:spPr>
            <a:solidFill>
              <a:srgbClr val="ED7D31"/>
            </a:solidFill>
            <a:ln>
              <a:solidFill>
                <a:srgbClr val="ED7D31"/>
              </a:solidFill>
            </a:ln>
            <a:effectLst/>
          </c:spPr>
          <c:invertIfNegative val="0"/>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0.83800308555690195</c:v>
              </c:pt>
              <c:pt idx="1">
                <c:v>0.84702047352167398</c:v>
              </c:pt>
              <c:pt idx="2">
                <c:v>0.85513757189491701</c:v>
              </c:pt>
              <c:pt idx="3">
                <c:v>0.86201498320847303</c:v>
              </c:pt>
              <c:pt idx="4">
                <c:v>0.86633080750727798</c:v>
              </c:pt>
              <c:pt idx="5">
                <c:v>0.87107122260669001</c:v>
              </c:pt>
              <c:pt idx="6">
                <c:v>0.86409921671018297</c:v>
              </c:pt>
              <c:pt idx="7">
                <c:v>0.87268886166195203</c:v>
              </c:pt>
              <c:pt idx="8">
                <c:v>0.88239999999999996</c:v>
              </c:pt>
              <c:pt idx="9">
                <c:v>0.87839999999999996</c:v>
              </c:pt>
              <c:pt idx="10">
                <c:v>0.85888912853173605</c:v>
              </c:pt>
              <c:pt idx="11">
                <c:v>0.87773065424459396</c:v>
              </c:pt>
              <c:pt idx="12">
                <c:v>0.86936844364676003</c:v>
              </c:pt>
              <c:pt idx="13">
                <c:v>0.88581954678159303</c:v>
              </c:pt>
              <c:pt idx="14">
                <c:v>0.89070000000000005</c:v>
              </c:pt>
              <c:pt idx="15">
                <c:v>0.89059999999999995</c:v>
              </c:pt>
              <c:pt idx="16">
                <c:v>0.89480000000000004</c:v>
              </c:pt>
              <c:pt idx="17">
                <c:v>0.89439999999999997</c:v>
              </c:pt>
              <c:pt idx="18">
                <c:v>0.8931</c:v>
              </c:pt>
              <c:pt idx="19">
                <c:v>0.88959999999999995</c:v>
              </c:pt>
              <c:pt idx="20">
                <c:v>0.88990000000000002</c:v>
              </c:pt>
              <c:pt idx="21">
                <c:v>0.89070000000000005</c:v>
              </c:pt>
              <c:pt idx="22">
                <c:v>0.89059999999999995</c:v>
              </c:pt>
              <c:pt idx="23">
                <c:v>0.86370000000000002</c:v>
              </c:pt>
              <c:pt idx="24">
                <c:v>0.87275322656936305</c:v>
              </c:pt>
              <c:pt idx="25">
                <c:v>0.88180000000000003</c:v>
              </c:pt>
              <c:pt idx="26">
                <c:v>0.8871</c:v>
              </c:pt>
              <c:pt idx="27">
                <c:v>0.89070000000000005</c:v>
              </c:pt>
            </c:numLit>
          </c:val>
          <c:extLst>
            <c:ext xmlns:c16="http://schemas.microsoft.com/office/drawing/2014/chart" uri="{C3380CC4-5D6E-409C-BE32-E72D297353CC}">
              <c16:uniqueId val="{00000000-8662-44BD-83CC-F3751E8412BB}"/>
            </c:ext>
          </c:extLst>
        </c:ser>
        <c:dLbls>
          <c:showLegendKey val="0"/>
          <c:showVal val="0"/>
          <c:showCatName val="0"/>
          <c:showSerName val="0"/>
          <c:showPercent val="0"/>
          <c:showBubbleSize val="0"/>
        </c:dLbls>
        <c:gapWidth val="150"/>
        <c:axId val="2111656064"/>
        <c:axId val="254125968"/>
      </c:barChart>
      <c:lineChart>
        <c:grouping val="standard"/>
        <c:varyColors val="0"/>
        <c:ser>
          <c:idx val="5"/>
          <c:order val="1"/>
          <c:tx>
            <c:v>Target</c:v>
          </c:tx>
          <c:spPr>
            <a:ln w="22225" cap="rnd">
              <a:solidFill>
                <a:srgbClr val="FF0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c:formatCode>
              <c:ptCount val="37"/>
              <c:pt idx="0">
                <c:v>0.85</c:v>
              </c:pt>
              <c:pt idx="1">
                <c:v>0.85</c:v>
              </c:pt>
              <c:pt idx="2">
                <c:v>0.85</c:v>
              </c:pt>
              <c:pt idx="3">
                <c:v>0.85</c:v>
              </c:pt>
              <c:pt idx="4">
                <c:v>0.85</c:v>
              </c:pt>
              <c:pt idx="5">
                <c:v>0.85</c:v>
              </c:pt>
              <c:pt idx="6">
                <c:v>0.85</c:v>
              </c:pt>
              <c:pt idx="7">
                <c:v>0.85</c:v>
              </c:pt>
              <c:pt idx="8">
                <c:v>0.85</c:v>
              </c:pt>
              <c:pt idx="9">
                <c:v>0.85</c:v>
              </c:pt>
              <c:pt idx="10">
                <c:v>0.85</c:v>
              </c:pt>
              <c:pt idx="11">
                <c:v>0.85</c:v>
              </c:pt>
              <c:pt idx="12">
                <c:v>0.85</c:v>
              </c:pt>
              <c:pt idx="13">
                <c:v>0.85</c:v>
              </c:pt>
              <c:pt idx="14">
                <c:v>0.85</c:v>
              </c:pt>
              <c:pt idx="15">
                <c:v>0.85</c:v>
              </c:pt>
              <c:pt idx="16">
                <c:v>0.85</c:v>
              </c:pt>
              <c:pt idx="17">
                <c:v>0.85</c:v>
              </c:pt>
              <c:pt idx="18">
                <c:v>0.85</c:v>
              </c:pt>
              <c:pt idx="19">
                <c:v>0.85</c:v>
              </c:pt>
              <c:pt idx="20">
                <c:v>0.85</c:v>
              </c:pt>
              <c:pt idx="21">
                <c:v>0.85</c:v>
              </c:pt>
              <c:pt idx="22">
                <c:v>0.85</c:v>
              </c:pt>
              <c:pt idx="23">
                <c:v>0.85</c:v>
              </c:pt>
              <c:pt idx="24">
                <c:v>0.85</c:v>
              </c:pt>
              <c:pt idx="25">
                <c:v>0.85</c:v>
              </c:pt>
              <c:pt idx="26">
                <c:v>0.85</c:v>
              </c:pt>
              <c:pt idx="27">
                <c:v>0.85</c:v>
              </c:pt>
              <c:pt idx="28">
                <c:v>0.85</c:v>
              </c:pt>
              <c:pt idx="29">
                <c:v>0.85</c:v>
              </c:pt>
              <c:pt idx="30">
                <c:v>0.85</c:v>
              </c:pt>
              <c:pt idx="31">
                <c:v>0.85</c:v>
              </c:pt>
              <c:pt idx="32">
                <c:v>0.85</c:v>
              </c:pt>
              <c:pt idx="33">
                <c:v>0.85</c:v>
              </c:pt>
              <c:pt idx="34">
                <c:v>0.85</c:v>
              </c:pt>
              <c:pt idx="35">
                <c:v>0.85</c:v>
              </c:pt>
              <c:pt idx="36">
                <c:v>0.85</c:v>
              </c:pt>
            </c:numLit>
          </c:val>
          <c:smooth val="0"/>
          <c:extLst>
            <c:ext xmlns:c16="http://schemas.microsoft.com/office/drawing/2014/chart" uri="{C3380CC4-5D6E-409C-BE32-E72D297353CC}">
              <c16:uniqueId val="{00000001-8662-44BD-83CC-F3751E8412BB}"/>
            </c:ext>
          </c:extLst>
        </c:ser>
        <c:dLbls>
          <c:showLegendKey val="0"/>
          <c:showVal val="0"/>
          <c:showCatName val="0"/>
          <c:showSerName val="0"/>
          <c:showPercent val="0"/>
          <c:showBubbleSize val="0"/>
        </c:dLbls>
        <c:marker val="1"/>
        <c:smooth val="0"/>
        <c:axId val="2111656064"/>
        <c:axId val="254125968"/>
      </c:lineChart>
      <c:dateAx>
        <c:axId val="2111656064"/>
        <c:scaling>
          <c:orientation val="minMax"/>
          <c:max val="45809"/>
          <c:min val="45444"/>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54125968"/>
        <c:crosses val="autoZero"/>
        <c:auto val="1"/>
        <c:lblOffset val="100"/>
        <c:baseTimeUnit val="months"/>
      </c:dateAx>
      <c:valAx>
        <c:axId val="2541259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2111656064"/>
        <c:crosses val="autoZero"/>
        <c:crossBetween val="between"/>
        <c:majorUnit val="2.0000000000000004E-2"/>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091670466077192E-2"/>
          <c:y val="5.3285841645076375E-2"/>
          <c:w val="0.70600609011756355"/>
          <c:h val="0.65238013565136044"/>
        </c:manualLayout>
      </c:layout>
      <c:barChart>
        <c:barDir val="col"/>
        <c:grouping val="clustered"/>
        <c:varyColors val="0"/>
        <c:ser>
          <c:idx val="0"/>
          <c:order val="0"/>
          <c:tx>
            <c:strRef>
              <c:f>'PERFORMANCE DASHBOARD'!$B$60</c:f>
              <c:strCache>
                <c:ptCount val="1"/>
                <c:pt idx="0">
                  <c:v>T13
TARGET TIME
Vacancy Creation to  Offer Letter Issued</c:v>
                </c:pt>
              </c:strCache>
            </c:strRef>
          </c:tx>
          <c:spPr>
            <a:noFill/>
          </c:spPr>
          <c:invertIfNegative val="0"/>
          <c:trendline>
            <c:spPr>
              <a:ln w="38100">
                <a:solidFill>
                  <a:srgbClr val="00B050"/>
                </a:solidFill>
              </a:ln>
            </c:spPr>
            <c:trendlineType val="linear"/>
            <c:dispRSqr val="0"/>
            <c:dispEq val="0"/>
          </c:trendline>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DASHBOARD'!$B$61:$B$75,'PERFORMANCE DASHBOARD'!$B$76)</c:f>
              <c:numCache>
                <c:formatCode>0.0</c:formatCode>
                <c:ptCount val="16"/>
                <c:pt idx="0">
                  <c:v>44</c:v>
                </c:pt>
                <c:pt idx="1">
                  <c:v>44</c:v>
                </c:pt>
                <c:pt idx="2">
                  <c:v>44</c:v>
                </c:pt>
                <c:pt idx="3">
                  <c:v>44</c:v>
                </c:pt>
                <c:pt idx="4">
                  <c:v>44</c:v>
                </c:pt>
                <c:pt idx="5">
                  <c:v>44</c:v>
                </c:pt>
                <c:pt idx="6">
                  <c:v>44</c:v>
                </c:pt>
                <c:pt idx="7">
                  <c:v>44</c:v>
                </c:pt>
                <c:pt idx="8">
                  <c:v>44</c:v>
                </c:pt>
                <c:pt idx="9">
                  <c:v>44</c:v>
                </c:pt>
                <c:pt idx="10">
                  <c:v>44</c:v>
                </c:pt>
                <c:pt idx="11">
                  <c:v>44</c:v>
                </c:pt>
                <c:pt idx="12">
                  <c:v>44</c:v>
                </c:pt>
                <c:pt idx="13">
                  <c:v>44</c:v>
                </c:pt>
                <c:pt idx="14">
                  <c:v>44</c:v>
                </c:pt>
                <c:pt idx="15">
                  <c:v>44</c:v>
                </c:pt>
              </c:numCache>
            </c:numRef>
          </c:val>
          <c:extLst>
            <c:ext xmlns:c16="http://schemas.microsoft.com/office/drawing/2014/chart" uri="{C3380CC4-5D6E-409C-BE32-E72D297353CC}">
              <c16:uniqueId val="{00000000-4AAE-4595-BDC8-C3ED617C13D7}"/>
            </c:ext>
          </c:extLst>
        </c:ser>
        <c:ser>
          <c:idx val="1"/>
          <c:order val="1"/>
          <c:tx>
            <c:strRef>
              <c:f>'PERFORMANCE DASHBOARD'!$C$60</c:f>
              <c:strCache>
                <c:ptCount val="1"/>
                <c:pt idx="0">
                  <c:v>T13
TIME TAKEN
Vacancy Creation to Offer Letter Issued (inc Bank Holidays)</c:v>
                </c:pt>
              </c:strCache>
            </c:strRef>
          </c:tx>
          <c:spPr>
            <a:solidFill>
              <a:schemeClr val="accent4">
                <a:lumMod val="60000"/>
                <a:lumOff val="40000"/>
              </a:schemeClr>
            </a:solidFill>
          </c:spPr>
          <c:invertIfNegative val="0"/>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DASHBOARD'!$C$61:$C$75,'PERFORMANCE DASHBOARD'!$C$76)</c:f>
              <c:numCache>
                <c:formatCode>0.0</c:formatCode>
                <c:ptCount val="16"/>
                <c:pt idx="0">
                  <c:v>44.773333333333326</c:v>
                </c:pt>
                <c:pt idx="1">
                  <c:v>35</c:v>
                </c:pt>
                <c:pt idx="2">
                  <c:v>44.1</c:v>
                </c:pt>
                <c:pt idx="3">
                  <c:v>66.900000000000006</c:v>
                </c:pt>
                <c:pt idx="4">
                  <c:v>51.9</c:v>
                </c:pt>
                <c:pt idx="5">
                  <c:v>36.4</c:v>
                </c:pt>
                <c:pt idx="6">
                  <c:v>53.8</c:v>
                </c:pt>
                <c:pt idx="7">
                  <c:v>38.5</c:v>
                </c:pt>
                <c:pt idx="8">
                  <c:v>40.200000000000003</c:v>
                </c:pt>
                <c:pt idx="9">
                  <c:v>43.8</c:v>
                </c:pt>
                <c:pt idx="10">
                  <c:v>51</c:v>
                </c:pt>
                <c:pt idx="11">
                  <c:v>50.9</c:v>
                </c:pt>
                <c:pt idx="12">
                  <c:v>47.5</c:v>
                </c:pt>
                <c:pt idx="13">
                  <c:v>33.4</c:v>
                </c:pt>
                <c:pt idx="14">
                  <c:v>47.8</c:v>
                </c:pt>
                <c:pt idx="15">
                  <c:v>30.4</c:v>
                </c:pt>
              </c:numCache>
            </c:numRef>
          </c:val>
          <c:extLst>
            <c:ext xmlns:c16="http://schemas.microsoft.com/office/drawing/2014/chart" uri="{C3380CC4-5D6E-409C-BE32-E72D297353CC}">
              <c16:uniqueId val="{00000001-4AAE-4595-BDC8-C3ED617C13D7}"/>
            </c:ext>
          </c:extLst>
        </c:ser>
        <c:dLbls>
          <c:showLegendKey val="0"/>
          <c:showVal val="0"/>
          <c:showCatName val="0"/>
          <c:showSerName val="0"/>
          <c:showPercent val="0"/>
          <c:showBubbleSize val="0"/>
        </c:dLbls>
        <c:gapWidth val="150"/>
        <c:axId val="130433024"/>
        <c:axId val="130434560"/>
      </c:barChart>
      <c:catAx>
        <c:axId val="130433024"/>
        <c:scaling>
          <c:orientation val="minMax"/>
        </c:scaling>
        <c:delete val="0"/>
        <c:axPos val="b"/>
        <c:numFmt formatCode="General" sourceLinked="0"/>
        <c:majorTickMark val="none"/>
        <c:minorTickMark val="none"/>
        <c:tickLblPos val="nextTo"/>
        <c:crossAx val="130434560"/>
        <c:crosses val="autoZero"/>
        <c:auto val="1"/>
        <c:lblAlgn val="ctr"/>
        <c:lblOffset val="100"/>
        <c:noMultiLvlLbl val="0"/>
      </c:catAx>
      <c:valAx>
        <c:axId val="130434560"/>
        <c:scaling>
          <c:orientation val="minMax"/>
          <c:max val="100"/>
        </c:scaling>
        <c:delete val="0"/>
        <c:axPos val="l"/>
        <c:majorGridlines/>
        <c:numFmt formatCode="0.0" sourceLinked="1"/>
        <c:majorTickMark val="none"/>
        <c:minorTickMark val="none"/>
        <c:tickLblPos val="nextTo"/>
        <c:crossAx val="130433024"/>
        <c:crosses val="autoZero"/>
        <c:crossBetween val="between"/>
      </c:valAx>
    </c:plotArea>
    <c:legend>
      <c:legendPos val="r"/>
      <c:legendEntry>
        <c:idx val="0"/>
        <c:delete val="1"/>
      </c:legendEntry>
      <c:layout>
        <c:manualLayout>
          <c:xMode val="edge"/>
          <c:yMode val="edge"/>
          <c:x val="0.78277365332671234"/>
          <c:y val="7.615830748775386E-2"/>
          <c:w val="0.21062987960819082"/>
          <c:h val="0.83117430314597551"/>
        </c:manualLayout>
      </c:layout>
      <c:overlay val="0"/>
      <c:spPr>
        <a:solidFill>
          <a:sysClr val="window" lastClr="FFFFFF"/>
        </a:solidFill>
      </c:spPr>
    </c:legend>
    <c:plotVisOnly val="1"/>
    <c:dispBlanksAs val="gap"/>
    <c:showDLblsOverMax val="0"/>
  </c:chart>
  <c:spPr>
    <a:solidFill>
      <a:schemeClr val="accent1">
        <a:lumMod val="20000"/>
        <a:lumOff val="80000"/>
      </a:schemeClr>
    </a:solidFill>
    <a:ln>
      <a:solidFill>
        <a:schemeClr val="tx1"/>
      </a:solidFill>
    </a:ln>
    <a:effectLst/>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059477840919764"/>
          <c:y val="3.8880756645507414E-2"/>
          <c:w val="0.69109948472314386"/>
          <c:h val="0.74927792616231337"/>
        </c:manualLayout>
      </c:layout>
      <c:barChart>
        <c:barDir val="col"/>
        <c:grouping val="clustered"/>
        <c:varyColors val="0"/>
        <c:ser>
          <c:idx val="4"/>
          <c:order val="0"/>
          <c:tx>
            <c:v>HB Total</c:v>
          </c:tx>
          <c:spPr>
            <a:solidFill>
              <a:srgbClr val="ED7D31"/>
            </a:solidFill>
            <a:ln>
              <a:noFill/>
            </a:ln>
            <a:effectLst/>
          </c:spPr>
          <c:invertIfNegative val="0"/>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0.68799999999999994</c:v>
              </c:pt>
              <c:pt idx="1">
                <c:v>0.7208</c:v>
              </c:pt>
              <c:pt idx="2">
                <c:v>0.67820000000000003</c:v>
              </c:pt>
              <c:pt idx="3">
                <c:v>0.67300000000000004</c:v>
              </c:pt>
              <c:pt idx="4">
                <c:v>0.6724</c:v>
              </c:pt>
              <c:pt idx="5">
                <c:v>0.67110000000000003</c:v>
              </c:pt>
              <c:pt idx="6">
                <c:v>0.66359999999999997</c:v>
              </c:pt>
              <c:pt idx="7">
                <c:v>0.66359999999999997</c:v>
              </c:pt>
              <c:pt idx="8">
                <c:v>0.66410000000000002</c:v>
              </c:pt>
              <c:pt idx="9">
                <c:v>0.67130000000000001</c:v>
              </c:pt>
              <c:pt idx="10">
                <c:v>0.69040000000000001</c:v>
              </c:pt>
              <c:pt idx="11">
                <c:v>0.69350000000000001</c:v>
              </c:pt>
              <c:pt idx="12">
                <c:v>0.69789999999999996</c:v>
              </c:pt>
              <c:pt idx="13">
                <c:v>0.7319</c:v>
              </c:pt>
              <c:pt idx="14">
                <c:v>0.72619999999999996</c:v>
              </c:pt>
              <c:pt idx="15">
                <c:v>0.72019999999999995</c:v>
              </c:pt>
              <c:pt idx="16">
                <c:v>0.73129999999999995</c:v>
              </c:pt>
              <c:pt idx="17">
                <c:v>0.73880000000000001</c:v>
              </c:pt>
              <c:pt idx="18">
                <c:v>0.74580000000000002</c:v>
              </c:pt>
              <c:pt idx="19">
                <c:v>0.71840000000000004</c:v>
              </c:pt>
              <c:pt idx="20">
                <c:v>0.73540000000000005</c:v>
              </c:pt>
              <c:pt idx="21">
                <c:v>0.74039999999999995</c:v>
              </c:pt>
              <c:pt idx="22">
                <c:v>0.73029999999999995</c:v>
              </c:pt>
              <c:pt idx="23">
                <c:v>0.72060000000000002</c:v>
              </c:pt>
              <c:pt idx="24">
                <c:v>0.73860000000000003</c:v>
              </c:pt>
              <c:pt idx="25">
                <c:v>0.71160000000000001</c:v>
              </c:pt>
              <c:pt idx="26">
                <c:v>0.71120000000000005</c:v>
              </c:pt>
              <c:pt idx="27">
                <c:v>0.72819999999999996</c:v>
              </c:pt>
            </c:numLit>
          </c:val>
          <c:extLst>
            <c:ext xmlns:c16="http://schemas.microsoft.com/office/drawing/2014/chart" uri="{C3380CC4-5D6E-409C-BE32-E72D297353CC}">
              <c16:uniqueId val="{00000000-F958-4A40-A12D-366B600AFDD9}"/>
            </c:ext>
          </c:extLst>
        </c:ser>
        <c:dLbls>
          <c:showLegendKey val="0"/>
          <c:showVal val="0"/>
          <c:showCatName val="0"/>
          <c:showSerName val="0"/>
          <c:showPercent val="0"/>
          <c:showBubbleSize val="0"/>
        </c:dLbls>
        <c:gapWidth val="150"/>
        <c:axId val="805910320"/>
        <c:axId val="805909840"/>
      </c:barChart>
      <c:lineChart>
        <c:grouping val="standard"/>
        <c:varyColors val="0"/>
        <c:ser>
          <c:idx val="5"/>
          <c:order val="1"/>
          <c:tx>
            <c:v>WG Target</c:v>
          </c:tx>
          <c:spPr>
            <a:ln w="22225" cap="rnd">
              <a:solidFill>
                <a:srgbClr val="C00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c:formatCode>
              <c:ptCount val="37"/>
              <c:pt idx="0">
                <c:v>0.85</c:v>
              </c:pt>
              <c:pt idx="1">
                <c:v>0.85</c:v>
              </c:pt>
              <c:pt idx="2">
                <c:v>0.85</c:v>
              </c:pt>
              <c:pt idx="3">
                <c:v>0.85</c:v>
              </c:pt>
              <c:pt idx="4">
                <c:v>0.85</c:v>
              </c:pt>
              <c:pt idx="5">
                <c:v>0.85</c:v>
              </c:pt>
              <c:pt idx="6">
                <c:v>0.85</c:v>
              </c:pt>
              <c:pt idx="7">
                <c:v>0.85</c:v>
              </c:pt>
              <c:pt idx="8">
                <c:v>0.85</c:v>
              </c:pt>
              <c:pt idx="9">
                <c:v>0.85</c:v>
              </c:pt>
              <c:pt idx="10">
                <c:v>0.85</c:v>
              </c:pt>
              <c:pt idx="11">
                <c:v>0.85</c:v>
              </c:pt>
              <c:pt idx="12">
                <c:v>0.85</c:v>
              </c:pt>
              <c:pt idx="13">
                <c:v>0.85</c:v>
              </c:pt>
              <c:pt idx="14">
                <c:v>0.85</c:v>
              </c:pt>
              <c:pt idx="15">
                <c:v>0.85</c:v>
              </c:pt>
              <c:pt idx="16">
                <c:v>0.85</c:v>
              </c:pt>
              <c:pt idx="17">
                <c:v>0.85</c:v>
              </c:pt>
              <c:pt idx="18">
                <c:v>0.85</c:v>
              </c:pt>
              <c:pt idx="19">
                <c:v>0.85</c:v>
              </c:pt>
              <c:pt idx="20">
                <c:v>0.85</c:v>
              </c:pt>
              <c:pt idx="21">
                <c:v>0.85</c:v>
              </c:pt>
              <c:pt idx="22">
                <c:v>0.85</c:v>
              </c:pt>
              <c:pt idx="23">
                <c:v>0.85</c:v>
              </c:pt>
              <c:pt idx="24">
                <c:v>0.85</c:v>
              </c:pt>
              <c:pt idx="25">
                <c:v>0.85</c:v>
              </c:pt>
              <c:pt idx="26">
                <c:v>0.85</c:v>
              </c:pt>
              <c:pt idx="27">
                <c:v>0.85</c:v>
              </c:pt>
              <c:pt idx="28">
                <c:v>0.85</c:v>
              </c:pt>
              <c:pt idx="29">
                <c:v>0.85</c:v>
              </c:pt>
              <c:pt idx="30">
                <c:v>0.85</c:v>
              </c:pt>
              <c:pt idx="31">
                <c:v>0.85</c:v>
              </c:pt>
              <c:pt idx="32">
                <c:v>0.85</c:v>
              </c:pt>
              <c:pt idx="33">
                <c:v>0.85</c:v>
              </c:pt>
              <c:pt idx="34">
                <c:v>0.85</c:v>
              </c:pt>
              <c:pt idx="35">
                <c:v>0.85</c:v>
              </c:pt>
              <c:pt idx="36">
                <c:v>0.85</c:v>
              </c:pt>
            </c:numLit>
          </c:val>
          <c:smooth val="0"/>
          <c:extLst>
            <c:ext xmlns:c16="http://schemas.microsoft.com/office/drawing/2014/chart" uri="{C3380CC4-5D6E-409C-BE32-E72D297353CC}">
              <c16:uniqueId val="{00000001-F958-4A40-A12D-366B600AFDD9}"/>
            </c:ext>
          </c:extLst>
        </c:ser>
        <c:dLbls>
          <c:showLegendKey val="0"/>
          <c:showVal val="0"/>
          <c:showCatName val="0"/>
          <c:showSerName val="0"/>
          <c:showPercent val="0"/>
          <c:showBubbleSize val="0"/>
        </c:dLbls>
        <c:marker val="1"/>
        <c:smooth val="0"/>
        <c:axId val="805910320"/>
        <c:axId val="805909840"/>
      </c:lineChart>
      <c:dateAx>
        <c:axId val="805910320"/>
        <c:scaling>
          <c:orientation val="minMax"/>
          <c:max val="45809"/>
          <c:min val="45444"/>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805909840"/>
        <c:crosses val="autoZero"/>
        <c:auto val="1"/>
        <c:lblOffset val="100"/>
        <c:baseTimeUnit val="months"/>
      </c:dateAx>
      <c:valAx>
        <c:axId val="8059098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805910320"/>
        <c:crosses val="autoZero"/>
        <c:crossBetween val="between"/>
        <c:majorUnit val="0.2"/>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b="0">
          <a:solidFill>
            <a:schemeClr val="tx1"/>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43406992677137"/>
          <c:h val="0.79328700511694594"/>
        </c:manualLayout>
      </c:layout>
      <c:lineChart>
        <c:grouping val="standard"/>
        <c:varyColors val="0"/>
        <c:ser>
          <c:idx val="0"/>
          <c:order val="0"/>
          <c:tx>
            <c:strRef>
              <c:f>'Swansea Bay data revised'!$A$2</c:f>
              <c:strCache>
                <c:ptCount val="1"/>
                <c:pt idx="0">
                  <c:v>Number of Disciplinary cases</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revised'!$B$2:$G$2</c:f>
              <c:numCache>
                <c:formatCode>General</c:formatCode>
                <c:ptCount val="6"/>
                <c:pt idx="0">
                  <c:v>58</c:v>
                </c:pt>
                <c:pt idx="1">
                  <c:v>55</c:v>
                </c:pt>
                <c:pt idx="2">
                  <c:v>59</c:v>
                </c:pt>
                <c:pt idx="3">
                  <c:v>56</c:v>
                </c:pt>
                <c:pt idx="4">
                  <c:v>67</c:v>
                </c:pt>
                <c:pt idx="5">
                  <c:v>68</c:v>
                </c:pt>
              </c:numCache>
            </c:numRef>
          </c:val>
          <c:smooth val="0"/>
          <c:extLst>
            <c:ext xmlns:c16="http://schemas.microsoft.com/office/drawing/2014/chart" uri="{C3380CC4-5D6E-409C-BE32-E72D297353CC}">
              <c16:uniqueId val="{00000000-8F48-414A-8F6C-F2A561284D18}"/>
            </c:ext>
          </c:extLst>
        </c:ser>
        <c:ser>
          <c:idx val="1"/>
          <c:order val="1"/>
          <c:tx>
            <c:strRef>
              <c:f>'Swansea Bay data revised'!$A$3</c:f>
              <c:strCache>
                <c:ptCount val="1"/>
                <c:pt idx="0">
                  <c:v>No. of Disciplinary cases opened in month</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revised'!$B$3:$G$3</c:f>
              <c:numCache>
                <c:formatCode>General</c:formatCode>
                <c:ptCount val="6"/>
                <c:pt idx="0">
                  <c:v>10</c:v>
                </c:pt>
                <c:pt idx="1">
                  <c:v>6</c:v>
                </c:pt>
                <c:pt idx="2">
                  <c:v>8</c:v>
                </c:pt>
                <c:pt idx="3">
                  <c:v>3</c:v>
                </c:pt>
                <c:pt idx="4">
                  <c:v>44</c:v>
                </c:pt>
                <c:pt idx="5">
                  <c:v>30</c:v>
                </c:pt>
              </c:numCache>
            </c:numRef>
          </c:val>
          <c:smooth val="0"/>
          <c:extLst>
            <c:ext xmlns:c16="http://schemas.microsoft.com/office/drawing/2014/chart" uri="{C3380CC4-5D6E-409C-BE32-E72D297353CC}">
              <c16:uniqueId val="{00000001-8F48-414A-8F6C-F2A561284D18}"/>
            </c:ext>
          </c:extLst>
        </c:ser>
        <c:ser>
          <c:idx val="2"/>
          <c:order val="2"/>
          <c:tx>
            <c:strRef>
              <c:f>'Swansea Bay data revised'!$A$4</c:f>
              <c:strCache>
                <c:ptCount val="1"/>
                <c:pt idx="0">
                  <c:v>No. of Disciplinary cases closed in month</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revised'!$B$4:$G$4</c:f>
              <c:numCache>
                <c:formatCode>General</c:formatCode>
                <c:ptCount val="6"/>
                <c:pt idx="0">
                  <c:v>10</c:v>
                </c:pt>
                <c:pt idx="1">
                  <c:v>12</c:v>
                </c:pt>
                <c:pt idx="2">
                  <c:v>8</c:v>
                </c:pt>
                <c:pt idx="3">
                  <c:v>14</c:v>
                </c:pt>
                <c:pt idx="4">
                  <c:v>22</c:v>
                </c:pt>
                <c:pt idx="5">
                  <c:v>17</c:v>
                </c:pt>
              </c:numCache>
            </c:numRef>
          </c:val>
          <c:smooth val="0"/>
          <c:extLst>
            <c:ext xmlns:c16="http://schemas.microsoft.com/office/drawing/2014/chart" uri="{C3380CC4-5D6E-409C-BE32-E72D297353CC}">
              <c16:uniqueId val="{00000002-8F48-414A-8F6C-F2A561284D18}"/>
            </c:ext>
          </c:extLst>
        </c:ser>
        <c:ser>
          <c:idx val="3"/>
          <c:order val="3"/>
          <c:tx>
            <c:strRef>
              <c:f>'Swansea Bay data revised'!$A$5</c:f>
              <c:strCache>
                <c:ptCount val="1"/>
                <c:pt idx="0">
                  <c:v>Total No. of staff suspended (inc &gt;6 months)</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revised'!$B$5:$G$5</c:f>
              <c:numCache>
                <c:formatCode>General</c:formatCode>
                <c:ptCount val="6"/>
                <c:pt idx="0">
                  <c:v>9</c:v>
                </c:pt>
                <c:pt idx="1">
                  <c:v>9</c:v>
                </c:pt>
                <c:pt idx="2">
                  <c:v>6</c:v>
                </c:pt>
                <c:pt idx="3">
                  <c:v>6</c:v>
                </c:pt>
                <c:pt idx="4">
                  <c:v>9</c:v>
                </c:pt>
                <c:pt idx="5">
                  <c:v>9</c:v>
                </c:pt>
              </c:numCache>
            </c:numRef>
          </c:val>
          <c:smooth val="0"/>
          <c:extLst>
            <c:ext xmlns:c16="http://schemas.microsoft.com/office/drawing/2014/chart" uri="{C3380CC4-5D6E-409C-BE32-E72D297353CC}">
              <c16:uniqueId val="{00000003-8F48-414A-8F6C-F2A561284D18}"/>
            </c:ext>
          </c:extLst>
        </c:ser>
        <c:ser>
          <c:idx val="4"/>
          <c:order val="4"/>
          <c:tx>
            <c:strRef>
              <c:f>'Swansea Bay data revised'!$A$6</c:f>
              <c:strCache>
                <c:ptCount val="1"/>
                <c:pt idx="0">
                  <c:v>No. of staff suspended &gt;6 months</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revised'!$B$6:$G$6</c:f>
              <c:numCache>
                <c:formatCode>General</c:formatCode>
                <c:ptCount val="6"/>
                <c:pt idx="0">
                  <c:v>8</c:v>
                </c:pt>
                <c:pt idx="1">
                  <c:v>8</c:v>
                </c:pt>
                <c:pt idx="2">
                  <c:v>5</c:v>
                </c:pt>
                <c:pt idx="3">
                  <c:v>5</c:v>
                </c:pt>
                <c:pt idx="4">
                  <c:v>5</c:v>
                </c:pt>
                <c:pt idx="5">
                  <c:v>5</c:v>
                </c:pt>
              </c:numCache>
            </c:numRef>
          </c:val>
          <c:smooth val="0"/>
          <c:extLst>
            <c:ext xmlns:c16="http://schemas.microsoft.com/office/drawing/2014/chart" uri="{C3380CC4-5D6E-409C-BE32-E72D297353CC}">
              <c16:uniqueId val="{00000004-8F48-414A-8F6C-F2A561284D18}"/>
            </c:ext>
          </c:extLst>
        </c:ser>
        <c:ser>
          <c:idx val="5"/>
          <c:order val="5"/>
          <c:tx>
            <c:strRef>
              <c:f>'Swansea Bay data revised'!$A$7</c:f>
              <c:strCache>
                <c:ptCount val="1"/>
                <c:pt idx="0">
                  <c:v>No. of cases continuing for &gt;2 years</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revised'!$B$7:$G$7</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5-8F48-414A-8F6C-F2A561284D18}"/>
            </c:ext>
          </c:extLst>
        </c:ser>
        <c:ser>
          <c:idx val="6"/>
          <c:order val="6"/>
          <c:tx>
            <c:strRef>
              <c:f>'Swansea Bay data revised'!$A$8</c:f>
              <c:strCache>
                <c:ptCount val="1"/>
                <c:pt idx="0">
                  <c:v>Dignity at work</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revised'!$B$8:$G$8</c:f>
              <c:numCache>
                <c:formatCode>General</c:formatCode>
                <c:ptCount val="6"/>
                <c:pt idx="0">
                  <c:v>1</c:v>
                </c:pt>
                <c:pt idx="1">
                  <c:v>1</c:v>
                </c:pt>
                <c:pt idx="2">
                  <c:v>1</c:v>
                </c:pt>
                <c:pt idx="3">
                  <c:v>0</c:v>
                </c:pt>
                <c:pt idx="4">
                  <c:v>1</c:v>
                </c:pt>
                <c:pt idx="5">
                  <c:v>1</c:v>
                </c:pt>
              </c:numCache>
            </c:numRef>
          </c:val>
          <c:smooth val="0"/>
          <c:extLst>
            <c:ext xmlns:c16="http://schemas.microsoft.com/office/drawing/2014/chart" uri="{C3380CC4-5D6E-409C-BE32-E72D297353CC}">
              <c16:uniqueId val="{00000006-8F48-414A-8F6C-F2A561284D18}"/>
            </c:ext>
          </c:extLst>
        </c:ser>
        <c:ser>
          <c:idx val="7"/>
          <c:order val="7"/>
          <c:tx>
            <c:strRef>
              <c:f>'Swansea Bay data revised'!$A$9</c:f>
              <c:strCache>
                <c:ptCount val="1"/>
                <c:pt idx="0">
                  <c:v>Grievances</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revised'!$B$9:$G$9</c:f>
              <c:numCache>
                <c:formatCode>General</c:formatCode>
                <c:ptCount val="6"/>
                <c:pt idx="0">
                  <c:v>48</c:v>
                </c:pt>
                <c:pt idx="1">
                  <c:v>49</c:v>
                </c:pt>
                <c:pt idx="2">
                  <c:v>50</c:v>
                </c:pt>
                <c:pt idx="3">
                  <c:v>52</c:v>
                </c:pt>
                <c:pt idx="4">
                  <c:v>55</c:v>
                </c:pt>
                <c:pt idx="5">
                  <c:v>55</c:v>
                </c:pt>
              </c:numCache>
            </c:numRef>
          </c:val>
          <c:smooth val="0"/>
          <c:extLst>
            <c:ext xmlns:c16="http://schemas.microsoft.com/office/drawing/2014/chart" uri="{C3380CC4-5D6E-409C-BE32-E72D297353CC}">
              <c16:uniqueId val="{00000007-8F48-414A-8F6C-F2A561284D18}"/>
            </c:ext>
          </c:extLst>
        </c:ser>
        <c:ser>
          <c:idx val="8"/>
          <c:order val="8"/>
          <c:tx>
            <c:strRef>
              <c:f>'Swansea Bay data revised'!$A$10</c:f>
              <c:strCache>
                <c:ptCount val="1"/>
                <c:pt idx="0">
                  <c:v>ET’s</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revised'!$B$10:$G$10</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8-8F48-414A-8F6C-F2A561284D18}"/>
            </c:ext>
          </c:extLst>
        </c:ser>
        <c:ser>
          <c:idx val="9"/>
          <c:order val="9"/>
          <c:tx>
            <c:strRef>
              <c:f>'Swansea Bay data revised'!$A$11</c:f>
              <c:strCache>
                <c:ptCount val="1"/>
                <c:pt idx="0">
                  <c:v>Capability</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revised'!$B$11:$G$11</c:f>
              <c:numCache>
                <c:formatCode>General</c:formatCode>
                <c:ptCount val="6"/>
                <c:pt idx="0">
                  <c:v>1</c:v>
                </c:pt>
                <c:pt idx="1">
                  <c:v>1</c:v>
                </c:pt>
                <c:pt idx="2">
                  <c:v>0</c:v>
                </c:pt>
                <c:pt idx="3">
                  <c:v>0</c:v>
                </c:pt>
                <c:pt idx="4">
                  <c:v>1</c:v>
                </c:pt>
                <c:pt idx="5">
                  <c:v>0</c:v>
                </c:pt>
              </c:numCache>
            </c:numRef>
          </c:val>
          <c:smooth val="0"/>
          <c:extLst>
            <c:ext xmlns:c16="http://schemas.microsoft.com/office/drawing/2014/chart" uri="{C3380CC4-5D6E-409C-BE32-E72D297353CC}">
              <c16:uniqueId val="{00000009-8F48-414A-8F6C-F2A561284D18}"/>
            </c:ext>
          </c:extLst>
        </c:ser>
        <c:ser>
          <c:idx val="10"/>
          <c:order val="10"/>
          <c:tx>
            <c:strRef>
              <c:f>'Swansea Bay data revised'!$A$12</c:f>
              <c:strCache>
                <c:ptCount val="1"/>
                <c:pt idx="0">
                  <c:v>Whistleblowing</c:v>
                </c:pt>
              </c:strCache>
            </c:strRef>
          </c:tx>
          <c:marker>
            <c:symbol val="none"/>
          </c:marker>
          <c:cat>
            <c:numRef>
              <c:f>'Swansea Bay data revised'!$B$1:$G$1</c:f>
              <c:numCache>
                <c:formatCode>mmm\-yy</c:formatCode>
                <c:ptCount val="6"/>
                <c:pt idx="0">
                  <c:v>45658</c:v>
                </c:pt>
                <c:pt idx="1">
                  <c:v>45689</c:v>
                </c:pt>
                <c:pt idx="2">
                  <c:v>45717</c:v>
                </c:pt>
                <c:pt idx="3">
                  <c:v>45748</c:v>
                </c:pt>
                <c:pt idx="4">
                  <c:v>45778</c:v>
                </c:pt>
                <c:pt idx="5">
                  <c:v>45809</c:v>
                </c:pt>
              </c:numCache>
            </c:numRef>
          </c:cat>
          <c:val>
            <c:numRef>
              <c:f>'Swansea Bay data revised'!$B$12:$G$12</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A-8F48-414A-8F6C-F2A561284D18}"/>
            </c:ext>
          </c:extLst>
        </c:ser>
        <c:dLbls>
          <c:showLegendKey val="0"/>
          <c:showVal val="0"/>
          <c:showCatName val="0"/>
          <c:showSerName val="0"/>
          <c:showPercent val="0"/>
          <c:showBubbleSize val="0"/>
        </c:dLbls>
        <c:smooth val="0"/>
        <c:axId val="319380880"/>
        <c:axId val="1"/>
      </c:lineChart>
      <c:dateAx>
        <c:axId val="319380880"/>
        <c:scaling>
          <c:orientation val="minMax"/>
        </c:scaling>
        <c:delete val="0"/>
        <c:axPos val="b"/>
        <c:numFmt formatCode="mmm\-yy" sourceLinked="0"/>
        <c:majorTickMark val="out"/>
        <c:minorTickMark val="none"/>
        <c:tickLblPos val="nextTo"/>
        <c:txPr>
          <a:bodyPr rot="-5400000" vert="horz"/>
          <a:lstStyle/>
          <a:p>
            <a:pPr>
              <a:defRPr sz="8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dateAx>
      <c:valAx>
        <c:axId val="1"/>
        <c:scaling>
          <c:orientation val="minMax"/>
          <c:max val="7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txPr>
        <a:bodyPr/>
        <a:lstStyle/>
        <a:p>
          <a:pPr>
            <a:defRPr sz="10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1336AC-2356-4CA4-9054-9BA088FCCF3C}">
  <ds:schemaRefs>
    <ds:schemaRef ds:uri="http://www.w3.org/XML/1998/namespace"/>
    <ds:schemaRef ds:uri="http://purl.org/dc/elements/1.1/"/>
    <ds:schemaRef ds:uri="http://schemas.microsoft.com/office/2006/documentManagement/types"/>
    <ds:schemaRef ds:uri="http://purl.org/dc/terms/"/>
    <ds:schemaRef ds:uri="http://schemas.microsoft.com/office/infopath/2007/PartnerControls"/>
    <ds:schemaRef ds:uri="2795bbee-07b4-4e79-98d8-0419d9871cad"/>
    <ds:schemaRef ds:uri="http://schemas.openxmlformats.org/package/2006/metadata/core-properties"/>
    <ds:schemaRef ds:uri="258d5018-feb4-45ec-8043-ac7152467c64"/>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A446E62-CBF6-470E-A1A8-A546D6EAEBCC}">
  <ds:schemaRefs>
    <ds:schemaRef ds:uri="http://schemas.openxmlformats.org/officeDocument/2006/bibliography"/>
  </ds:schemaRefs>
</ds:datastoreItem>
</file>

<file path=customXml/itemProps3.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4.xml><?xml version="1.0" encoding="utf-8"?>
<ds:datastoreItem xmlns:ds="http://schemas.openxmlformats.org/officeDocument/2006/customXml" ds:itemID="{6C8606CD-9E6E-4392-A847-3B48C7DE7848}"/>
</file>

<file path=docProps/app.xml><?xml version="1.0" encoding="utf-8"?>
<Properties xmlns="http://schemas.openxmlformats.org/officeDocument/2006/extended-properties" xmlns:vt="http://schemas.openxmlformats.org/officeDocument/2006/docPropsVTypes">
  <Template>Normal</Template>
  <TotalTime>1</TotalTime>
  <Pages>12</Pages>
  <Words>3094</Words>
  <Characters>17636</Characters>
  <Application>Microsoft Office Word</Application>
  <DocSecurity>4</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20689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Tina Ricketts (Swansea Bay UHB - Corporate/Workforce)</cp:lastModifiedBy>
  <cp:revision>2</cp:revision>
  <cp:lastPrinted>2019-12-13T12:12:00Z</cp:lastPrinted>
  <dcterms:created xsi:type="dcterms:W3CDTF">2025-08-04T07:45:00Z</dcterms:created>
  <dcterms:modified xsi:type="dcterms:W3CDTF">2025-08-04T07:45:00Z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0x01010001C022EFBB18C64ABE3B9933434D2554</vt:lpwstr>
  </property>
</Properties>
</file>