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595825A3" w:rsidR="00F5082D" w:rsidRPr="00FA0CA9" w:rsidRDefault="00B22818" w:rsidP="00B2281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15/08/2024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580F6EE" w:rsidR="00F5082D" w:rsidRPr="00FA0CA9" w:rsidRDefault="00BB745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5.1</w:t>
            </w:r>
          </w:p>
        </w:tc>
      </w:tr>
      <w:tr w:rsidR="00390CAF" w:rsidRPr="00034194" w14:paraId="6D2903E5" w14:textId="77777777" w:rsidTr="00DA76AD">
        <w:tc>
          <w:tcPr>
            <w:tcW w:w="2547" w:type="dxa"/>
          </w:tcPr>
          <w:p w14:paraId="6D2903E3" w14:textId="77777777" w:rsidR="00390CAF" w:rsidRPr="00FA0CA9" w:rsidRDefault="00390CAF" w:rsidP="00390CA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1829D459" w:rsidR="00390CAF" w:rsidRPr="00FA0CA9" w:rsidRDefault="00390CAF" w:rsidP="00390CA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B12734" w:rsidRPr="00034194" w14:paraId="6D2903E8" w14:textId="77777777" w:rsidTr="00DA76AD">
        <w:tc>
          <w:tcPr>
            <w:tcW w:w="2547" w:type="dxa"/>
          </w:tcPr>
          <w:p w14:paraId="6D2903E6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5D6DE233" w14:textId="77777777" w:rsidR="00B12734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Evans, Interim Head of Workforce Effectiveness and Analytics</w:t>
            </w:r>
          </w:p>
          <w:p w14:paraId="6D2903E7" w14:textId="5B8BAB06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r w:rsidRPr="00C6078E">
              <w:rPr>
                <w:rFonts w:ascii="Arial" w:hAnsi="Arial" w:cs="Arial"/>
                <w:sz w:val="24"/>
                <w:szCs w:val="24"/>
              </w:rPr>
              <w:t>Assistant Director of Workforce &amp; OD</w:t>
            </w:r>
          </w:p>
        </w:tc>
      </w:tr>
      <w:tr w:rsidR="00B12734" w:rsidRPr="00034194" w14:paraId="6D2903EB" w14:textId="77777777" w:rsidTr="00DA76AD">
        <w:tc>
          <w:tcPr>
            <w:tcW w:w="2547" w:type="dxa"/>
          </w:tcPr>
          <w:p w14:paraId="6D2903E9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0C8B9375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Jenkins, Director of Workforce and OD</w:t>
            </w:r>
          </w:p>
        </w:tc>
      </w:tr>
      <w:tr w:rsidR="00B12734" w:rsidRPr="00034194" w14:paraId="6D2903EE" w14:textId="77777777" w:rsidTr="00DA76AD">
        <w:tc>
          <w:tcPr>
            <w:tcW w:w="2547" w:type="dxa"/>
          </w:tcPr>
          <w:p w14:paraId="6D2903EC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04CB0053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B12734" w:rsidRPr="00034194" w14:paraId="6D2903F1" w14:textId="77777777" w:rsidTr="00DA76AD">
        <w:tc>
          <w:tcPr>
            <w:tcW w:w="2547" w:type="dxa"/>
          </w:tcPr>
          <w:p w14:paraId="6D2903EF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D6980B3023BD41BA97425D2AB6F9D63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D2903F0" w14:textId="48CA811E" w:rsidR="00B12734" w:rsidRPr="00FA0CA9" w:rsidRDefault="00B12734" w:rsidP="00B12734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B12734" w:rsidRPr="00034194" w14:paraId="6D2903F8" w14:textId="77777777" w:rsidTr="00DA76AD">
        <w:tc>
          <w:tcPr>
            <w:tcW w:w="2547" w:type="dxa"/>
          </w:tcPr>
          <w:p w14:paraId="6D2903F2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033B8F31" w14:textId="77777777" w:rsidR="00B12734" w:rsidRPr="00FA0CA9" w:rsidRDefault="00B12734" w:rsidP="00B1273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6D2903F7" w14:textId="77777777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12734" w:rsidRPr="00034194" w14:paraId="6D290402" w14:textId="77777777" w:rsidTr="00DA76AD">
        <w:tc>
          <w:tcPr>
            <w:tcW w:w="2547" w:type="dxa"/>
          </w:tcPr>
          <w:p w14:paraId="6D2903F9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EF0FDE7" w14:textId="77777777" w:rsidR="00B12734" w:rsidRPr="00C6078E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6D290401" w14:textId="1E495C1E" w:rsidR="00B12734" w:rsidRPr="00FA0CA9" w:rsidRDefault="00B12734" w:rsidP="00B12734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B12734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B12734" w:rsidRPr="00FA0CA9" w:rsidRDefault="00B12734" w:rsidP="00B12734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B12734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12013538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465F08CE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CFCBE03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B12734" w:rsidRPr="00FA0CA9" w:rsidRDefault="00B12734" w:rsidP="00B12734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12734" w:rsidRPr="00034194" w14:paraId="6D290418" w14:textId="77777777" w:rsidTr="00DA76AD">
        <w:tc>
          <w:tcPr>
            <w:tcW w:w="2547" w:type="dxa"/>
          </w:tcPr>
          <w:p w14:paraId="6D290410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B12734" w:rsidRPr="00FA0CA9" w:rsidRDefault="00B12734" w:rsidP="00B1273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B33B937" w14:textId="77777777" w:rsidR="00B12734" w:rsidRPr="00907A83" w:rsidRDefault="00B12734" w:rsidP="00B12734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7A552B19" w14:textId="77777777" w:rsidR="00B12734" w:rsidRPr="00FC5E29" w:rsidRDefault="00B12734" w:rsidP="00B12734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0636029" w14:textId="77777777" w:rsidR="00B12734" w:rsidRPr="00FA0CA9" w:rsidRDefault="00B12734" w:rsidP="00B12734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6D290417" w14:textId="77777777" w:rsidR="00B12734" w:rsidRPr="00FA0CA9" w:rsidRDefault="00B12734" w:rsidP="00B12734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55F89047" w14:textId="77777777" w:rsidR="00390CAF" w:rsidRPr="00C720C9" w:rsidRDefault="0020539A" w:rsidP="00390CAF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>
        <w:br w:type="page"/>
      </w:r>
      <w:r w:rsidR="00390CAF"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14:paraId="3BC3D619" w14:textId="77777777" w:rsidR="00390CAF" w:rsidRPr="0072604C" w:rsidRDefault="00390CAF" w:rsidP="00390CA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2F962E8" w14:textId="77777777" w:rsidR="00390CAF" w:rsidRDefault="00390CAF" w:rsidP="00390CAF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145458B8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There is a standard workforce metrics report that is developed on a monthly </w:t>
      </w:r>
      <w:proofErr w:type="gramStart"/>
      <w:r w:rsidRPr="00200944">
        <w:rPr>
          <w:rFonts w:ascii="Arial" w:hAnsi="Arial" w:cs="Arial"/>
          <w:sz w:val="24"/>
          <w:szCs w:val="24"/>
        </w:rPr>
        <w:t>basis</w:t>
      </w:r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 xml:space="preserve">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02DC36AE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52A6EA7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7E3D469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5A58A585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5D2D64E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547432E5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08D15CC0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2DFF841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4543D2E5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55FE69A4" w14:textId="77777777" w:rsidR="00390CAF" w:rsidRPr="0072604C" w:rsidRDefault="00390CAF" w:rsidP="00390C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C27993D" w14:textId="77777777" w:rsidR="00390CAF" w:rsidRPr="0072604C" w:rsidRDefault="00390CAF" w:rsidP="00390C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362E78C6" w14:textId="77777777" w:rsidR="00390CAF" w:rsidRPr="00200944" w:rsidRDefault="00390CAF" w:rsidP="00390CAF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6D29042D" w14:textId="06E3386E" w:rsidR="00C33A04" w:rsidRDefault="00C33A04" w:rsidP="00390CA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0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1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2" w14:textId="791FDF59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56C855B6" w14:textId="3A9A6BF9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12CF6DD" w14:textId="440776C0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6D638800" w14:textId="067C72C1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6F4B0F95" w14:textId="23A3AB9B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8FB298E" w14:textId="53590F1B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1AA56337" w14:textId="44CF2E97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B3B2DC5" w14:textId="029DCFB5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7B360C98" w14:textId="7C58350B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5EF7DAFC" w14:textId="779082A8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7DF161FC" w14:textId="77777777" w:rsidR="00390CAF" w:rsidRDefault="00390CAF" w:rsidP="00F531BD">
      <w:pPr>
        <w:rPr>
          <w:rFonts w:ascii="Arial" w:hAnsi="Arial" w:cs="Arial"/>
          <w:b/>
          <w:sz w:val="24"/>
          <w:szCs w:val="24"/>
        </w:rPr>
      </w:pPr>
    </w:p>
    <w:p w14:paraId="6D290433" w14:textId="3CEC922C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5AB076A7" w14:textId="47758823" w:rsidR="00B22818" w:rsidRDefault="00B22818" w:rsidP="00F531BD">
      <w:pPr>
        <w:rPr>
          <w:rFonts w:ascii="Arial" w:hAnsi="Arial" w:cs="Arial"/>
          <w:b/>
          <w:sz w:val="24"/>
          <w:szCs w:val="24"/>
        </w:rPr>
      </w:pPr>
    </w:p>
    <w:p w14:paraId="02F47445" w14:textId="77777777" w:rsidR="00B22818" w:rsidRDefault="00B22818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267F8BD0" w:rsidR="00F5324A" w:rsidRPr="00F5324A" w:rsidRDefault="00390CAF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2D31920" w:rsidR="00F5324A" w:rsidRPr="00FA0CA9" w:rsidRDefault="00390CAF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6D29047F" w14:textId="13B92E6C" w:rsidR="00F5324A" w:rsidRPr="00390CAF" w:rsidRDefault="00390CAF" w:rsidP="00390CAF">
            <w:pPr>
              <w:ind w:left="360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Workforce Metrics cover a rage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4"/>
          </w:tcPr>
          <w:p w14:paraId="6D290485" w14:textId="68E3320C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86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390CAF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4"/>
          </w:tcPr>
          <w:p w14:paraId="6D29048A" w14:textId="79197D0D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There are no legal implications</w:t>
            </w:r>
          </w:p>
          <w:p w14:paraId="6D29048B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4"/>
          </w:tcPr>
          <w:p w14:paraId="6D29048F" w14:textId="1C871F13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90" w14:textId="77777777" w:rsidR="00F5324A" w:rsidRPr="00390CAF" w:rsidRDefault="00F5324A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390CAF" w:rsidRDefault="00296CD9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390CAF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0C95B3C">
        <w:tc>
          <w:tcPr>
            <w:tcW w:w="9245" w:type="dxa"/>
            <w:gridSpan w:val="4"/>
          </w:tcPr>
          <w:p w14:paraId="6D290494" w14:textId="1E43ACDB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 xml:space="preserve">There are no </w:t>
            </w:r>
            <w:proofErr w:type="gramStart"/>
            <w:r w:rsidRPr="00390CAF">
              <w:rPr>
                <w:rFonts w:ascii="Arial" w:hAnsi="Arial" w:cs="Arial"/>
                <w:sz w:val="24"/>
                <w:szCs w:val="24"/>
              </w:rPr>
              <w:t>long term</w:t>
            </w:r>
            <w:proofErr w:type="gramEnd"/>
            <w:r w:rsidRPr="00390CAF">
              <w:rPr>
                <w:rFonts w:ascii="Arial" w:hAnsi="Arial" w:cs="Arial"/>
                <w:sz w:val="24"/>
                <w:szCs w:val="24"/>
              </w:rPr>
              <w:t xml:space="preserve"> implications in relation to the impact of the Wellbeing of Future Generations Act</w:t>
            </w:r>
          </w:p>
          <w:p w14:paraId="6D290495" w14:textId="77777777" w:rsidR="00F5324A" w:rsidRPr="00390CAF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79E33AC3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99" w14:textId="77777777" w:rsidR="00653AEC" w:rsidRPr="00390CA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C" w14:textId="0D49C9D4" w:rsidR="00653AEC" w:rsidRPr="00390CAF" w:rsidRDefault="00390CAF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90CAF">
              <w:rPr>
                <w:rFonts w:ascii="Arial" w:hAnsi="Arial" w:cs="Arial"/>
                <w:sz w:val="24"/>
                <w:szCs w:val="24"/>
              </w:rPr>
              <w:t>Appendix 1 Workforce Updates and Actions</w:t>
            </w:r>
          </w:p>
          <w:p w14:paraId="6D29049D" w14:textId="77777777" w:rsidR="00653AEC" w:rsidRPr="00390CA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6D29049E" w14:textId="77777777" w:rsidR="00653AEC" w:rsidRPr="00390CAF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1CF30" w14:textId="77777777" w:rsidR="00EF31AD" w:rsidRDefault="00EF31AD" w:rsidP="00C107F2">
      <w:pPr>
        <w:spacing w:after="0" w:line="240" w:lineRule="auto"/>
      </w:pPr>
      <w:r>
        <w:separator/>
      </w:r>
    </w:p>
  </w:endnote>
  <w:endnote w:type="continuationSeparator" w:id="0">
    <w:p w14:paraId="48DA71A3" w14:textId="77777777" w:rsidR="00EF31AD" w:rsidRDefault="00EF31AD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7225418F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BB745E">
          <w:rPr>
            <w:noProof/>
          </w:rPr>
          <w:t>2</w:t>
        </w:r>
        <w:r>
          <w:fldChar w:fldCharType="end"/>
        </w:r>
      </w:p>
    </w:sdtContent>
  </w:sdt>
  <w:p w14:paraId="6D2904A9" w14:textId="7D3C78A7" w:rsidR="003324CB" w:rsidRDefault="00B22818" w:rsidP="002B7C9A">
    <w:pPr>
      <w:pStyle w:val="Footer"/>
      <w:jc w:val="right"/>
    </w:pPr>
    <w:r>
      <w:t>Workforce</w:t>
    </w:r>
    <w:r w:rsidR="00A073B5">
      <w:t>,</w:t>
    </w:r>
    <w:r>
      <w:t xml:space="preserve"> OD</w:t>
    </w:r>
    <w:r w:rsidR="00A073B5">
      <w:t xml:space="preserve"> and Digital</w:t>
    </w:r>
    <w:r>
      <w:t xml:space="preserve"> Committee –</w:t>
    </w:r>
    <w:r w:rsidR="00A073B5">
      <w:t xml:space="preserve"> </w:t>
    </w:r>
    <w:r>
      <w:t>15</w:t>
    </w:r>
    <w:r w:rsidRPr="00B22818">
      <w:rPr>
        <w:vertAlign w:val="superscript"/>
      </w:rPr>
      <w:t>th</w:t>
    </w:r>
    <w:r>
      <w:t xml:space="preserve"> August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7B084" w14:textId="77777777" w:rsidR="00EF31AD" w:rsidRDefault="00EF31AD" w:rsidP="00C107F2">
      <w:pPr>
        <w:spacing w:after="0" w:line="240" w:lineRule="auto"/>
      </w:pPr>
      <w:r>
        <w:separator/>
      </w:r>
    </w:p>
  </w:footnote>
  <w:footnote w:type="continuationSeparator" w:id="0">
    <w:p w14:paraId="70834E2C" w14:textId="77777777" w:rsidR="00EF31AD" w:rsidRDefault="00EF31AD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83BEA0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F361B"/>
    <w:rsid w:val="00133EA1"/>
    <w:rsid w:val="0016096B"/>
    <w:rsid w:val="001F5593"/>
    <w:rsid w:val="0020539A"/>
    <w:rsid w:val="002242E0"/>
    <w:rsid w:val="00233330"/>
    <w:rsid w:val="00241662"/>
    <w:rsid w:val="002950FF"/>
    <w:rsid w:val="00296CD9"/>
    <w:rsid w:val="002B7C9A"/>
    <w:rsid w:val="002C3DD6"/>
    <w:rsid w:val="0032747D"/>
    <w:rsid w:val="003324CB"/>
    <w:rsid w:val="00390CAF"/>
    <w:rsid w:val="003C0FF8"/>
    <w:rsid w:val="004021B7"/>
    <w:rsid w:val="00414894"/>
    <w:rsid w:val="00461835"/>
    <w:rsid w:val="0052297E"/>
    <w:rsid w:val="00560973"/>
    <w:rsid w:val="00585277"/>
    <w:rsid w:val="005D1652"/>
    <w:rsid w:val="00653AEC"/>
    <w:rsid w:val="00655190"/>
    <w:rsid w:val="00662218"/>
    <w:rsid w:val="00685AE0"/>
    <w:rsid w:val="006B724C"/>
    <w:rsid w:val="006D1998"/>
    <w:rsid w:val="00703D77"/>
    <w:rsid w:val="00711095"/>
    <w:rsid w:val="0072604C"/>
    <w:rsid w:val="00762BBE"/>
    <w:rsid w:val="00767E3E"/>
    <w:rsid w:val="008C15D9"/>
    <w:rsid w:val="008D0747"/>
    <w:rsid w:val="009112DC"/>
    <w:rsid w:val="009E7AF7"/>
    <w:rsid w:val="00A073B5"/>
    <w:rsid w:val="00AD064D"/>
    <w:rsid w:val="00B12734"/>
    <w:rsid w:val="00B22818"/>
    <w:rsid w:val="00B35ECC"/>
    <w:rsid w:val="00BA2507"/>
    <w:rsid w:val="00BB745E"/>
    <w:rsid w:val="00BC241D"/>
    <w:rsid w:val="00C107F2"/>
    <w:rsid w:val="00C33A04"/>
    <w:rsid w:val="00C95B3C"/>
    <w:rsid w:val="00CA6D65"/>
    <w:rsid w:val="00CD7AA5"/>
    <w:rsid w:val="00DA76AD"/>
    <w:rsid w:val="00E242E5"/>
    <w:rsid w:val="00E92B9F"/>
    <w:rsid w:val="00EF31AD"/>
    <w:rsid w:val="00F06D6F"/>
    <w:rsid w:val="00F11CD2"/>
    <w:rsid w:val="00F5082D"/>
    <w:rsid w:val="00F531BD"/>
    <w:rsid w:val="00F5324A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6980B3023BD41BA97425D2AB6F9D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96048-80E0-49EF-82A1-77D3D9A9290D}"/>
      </w:docPartPr>
      <w:docPartBody>
        <w:p w:rsidR="00201156" w:rsidRDefault="00220FB9" w:rsidP="00220FB9">
          <w:pPr>
            <w:pStyle w:val="D6980B3023BD41BA97425D2AB6F9D632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F5593"/>
    <w:rsid w:val="00201156"/>
    <w:rsid w:val="00220FB9"/>
    <w:rsid w:val="002E7994"/>
    <w:rsid w:val="00454715"/>
    <w:rsid w:val="0045583A"/>
    <w:rsid w:val="006B724C"/>
    <w:rsid w:val="00996728"/>
    <w:rsid w:val="00997553"/>
    <w:rsid w:val="00AF33F6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0FB9"/>
    <w:rPr>
      <w:color w:val="808080"/>
    </w:rPr>
  </w:style>
  <w:style w:type="paragraph" w:customStyle="1" w:styleId="D6980B3023BD41BA97425D2AB6F9D632">
    <w:name w:val="D6980B3023BD41BA97425D2AB6F9D632"/>
    <w:rsid w:val="00220F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C2AB2-E555-4CF3-8B5A-D60B068C3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Lewis  (Swansea Bay UHB - Corporate Governance )</cp:lastModifiedBy>
  <cp:revision>3</cp:revision>
  <dcterms:created xsi:type="dcterms:W3CDTF">2024-08-05T12:36:00Z</dcterms:created>
  <dcterms:modified xsi:type="dcterms:W3CDTF">2024-08-08T14:20:00Z</dcterms:modified>
</cp:coreProperties>
</file>