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024CA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C43A186" w14:textId="77777777" w:rsidR="00E5198F" w:rsidRDefault="00E5198F" w:rsidP="00E5198F">
      <w:pPr>
        <w:spacing w:after="0" w:line="240" w:lineRule="auto"/>
        <w:jc w:val="both"/>
        <w:rPr>
          <w:rFonts w:ascii="Arial" w:hAnsi="Arial" w:cs="Arial"/>
          <w:sz w:val="24"/>
        </w:rPr>
      </w:pPr>
      <w:r w:rsidRPr="194081B6">
        <w:rPr>
          <w:rFonts w:ascii="Arial" w:hAnsi="Arial" w:cs="Arial"/>
          <w:sz w:val="24"/>
          <w:szCs w:val="24"/>
        </w:rPr>
        <w:t>This section of the report provides further detail on key workforce measures.</w:t>
      </w:r>
      <w:r w:rsidR="00BE75DA" w:rsidRPr="194081B6">
        <w:rPr>
          <w:rFonts w:ascii="Arial" w:hAnsi="Arial" w:cs="Arial"/>
          <w:sz w:val="24"/>
          <w:szCs w:val="24"/>
        </w:rPr>
        <w:t xml:space="preserve"> Caveats and Limitations (C&amp;L) detailed beneath data in each section.</w:t>
      </w:r>
    </w:p>
    <w:tbl>
      <w:tblPr>
        <w:tblStyle w:val="TableGrid"/>
        <w:tblW w:w="12847" w:type="dxa"/>
        <w:tblInd w:w="5" w:type="dxa"/>
        <w:tblLayout w:type="fixed"/>
        <w:tblLook w:val="0600" w:firstRow="0" w:lastRow="0" w:firstColumn="0" w:lastColumn="0" w:noHBand="1" w:noVBand="1"/>
      </w:tblPr>
      <w:tblGrid>
        <w:gridCol w:w="2117"/>
        <w:gridCol w:w="10730"/>
      </w:tblGrid>
      <w:tr w:rsidR="00D40A65" w:rsidRPr="00407A0F" w14:paraId="11A3C2E0" w14:textId="77777777" w:rsidTr="00CE10AD">
        <w:tc>
          <w:tcPr>
            <w:tcW w:w="2117" w:type="dxa"/>
            <w:shd w:val="clear" w:color="auto" w:fill="DBE5F1" w:themeFill="accent1" w:themeFillTint="33"/>
          </w:tcPr>
          <w:p w14:paraId="2D289D3F" w14:textId="0408EC1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Staff sickness rates</w:t>
            </w:r>
            <w:r w:rsidR="00D85E6F">
              <w:rPr>
                <w:rFonts w:ascii="Arial" w:hAnsi="Arial" w:cs="Arial"/>
                <w:b/>
                <w:bCs/>
                <w:sz w:val="24"/>
                <w:szCs w:val="21"/>
              </w:rPr>
              <w:t xml:space="preserve"> </w:t>
            </w:r>
            <w:r w:rsidRPr="00783A68">
              <w:rPr>
                <w:rFonts w:ascii="Arial" w:hAnsi="Arial" w:cs="Arial"/>
                <w:b/>
                <w:bCs/>
                <w:sz w:val="24"/>
                <w:szCs w:val="21"/>
              </w:rPr>
              <w:t xml:space="preserve">- </w:t>
            </w:r>
            <w:r w:rsidRPr="00783A68">
              <w:rPr>
                <w:rFonts w:ascii="Arial" w:hAnsi="Arial" w:cs="Arial"/>
                <w:bCs/>
                <w:i/>
                <w:sz w:val="22"/>
                <w:szCs w:val="21"/>
              </w:rPr>
              <w:t>Percentage of sickness absence rate of staff</w:t>
            </w:r>
            <w:r w:rsidR="00BE4665">
              <w:rPr>
                <w:rFonts w:ascii="Arial" w:hAnsi="Arial" w:cs="Arial"/>
                <w:bCs/>
                <w:i/>
                <w:sz w:val="22"/>
                <w:szCs w:val="21"/>
              </w:rPr>
              <w:t xml:space="preserve"> (two metrics provided, ‘rolling 12 </w:t>
            </w:r>
            <w:proofErr w:type="gramStart"/>
            <w:r w:rsidR="00BE4665">
              <w:rPr>
                <w:rFonts w:ascii="Arial" w:hAnsi="Arial" w:cs="Arial"/>
                <w:bCs/>
                <w:i/>
                <w:sz w:val="22"/>
                <w:szCs w:val="21"/>
              </w:rPr>
              <w:t>month</w:t>
            </w:r>
            <w:proofErr w:type="gramEnd"/>
            <w:r w:rsidR="00BE4665">
              <w:rPr>
                <w:rFonts w:ascii="Arial" w:hAnsi="Arial" w:cs="Arial"/>
                <w:bCs/>
                <w:i/>
                <w:sz w:val="22"/>
                <w:szCs w:val="21"/>
              </w:rPr>
              <w:t>’ and ‘in month’)</w:t>
            </w:r>
          </w:p>
          <w:p w14:paraId="0676B513" w14:textId="77777777" w:rsidR="00D40A65" w:rsidRDefault="00D40A65" w:rsidP="00773540">
            <w:pPr>
              <w:spacing w:after="0" w:line="240" w:lineRule="auto"/>
              <w:rPr>
                <w:rFonts w:ascii="Arial" w:hAnsi="Arial" w:cs="Arial"/>
                <w:b/>
                <w:bCs/>
                <w:sz w:val="24"/>
                <w:szCs w:val="24"/>
              </w:rPr>
            </w:pPr>
          </w:p>
          <w:p w14:paraId="01F0C1CF" w14:textId="77777777" w:rsidR="003756B7" w:rsidRDefault="003756B7" w:rsidP="00773540">
            <w:pPr>
              <w:spacing w:after="0" w:line="240" w:lineRule="auto"/>
              <w:rPr>
                <w:rFonts w:ascii="Arial" w:hAnsi="Arial" w:cs="Arial"/>
                <w:b/>
                <w:bCs/>
                <w:sz w:val="24"/>
                <w:szCs w:val="24"/>
              </w:rPr>
            </w:pPr>
          </w:p>
          <w:p w14:paraId="3A9262E3" w14:textId="77777777" w:rsidR="003756B7" w:rsidRDefault="003756B7" w:rsidP="00773540">
            <w:pPr>
              <w:spacing w:after="0" w:line="240" w:lineRule="auto"/>
              <w:rPr>
                <w:rFonts w:ascii="Arial" w:hAnsi="Arial" w:cs="Arial"/>
                <w:b/>
                <w:bCs/>
                <w:sz w:val="24"/>
                <w:szCs w:val="24"/>
              </w:rPr>
            </w:pPr>
          </w:p>
          <w:p w14:paraId="0A253216" w14:textId="5BB6364E" w:rsidR="003756B7" w:rsidRPr="00783A68" w:rsidRDefault="003756B7" w:rsidP="00773540">
            <w:pPr>
              <w:spacing w:after="0" w:line="240" w:lineRule="auto"/>
              <w:rPr>
                <w:rFonts w:ascii="Arial" w:hAnsi="Arial" w:cs="Arial"/>
                <w:b/>
                <w:bCs/>
                <w:sz w:val="24"/>
                <w:szCs w:val="24"/>
              </w:rPr>
            </w:pPr>
            <w:r>
              <w:rPr>
                <w:rFonts w:ascii="Arial" w:hAnsi="Arial" w:cs="Arial"/>
                <w:b/>
                <w:bCs/>
                <w:sz w:val="24"/>
                <w:szCs w:val="24"/>
              </w:rPr>
              <w:t>Sickness absence target – 5.5%</w:t>
            </w:r>
          </w:p>
        </w:tc>
        <w:tc>
          <w:tcPr>
            <w:tcW w:w="10730" w:type="dxa"/>
            <w:shd w:val="clear" w:color="auto" w:fill="DDD9C3" w:themeFill="background2" w:themeFillShade="E6"/>
          </w:tcPr>
          <w:p w14:paraId="4FFF324F" w14:textId="3FAAD834" w:rsidR="00D40A65"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0C39E302" w14:textId="638EC11D" w:rsidR="009B7C03" w:rsidRDefault="009B7C03" w:rsidP="194081B6">
            <w:pPr>
              <w:spacing w:after="0" w:line="240" w:lineRule="auto"/>
              <w:jc w:val="center"/>
            </w:pPr>
          </w:p>
          <w:p w14:paraId="18035D3A" w14:textId="20A5173B" w:rsidR="00D47F8E" w:rsidRDefault="00CE10AD" w:rsidP="194081B6">
            <w:pPr>
              <w:spacing w:after="0" w:line="240" w:lineRule="auto"/>
              <w:jc w:val="center"/>
            </w:pPr>
            <w:r>
              <w:rPr>
                <w:noProof/>
              </w:rPr>
              <w:drawing>
                <wp:inline distT="0" distB="0" distL="0" distR="0" wp14:anchorId="7878F724" wp14:editId="0F1E5FFA">
                  <wp:extent cx="5494352" cy="2647784"/>
                  <wp:effectExtent l="0" t="0" r="0" b="635"/>
                  <wp:docPr id="2" name="Chart 2">
                    <a:extLst xmlns:a="http://schemas.openxmlformats.org/drawingml/2006/main">
                      <a:ext uri="{FF2B5EF4-FFF2-40B4-BE49-F238E27FC236}">
                        <a16:creationId xmlns:a16="http://schemas.microsoft.com/office/drawing/2014/main" id="{DC461F98-E200-4333-949C-6C9F18CF82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433E37" w14:textId="77777777" w:rsidR="00D47F8E" w:rsidRDefault="00D47F8E" w:rsidP="194081B6">
            <w:pPr>
              <w:spacing w:after="0" w:line="240" w:lineRule="auto"/>
              <w:rPr>
                <w:rFonts w:ascii="Arial" w:hAnsi="Arial" w:cs="Arial"/>
                <w:i/>
                <w:sz w:val="18"/>
                <w:szCs w:val="18"/>
              </w:rPr>
            </w:pPr>
          </w:p>
          <w:p w14:paraId="036E2B94" w14:textId="0C7E0F66" w:rsidR="00A6373C" w:rsidRPr="00A6373C" w:rsidRDefault="009B7C03" w:rsidP="194081B6">
            <w:pPr>
              <w:spacing w:after="0" w:line="240" w:lineRule="auto"/>
              <w:rPr>
                <w:rFonts w:ascii="Arial" w:hAnsi="Arial" w:cs="Arial"/>
                <w:i/>
                <w:iCs/>
                <w:sz w:val="18"/>
                <w:szCs w:val="18"/>
              </w:rPr>
            </w:pPr>
            <w:r w:rsidRPr="004844A4">
              <w:rPr>
                <w:rFonts w:ascii="Arial" w:hAnsi="Arial" w:cs="Arial"/>
                <w:i/>
                <w:sz w:val="18"/>
                <w:szCs w:val="18"/>
              </w:rPr>
              <w:t>C</w:t>
            </w:r>
            <w:r w:rsidR="00EA259B">
              <w:rPr>
                <w:rFonts w:ascii="Arial" w:hAnsi="Arial" w:cs="Arial"/>
                <w:i/>
                <w:sz w:val="18"/>
                <w:szCs w:val="18"/>
              </w:rPr>
              <w:t xml:space="preserve">aveat </w:t>
            </w:r>
            <w:r w:rsidRPr="004844A4">
              <w:rPr>
                <w:rFonts w:ascii="Arial" w:hAnsi="Arial" w:cs="Arial"/>
                <w:i/>
                <w:sz w:val="18"/>
                <w:szCs w:val="18"/>
              </w:rPr>
              <w:t>&amp;</w:t>
            </w:r>
            <w:r w:rsidR="00EA259B">
              <w:rPr>
                <w:rFonts w:ascii="Arial" w:hAnsi="Arial" w:cs="Arial"/>
                <w:i/>
                <w:sz w:val="18"/>
                <w:szCs w:val="18"/>
              </w:rPr>
              <w:t xml:space="preserve"> </w:t>
            </w:r>
            <w:proofErr w:type="gramStart"/>
            <w:r w:rsidRPr="004844A4">
              <w:rPr>
                <w:rFonts w:ascii="Arial" w:hAnsi="Arial" w:cs="Arial"/>
                <w:i/>
                <w:sz w:val="18"/>
                <w:szCs w:val="18"/>
              </w:rPr>
              <w:t>L</w:t>
            </w:r>
            <w:r w:rsidR="00EA259B">
              <w:rPr>
                <w:rFonts w:ascii="Arial" w:hAnsi="Arial" w:cs="Arial"/>
                <w:i/>
                <w:sz w:val="18"/>
                <w:szCs w:val="18"/>
              </w:rPr>
              <w:t>imitations</w:t>
            </w:r>
            <w:r w:rsidRPr="004844A4">
              <w:rPr>
                <w:rFonts w:ascii="Arial" w:hAnsi="Arial" w:cs="Arial"/>
                <w:i/>
                <w:sz w:val="18"/>
                <w:szCs w:val="18"/>
              </w:rPr>
              <w:t>;-</w:t>
            </w:r>
            <w:proofErr w:type="gramEnd"/>
            <w:r w:rsidRPr="004844A4">
              <w:rPr>
                <w:rFonts w:ascii="Arial" w:hAnsi="Arial" w:cs="Arial"/>
                <w:i/>
                <w:sz w:val="18"/>
                <w:szCs w:val="18"/>
              </w:rPr>
              <w:t xml:space="preserve"> Report generated </w:t>
            </w:r>
            <w:r w:rsidR="00CE10AD">
              <w:rPr>
                <w:rFonts w:ascii="Arial" w:hAnsi="Arial" w:cs="Arial"/>
                <w:i/>
                <w:sz w:val="18"/>
                <w:szCs w:val="18"/>
              </w:rPr>
              <w:t>March</w:t>
            </w:r>
            <w:r w:rsidRPr="004844A4">
              <w:rPr>
                <w:rFonts w:ascii="Arial" w:hAnsi="Arial" w:cs="Arial"/>
                <w:i/>
                <w:sz w:val="18"/>
                <w:szCs w:val="18"/>
              </w:rPr>
              <w:t xml:space="preserve"> 202</w:t>
            </w:r>
            <w:r w:rsidR="00D47F8E">
              <w:rPr>
                <w:rFonts w:ascii="Arial" w:hAnsi="Arial" w:cs="Arial"/>
                <w:i/>
                <w:sz w:val="18"/>
                <w:szCs w:val="18"/>
              </w:rPr>
              <w:t>4</w:t>
            </w:r>
            <w:r>
              <w:rPr>
                <w:rFonts w:ascii="Arial" w:hAnsi="Arial" w:cs="Arial"/>
                <w:i/>
                <w:sz w:val="18"/>
                <w:szCs w:val="18"/>
              </w:rPr>
              <w:t>, within SBUHB (Performance Team)</w:t>
            </w:r>
            <w:r w:rsidR="00CF3BEB">
              <w:rPr>
                <w:rFonts w:ascii="Arial" w:hAnsi="Arial" w:cs="Arial"/>
                <w:i/>
                <w:sz w:val="18"/>
                <w:szCs w:val="18"/>
              </w:rPr>
              <w:t xml:space="preserve"> for substantive and FTC employee types</w:t>
            </w:r>
            <w:r w:rsidRPr="004844A4">
              <w:rPr>
                <w:rFonts w:ascii="Arial" w:hAnsi="Arial" w:cs="Arial"/>
                <w:i/>
                <w:sz w:val="18"/>
                <w:szCs w:val="18"/>
              </w:rPr>
              <w:t>.</w:t>
            </w:r>
            <w:r w:rsidR="00A6373C">
              <w:rPr>
                <w:rFonts w:ascii="Arial" w:hAnsi="Arial" w:cs="Arial"/>
                <w:i/>
                <w:sz w:val="18"/>
                <w:szCs w:val="18"/>
              </w:rPr>
              <w:t xml:space="preserve"> Data source – ESR</w:t>
            </w:r>
            <w:r w:rsidR="00CF3BEB">
              <w:rPr>
                <w:rFonts w:ascii="Arial" w:hAnsi="Arial" w:cs="Arial"/>
                <w:i/>
                <w:sz w:val="18"/>
                <w:szCs w:val="18"/>
              </w:rPr>
              <w:t>.</w:t>
            </w:r>
            <w:r w:rsidR="00A251A2">
              <w:rPr>
                <w:rFonts w:ascii="Arial" w:hAnsi="Arial" w:cs="Arial"/>
                <w:i/>
                <w:sz w:val="18"/>
                <w:szCs w:val="18"/>
              </w:rPr>
              <w:t xml:space="preserve"> </w:t>
            </w:r>
            <w:r w:rsidR="00913066" w:rsidRPr="194081B6">
              <w:rPr>
                <w:rFonts w:ascii="Arial" w:hAnsi="Arial" w:cs="Arial"/>
                <w:i/>
                <w:iCs/>
                <w:sz w:val="18"/>
                <w:szCs w:val="18"/>
              </w:rPr>
              <w:t>Target of 5.5% added as blue line</w:t>
            </w:r>
          </w:p>
          <w:p w14:paraId="23C68331" w14:textId="54284CD0" w:rsidR="00A6373C" w:rsidRPr="00A6373C" w:rsidRDefault="00A6373C" w:rsidP="194081B6">
            <w:pPr>
              <w:spacing w:after="0" w:line="240" w:lineRule="auto"/>
              <w:rPr>
                <w:rFonts w:ascii="Arial" w:hAnsi="Arial" w:cs="Arial"/>
                <w:i/>
                <w:iCs/>
                <w:sz w:val="18"/>
                <w:szCs w:val="18"/>
                <w:highlight w:val="yellow"/>
              </w:rPr>
            </w:pPr>
          </w:p>
        </w:tc>
      </w:tr>
      <w:tr w:rsidR="00877518" w:rsidRPr="00437E67" w14:paraId="55BC500F" w14:textId="77777777" w:rsidTr="5E29146B">
        <w:tc>
          <w:tcPr>
            <w:tcW w:w="12847" w:type="dxa"/>
            <w:gridSpan w:val="2"/>
            <w:shd w:val="clear" w:color="auto" w:fill="EAF1DD" w:themeFill="accent3" w:themeFillTint="33"/>
          </w:tcPr>
          <w:p w14:paraId="5277B735"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994D25" w:rsidRPr="00437E67" w14:paraId="6379F7AA" w14:textId="77777777" w:rsidTr="00CC23E6">
        <w:tc>
          <w:tcPr>
            <w:tcW w:w="12847" w:type="dxa"/>
            <w:gridSpan w:val="2"/>
            <w:shd w:val="clear" w:color="auto" w:fill="DDD9C3" w:themeFill="background2" w:themeFillShade="E6"/>
          </w:tcPr>
          <w:p w14:paraId="3AE5C355" w14:textId="77777777" w:rsidR="00CC23E6" w:rsidRPr="00E659A0" w:rsidRDefault="00CC23E6" w:rsidP="00CC23E6">
            <w:pPr>
              <w:spacing w:after="0" w:line="240" w:lineRule="auto"/>
              <w:rPr>
                <w:rFonts w:ascii="Arial" w:hAnsi="Arial" w:cs="Arial"/>
              </w:rPr>
            </w:pPr>
            <w:r>
              <w:rPr>
                <w:rFonts w:ascii="Arial" w:hAnsi="Arial" w:cs="Arial"/>
              </w:rPr>
              <w:t>In month</w:t>
            </w:r>
            <w:r w:rsidRPr="00893258">
              <w:rPr>
                <w:rFonts w:ascii="Arial" w:hAnsi="Arial" w:cs="Arial"/>
              </w:rPr>
              <w:t xml:space="preserve"> sickness absence has </w:t>
            </w:r>
            <w:r>
              <w:rPr>
                <w:rFonts w:ascii="Arial" w:hAnsi="Arial" w:cs="Arial"/>
              </w:rPr>
              <w:t>decreased from</w:t>
            </w:r>
            <w:r w:rsidRPr="00893258">
              <w:rPr>
                <w:rFonts w:ascii="Arial" w:hAnsi="Arial" w:cs="Arial"/>
              </w:rPr>
              <w:t xml:space="preserve"> 7.73% </w:t>
            </w:r>
            <w:r>
              <w:rPr>
                <w:rFonts w:ascii="Arial" w:hAnsi="Arial" w:cs="Arial"/>
              </w:rPr>
              <w:t>to 7.06% reported in February 2025</w:t>
            </w:r>
            <w:r w:rsidRPr="00893258">
              <w:rPr>
                <w:rFonts w:ascii="Arial" w:hAnsi="Arial" w:cs="Arial"/>
              </w:rPr>
              <w:t xml:space="preserve">. Long term sickness </w:t>
            </w:r>
            <w:r>
              <w:rPr>
                <w:rFonts w:ascii="Arial" w:hAnsi="Arial" w:cs="Arial"/>
              </w:rPr>
              <w:t>has reduced by 1.19% since the last reporting period. Short term sickness has decreased by 0.53% since the last reporting period.</w:t>
            </w:r>
          </w:p>
          <w:p w14:paraId="1B836F98" w14:textId="77777777" w:rsidR="00CC23E6" w:rsidRDefault="00CC23E6" w:rsidP="00CC23E6">
            <w:pPr>
              <w:pStyle w:val="ListParagraph"/>
              <w:numPr>
                <w:ilvl w:val="0"/>
                <w:numId w:val="33"/>
              </w:numPr>
              <w:spacing w:after="0" w:line="240" w:lineRule="auto"/>
              <w:rPr>
                <w:rFonts w:ascii="Arial" w:hAnsi="Arial" w:cs="Arial"/>
              </w:rPr>
            </w:pPr>
            <w:r w:rsidRPr="00893258">
              <w:rPr>
                <w:rFonts w:ascii="Arial" w:hAnsi="Arial" w:cs="Arial"/>
              </w:rPr>
              <w:t>Anxiety/stress related absence remains the highest reason for absence</w:t>
            </w:r>
            <w:r>
              <w:rPr>
                <w:rFonts w:ascii="Arial" w:hAnsi="Arial" w:cs="Arial"/>
              </w:rPr>
              <w:t>, a trend witnessed across NHS Wales. Anxiety/Stress/Depression reported</w:t>
            </w:r>
            <w:r w:rsidRPr="00893258">
              <w:rPr>
                <w:rFonts w:ascii="Arial" w:hAnsi="Arial" w:cs="Arial"/>
              </w:rPr>
              <w:t xml:space="preserve"> </w:t>
            </w:r>
            <w:r>
              <w:rPr>
                <w:rFonts w:ascii="Arial" w:hAnsi="Arial" w:cs="Arial"/>
              </w:rPr>
              <w:t xml:space="preserve">in February 2025 accounts for 2.4% of all in month sickness absence, the number of FTE days lost due to Anxiety/Stress/Depression has reduced by 38% since the last reporting period. </w:t>
            </w:r>
          </w:p>
          <w:p w14:paraId="1C5CDA49" w14:textId="77777777" w:rsidR="00CC23E6" w:rsidRPr="00FE7164" w:rsidRDefault="00CC23E6" w:rsidP="00CC23E6">
            <w:pPr>
              <w:pStyle w:val="ListParagraph"/>
              <w:numPr>
                <w:ilvl w:val="0"/>
                <w:numId w:val="33"/>
              </w:numPr>
              <w:spacing w:after="0" w:line="240" w:lineRule="auto"/>
              <w:rPr>
                <w:rFonts w:ascii="Arial" w:hAnsi="Arial" w:cs="Arial"/>
              </w:rPr>
            </w:pPr>
            <w:r>
              <w:rPr>
                <w:rFonts w:ascii="Arial" w:hAnsi="Arial" w:cs="Arial"/>
              </w:rPr>
              <w:t>The number of FTE days lost due to Cold/Cough/Flu have also reduced by 35% which is expected due to seasonal illness trends</w:t>
            </w:r>
            <w:r w:rsidRPr="00FE7164">
              <w:rPr>
                <w:rFonts w:ascii="Arial" w:hAnsi="Arial" w:cs="Arial"/>
              </w:rPr>
              <w:t xml:space="preserve"> </w:t>
            </w:r>
          </w:p>
          <w:p w14:paraId="312EE19C" w14:textId="77777777" w:rsidR="00CC23E6" w:rsidRPr="00893258" w:rsidRDefault="00CC23E6" w:rsidP="00CC23E6">
            <w:pPr>
              <w:pStyle w:val="ListParagraph"/>
              <w:numPr>
                <w:ilvl w:val="0"/>
                <w:numId w:val="33"/>
              </w:numPr>
              <w:spacing w:after="0" w:line="240" w:lineRule="auto"/>
              <w:rPr>
                <w:rFonts w:ascii="Arial" w:hAnsi="Arial" w:cs="Arial"/>
              </w:rPr>
            </w:pPr>
            <w:r w:rsidRPr="00893258">
              <w:rPr>
                <w:rFonts w:ascii="Arial" w:hAnsi="Arial" w:cs="Arial"/>
              </w:rPr>
              <w:t>The Directorate with the highest absence levels at the end of this quarter is the COO Directorate at 11.</w:t>
            </w:r>
            <w:r>
              <w:rPr>
                <w:rFonts w:ascii="Arial" w:hAnsi="Arial" w:cs="Arial"/>
              </w:rPr>
              <w:t>76</w:t>
            </w:r>
            <w:r w:rsidRPr="00893258">
              <w:rPr>
                <w:rFonts w:ascii="Arial" w:hAnsi="Arial" w:cs="Arial"/>
              </w:rPr>
              <w:t xml:space="preserve">%. This is </w:t>
            </w:r>
            <w:proofErr w:type="gramStart"/>
            <w:r w:rsidRPr="00893258">
              <w:rPr>
                <w:rFonts w:ascii="Arial" w:hAnsi="Arial" w:cs="Arial"/>
              </w:rPr>
              <w:t>as a result of</w:t>
            </w:r>
            <w:proofErr w:type="gramEnd"/>
            <w:r w:rsidRPr="00893258">
              <w:rPr>
                <w:rFonts w:ascii="Arial" w:hAnsi="Arial" w:cs="Arial"/>
              </w:rPr>
              <w:t xml:space="preserve"> high </w:t>
            </w:r>
            <w:proofErr w:type="gramStart"/>
            <w:r w:rsidRPr="00893258">
              <w:rPr>
                <w:rFonts w:ascii="Arial" w:hAnsi="Arial" w:cs="Arial"/>
              </w:rPr>
              <w:t>long term</w:t>
            </w:r>
            <w:proofErr w:type="gramEnd"/>
            <w:r w:rsidRPr="00893258">
              <w:rPr>
                <w:rFonts w:ascii="Arial" w:hAnsi="Arial" w:cs="Arial"/>
              </w:rPr>
              <w:t xml:space="preserve"> absences recorded as stress/depression/anxiety within Hotel Services. </w:t>
            </w:r>
          </w:p>
          <w:p w14:paraId="6E91F543" w14:textId="77777777" w:rsidR="00CC23E6" w:rsidRDefault="00CC23E6" w:rsidP="00CC23E6">
            <w:pPr>
              <w:pStyle w:val="ListParagraph"/>
              <w:numPr>
                <w:ilvl w:val="0"/>
                <w:numId w:val="33"/>
              </w:numPr>
              <w:spacing w:after="0" w:line="240" w:lineRule="auto"/>
              <w:rPr>
                <w:rFonts w:ascii="Arial" w:hAnsi="Arial" w:cs="Arial"/>
              </w:rPr>
            </w:pPr>
            <w:r w:rsidRPr="00893258">
              <w:rPr>
                <w:rFonts w:ascii="Arial" w:hAnsi="Arial" w:cs="Arial"/>
              </w:rPr>
              <w:t xml:space="preserve">Mental Health &amp; Learning Disabilities remains the Service Group with the highest levels of absence at </w:t>
            </w:r>
            <w:r>
              <w:rPr>
                <w:rFonts w:ascii="Arial" w:hAnsi="Arial" w:cs="Arial"/>
              </w:rPr>
              <w:t>7.75</w:t>
            </w:r>
            <w:r w:rsidRPr="00893258">
              <w:rPr>
                <w:rFonts w:ascii="Arial" w:hAnsi="Arial" w:cs="Arial"/>
              </w:rPr>
              <w:t xml:space="preserve">%, a </w:t>
            </w:r>
            <w:r>
              <w:rPr>
                <w:rFonts w:ascii="Arial" w:hAnsi="Arial" w:cs="Arial"/>
              </w:rPr>
              <w:t>1% reduction</w:t>
            </w:r>
            <w:r w:rsidRPr="00893258">
              <w:rPr>
                <w:rFonts w:ascii="Arial" w:hAnsi="Arial" w:cs="Arial"/>
              </w:rPr>
              <w:t xml:space="preserve"> since the last quarter </w:t>
            </w:r>
          </w:p>
          <w:p w14:paraId="707AF224" w14:textId="77777777" w:rsidR="00CC23E6" w:rsidRDefault="00CC23E6" w:rsidP="00CC23E6">
            <w:pPr>
              <w:pStyle w:val="ListParagraph"/>
              <w:numPr>
                <w:ilvl w:val="0"/>
                <w:numId w:val="33"/>
              </w:numPr>
              <w:spacing w:after="0" w:line="240" w:lineRule="auto"/>
              <w:rPr>
                <w:rFonts w:ascii="Arial" w:hAnsi="Arial" w:cs="Arial"/>
              </w:rPr>
            </w:pPr>
            <w:r w:rsidRPr="00893258">
              <w:rPr>
                <w:rFonts w:ascii="Arial" w:hAnsi="Arial" w:cs="Arial"/>
              </w:rPr>
              <w:t xml:space="preserve">Primary Community Care &amp; Therapies Service Group </w:t>
            </w:r>
            <w:r>
              <w:rPr>
                <w:rFonts w:ascii="Arial" w:hAnsi="Arial" w:cs="Arial"/>
              </w:rPr>
              <w:t xml:space="preserve">remain to be the Service Group with the lowest level of sickness absence which has further reduced to 5.73% in February 2025. It is reported that this reduction in sickness absence is due to employees returning to work from sickness absence  </w:t>
            </w:r>
          </w:p>
          <w:p w14:paraId="37A83103" w14:textId="77777777" w:rsidR="00CC23E6" w:rsidRPr="00893258" w:rsidRDefault="00CC23E6" w:rsidP="00CC23E6">
            <w:pPr>
              <w:pStyle w:val="ListParagraph"/>
              <w:numPr>
                <w:ilvl w:val="0"/>
                <w:numId w:val="33"/>
              </w:numPr>
              <w:spacing w:after="0" w:line="240" w:lineRule="auto"/>
              <w:rPr>
                <w:rFonts w:ascii="Arial" w:hAnsi="Arial" w:cs="Arial"/>
              </w:rPr>
            </w:pPr>
            <w:r>
              <w:rPr>
                <w:rFonts w:ascii="Arial" w:hAnsi="Arial" w:cs="Arial"/>
              </w:rPr>
              <w:lastRenderedPageBreak/>
              <w:t>Sickness absence in b</w:t>
            </w:r>
            <w:r w:rsidRPr="00893258">
              <w:rPr>
                <w:rFonts w:ascii="Arial" w:hAnsi="Arial" w:cs="Arial"/>
              </w:rPr>
              <w:t>oth Morrison</w:t>
            </w:r>
            <w:r>
              <w:rPr>
                <w:rFonts w:ascii="Arial" w:hAnsi="Arial" w:cs="Arial"/>
              </w:rPr>
              <w:t xml:space="preserve"> (7.35%)</w:t>
            </w:r>
            <w:r w:rsidRPr="00893258">
              <w:rPr>
                <w:rFonts w:ascii="Arial" w:hAnsi="Arial" w:cs="Arial"/>
              </w:rPr>
              <w:t xml:space="preserve"> and Neath Port Talbot Service Group</w:t>
            </w:r>
            <w:r>
              <w:rPr>
                <w:rFonts w:ascii="Arial" w:hAnsi="Arial" w:cs="Arial"/>
              </w:rPr>
              <w:t>s (6.93%)</w:t>
            </w:r>
            <w:r w:rsidRPr="00893258">
              <w:rPr>
                <w:rFonts w:ascii="Arial" w:hAnsi="Arial" w:cs="Arial"/>
              </w:rPr>
              <w:t xml:space="preserve"> </w:t>
            </w:r>
            <w:r>
              <w:rPr>
                <w:rFonts w:ascii="Arial" w:hAnsi="Arial" w:cs="Arial"/>
              </w:rPr>
              <w:t xml:space="preserve">has reduced since the last reporting period. </w:t>
            </w:r>
            <w:r w:rsidRPr="00893258">
              <w:rPr>
                <w:rFonts w:ascii="Arial" w:hAnsi="Arial" w:cs="Arial"/>
              </w:rPr>
              <w:t xml:space="preserve">Whilst </w:t>
            </w:r>
            <w:r>
              <w:rPr>
                <w:rFonts w:ascii="Arial" w:hAnsi="Arial" w:cs="Arial"/>
              </w:rPr>
              <w:t>Anxiety/</w:t>
            </w:r>
            <w:r w:rsidRPr="00893258">
              <w:rPr>
                <w:rFonts w:ascii="Arial" w:hAnsi="Arial" w:cs="Arial"/>
              </w:rPr>
              <w:t>Stress/Depression remain</w:t>
            </w:r>
            <w:r>
              <w:rPr>
                <w:rFonts w:ascii="Arial" w:hAnsi="Arial" w:cs="Arial"/>
              </w:rPr>
              <w:t>s</w:t>
            </w:r>
            <w:r w:rsidRPr="00893258">
              <w:rPr>
                <w:rFonts w:ascii="Arial" w:hAnsi="Arial" w:cs="Arial"/>
              </w:rPr>
              <w:t xml:space="preserve"> the highest reason for long term absence, both Service Groups saw a </w:t>
            </w:r>
            <w:r>
              <w:rPr>
                <w:rFonts w:ascii="Arial" w:hAnsi="Arial" w:cs="Arial"/>
              </w:rPr>
              <w:t>de</w:t>
            </w:r>
            <w:r w:rsidRPr="00893258">
              <w:rPr>
                <w:rFonts w:ascii="Arial" w:hAnsi="Arial" w:cs="Arial"/>
              </w:rPr>
              <w:t>crease in Cough, Cold and Flu cases.</w:t>
            </w:r>
          </w:p>
          <w:p w14:paraId="62E41802" w14:textId="1B2F6C2E" w:rsidR="00326954" w:rsidRPr="00326954" w:rsidRDefault="00326954" w:rsidP="00326954">
            <w:pPr>
              <w:pStyle w:val="ListParagraph"/>
              <w:spacing w:after="0" w:line="240" w:lineRule="auto"/>
              <w:ind w:left="360"/>
              <w:rPr>
                <w:rFonts w:ascii="Arial" w:hAnsi="Arial" w:cs="Arial"/>
                <w:highlight w:val="yellow"/>
              </w:rPr>
            </w:pPr>
          </w:p>
        </w:tc>
      </w:tr>
      <w:tr w:rsidR="00994D25" w:rsidRPr="00D40A65" w14:paraId="1B28EB19" w14:textId="77777777" w:rsidTr="5E29146B">
        <w:tc>
          <w:tcPr>
            <w:tcW w:w="12847" w:type="dxa"/>
            <w:gridSpan w:val="2"/>
            <w:shd w:val="clear" w:color="auto" w:fill="EAF1DD" w:themeFill="accent3" w:themeFillTint="33"/>
          </w:tcPr>
          <w:p w14:paraId="591F2706" w14:textId="77777777" w:rsidR="00994D25" w:rsidRPr="00877518" w:rsidRDefault="00994D25" w:rsidP="00994D25">
            <w:pPr>
              <w:spacing w:after="0" w:line="240" w:lineRule="auto"/>
              <w:rPr>
                <w:rFonts w:ascii="Arial" w:hAnsi="Arial" w:cs="Arial"/>
                <w:b/>
              </w:rPr>
            </w:pPr>
            <w:r w:rsidRPr="00877518">
              <w:rPr>
                <w:rFonts w:ascii="Arial" w:hAnsi="Arial" w:cs="Arial"/>
                <w:b/>
              </w:rPr>
              <w:lastRenderedPageBreak/>
              <w:t>Actions for Next Period</w:t>
            </w:r>
          </w:p>
        </w:tc>
      </w:tr>
      <w:tr w:rsidR="00994D25" w:rsidRPr="00D40A65" w14:paraId="35447E90" w14:textId="77777777" w:rsidTr="00CC23E6">
        <w:tc>
          <w:tcPr>
            <w:tcW w:w="12847" w:type="dxa"/>
            <w:gridSpan w:val="2"/>
            <w:shd w:val="clear" w:color="auto" w:fill="DDD9C3" w:themeFill="background2" w:themeFillShade="E6"/>
          </w:tcPr>
          <w:p w14:paraId="73302344" w14:textId="0261A1CA" w:rsidR="00994D25" w:rsidRDefault="00994D25" w:rsidP="00994D25">
            <w:pPr>
              <w:spacing w:after="0" w:line="240" w:lineRule="auto"/>
              <w:contextualSpacing/>
              <w:textAlignment w:val="baseline"/>
              <w:rPr>
                <w:rFonts w:ascii="Arial" w:hAnsi="Arial" w:cs="Arial"/>
              </w:rPr>
            </w:pPr>
          </w:p>
          <w:p w14:paraId="59223662" w14:textId="77777777" w:rsidR="00CC23E6" w:rsidRPr="00485E76" w:rsidRDefault="00CC23E6" w:rsidP="00CC23E6">
            <w:pPr>
              <w:spacing w:after="0" w:line="240" w:lineRule="auto"/>
              <w:contextualSpacing/>
              <w:textAlignment w:val="baseline"/>
              <w:rPr>
                <w:rFonts w:ascii="Arial" w:hAnsi="Arial" w:cs="Arial"/>
                <w:b/>
              </w:rPr>
            </w:pPr>
            <w:r w:rsidRPr="00485E76">
              <w:rPr>
                <w:rFonts w:ascii="Arial" w:hAnsi="Arial" w:cs="Arial"/>
                <w:b/>
              </w:rPr>
              <w:t>General</w:t>
            </w:r>
          </w:p>
          <w:p w14:paraId="108D2F89" w14:textId="77777777" w:rsidR="00CC23E6" w:rsidRPr="00485E76" w:rsidRDefault="00CC23E6" w:rsidP="00CC23E6">
            <w:pPr>
              <w:spacing w:after="0" w:line="240" w:lineRule="auto"/>
              <w:contextualSpacing/>
              <w:textAlignment w:val="baseline"/>
              <w:rPr>
                <w:rFonts w:ascii="Arial" w:hAnsi="Arial" w:cs="Arial"/>
              </w:rPr>
            </w:pPr>
            <w:r w:rsidRPr="00485E76">
              <w:rPr>
                <w:rFonts w:ascii="Arial" w:hAnsi="Arial" w:cs="Arial"/>
              </w:rPr>
              <w:t>Current focus on areas with high absences rates, examples of initiatives to support our employees:</w:t>
            </w:r>
          </w:p>
          <w:p w14:paraId="32CA9DCA" w14:textId="30E53BED" w:rsidR="00CC23E6" w:rsidRPr="0060667F" w:rsidRDefault="00CC23E6" w:rsidP="0060667F">
            <w:pPr>
              <w:spacing w:after="0" w:line="240" w:lineRule="auto"/>
              <w:rPr>
                <w:rFonts w:ascii="Arial" w:hAnsi="Arial" w:cs="Arial"/>
                <w:bCs/>
              </w:rPr>
            </w:pPr>
          </w:p>
          <w:p w14:paraId="22141EB5" w14:textId="77777777" w:rsidR="00CC23E6" w:rsidRPr="00485E76" w:rsidRDefault="00CC23E6" w:rsidP="00CC23E6">
            <w:pPr>
              <w:pStyle w:val="ListParagraph"/>
              <w:numPr>
                <w:ilvl w:val="0"/>
                <w:numId w:val="21"/>
              </w:numPr>
              <w:spacing w:after="0" w:line="240" w:lineRule="auto"/>
              <w:rPr>
                <w:rFonts w:ascii="Arial" w:hAnsi="Arial" w:cs="Arial"/>
                <w:bCs/>
              </w:rPr>
            </w:pPr>
            <w:r w:rsidRPr="00485E76">
              <w:rPr>
                <w:rFonts w:ascii="Arial" w:hAnsi="Arial" w:cs="Arial"/>
                <w:bCs/>
              </w:rPr>
              <w:t>Case conference training for leaders in partnership with OH</w:t>
            </w:r>
          </w:p>
          <w:p w14:paraId="78EAD4CD" w14:textId="77777777" w:rsidR="00CC23E6" w:rsidRPr="00B6237C" w:rsidRDefault="00CC23E6" w:rsidP="00CC23E6">
            <w:pPr>
              <w:pStyle w:val="ListParagraph"/>
              <w:numPr>
                <w:ilvl w:val="0"/>
                <w:numId w:val="21"/>
              </w:numPr>
              <w:spacing w:after="0" w:line="240" w:lineRule="auto"/>
              <w:rPr>
                <w:rFonts w:ascii="Arial" w:hAnsi="Arial" w:cs="Arial"/>
                <w:bCs/>
                <w:color w:val="000000" w:themeColor="text1"/>
              </w:rPr>
            </w:pPr>
            <w:r w:rsidRPr="00485E76">
              <w:rPr>
                <w:rFonts w:ascii="Arial" w:hAnsi="Arial" w:cs="Arial"/>
                <w:bCs/>
                <w:lang w:eastAsia="en-US"/>
              </w:rPr>
              <w:t xml:space="preserve">The HRBPs leading on the initiatives listed above are working together to share best practice with the intention to deploy initiatives across </w:t>
            </w:r>
            <w:r w:rsidRPr="00B6237C">
              <w:rPr>
                <w:rFonts w:ascii="Arial" w:hAnsi="Arial" w:cs="Arial"/>
                <w:bCs/>
                <w:color w:val="000000" w:themeColor="text1"/>
                <w:lang w:eastAsia="en-US"/>
              </w:rPr>
              <w:t>the HB</w:t>
            </w:r>
          </w:p>
          <w:p w14:paraId="4EC10C83" w14:textId="41708CFF" w:rsidR="00B6237C" w:rsidRPr="00B6237C" w:rsidRDefault="00B6237C" w:rsidP="00B6237C">
            <w:pPr>
              <w:pStyle w:val="ListParagraph"/>
              <w:spacing w:after="0" w:line="240" w:lineRule="auto"/>
              <w:textAlignment w:val="baseline"/>
              <w:rPr>
                <w:rFonts w:ascii="Arial" w:hAnsi="Arial" w:cs="Arial"/>
                <w:color w:val="000000" w:themeColor="text1"/>
              </w:rPr>
            </w:pPr>
          </w:p>
          <w:p w14:paraId="5F09CB97" w14:textId="77777777" w:rsidR="00B6237C" w:rsidRPr="00B6237C" w:rsidRDefault="00B6237C" w:rsidP="00B6237C">
            <w:pPr>
              <w:spacing w:after="0" w:line="240" w:lineRule="auto"/>
              <w:contextualSpacing/>
              <w:textAlignment w:val="baseline"/>
              <w:rPr>
                <w:rFonts w:ascii="Arial" w:hAnsi="Arial" w:cs="Arial"/>
                <w:b/>
                <w:bCs/>
                <w:color w:val="000000" w:themeColor="text1"/>
              </w:rPr>
            </w:pPr>
            <w:r w:rsidRPr="00B6237C">
              <w:rPr>
                <w:rFonts w:ascii="Arial" w:hAnsi="Arial" w:cs="Arial"/>
                <w:b/>
                <w:bCs/>
                <w:color w:val="000000" w:themeColor="text1"/>
              </w:rPr>
              <w:t>Occupational Health and Staff Health and Wellbeing</w:t>
            </w:r>
          </w:p>
          <w:p w14:paraId="15D43D12" w14:textId="77777777" w:rsidR="00B6237C" w:rsidRPr="00B6237C" w:rsidRDefault="00B6237C" w:rsidP="00B6237C">
            <w:pPr>
              <w:spacing w:after="0" w:line="240" w:lineRule="auto"/>
              <w:contextualSpacing/>
              <w:rPr>
                <w:rFonts w:ascii="Arial" w:hAnsi="Arial" w:cs="Arial"/>
                <w:color w:val="000000" w:themeColor="text1"/>
              </w:rPr>
            </w:pPr>
            <w:r w:rsidRPr="00B6237C">
              <w:rPr>
                <w:rFonts w:ascii="Arial" w:hAnsi="Arial" w:cs="Arial"/>
                <w:color w:val="000000" w:themeColor="text1"/>
              </w:rPr>
              <w:t>The services continue to develop high quality multi-disciplinary interventions to contribute to an engaged, motivated and healthy workforce.</w:t>
            </w:r>
          </w:p>
          <w:p w14:paraId="0A378D85" w14:textId="77777777" w:rsidR="00B6237C" w:rsidRPr="00B6237C" w:rsidRDefault="00B6237C" w:rsidP="00B6237C">
            <w:pPr>
              <w:pStyle w:val="ListParagraph"/>
              <w:numPr>
                <w:ilvl w:val="0"/>
                <w:numId w:val="31"/>
              </w:numPr>
              <w:spacing w:after="0" w:line="240" w:lineRule="auto"/>
              <w:rPr>
                <w:rFonts w:ascii="Arial" w:hAnsi="Arial" w:cs="Arial"/>
                <w:color w:val="000000" w:themeColor="text1"/>
              </w:rPr>
            </w:pPr>
            <w:r w:rsidRPr="00B6237C">
              <w:rPr>
                <w:rFonts w:ascii="Arial" w:hAnsi="Arial" w:cs="Arial"/>
                <w:color w:val="000000" w:themeColor="text1"/>
              </w:rPr>
              <w:t>Recruited substantive Occupational Health Specialist Doctor, commences 1/5/</w:t>
            </w:r>
            <w:proofErr w:type="gramStart"/>
            <w:r w:rsidRPr="00B6237C">
              <w:rPr>
                <w:rFonts w:ascii="Arial" w:hAnsi="Arial" w:cs="Arial"/>
                <w:color w:val="000000" w:themeColor="text1"/>
              </w:rPr>
              <w:t>25  –</w:t>
            </w:r>
            <w:proofErr w:type="gramEnd"/>
            <w:r w:rsidRPr="00B6237C">
              <w:rPr>
                <w:rFonts w:ascii="Arial" w:hAnsi="Arial" w:cs="Arial"/>
                <w:color w:val="000000" w:themeColor="text1"/>
              </w:rPr>
              <w:t xml:space="preserve"> this will provide financial and clinical sustainability/stability to the service – May 2025</w:t>
            </w:r>
          </w:p>
          <w:p w14:paraId="103CE0B7" w14:textId="77777777" w:rsidR="00B6237C" w:rsidRPr="00B6237C" w:rsidRDefault="00B6237C" w:rsidP="00B6237C">
            <w:pPr>
              <w:pStyle w:val="ListParagraph"/>
              <w:numPr>
                <w:ilvl w:val="0"/>
                <w:numId w:val="31"/>
              </w:numPr>
              <w:spacing w:after="0" w:line="240" w:lineRule="auto"/>
              <w:rPr>
                <w:rFonts w:ascii="Arial" w:hAnsi="Arial" w:cs="Arial"/>
                <w:color w:val="000000" w:themeColor="text1"/>
              </w:rPr>
            </w:pPr>
            <w:r w:rsidRPr="00B6237C">
              <w:rPr>
                <w:rFonts w:ascii="Arial" w:hAnsi="Arial" w:cs="Arial"/>
                <w:color w:val="000000" w:themeColor="text1"/>
              </w:rPr>
              <w:t>Paper to be presented to Medical Agency Review Panel to ensure planned approach to gaining 1x monthly session of Consultant support – April 2025</w:t>
            </w:r>
          </w:p>
          <w:p w14:paraId="0A858534" w14:textId="77777777" w:rsidR="00B6237C" w:rsidRPr="00B6237C" w:rsidRDefault="00B6237C" w:rsidP="00B6237C">
            <w:pPr>
              <w:pStyle w:val="ListParagraph"/>
              <w:numPr>
                <w:ilvl w:val="0"/>
                <w:numId w:val="31"/>
              </w:numPr>
              <w:autoSpaceDE w:val="0"/>
              <w:autoSpaceDN w:val="0"/>
              <w:adjustRightInd w:val="0"/>
              <w:spacing w:after="0" w:line="240" w:lineRule="auto"/>
              <w:rPr>
                <w:rFonts w:ascii="Arial" w:hAnsi="Arial" w:cs="Arial"/>
                <w:color w:val="000000" w:themeColor="text1"/>
              </w:rPr>
            </w:pPr>
            <w:r w:rsidRPr="00B6237C">
              <w:rPr>
                <w:rFonts w:ascii="Arial" w:hAnsi="Arial" w:cs="Arial"/>
                <w:color w:val="000000" w:themeColor="text1"/>
              </w:rPr>
              <w:t>Continue undertaking the UK Occupational Health gold standard quality kite-mark initial assessment (SEQOHS) and consistently meeting WG Occupational Health delivery KPI’s - April/May 2025</w:t>
            </w:r>
          </w:p>
          <w:p w14:paraId="3F53E2A0" w14:textId="77777777" w:rsidR="00B6237C" w:rsidRPr="00B6237C" w:rsidRDefault="00B6237C" w:rsidP="00B6237C">
            <w:pPr>
              <w:pStyle w:val="ListParagraph"/>
              <w:numPr>
                <w:ilvl w:val="0"/>
                <w:numId w:val="31"/>
              </w:numPr>
              <w:autoSpaceDE w:val="0"/>
              <w:autoSpaceDN w:val="0"/>
              <w:adjustRightInd w:val="0"/>
              <w:spacing w:after="0" w:line="240" w:lineRule="auto"/>
              <w:rPr>
                <w:rFonts w:ascii="Arial" w:hAnsi="Arial" w:cs="Arial"/>
                <w:color w:val="000000" w:themeColor="text1"/>
              </w:rPr>
            </w:pPr>
            <w:r w:rsidRPr="00B6237C">
              <w:rPr>
                <w:rFonts w:ascii="Arial" w:hAnsi="Arial" w:cs="Arial"/>
                <w:color w:val="000000" w:themeColor="text1"/>
              </w:rPr>
              <w:t>Commence Staff Health Passport on 1</w:t>
            </w:r>
            <w:r w:rsidRPr="00B6237C">
              <w:rPr>
                <w:rFonts w:ascii="Arial" w:hAnsi="Arial" w:cs="Arial"/>
                <w:color w:val="000000" w:themeColor="text1"/>
                <w:vertAlign w:val="superscript"/>
              </w:rPr>
              <w:t>st</w:t>
            </w:r>
            <w:r w:rsidRPr="00B6237C">
              <w:rPr>
                <w:rFonts w:ascii="Arial" w:hAnsi="Arial" w:cs="Arial"/>
                <w:color w:val="000000" w:themeColor="text1"/>
              </w:rPr>
              <w:t xml:space="preserve"> April 2025 to support staff health and wellbeing in work, improve communication between staff and line managers and improve staff experience – April 2025</w:t>
            </w:r>
          </w:p>
          <w:p w14:paraId="78B931EF" w14:textId="77777777" w:rsidR="00CC23E6" w:rsidRDefault="00CC23E6" w:rsidP="00CC23E6">
            <w:pPr>
              <w:autoSpaceDE w:val="0"/>
              <w:autoSpaceDN w:val="0"/>
              <w:adjustRightInd w:val="0"/>
              <w:spacing w:after="0" w:line="240" w:lineRule="auto"/>
              <w:rPr>
                <w:rFonts w:ascii="Arial" w:hAnsi="Arial" w:cs="Arial"/>
              </w:rPr>
            </w:pPr>
          </w:p>
          <w:p w14:paraId="73BDA73D" w14:textId="77777777" w:rsidR="00CC23E6" w:rsidRPr="00A86B66" w:rsidRDefault="00CC23E6" w:rsidP="00CC23E6">
            <w:pPr>
              <w:autoSpaceDE w:val="0"/>
              <w:autoSpaceDN w:val="0"/>
              <w:adjustRightInd w:val="0"/>
              <w:spacing w:after="0" w:line="240" w:lineRule="auto"/>
              <w:ind w:left="360"/>
              <w:rPr>
                <w:rFonts w:ascii="Arial" w:hAnsi="Arial" w:cs="Arial"/>
              </w:rPr>
            </w:pPr>
          </w:p>
          <w:p w14:paraId="4FE8CC23" w14:textId="77777777" w:rsidR="00994D25" w:rsidRPr="00A86B66" w:rsidRDefault="00994D25" w:rsidP="00994D25">
            <w:pPr>
              <w:autoSpaceDE w:val="0"/>
              <w:autoSpaceDN w:val="0"/>
              <w:adjustRightInd w:val="0"/>
              <w:spacing w:after="0" w:line="240" w:lineRule="auto"/>
              <w:ind w:left="360"/>
              <w:rPr>
                <w:rFonts w:ascii="Arial" w:hAnsi="Arial" w:cs="Arial"/>
              </w:rPr>
            </w:pPr>
          </w:p>
          <w:p w14:paraId="0C15A415" w14:textId="3914978A" w:rsidR="00994D25" w:rsidRPr="00697F51" w:rsidRDefault="00994D25" w:rsidP="00994D25">
            <w:pPr>
              <w:autoSpaceDE w:val="0"/>
              <w:autoSpaceDN w:val="0"/>
              <w:adjustRightInd w:val="0"/>
              <w:spacing w:after="0" w:line="240" w:lineRule="auto"/>
              <w:rPr>
                <w:rFonts w:ascii="Arial" w:hAnsi="Arial" w:cs="Arial"/>
              </w:rPr>
            </w:pPr>
          </w:p>
        </w:tc>
      </w:tr>
      <w:tr w:rsidR="00994D25" w:rsidRPr="00407A0F" w14:paraId="7C7183F0" w14:textId="77777777" w:rsidTr="0016736E">
        <w:trPr>
          <w:trHeight w:val="83"/>
        </w:trPr>
        <w:tc>
          <w:tcPr>
            <w:tcW w:w="2117" w:type="dxa"/>
            <w:tcBorders>
              <w:left w:val="nil"/>
              <w:right w:val="nil"/>
            </w:tcBorders>
            <w:shd w:val="clear" w:color="auto" w:fill="auto"/>
          </w:tcPr>
          <w:p w14:paraId="19F4D531" w14:textId="77777777" w:rsidR="00994D25" w:rsidRPr="00A056D7" w:rsidRDefault="00994D25" w:rsidP="00994D25">
            <w:pPr>
              <w:spacing w:after="0" w:line="240" w:lineRule="auto"/>
              <w:rPr>
                <w:rFonts w:ascii="Arial" w:hAnsi="Arial" w:cs="Arial"/>
                <w:b/>
                <w:bCs/>
                <w:sz w:val="18"/>
                <w:szCs w:val="18"/>
              </w:rPr>
            </w:pPr>
          </w:p>
        </w:tc>
        <w:tc>
          <w:tcPr>
            <w:tcW w:w="10730" w:type="dxa"/>
            <w:tcBorders>
              <w:left w:val="nil"/>
              <w:right w:val="nil"/>
            </w:tcBorders>
          </w:tcPr>
          <w:p w14:paraId="445592D5" w14:textId="77777777" w:rsidR="00994D25" w:rsidRDefault="00994D25" w:rsidP="00994D25">
            <w:pPr>
              <w:spacing w:after="0" w:line="240" w:lineRule="auto"/>
              <w:jc w:val="center"/>
              <w:rPr>
                <w:rFonts w:ascii="Arial" w:hAnsi="Arial" w:cs="Arial"/>
                <w:b/>
                <w:sz w:val="24"/>
                <w:szCs w:val="24"/>
              </w:rPr>
            </w:pPr>
          </w:p>
          <w:p w14:paraId="60A386A6" w14:textId="2D49914F" w:rsidR="00994D25" w:rsidRPr="00783A68" w:rsidRDefault="00994D25" w:rsidP="00994D25">
            <w:pPr>
              <w:spacing w:after="0" w:line="240" w:lineRule="auto"/>
              <w:rPr>
                <w:rFonts w:ascii="Arial" w:hAnsi="Arial" w:cs="Arial"/>
                <w:b/>
                <w:sz w:val="24"/>
                <w:szCs w:val="24"/>
              </w:rPr>
            </w:pPr>
          </w:p>
        </w:tc>
      </w:tr>
      <w:tr w:rsidR="00994D25" w:rsidRPr="00407A0F" w14:paraId="10B328AC" w14:textId="77777777" w:rsidTr="00CE10AD">
        <w:trPr>
          <w:trHeight w:val="4668"/>
        </w:trPr>
        <w:tc>
          <w:tcPr>
            <w:tcW w:w="2117" w:type="dxa"/>
            <w:shd w:val="clear" w:color="auto" w:fill="DBE5F1" w:themeFill="accent1" w:themeFillTint="33"/>
          </w:tcPr>
          <w:p w14:paraId="1FB8385A" w14:textId="77777777" w:rsidR="00994D25" w:rsidRPr="00783A68" w:rsidRDefault="00994D25" w:rsidP="00994D25">
            <w:pPr>
              <w:spacing w:after="0" w:line="240" w:lineRule="auto"/>
              <w:rPr>
                <w:rFonts w:ascii="Arial" w:hAnsi="Arial" w:cs="Arial"/>
                <w:bCs/>
                <w:i/>
                <w:sz w:val="24"/>
                <w:szCs w:val="22"/>
              </w:rPr>
            </w:pPr>
            <w:r w:rsidRPr="00783A68">
              <w:rPr>
                <w:rFonts w:ascii="Arial" w:hAnsi="Arial" w:cs="Arial"/>
                <w:b/>
                <w:bCs/>
                <w:sz w:val="24"/>
                <w:szCs w:val="22"/>
              </w:rPr>
              <w:lastRenderedPageBreak/>
              <w:t xml:space="preserve">Mandatory &amp; Statutory Training-  </w:t>
            </w:r>
          </w:p>
          <w:p w14:paraId="3AAE0E8F" w14:textId="77777777" w:rsidR="00994D25" w:rsidRDefault="00994D25" w:rsidP="00994D25">
            <w:pPr>
              <w:spacing w:after="0" w:line="240" w:lineRule="auto"/>
              <w:rPr>
                <w:rFonts w:ascii="Arial" w:hAnsi="Arial" w:cs="Arial"/>
                <w:bCs/>
                <w:i/>
              </w:rPr>
            </w:pPr>
          </w:p>
          <w:p w14:paraId="7DD30FF5" w14:textId="71934AEB" w:rsidR="00994D25" w:rsidRPr="003756B7" w:rsidRDefault="00994D25" w:rsidP="00994D25">
            <w:pPr>
              <w:spacing w:after="0" w:line="240" w:lineRule="auto"/>
              <w:rPr>
                <w:rFonts w:ascii="Arial" w:hAnsi="Arial" w:cs="Arial"/>
                <w:bCs/>
                <w:i/>
              </w:rPr>
            </w:pPr>
            <w:r w:rsidRPr="003756B7">
              <w:rPr>
                <w:rFonts w:ascii="Arial" w:hAnsi="Arial" w:cs="Arial"/>
                <w:bCs/>
                <w:i/>
              </w:rPr>
              <w:t xml:space="preserve">Percentage compliance for all completed Level 1 competencies within the Core Skills and Training Framework by organisation </w:t>
            </w:r>
          </w:p>
          <w:p w14:paraId="28074862" w14:textId="77777777" w:rsidR="00994D25" w:rsidRDefault="00994D25" w:rsidP="00994D25">
            <w:pPr>
              <w:spacing w:after="0" w:line="240" w:lineRule="auto"/>
              <w:rPr>
                <w:rFonts w:ascii="Arial" w:hAnsi="Arial" w:cs="Arial"/>
                <w:bCs/>
                <w:i/>
                <w:sz w:val="22"/>
                <w:szCs w:val="22"/>
              </w:rPr>
            </w:pPr>
          </w:p>
          <w:p w14:paraId="79568698" w14:textId="2DE4301A" w:rsidR="00994D25" w:rsidRPr="003756B7" w:rsidRDefault="00994D25" w:rsidP="00994D25">
            <w:pPr>
              <w:spacing w:after="0" w:line="240" w:lineRule="auto"/>
              <w:rPr>
                <w:rFonts w:ascii="Arial" w:hAnsi="Arial" w:cs="Arial"/>
                <w:b/>
                <w:bCs/>
                <w:sz w:val="22"/>
                <w:szCs w:val="22"/>
              </w:rPr>
            </w:pPr>
            <w:r w:rsidRPr="003756B7">
              <w:rPr>
                <w:rFonts w:ascii="Arial" w:hAnsi="Arial" w:cs="Arial"/>
                <w:b/>
                <w:bCs/>
                <w:sz w:val="22"/>
                <w:szCs w:val="22"/>
              </w:rPr>
              <w:t>Mandatory &amp; Statutory Training target – 85%</w:t>
            </w:r>
          </w:p>
        </w:tc>
        <w:tc>
          <w:tcPr>
            <w:tcW w:w="10730" w:type="dxa"/>
            <w:shd w:val="clear" w:color="auto" w:fill="DDD9C3" w:themeFill="background2" w:themeFillShade="E6"/>
          </w:tcPr>
          <w:p w14:paraId="665B43CA" w14:textId="2BFFC997" w:rsidR="00994D25" w:rsidRPr="009B7C03" w:rsidRDefault="00994D25" w:rsidP="00994D25">
            <w:pPr>
              <w:spacing w:after="0" w:line="240" w:lineRule="auto"/>
              <w:jc w:val="center"/>
            </w:pPr>
            <w:r w:rsidRPr="194081B6">
              <w:rPr>
                <w:rFonts w:ascii="Arial" w:hAnsi="Arial" w:cs="Arial"/>
                <w:b/>
                <w:bCs/>
                <w:sz w:val="24"/>
                <w:szCs w:val="24"/>
              </w:rPr>
              <w:t>% of compliance (Headcount) with Core Skills and Training Framework</w:t>
            </w:r>
          </w:p>
          <w:p w14:paraId="67D187C7" w14:textId="2A9E3AC1" w:rsidR="00994D25" w:rsidRPr="009B7C03" w:rsidRDefault="00CE10AD" w:rsidP="00994D25">
            <w:pPr>
              <w:spacing w:after="0" w:line="240" w:lineRule="auto"/>
              <w:jc w:val="center"/>
              <w:rPr>
                <w:rFonts w:ascii="Arial" w:hAnsi="Arial" w:cs="Arial"/>
                <w:b/>
                <w:sz w:val="16"/>
                <w:szCs w:val="16"/>
              </w:rPr>
            </w:pPr>
            <w:r>
              <w:rPr>
                <w:noProof/>
              </w:rPr>
              <w:drawing>
                <wp:inline distT="0" distB="0" distL="0" distR="0" wp14:anchorId="1340C0BA" wp14:editId="59D63C4B">
                  <wp:extent cx="5168347" cy="2337684"/>
                  <wp:effectExtent l="0" t="0" r="0" b="5715"/>
                  <wp:docPr id="3" name="Chart 3">
                    <a:extLst xmlns:a="http://schemas.openxmlformats.org/drawingml/2006/main">
                      <a:ext uri="{FF2B5EF4-FFF2-40B4-BE49-F238E27FC236}">
                        <a16:creationId xmlns:a16="http://schemas.microsoft.com/office/drawing/2014/main" id="{0D2327D6-AF73-4106-90E9-8BB9B11C72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3AFFFD6" w14:textId="77777777" w:rsidR="00994D25" w:rsidRDefault="00994D25" w:rsidP="00994D25">
            <w:pPr>
              <w:spacing w:after="0" w:line="240" w:lineRule="auto"/>
              <w:rPr>
                <w:rFonts w:ascii="Arial" w:hAnsi="Arial" w:cs="Arial"/>
                <w:i/>
                <w:iCs/>
                <w:sz w:val="18"/>
                <w:szCs w:val="18"/>
              </w:rPr>
            </w:pPr>
          </w:p>
          <w:p w14:paraId="0B4928E9" w14:textId="490DB3BD" w:rsidR="00994D25" w:rsidRPr="00026D98" w:rsidRDefault="00994D25" w:rsidP="00CE10AD">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00CE10AD">
              <w:rPr>
                <w:rFonts w:ascii="Arial" w:hAnsi="Arial" w:cs="Arial"/>
                <w:i/>
                <w:iCs/>
                <w:sz w:val="18"/>
                <w:szCs w:val="18"/>
              </w:rPr>
              <w:t>March</w:t>
            </w:r>
            <w:r w:rsidR="00874895">
              <w:rPr>
                <w:rFonts w:ascii="Arial" w:hAnsi="Arial" w:cs="Arial"/>
                <w:i/>
                <w:iCs/>
                <w:sz w:val="18"/>
                <w:szCs w:val="18"/>
              </w:rPr>
              <w:t xml:space="preserve"> 2025</w:t>
            </w:r>
            <w:r w:rsidRPr="5E29146B">
              <w:rPr>
                <w:rFonts w:ascii="Arial" w:hAnsi="Arial" w:cs="Arial"/>
                <w:i/>
                <w:iCs/>
                <w:sz w:val="18"/>
                <w:szCs w:val="18"/>
              </w:rPr>
              <w:t>, within SBUHB (Performance Team) for substantive and FTC employees. Data source – ESR (OLM Module). Accuracy levels subject to local maintenance and validation standards. Target of 85% added as blue line</w:t>
            </w:r>
          </w:p>
        </w:tc>
      </w:tr>
      <w:tr w:rsidR="00994D25" w:rsidRPr="00D40A65" w14:paraId="671D6E7F" w14:textId="77777777" w:rsidTr="5E29146B">
        <w:tc>
          <w:tcPr>
            <w:tcW w:w="12847" w:type="dxa"/>
            <w:gridSpan w:val="2"/>
            <w:shd w:val="clear" w:color="auto" w:fill="EAF1DD" w:themeFill="accent3" w:themeFillTint="33"/>
          </w:tcPr>
          <w:p w14:paraId="442C0089" w14:textId="77777777" w:rsidR="00994D25" w:rsidRPr="00D40A65" w:rsidRDefault="00994D25" w:rsidP="00994D25">
            <w:pPr>
              <w:spacing w:after="0" w:line="240" w:lineRule="auto"/>
              <w:rPr>
                <w:rFonts w:ascii="Arial" w:hAnsi="Arial" w:cs="Arial"/>
                <w:b/>
              </w:rPr>
            </w:pPr>
            <w:r w:rsidRPr="00D40A65">
              <w:rPr>
                <w:rFonts w:ascii="Arial" w:hAnsi="Arial" w:cs="Arial"/>
                <w:b/>
              </w:rPr>
              <w:t>Current Performance</w:t>
            </w:r>
          </w:p>
        </w:tc>
      </w:tr>
      <w:tr w:rsidR="00994D25" w:rsidRPr="00D40A65" w14:paraId="129126E9" w14:textId="77777777" w:rsidTr="00C3652E">
        <w:tc>
          <w:tcPr>
            <w:tcW w:w="12847" w:type="dxa"/>
            <w:gridSpan w:val="2"/>
            <w:shd w:val="clear" w:color="auto" w:fill="DDD9C3" w:themeFill="background2" w:themeFillShade="E6"/>
          </w:tcPr>
          <w:p w14:paraId="04C46C9A" w14:textId="09447336" w:rsidR="00C3652E" w:rsidRPr="00C3652E" w:rsidRDefault="00C3652E" w:rsidP="00C3652E">
            <w:pPr>
              <w:pStyle w:val="paragraph"/>
              <w:numPr>
                <w:ilvl w:val="0"/>
                <w:numId w:val="37"/>
              </w:numPr>
              <w:spacing w:before="0" w:beforeAutospacing="0" w:after="0" w:afterAutospacing="0"/>
              <w:ind w:left="360"/>
              <w:textAlignment w:val="baseline"/>
              <w:rPr>
                <w:rFonts w:ascii="Arial" w:hAnsi="Arial" w:cs="Arial"/>
                <w:sz w:val="20"/>
                <w:szCs w:val="20"/>
              </w:rPr>
            </w:pPr>
            <w:r w:rsidRPr="00C3652E">
              <w:rPr>
                <w:rFonts w:ascii="Arial" w:hAnsi="Arial" w:cs="Arial"/>
                <w:b/>
                <w:bCs/>
                <w:sz w:val="20"/>
                <w:szCs w:val="20"/>
              </w:rPr>
              <w:t>Welsh Government</w:t>
            </w:r>
            <w:r w:rsidRPr="00C3652E">
              <w:rPr>
                <w:rFonts w:ascii="Arial" w:hAnsi="Arial" w:cs="Arial"/>
                <w:sz w:val="20"/>
                <w:szCs w:val="20"/>
              </w:rPr>
              <w:t xml:space="preserve"> </w:t>
            </w:r>
            <w:r w:rsidRPr="00C3652E">
              <w:rPr>
                <w:rFonts w:ascii="Arial" w:hAnsi="Arial" w:cs="Arial"/>
                <w:b/>
                <w:bCs/>
                <w:sz w:val="20"/>
                <w:szCs w:val="20"/>
              </w:rPr>
              <w:t xml:space="preserve">(WG) </w:t>
            </w:r>
            <w:r w:rsidRPr="00C3652E">
              <w:rPr>
                <w:rFonts w:ascii="Arial" w:hAnsi="Arial" w:cs="Arial"/>
                <w:sz w:val="20"/>
                <w:szCs w:val="20"/>
              </w:rPr>
              <w:t>requirement</w:t>
            </w:r>
            <w:r w:rsidRPr="00C3652E">
              <w:rPr>
                <w:rFonts w:ascii="Arial" w:hAnsi="Arial" w:cs="Arial"/>
                <w:b/>
                <w:bCs/>
                <w:sz w:val="20"/>
                <w:szCs w:val="20"/>
              </w:rPr>
              <w:t xml:space="preserve"> </w:t>
            </w:r>
            <w:r w:rsidRPr="00C3652E">
              <w:rPr>
                <w:rFonts w:ascii="Arial" w:hAnsi="Arial" w:cs="Arial"/>
                <w:sz w:val="20"/>
                <w:szCs w:val="20"/>
              </w:rPr>
              <w:t xml:space="preserve">for </w:t>
            </w:r>
            <w:r w:rsidRPr="00C3652E">
              <w:rPr>
                <w:rFonts w:ascii="Arial" w:hAnsi="Arial" w:cs="Arial"/>
                <w:b/>
                <w:bCs/>
                <w:sz w:val="20"/>
                <w:szCs w:val="20"/>
              </w:rPr>
              <w:t xml:space="preserve">All Staff (Target 85%) – </w:t>
            </w:r>
            <w:r w:rsidRPr="00C3652E">
              <w:rPr>
                <w:rFonts w:ascii="Arial" w:hAnsi="Arial" w:cs="Arial"/>
                <w:sz w:val="20"/>
                <w:szCs w:val="20"/>
              </w:rPr>
              <w:t>Overall compliance rate of</w:t>
            </w:r>
            <w:r w:rsidRPr="00C3652E">
              <w:rPr>
                <w:rFonts w:ascii="Arial" w:hAnsi="Arial" w:cs="Arial"/>
                <w:b/>
                <w:bCs/>
                <w:sz w:val="20"/>
                <w:szCs w:val="20"/>
              </w:rPr>
              <w:t xml:space="preserve"> 89.2% </w:t>
            </w:r>
            <w:r w:rsidRPr="00C3652E">
              <w:rPr>
                <w:rFonts w:ascii="Arial" w:hAnsi="Arial" w:cs="Arial"/>
                <w:sz w:val="20"/>
                <w:szCs w:val="20"/>
              </w:rPr>
              <w:t>achieved in the 12 modules.</w:t>
            </w:r>
          </w:p>
          <w:p w14:paraId="773BDDD4" w14:textId="388CB9CD" w:rsidR="00C3652E" w:rsidRPr="00C3652E" w:rsidRDefault="00C3652E" w:rsidP="00C3652E">
            <w:pPr>
              <w:pStyle w:val="paragraph"/>
              <w:numPr>
                <w:ilvl w:val="0"/>
                <w:numId w:val="38"/>
              </w:numPr>
              <w:spacing w:before="0" w:beforeAutospacing="0" w:after="0" w:afterAutospacing="0"/>
              <w:ind w:left="360"/>
              <w:textAlignment w:val="baseline"/>
              <w:rPr>
                <w:rFonts w:ascii="Arial" w:hAnsi="Arial" w:cs="Arial"/>
                <w:sz w:val="20"/>
                <w:szCs w:val="20"/>
              </w:rPr>
            </w:pPr>
            <w:r w:rsidRPr="00C3652E">
              <w:rPr>
                <w:rFonts w:ascii="Arial" w:hAnsi="Arial" w:cs="Arial"/>
                <w:b/>
                <w:bCs/>
                <w:sz w:val="20"/>
                <w:szCs w:val="20"/>
              </w:rPr>
              <w:t>Welsh Government</w:t>
            </w:r>
            <w:r w:rsidRPr="00C3652E">
              <w:rPr>
                <w:rFonts w:ascii="Arial" w:hAnsi="Arial" w:cs="Arial"/>
                <w:sz w:val="20"/>
                <w:szCs w:val="20"/>
              </w:rPr>
              <w:t xml:space="preserve"> </w:t>
            </w:r>
            <w:r w:rsidRPr="00C3652E">
              <w:rPr>
                <w:rFonts w:ascii="Arial" w:hAnsi="Arial" w:cs="Arial"/>
                <w:b/>
                <w:bCs/>
                <w:sz w:val="20"/>
                <w:szCs w:val="20"/>
              </w:rPr>
              <w:t>(WG)</w:t>
            </w:r>
            <w:r w:rsidRPr="00C3652E">
              <w:rPr>
                <w:rFonts w:ascii="Arial" w:hAnsi="Arial" w:cs="Arial"/>
                <w:sz w:val="20"/>
                <w:szCs w:val="20"/>
              </w:rPr>
              <w:t xml:space="preserve"> requirement for </w:t>
            </w:r>
            <w:r w:rsidRPr="00C3652E">
              <w:rPr>
                <w:rFonts w:ascii="Arial" w:hAnsi="Arial" w:cs="Arial"/>
                <w:b/>
                <w:bCs/>
                <w:sz w:val="20"/>
                <w:szCs w:val="20"/>
              </w:rPr>
              <w:t>Staff in Public Facing Role (Target 85%), achieved 46.08% to date **</w:t>
            </w:r>
          </w:p>
          <w:p w14:paraId="4EB9F677" w14:textId="77777777" w:rsidR="00C3652E" w:rsidRPr="00C3652E" w:rsidRDefault="00C3652E" w:rsidP="00C3652E">
            <w:pPr>
              <w:pStyle w:val="paragraph"/>
              <w:spacing w:before="0" w:beforeAutospacing="0" w:after="0" w:afterAutospacing="0"/>
              <w:textAlignment w:val="baseline"/>
              <w:rPr>
                <w:rFonts w:ascii="Arial" w:eastAsia="Calibri" w:hAnsi="Arial" w:cs="Arial"/>
                <w:sz w:val="20"/>
                <w:szCs w:val="20"/>
              </w:rPr>
            </w:pPr>
            <w:r w:rsidRPr="00C3652E">
              <w:rPr>
                <w:rFonts w:ascii="Arial" w:eastAsia="Calibri" w:hAnsi="Arial" w:cs="Arial"/>
                <w:b/>
                <w:bCs/>
                <w:sz w:val="20"/>
                <w:szCs w:val="20"/>
              </w:rPr>
              <w:t>**Please note</w:t>
            </w:r>
            <w:r w:rsidRPr="00C3652E">
              <w:rPr>
                <w:rFonts w:ascii="Arial" w:eastAsia="Calibri" w:hAnsi="Arial" w:cs="Arial"/>
                <w:sz w:val="20"/>
                <w:szCs w:val="20"/>
              </w:rPr>
              <w:t xml:space="preserve">: Paul Ridd Learning Disabilities Awareness Training was mandated for completion by </w:t>
            </w:r>
            <w:r w:rsidRPr="00C3652E">
              <w:rPr>
                <w:rFonts w:ascii="Arial" w:eastAsia="Calibri" w:hAnsi="Arial" w:cs="Arial"/>
                <w:b/>
                <w:bCs/>
                <w:sz w:val="20"/>
                <w:szCs w:val="20"/>
              </w:rPr>
              <w:t>ALL Staff</w:t>
            </w:r>
            <w:r w:rsidRPr="00C3652E">
              <w:rPr>
                <w:rFonts w:ascii="Arial" w:eastAsia="Calibri" w:hAnsi="Arial" w:cs="Arial"/>
                <w:sz w:val="20"/>
                <w:szCs w:val="20"/>
              </w:rPr>
              <w:t xml:space="preserve"> in SBUHB as of 1</w:t>
            </w:r>
            <w:r w:rsidRPr="00C3652E">
              <w:rPr>
                <w:rFonts w:ascii="Arial" w:eastAsia="Calibri" w:hAnsi="Arial" w:cs="Arial"/>
                <w:sz w:val="20"/>
                <w:szCs w:val="20"/>
                <w:vertAlign w:val="superscript"/>
              </w:rPr>
              <w:t>st</w:t>
            </w:r>
            <w:r w:rsidRPr="00C3652E">
              <w:rPr>
                <w:rFonts w:ascii="Arial" w:eastAsia="Calibri" w:hAnsi="Arial" w:cs="Arial"/>
                <w:sz w:val="20"/>
                <w:szCs w:val="20"/>
              </w:rPr>
              <w:t xml:space="preserve"> February 2025.  The figure of 46.08% is in reference to All Staff, this is an improvement on the compliance rate of 19.45% as of January 2025.</w:t>
            </w:r>
          </w:p>
          <w:p w14:paraId="366062DA" w14:textId="5ACC6C3E" w:rsidR="00C3652E" w:rsidRPr="00C3652E" w:rsidRDefault="00C3652E" w:rsidP="00C3652E">
            <w:pPr>
              <w:pStyle w:val="paragraph"/>
              <w:numPr>
                <w:ilvl w:val="0"/>
                <w:numId w:val="39"/>
              </w:numPr>
              <w:spacing w:before="0" w:beforeAutospacing="0" w:after="0" w:afterAutospacing="0"/>
              <w:ind w:left="360"/>
              <w:textAlignment w:val="baseline"/>
              <w:rPr>
                <w:rFonts w:ascii="Arial" w:eastAsia="Calibri" w:hAnsi="Arial" w:cs="Arial"/>
                <w:sz w:val="20"/>
                <w:szCs w:val="20"/>
              </w:rPr>
            </w:pPr>
            <w:r w:rsidRPr="00C3652E">
              <w:rPr>
                <w:rFonts w:ascii="Arial" w:eastAsia="Calibri" w:hAnsi="Arial" w:cs="Arial"/>
                <w:sz w:val="20"/>
                <w:szCs w:val="20"/>
              </w:rPr>
              <w:t xml:space="preserve">SBU Health Board </w:t>
            </w:r>
            <w:r w:rsidRPr="00C3652E">
              <w:rPr>
                <w:rFonts w:ascii="Arial" w:hAnsi="Arial" w:cs="Arial"/>
                <w:sz w:val="20"/>
                <w:szCs w:val="20"/>
              </w:rPr>
              <w:t>requirement</w:t>
            </w:r>
            <w:r w:rsidRPr="00C3652E">
              <w:rPr>
                <w:rFonts w:ascii="Arial" w:hAnsi="Arial" w:cs="Arial"/>
                <w:b/>
                <w:bCs/>
                <w:sz w:val="20"/>
                <w:szCs w:val="20"/>
              </w:rPr>
              <w:t xml:space="preserve"> </w:t>
            </w:r>
            <w:r w:rsidRPr="00C3652E">
              <w:rPr>
                <w:rFonts w:ascii="Arial" w:hAnsi="Arial" w:cs="Arial"/>
                <w:sz w:val="20"/>
                <w:szCs w:val="20"/>
              </w:rPr>
              <w:t xml:space="preserve">for </w:t>
            </w:r>
            <w:r w:rsidRPr="00C3652E">
              <w:rPr>
                <w:rFonts w:ascii="Arial" w:hAnsi="Arial" w:cs="Arial"/>
                <w:b/>
                <w:bCs/>
                <w:sz w:val="20"/>
                <w:szCs w:val="20"/>
              </w:rPr>
              <w:t>All Staff (Target 85%)</w:t>
            </w:r>
            <w:r w:rsidRPr="00C3652E">
              <w:rPr>
                <w:rFonts w:ascii="Arial" w:eastAsia="Calibri" w:hAnsi="Arial" w:cs="Arial"/>
                <w:sz w:val="20"/>
                <w:szCs w:val="20"/>
              </w:rPr>
              <w:t xml:space="preserve"> - Overall Compliance - </w:t>
            </w:r>
            <w:r w:rsidRPr="00C3652E">
              <w:rPr>
                <w:rFonts w:ascii="Arial" w:eastAsia="Calibri" w:hAnsi="Arial" w:cs="Arial"/>
                <w:b/>
                <w:bCs/>
                <w:sz w:val="20"/>
                <w:szCs w:val="20"/>
              </w:rPr>
              <w:t>86.37%</w:t>
            </w:r>
            <w:r w:rsidRPr="00C3652E">
              <w:rPr>
                <w:rFonts w:ascii="Arial" w:eastAsia="Calibri" w:hAnsi="Arial" w:cs="Arial"/>
                <w:sz w:val="20"/>
                <w:szCs w:val="20"/>
              </w:rPr>
              <w:t xml:space="preserve"> achieved in the full 15 mandated modules:</w:t>
            </w:r>
          </w:p>
          <w:p w14:paraId="6329691C" w14:textId="77777777" w:rsidR="00C3652E" w:rsidRPr="00C3652E" w:rsidRDefault="00C3652E" w:rsidP="00C3652E">
            <w:pPr>
              <w:pStyle w:val="paragraph"/>
              <w:numPr>
                <w:ilvl w:val="0"/>
                <w:numId w:val="36"/>
              </w:numPr>
              <w:spacing w:before="0" w:beforeAutospacing="0" w:after="0" w:afterAutospacing="0"/>
              <w:ind w:left="360"/>
              <w:textAlignment w:val="baseline"/>
              <w:rPr>
                <w:rFonts w:ascii="Arial" w:eastAsia="Calibri" w:hAnsi="Arial" w:cs="Arial"/>
                <w:b/>
                <w:bCs/>
                <w:sz w:val="20"/>
                <w:szCs w:val="20"/>
              </w:rPr>
            </w:pPr>
            <w:r w:rsidRPr="00C3652E">
              <w:rPr>
                <w:rFonts w:ascii="Arial" w:eastAsia="Calibri" w:hAnsi="Arial" w:cs="Arial"/>
                <w:b/>
                <w:bCs/>
                <w:sz w:val="20"/>
                <w:szCs w:val="20"/>
              </w:rPr>
              <w:t xml:space="preserve">Service Groups - </w:t>
            </w:r>
            <w:r w:rsidRPr="00C3652E">
              <w:rPr>
                <w:rFonts w:ascii="Arial" w:eastAsia="Calibri" w:hAnsi="Arial" w:cs="Arial"/>
                <w:sz w:val="20"/>
                <w:szCs w:val="20"/>
              </w:rPr>
              <w:t>MH&amp;LD 88.53%, PCCT 90.31%, Morriston 83.10%, Finance &amp; Estates 84.93%, NPTS 89.53%</w:t>
            </w:r>
          </w:p>
          <w:p w14:paraId="365074A5" w14:textId="46B24B29" w:rsidR="0004342F" w:rsidRDefault="00C3652E" w:rsidP="00C3652E">
            <w:pPr>
              <w:pStyle w:val="paragraph"/>
              <w:numPr>
                <w:ilvl w:val="0"/>
                <w:numId w:val="36"/>
              </w:numPr>
              <w:spacing w:before="0" w:beforeAutospacing="0" w:after="0" w:afterAutospacing="0"/>
              <w:ind w:left="360"/>
              <w:textAlignment w:val="baseline"/>
              <w:rPr>
                <w:rFonts w:ascii="Arial" w:eastAsia="Calibri" w:hAnsi="Arial" w:cs="Arial"/>
                <w:sz w:val="20"/>
                <w:szCs w:val="20"/>
              </w:rPr>
            </w:pPr>
            <w:r w:rsidRPr="00C3652E">
              <w:rPr>
                <w:rFonts w:ascii="Arial" w:eastAsia="Calibri" w:hAnsi="Arial" w:cs="Arial"/>
                <w:b/>
                <w:bCs/>
                <w:sz w:val="20"/>
                <w:szCs w:val="20"/>
              </w:rPr>
              <w:t>Staff Groups</w:t>
            </w:r>
            <w:r w:rsidRPr="00C3652E">
              <w:rPr>
                <w:rFonts w:ascii="Arial" w:eastAsia="Calibri" w:hAnsi="Arial" w:cs="Arial"/>
                <w:sz w:val="20"/>
                <w:szCs w:val="20"/>
              </w:rPr>
              <w:t xml:space="preserve"> - Medical and Dental Staff Group remain the lowest performing area with </w:t>
            </w:r>
            <w:r w:rsidRPr="00C3652E">
              <w:rPr>
                <w:rFonts w:ascii="Arial" w:eastAsia="Calibri" w:hAnsi="Arial" w:cs="Arial"/>
                <w:b/>
                <w:bCs/>
                <w:sz w:val="20"/>
                <w:szCs w:val="20"/>
              </w:rPr>
              <w:t>67.46%.</w:t>
            </w:r>
            <w:r w:rsidRPr="00C3652E">
              <w:rPr>
                <w:rFonts w:ascii="Arial" w:eastAsia="Calibri" w:hAnsi="Arial" w:cs="Arial"/>
                <w:sz w:val="20"/>
                <w:szCs w:val="20"/>
              </w:rPr>
              <w:t xml:space="preserve">  Support for this staff group is ongoing, with the E-learning Project Support Manager working with Executive Medical Directors Department to reach out to staff.</w:t>
            </w:r>
            <w:r w:rsidRPr="009409E2">
              <w:rPr>
                <w:rFonts w:ascii="Arial" w:eastAsia="Calibri" w:hAnsi="Arial" w:cs="Arial"/>
                <w:sz w:val="20"/>
                <w:szCs w:val="20"/>
              </w:rPr>
              <w:t xml:space="preserve"> </w:t>
            </w:r>
          </w:p>
          <w:p w14:paraId="22EDA9A0" w14:textId="6F7257D1" w:rsidR="0004342F" w:rsidRPr="0047276B" w:rsidRDefault="0004342F" w:rsidP="0004342F">
            <w:pPr>
              <w:pStyle w:val="paragraph"/>
              <w:spacing w:before="0" w:beforeAutospacing="0" w:after="0" w:afterAutospacing="0"/>
              <w:textAlignment w:val="baseline"/>
              <w:rPr>
                <w:rFonts w:ascii="Arial" w:hAnsi="Arial" w:cs="Arial"/>
                <w:sz w:val="20"/>
                <w:szCs w:val="20"/>
              </w:rPr>
            </w:pPr>
          </w:p>
        </w:tc>
      </w:tr>
      <w:tr w:rsidR="00994D25" w:rsidRPr="00877518" w14:paraId="23E7F229" w14:textId="77777777" w:rsidTr="5E29146B">
        <w:tc>
          <w:tcPr>
            <w:tcW w:w="12847" w:type="dxa"/>
            <w:gridSpan w:val="2"/>
            <w:shd w:val="clear" w:color="auto" w:fill="EAF1DD" w:themeFill="accent3" w:themeFillTint="33"/>
          </w:tcPr>
          <w:p w14:paraId="658E6C91" w14:textId="77777777" w:rsidR="00994D25" w:rsidRPr="0047276B" w:rsidRDefault="00994D25" w:rsidP="00994D25">
            <w:pPr>
              <w:spacing w:after="0" w:line="240" w:lineRule="auto"/>
              <w:rPr>
                <w:rFonts w:ascii="Arial" w:hAnsi="Arial" w:cs="Arial"/>
                <w:b/>
              </w:rPr>
            </w:pPr>
            <w:r w:rsidRPr="0047276B">
              <w:rPr>
                <w:rFonts w:ascii="Arial" w:hAnsi="Arial" w:cs="Arial"/>
                <w:b/>
              </w:rPr>
              <w:t>Actions for Next Period</w:t>
            </w:r>
          </w:p>
        </w:tc>
      </w:tr>
      <w:tr w:rsidR="00BA1197" w:rsidRPr="00D40A65" w14:paraId="5F1DB229" w14:textId="77777777" w:rsidTr="00C3652E">
        <w:tc>
          <w:tcPr>
            <w:tcW w:w="12847" w:type="dxa"/>
            <w:gridSpan w:val="2"/>
            <w:shd w:val="clear" w:color="auto" w:fill="DDD9C3" w:themeFill="background2" w:themeFillShade="E6"/>
          </w:tcPr>
          <w:p w14:paraId="553B58BE" w14:textId="052ECBF4" w:rsidR="00C3652E" w:rsidRPr="00C3652E" w:rsidRDefault="00C3652E" w:rsidP="00C3652E">
            <w:pPr>
              <w:pStyle w:val="paragraph"/>
              <w:numPr>
                <w:ilvl w:val="0"/>
                <w:numId w:val="1"/>
              </w:numPr>
              <w:spacing w:before="0" w:beforeAutospacing="0" w:after="0" w:afterAutospacing="0"/>
              <w:textAlignment w:val="baseline"/>
              <w:rPr>
                <w:rStyle w:val="normaltextrun"/>
                <w:rFonts w:ascii="Arial" w:hAnsi="Arial" w:cs="Arial"/>
                <w:sz w:val="20"/>
                <w:szCs w:val="20"/>
              </w:rPr>
            </w:pPr>
            <w:r w:rsidRPr="00C3652E">
              <w:rPr>
                <w:rStyle w:val="normaltextrun"/>
                <w:rFonts w:ascii="Arial" w:hAnsi="Arial" w:cs="Arial"/>
                <w:b/>
                <w:bCs/>
                <w:sz w:val="20"/>
                <w:szCs w:val="20"/>
              </w:rPr>
              <w:t xml:space="preserve">Subscription to Learning Certification and Enrolment onto Statutory/Mandatory Courses </w:t>
            </w:r>
            <w:r w:rsidRPr="00C3652E">
              <w:rPr>
                <w:rStyle w:val="normaltextrun"/>
                <w:rFonts w:ascii="Arial" w:hAnsi="Arial" w:cs="Arial"/>
                <w:sz w:val="20"/>
                <w:szCs w:val="20"/>
              </w:rPr>
              <w:t xml:space="preserve">– User issues identified are being supported on a case-by-case basis via Action Point and from direct contact.  The number of queries seen are minimal, however there has been a slight increase in the past month due to the mandating of Paul Ridd, </w:t>
            </w:r>
            <w:proofErr w:type="spellStart"/>
            <w:r w:rsidRPr="00C3652E">
              <w:rPr>
                <w:rStyle w:val="normaltextrun"/>
                <w:rFonts w:ascii="Arial" w:hAnsi="Arial" w:cs="Arial"/>
                <w:sz w:val="20"/>
                <w:szCs w:val="20"/>
              </w:rPr>
              <w:t>NHS|MAND|Paul</w:t>
            </w:r>
            <w:proofErr w:type="spellEnd"/>
            <w:r w:rsidRPr="00C3652E">
              <w:rPr>
                <w:rStyle w:val="normaltextrun"/>
                <w:rFonts w:ascii="Arial" w:hAnsi="Arial" w:cs="Arial"/>
                <w:sz w:val="20"/>
                <w:szCs w:val="20"/>
              </w:rPr>
              <w:t xml:space="preserve"> Ridd Learning Disability Awareness Training - No Specified Renewal.  These have been investigated and resolved with no impact to compliance figures reported. </w:t>
            </w:r>
          </w:p>
          <w:p w14:paraId="01E96F8F" w14:textId="07F72495" w:rsidR="00C3652E" w:rsidRPr="00C3652E" w:rsidRDefault="00C3652E" w:rsidP="00C3652E">
            <w:pPr>
              <w:pStyle w:val="ListParagraph"/>
              <w:numPr>
                <w:ilvl w:val="0"/>
                <w:numId w:val="1"/>
              </w:numPr>
              <w:spacing w:after="0" w:line="240" w:lineRule="auto"/>
              <w:contextualSpacing w:val="0"/>
              <w:textAlignment w:val="baseline"/>
              <w:rPr>
                <w:rStyle w:val="normaltextrun"/>
                <w:rFonts w:ascii="Arial" w:hAnsi="Arial" w:cs="Arial"/>
              </w:rPr>
            </w:pPr>
            <w:r w:rsidRPr="00C3652E">
              <w:rPr>
                <w:rStyle w:val="normaltextrun"/>
                <w:rFonts w:ascii="Arial" w:hAnsi="Arial" w:cs="Arial"/>
                <w:b/>
                <w:bCs/>
              </w:rPr>
              <w:t xml:space="preserve">Medical and Dental Staff Group </w:t>
            </w:r>
            <w:r w:rsidRPr="00C3652E">
              <w:rPr>
                <w:rStyle w:val="normaltextrun"/>
                <w:rFonts w:ascii="Arial" w:hAnsi="Arial" w:cs="Arial"/>
              </w:rPr>
              <w:t>– Ongoing support sessions arranged in conjunction with the Executive Medical Directors Department and the E-Learning Project Support Manager to assist Dr’s with e-learning access issues to continue through 2025.</w:t>
            </w:r>
          </w:p>
          <w:p w14:paraId="3205AFDB" w14:textId="08511432" w:rsidR="00C3652E" w:rsidRPr="00C3652E" w:rsidRDefault="00C3652E" w:rsidP="00C3652E">
            <w:pPr>
              <w:pStyle w:val="ListParagraph"/>
              <w:numPr>
                <w:ilvl w:val="0"/>
                <w:numId w:val="1"/>
              </w:numPr>
              <w:spacing w:after="0" w:line="240" w:lineRule="auto"/>
              <w:contextualSpacing w:val="0"/>
              <w:textAlignment w:val="baseline"/>
              <w:rPr>
                <w:rStyle w:val="normaltextrun"/>
                <w:rFonts w:ascii="Arial" w:hAnsi="Arial" w:cs="Arial"/>
              </w:rPr>
            </w:pPr>
            <w:r w:rsidRPr="00C3652E">
              <w:rPr>
                <w:rStyle w:val="normaltextrun"/>
                <w:rFonts w:ascii="Arial" w:hAnsi="Arial" w:cs="Arial"/>
                <w:b/>
                <w:bCs/>
              </w:rPr>
              <w:t xml:space="preserve">Monitoring Compliance – </w:t>
            </w:r>
            <w:r w:rsidRPr="00C3652E">
              <w:rPr>
                <w:rStyle w:val="normaltextrun"/>
                <w:rFonts w:ascii="Arial" w:hAnsi="Arial" w:cs="Arial"/>
              </w:rPr>
              <w:t>Completion of e-learning and compliance rates to be scrutinised bi-monthly to identify where learning has been completed but compliance not recorded due to technical issues experienced by user when undertaking the e-learning, this is to ensure that the learning has been updated accurately for the user and to reflect in overall levels of compliance.</w:t>
            </w:r>
          </w:p>
          <w:p w14:paraId="7B5AA29F" w14:textId="26EB3E8C" w:rsidR="004A4BBE" w:rsidRPr="00C3652E" w:rsidRDefault="00C3652E" w:rsidP="00C3652E">
            <w:pPr>
              <w:pStyle w:val="ListParagraph"/>
              <w:numPr>
                <w:ilvl w:val="0"/>
                <w:numId w:val="1"/>
              </w:numPr>
              <w:spacing w:after="0" w:line="240" w:lineRule="auto"/>
              <w:contextualSpacing w:val="0"/>
              <w:textAlignment w:val="baseline"/>
              <w:rPr>
                <w:rStyle w:val="normaltextrun"/>
                <w:rFonts w:ascii="Arial" w:hAnsi="Arial" w:cs="Arial"/>
              </w:rPr>
            </w:pPr>
            <w:r w:rsidRPr="00C3652E">
              <w:rPr>
                <w:rStyle w:val="normaltextrun"/>
                <w:rFonts w:ascii="Arial" w:hAnsi="Arial" w:cs="Arial"/>
              </w:rPr>
              <w:t>NPTSG updated that there is a need to continue to focus on improving Mandatory Training compliance within the Medical Staff Group.</w:t>
            </w:r>
          </w:p>
        </w:tc>
      </w:tr>
      <w:tr w:rsidR="00724E77" w:rsidRPr="00407A0F" w14:paraId="72845006" w14:textId="77777777" w:rsidTr="005164D8">
        <w:trPr>
          <w:trHeight w:val="1266"/>
        </w:trPr>
        <w:tc>
          <w:tcPr>
            <w:tcW w:w="2117" w:type="dxa"/>
            <w:shd w:val="clear" w:color="auto" w:fill="DBE5F1" w:themeFill="accent1" w:themeFillTint="33"/>
          </w:tcPr>
          <w:p w14:paraId="1E844F9E" w14:textId="77777777" w:rsidR="00724E77" w:rsidRPr="0047276B" w:rsidRDefault="00724E77" w:rsidP="00724E77">
            <w:pPr>
              <w:spacing w:after="0" w:line="240" w:lineRule="auto"/>
              <w:rPr>
                <w:rFonts w:ascii="Arial" w:hAnsi="Arial" w:cs="Arial"/>
                <w:b/>
                <w:bCs/>
                <w:sz w:val="22"/>
                <w:szCs w:val="22"/>
              </w:rPr>
            </w:pPr>
            <w:r w:rsidRPr="0047276B">
              <w:rPr>
                <w:rFonts w:ascii="Arial" w:hAnsi="Arial" w:cs="Arial"/>
                <w:b/>
                <w:bCs/>
                <w:sz w:val="22"/>
                <w:szCs w:val="22"/>
              </w:rPr>
              <w:lastRenderedPageBreak/>
              <w:t xml:space="preserve">Vacancies </w:t>
            </w:r>
          </w:p>
          <w:p w14:paraId="41113F84" w14:textId="54EF0FFA" w:rsidR="00724E77" w:rsidRPr="0047276B" w:rsidRDefault="00724E77" w:rsidP="00724E77">
            <w:pPr>
              <w:spacing w:after="0" w:line="240" w:lineRule="auto"/>
              <w:rPr>
                <w:rFonts w:ascii="Arial" w:hAnsi="Arial" w:cs="Arial"/>
                <w:b/>
                <w:bCs/>
                <w:sz w:val="24"/>
                <w:szCs w:val="24"/>
              </w:rPr>
            </w:pPr>
            <w:r w:rsidRPr="0047276B">
              <w:rPr>
                <w:rFonts w:ascii="Arial" w:hAnsi="Arial" w:cs="Arial"/>
                <w:bCs/>
                <w:i/>
                <w:sz w:val="22"/>
                <w:szCs w:val="22"/>
              </w:rPr>
              <w:t>Medical and Nursing and Midwifery</w:t>
            </w:r>
            <w:r w:rsidRPr="0047276B">
              <w:rPr>
                <w:rFonts w:ascii="Arial" w:hAnsi="Arial" w:cs="Arial"/>
                <w:b/>
                <w:bCs/>
                <w:sz w:val="24"/>
                <w:szCs w:val="24"/>
              </w:rPr>
              <w:t xml:space="preserve"> </w:t>
            </w:r>
          </w:p>
        </w:tc>
        <w:tc>
          <w:tcPr>
            <w:tcW w:w="10730" w:type="dxa"/>
            <w:shd w:val="clear" w:color="auto" w:fill="auto"/>
          </w:tcPr>
          <w:p w14:paraId="550A056F" w14:textId="77777777" w:rsidR="00724E77" w:rsidRDefault="00724E77" w:rsidP="00724E77">
            <w:pPr>
              <w:jc w:val="center"/>
              <w:rPr>
                <w:rFonts w:ascii="Arial" w:hAnsi="Arial" w:cs="Arial"/>
                <w:b/>
                <w:bCs/>
              </w:rPr>
            </w:pPr>
            <w:r w:rsidRPr="005A1B5E">
              <w:rPr>
                <w:rFonts w:ascii="Arial" w:hAnsi="Arial" w:cs="Arial"/>
                <w:noProof/>
              </w:rPr>
              <w:drawing>
                <wp:anchor distT="0" distB="0" distL="114300" distR="114300" simplePos="0" relativeHeight="251659264" behindDoc="0" locked="0" layoutInCell="1" allowOverlap="1" wp14:anchorId="3020A626" wp14:editId="6F92D9B7">
                  <wp:simplePos x="0" y="0"/>
                  <wp:positionH relativeFrom="column">
                    <wp:posOffset>-65405</wp:posOffset>
                  </wp:positionH>
                  <wp:positionV relativeFrom="paragraph">
                    <wp:posOffset>253365</wp:posOffset>
                  </wp:positionV>
                  <wp:extent cx="3552825" cy="3381375"/>
                  <wp:effectExtent l="0" t="0" r="9525" b="952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3552825" cy="3381375"/>
                          </a:xfrm>
                          <a:prstGeom prst="rect">
                            <a:avLst/>
                          </a:prstGeom>
                        </pic:spPr>
                      </pic:pic>
                    </a:graphicData>
                  </a:graphic>
                  <wp14:sizeRelH relativeFrom="margin">
                    <wp14:pctWidth>0</wp14:pctWidth>
                  </wp14:sizeRelH>
                  <wp14:sizeRelV relativeFrom="margin">
                    <wp14:pctHeight>0</wp14:pctHeight>
                  </wp14:sizeRelV>
                </wp:anchor>
              </w:drawing>
            </w:r>
            <w:r w:rsidRPr="005A1B5E">
              <w:rPr>
                <w:rFonts w:ascii="Arial" w:hAnsi="Arial" w:cs="Arial"/>
                <w:noProof/>
              </w:rPr>
              <w:drawing>
                <wp:anchor distT="0" distB="0" distL="114300" distR="114300" simplePos="0" relativeHeight="251660288" behindDoc="0" locked="0" layoutInCell="1" allowOverlap="1" wp14:anchorId="6FB7407B" wp14:editId="6431AA63">
                  <wp:simplePos x="0" y="0"/>
                  <wp:positionH relativeFrom="column">
                    <wp:posOffset>3608070</wp:posOffset>
                  </wp:positionH>
                  <wp:positionV relativeFrom="paragraph">
                    <wp:posOffset>253365</wp:posOffset>
                  </wp:positionV>
                  <wp:extent cx="2933700" cy="1781175"/>
                  <wp:effectExtent l="0" t="0" r="0" b="952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2933700" cy="1781175"/>
                          </a:xfrm>
                          <a:prstGeom prst="rect">
                            <a:avLst/>
                          </a:prstGeom>
                        </pic:spPr>
                      </pic:pic>
                    </a:graphicData>
                  </a:graphic>
                  <wp14:sizeRelH relativeFrom="margin">
                    <wp14:pctWidth>0</wp14:pctWidth>
                  </wp14:sizeRelH>
                </wp:anchor>
              </w:drawing>
            </w:r>
            <w:r w:rsidRPr="194081B6">
              <w:rPr>
                <w:rFonts w:ascii="Arial" w:hAnsi="Arial" w:cs="Arial"/>
                <w:b/>
                <w:bCs/>
              </w:rPr>
              <w:t xml:space="preserve">Vacancies (FTE) </w:t>
            </w:r>
            <w:r w:rsidRPr="00724E77">
              <w:rPr>
                <w:rFonts w:ascii="Arial" w:hAnsi="Arial" w:cs="Arial"/>
                <w:b/>
                <w:bCs/>
              </w:rPr>
              <w:t>Jan 25 to Feb 25 (note that both tables have been updated)</w:t>
            </w:r>
          </w:p>
          <w:p w14:paraId="7C7F5481" w14:textId="77777777" w:rsidR="00724E77" w:rsidRPr="0047276B" w:rsidRDefault="00724E77" w:rsidP="00724E77">
            <w:pPr>
              <w:jc w:val="center"/>
              <w:rPr>
                <w:rFonts w:ascii="Arial" w:hAnsi="Arial" w:cs="Arial"/>
                <w:b/>
              </w:rPr>
            </w:pPr>
          </w:p>
          <w:p w14:paraId="3BD9C942" w14:textId="77777777" w:rsidR="00724E77" w:rsidRPr="0047276B" w:rsidRDefault="00724E77" w:rsidP="00724E77">
            <w:pPr>
              <w:jc w:val="center"/>
            </w:pPr>
            <w:r>
              <w:rPr>
                <w:rFonts w:ascii="Arial" w:hAnsi="Arial" w:cs="Arial"/>
              </w:rPr>
              <w:t xml:space="preserve">  </w:t>
            </w:r>
          </w:p>
          <w:p w14:paraId="2D0AAE23" w14:textId="77777777" w:rsidR="00724E77" w:rsidRDefault="00724E77" w:rsidP="00724E77">
            <w:pPr>
              <w:spacing w:after="0"/>
              <w:jc w:val="both"/>
              <w:rPr>
                <w:rFonts w:ascii="Arial" w:hAnsi="Arial" w:cs="Arial"/>
                <w:i/>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Pr="00724E77">
              <w:rPr>
                <w:rFonts w:ascii="Arial" w:hAnsi="Arial" w:cs="Arial"/>
                <w:i/>
                <w:sz w:val="18"/>
                <w:szCs w:val="18"/>
              </w:rPr>
              <w:t>March 2</w:t>
            </w:r>
            <w:r>
              <w:rPr>
                <w:rFonts w:ascii="Arial" w:hAnsi="Arial" w:cs="Arial"/>
                <w:i/>
                <w:sz w:val="18"/>
                <w:szCs w:val="18"/>
              </w:rPr>
              <w:t>025</w:t>
            </w:r>
            <w:r w:rsidRPr="0047276B">
              <w:rPr>
                <w:rFonts w:ascii="Arial" w:hAnsi="Arial" w:cs="Arial"/>
                <w:i/>
                <w:sz w:val="18"/>
                <w:szCs w:val="18"/>
              </w:rPr>
              <w:t>, within SBUHB (ESR Team), using currently available methodology. Data source – ESR (Workforce) and General Ledger (Finance). We compare the SIP v’s the finance ledger, appreciating limitations on accuracy in some areas. Accuracy levels are subject to local validation practices based on budget holder</w:t>
            </w:r>
            <w:r>
              <w:rPr>
                <w:rFonts w:ascii="Arial" w:hAnsi="Arial" w:cs="Arial"/>
                <w:i/>
                <w:sz w:val="18"/>
                <w:szCs w:val="18"/>
              </w:rPr>
              <w:t>’</w:t>
            </w:r>
            <w:r w:rsidRPr="0047276B">
              <w:rPr>
                <w:rFonts w:ascii="Arial" w:hAnsi="Arial" w:cs="Arial"/>
                <w:i/>
                <w:sz w:val="18"/>
                <w:szCs w:val="18"/>
              </w:rPr>
              <w:t>s intelligence.</w:t>
            </w:r>
          </w:p>
          <w:p w14:paraId="0DC7414C" w14:textId="77777777" w:rsidR="00724E77" w:rsidRDefault="00724E77" w:rsidP="00724E77">
            <w:pPr>
              <w:spacing w:after="0"/>
              <w:jc w:val="both"/>
              <w:rPr>
                <w:rFonts w:ascii="Arial" w:hAnsi="Arial" w:cs="Arial"/>
                <w:i/>
                <w:sz w:val="18"/>
                <w:szCs w:val="18"/>
              </w:rPr>
            </w:pPr>
          </w:p>
          <w:p w14:paraId="0CF6C8DC" w14:textId="7244D0C5" w:rsidR="00724E77" w:rsidRPr="0047276B" w:rsidRDefault="00724E77" w:rsidP="00724E77">
            <w:pPr>
              <w:spacing w:after="0"/>
              <w:jc w:val="both"/>
              <w:rPr>
                <w:rFonts w:ascii="Arial" w:hAnsi="Arial" w:cs="Arial"/>
                <w:i/>
                <w:sz w:val="18"/>
                <w:szCs w:val="18"/>
              </w:rPr>
            </w:pPr>
          </w:p>
        </w:tc>
      </w:tr>
      <w:tr w:rsidR="00724E77" w:rsidRPr="00D40A65" w14:paraId="4605B8F4" w14:textId="77777777" w:rsidTr="5E29146B">
        <w:tc>
          <w:tcPr>
            <w:tcW w:w="12847" w:type="dxa"/>
            <w:gridSpan w:val="2"/>
            <w:shd w:val="clear" w:color="auto" w:fill="EAF1DD" w:themeFill="accent3" w:themeFillTint="33"/>
          </w:tcPr>
          <w:p w14:paraId="58FEE78C" w14:textId="77777777" w:rsidR="00724E77" w:rsidRPr="0047276B" w:rsidRDefault="00724E77" w:rsidP="00724E77">
            <w:pPr>
              <w:spacing w:after="0" w:line="240" w:lineRule="auto"/>
              <w:contextualSpacing/>
              <w:rPr>
                <w:rFonts w:ascii="Arial" w:hAnsi="Arial" w:cs="Arial"/>
                <w:b/>
              </w:rPr>
            </w:pPr>
            <w:r w:rsidRPr="0047276B">
              <w:rPr>
                <w:rFonts w:ascii="Arial" w:hAnsi="Arial" w:cs="Arial"/>
                <w:b/>
              </w:rPr>
              <w:t>Current Performance</w:t>
            </w:r>
          </w:p>
        </w:tc>
      </w:tr>
      <w:tr w:rsidR="00724E77" w:rsidRPr="00D40A65" w14:paraId="24DA82B3" w14:textId="77777777" w:rsidTr="004570E3">
        <w:tc>
          <w:tcPr>
            <w:tcW w:w="12847" w:type="dxa"/>
            <w:gridSpan w:val="2"/>
            <w:shd w:val="clear" w:color="auto" w:fill="auto"/>
          </w:tcPr>
          <w:p w14:paraId="7C722B32" w14:textId="2F1BD9AF" w:rsidR="00724E77" w:rsidRPr="0060667F" w:rsidRDefault="00724E77" w:rsidP="0060667F">
            <w:pPr>
              <w:spacing w:after="0" w:line="240" w:lineRule="auto"/>
              <w:rPr>
                <w:rFonts w:ascii="Arial" w:hAnsi="Arial" w:cs="Arial"/>
              </w:rPr>
            </w:pPr>
          </w:p>
          <w:p w14:paraId="42F00C95" w14:textId="3516DE83" w:rsidR="00724E77" w:rsidRPr="00724E77" w:rsidRDefault="00724E77" w:rsidP="00724E77">
            <w:pPr>
              <w:pStyle w:val="ListParagraph"/>
              <w:numPr>
                <w:ilvl w:val="0"/>
                <w:numId w:val="2"/>
              </w:numPr>
              <w:spacing w:after="0" w:line="240" w:lineRule="auto"/>
              <w:rPr>
                <w:rFonts w:ascii="Arial" w:hAnsi="Arial" w:cs="Arial"/>
              </w:rPr>
            </w:pPr>
            <w:r w:rsidRPr="00724E77">
              <w:rPr>
                <w:rFonts w:ascii="Arial" w:hAnsi="Arial" w:cs="Arial"/>
              </w:rPr>
              <w:t xml:space="preserve">The registered nursing establishment data indicates that we </w:t>
            </w:r>
            <w:r w:rsidR="0060667F">
              <w:rPr>
                <w:rFonts w:ascii="Arial" w:hAnsi="Arial" w:cs="Arial"/>
              </w:rPr>
              <w:t xml:space="preserve">continue to show an </w:t>
            </w:r>
            <w:r w:rsidRPr="00724E77">
              <w:rPr>
                <w:rFonts w:ascii="Arial" w:hAnsi="Arial" w:cs="Arial"/>
              </w:rPr>
              <w:t xml:space="preserve">over-recruited </w:t>
            </w:r>
            <w:r w:rsidR="0060667F">
              <w:rPr>
                <w:rFonts w:ascii="Arial" w:hAnsi="Arial" w:cs="Arial"/>
              </w:rPr>
              <w:t>position at the end of</w:t>
            </w:r>
            <w:r w:rsidRPr="00724E77">
              <w:rPr>
                <w:rFonts w:ascii="Arial" w:hAnsi="Arial" w:cs="Arial"/>
              </w:rPr>
              <w:t xml:space="preserve"> February 2025 by 48.33 FTE. Due to a slight increase in budgeted establishment for this staff group of 7 WTE, the overall increase in staff in post is approximately 14 WTEs, since December 2024.  </w:t>
            </w:r>
          </w:p>
          <w:p w14:paraId="0E1F8DDE" w14:textId="77777777" w:rsidR="00724E77" w:rsidRPr="00724E77" w:rsidRDefault="00724E77" w:rsidP="00724E77">
            <w:pPr>
              <w:pStyle w:val="ListParagraph"/>
              <w:numPr>
                <w:ilvl w:val="0"/>
                <w:numId w:val="2"/>
              </w:numPr>
              <w:spacing w:after="0" w:line="240" w:lineRule="auto"/>
              <w:rPr>
                <w:rFonts w:ascii="Arial" w:hAnsi="Arial" w:cs="Arial"/>
              </w:rPr>
            </w:pPr>
            <w:r w:rsidRPr="00724E77">
              <w:rPr>
                <w:rFonts w:ascii="Arial" w:hAnsi="Arial" w:cs="Arial"/>
              </w:rPr>
              <w:t xml:space="preserve">For Band 5 </w:t>
            </w:r>
            <w:proofErr w:type="gramStart"/>
            <w:r w:rsidRPr="00724E77">
              <w:rPr>
                <w:rFonts w:ascii="Arial" w:hAnsi="Arial" w:cs="Arial"/>
              </w:rPr>
              <w:t>nurses in particular, we</w:t>
            </w:r>
            <w:proofErr w:type="gramEnd"/>
            <w:r w:rsidRPr="00724E77">
              <w:rPr>
                <w:rFonts w:ascii="Arial" w:hAnsi="Arial" w:cs="Arial"/>
              </w:rPr>
              <w:t xml:space="preserve"> were over-recruited by 63.48 FTE as of Feb 25. This is due to the Health Board continuing to accommodate newly qualified nurses starting in Band 5 roles through our student streamlining programme, whereby 145 have now started in post between 01/09/24 and 18/03/2025 (an increase of 13FTE since December 2024). A further 33 from the March 2025 cohort are currently undergoing pre-employment checks and 9 are ready for a start date or have their start date booked. </w:t>
            </w:r>
          </w:p>
          <w:p w14:paraId="02291263" w14:textId="77777777" w:rsidR="00724E77" w:rsidRDefault="00724E77" w:rsidP="00724E77">
            <w:pPr>
              <w:pStyle w:val="ListParagraph"/>
              <w:numPr>
                <w:ilvl w:val="0"/>
                <w:numId w:val="2"/>
              </w:numPr>
              <w:spacing w:after="0" w:line="240" w:lineRule="auto"/>
              <w:rPr>
                <w:rFonts w:ascii="Arial" w:hAnsi="Arial" w:cs="Arial"/>
              </w:rPr>
            </w:pPr>
            <w:r w:rsidRPr="00724E77">
              <w:rPr>
                <w:rFonts w:ascii="Arial" w:hAnsi="Arial" w:cs="Arial"/>
              </w:rPr>
              <w:t xml:space="preserve">Our corporate nursing team continue to support service groups with overseas recruitment for hard to recruit roles, having recruited 11 mental health nurses and 3 midwives in January and February 2025. However, note these will have commenced in Band 4 posts until they have passed their OSCE and completed their NMC registration, which can take up to 3 months. For 2025/26, 16 international nurses have been offered posts in the NPTS Service Group (10 for theatres and 6 for medicine/ cancer services) </w:t>
            </w:r>
          </w:p>
          <w:p w14:paraId="63C97AE8" w14:textId="220DB016" w:rsidR="00724E77" w:rsidRPr="00724E77" w:rsidRDefault="00724E77" w:rsidP="00724E77">
            <w:pPr>
              <w:pStyle w:val="ListParagraph"/>
              <w:numPr>
                <w:ilvl w:val="0"/>
                <w:numId w:val="2"/>
              </w:numPr>
              <w:spacing w:after="0" w:line="240" w:lineRule="auto"/>
              <w:rPr>
                <w:rFonts w:ascii="Arial" w:hAnsi="Arial" w:cs="Arial"/>
              </w:rPr>
            </w:pPr>
            <w:r w:rsidRPr="00724E77">
              <w:rPr>
                <w:rFonts w:ascii="Arial" w:hAnsi="Arial" w:cs="Arial"/>
              </w:rPr>
              <w:lastRenderedPageBreak/>
              <w:t>In addition to the above, our Central Resourcing Team (CRT) continue to support service groups with any other Band 5 recruitment needs. For example, they have recently supported with the successful appointment of 7.84wte Band 5 Emergency Department Paediatric Nurses for Morriston Service Group.</w:t>
            </w:r>
            <w:r w:rsidRPr="00724E77">
              <w:rPr>
                <w:rFonts w:ascii="Aptos" w:hAnsi="Aptos"/>
                <w:color w:val="44546A"/>
                <w:sz w:val="24"/>
                <w:szCs w:val="24"/>
              </w:rPr>
              <w:t xml:space="preserve"> </w:t>
            </w:r>
            <w:r w:rsidRPr="00724E77">
              <w:rPr>
                <w:rFonts w:ascii="Arial" w:hAnsi="Arial" w:cs="Arial"/>
              </w:rPr>
              <w:t xml:space="preserve">They also continue to receive and provide support for the Mental Health and Learning Disabilities Service Group for various Nursing and HCSW vacancies </w:t>
            </w:r>
          </w:p>
          <w:p w14:paraId="437CF810" w14:textId="77777777" w:rsidR="00724E77" w:rsidRDefault="00724E77" w:rsidP="00724E77">
            <w:pPr>
              <w:pStyle w:val="ListParagraph"/>
              <w:numPr>
                <w:ilvl w:val="0"/>
                <w:numId w:val="2"/>
              </w:numPr>
              <w:spacing w:after="0" w:line="240" w:lineRule="auto"/>
              <w:rPr>
                <w:rFonts w:ascii="Arial" w:hAnsi="Arial" w:cs="Arial"/>
              </w:rPr>
            </w:pPr>
            <w:r w:rsidRPr="00724E77">
              <w:rPr>
                <w:rFonts w:ascii="Arial" w:hAnsi="Arial" w:cs="Arial"/>
              </w:rPr>
              <w:t xml:space="preserve">The rich supply of Band 5 nurses from all three recruitment sources should ensure that no band 5 nursing gaps arise over the next 12 months due to turnover and/or internal movements into higher banded roles  </w:t>
            </w:r>
          </w:p>
          <w:p w14:paraId="76C797B6" w14:textId="37D29A95" w:rsidR="00C406C2" w:rsidRPr="00724E77" w:rsidRDefault="00C406C2" w:rsidP="00724E77">
            <w:pPr>
              <w:pStyle w:val="ListParagraph"/>
              <w:numPr>
                <w:ilvl w:val="0"/>
                <w:numId w:val="2"/>
              </w:numPr>
              <w:spacing w:after="0" w:line="240" w:lineRule="auto"/>
              <w:rPr>
                <w:rFonts w:ascii="Arial" w:hAnsi="Arial" w:cs="Arial"/>
              </w:rPr>
            </w:pPr>
            <w:r>
              <w:rPr>
                <w:rFonts w:ascii="Arial" w:hAnsi="Arial" w:cs="Arial"/>
              </w:rPr>
              <w:t xml:space="preserve">It is important to note that the vacancy exception process remains in </w:t>
            </w:r>
            <w:proofErr w:type="gramStart"/>
            <w:r>
              <w:rPr>
                <w:rFonts w:ascii="Arial" w:hAnsi="Arial" w:cs="Arial"/>
              </w:rPr>
              <w:t>place</w:t>
            </w:r>
            <w:proofErr w:type="gramEnd"/>
            <w:r>
              <w:rPr>
                <w:rFonts w:ascii="Arial" w:hAnsi="Arial" w:cs="Arial"/>
              </w:rPr>
              <w:t xml:space="preserve"> which is impacting on timescales, staff wellbeing/experience and </w:t>
            </w:r>
            <w:proofErr w:type="gramStart"/>
            <w:r>
              <w:rPr>
                <w:rFonts w:ascii="Arial" w:hAnsi="Arial" w:cs="Arial"/>
              </w:rPr>
              <w:t>is can be</w:t>
            </w:r>
            <w:proofErr w:type="gramEnd"/>
            <w:r>
              <w:rPr>
                <w:rFonts w:ascii="Arial" w:hAnsi="Arial" w:cs="Arial"/>
              </w:rPr>
              <w:t xml:space="preserve"> demonstrated within the high levels of variable pay. </w:t>
            </w:r>
          </w:p>
          <w:p w14:paraId="342C5C37" w14:textId="22E4E544" w:rsidR="00724E77" w:rsidRPr="00724E77" w:rsidRDefault="00724E77" w:rsidP="00724E77">
            <w:pPr>
              <w:spacing w:after="0" w:line="240" w:lineRule="auto"/>
              <w:rPr>
                <w:rFonts w:ascii="Arial" w:hAnsi="Arial" w:cs="Arial"/>
              </w:rPr>
            </w:pPr>
          </w:p>
        </w:tc>
      </w:tr>
      <w:tr w:rsidR="00724E77" w:rsidRPr="00D40A65" w14:paraId="1645E266" w14:textId="77777777" w:rsidTr="5E29146B">
        <w:tc>
          <w:tcPr>
            <w:tcW w:w="12847" w:type="dxa"/>
            <w:gridSpan w:val="2"/>
            <w:shd w:val="clear" w:color="auto" w:fill="EAF1DD" w:themeFill="accent3" w:themeFillTint="33"/>
          </w:tcPr>
          <w:p w14:paraId="6DD4C2E6" w14:textId="77777777" w:rsidR="00724E77" w:rsidRPr="0047276B" w:rsidRDefault="00724E77" w:rsidP="00724E77">
            <w:pPr>
              <w:spacing w:after="0" w:line="240" w:lineRule="auto"/>
              <w:rPr>
                <w:rFonts w:ascii="Arial" w:hAnsi="Arial" w:cs="Arial"/>
                <w:b/>
              </w:rPr>
            </w:pPr>
            <w:r w:rsidRPr="0047276B">
              <w:rPr>
                <w:rFonts w:ascii="Arial" w:hAnsi="Arial" w:cs="Arial"/>
                <w:b/>
              </w:rPr>
              <w:lastRenderedPageBreak/>
              <w:t>Actions for Next Period</w:t>
            </w:r>
          </w:p>
        </w:tc>
      </w:tr>
      <w:tr w:rsidR="00724E77" w:rsidRPr="00D40A65" w14:paraId="00E15887" w14:textId="77777777" w:rsidTr="009D241C">
        <w:trPr>
          <w:trHeight w:val="67"/>
        </w:trPr>
        <w:tc>
          <w:tcPr>
            <w:tcW w:w="12847" w:type="dxa"/>
            <w:gridSpan w:val="2"/>
            <w:shd w:val="clear" w:color="auto" w:fill="DDD9C3" w:themeFill="background2" w:themeFillShade="E6"/>
          </w:tcPr>
          <w:p w14:paraId="2CD6269B" w14:textId="77777777" w:rsidR="00724E77" w:rsidRPr="009D241C" w:rsidRDefault="00724E77" w:rsidP="00724E77">
            <w:pPr>
              <w:pStyle w:val="ListParagraph"/>
              <w:numPr>
                <w:ilvl w:val="0"/>
                <w:numId w:val="2"/>
              </w:numPr>
              <w:rPr>
                <w:rFonts w:ascii="Arial" w:hAnsi="Arial" w:cs="Arial"/>
              </w:rPr>
            </w:pPr>
            <w:r w:rsidRPr="009D241C">
              <w:rPr>
                <w:rFonts w:ascii="Arial" w:hAnsi="Arial" w:cs="Arial"/>
              </w:rPr>
              <w:t xml:space="preserve">International nurse recruitment, student streamlining and domestic recruitment will continue as per the above </w:t>
            </w:r>
          </w:p>
          <w:p w14:paraId="16807ABE" w14:textId="77777777" w:rsidR="00724E77" w:rsidRPr="009D241C" w:rsidRDefault="00724E77" w:rsidP="00724E77">
            <w:pPr>
              <w:pStyle w:val="ListParagraph"/>
              <w:numPr>
                <w:ilvl w:val="0"/>
                <w:numId w:val="2"/>
              </w:numPr>
              <w:rPr>
                <w:rFonts w:ascii="Arial" w:hAnsi="Arial" w:cs="Arial"/>
              </w:rPr>
            </w:pPr>
            <w:r w:rsidRPr="009D241C">
              <w:rPr>
                <w:rFonts w:ascii="Arial" w:hAnsi="Arial" w:cs="Arial"/>
              </w:rPr>
              <w:t xml:space="preserve">The CRT have developed a checklist of actions for recruiting managers to consider when trying to fill hard to recruit roles, which is due to be published this month </w:t>
            </w:r>
          </w:p>
          <w:p w14:paraId="57140FD8" w14:textId="194F691F" w:rsidR="00724E77" w:rsidRPr="009D241C" w:rsidRDefault="00724E77" w:rsidP="00724E77">
            <w:pPr>
              <w:pStyle w:val="ListParagraph"/>
              <w:numPr>
                <w:ilvl w:val="0"/>
                <w:numId w:val="2"/>
              </w:numPr>
              <w:rPr>
                <w:rFonts w:ascii="Arial" w:hAnsi="Arial" w:cs="Arial"/>
              </w:rPr>
            </w:pPr>
            <w:r w:rsidRPr="009D241C">
              <w:rPr>
                <w:rFonts w:ascii="Arial" w:hAnsi="Arial" w:cs="Arial"/>
              </w:rPr>
              <w:t>The CRT are also supporting with the implementation of Welsh Language compliance actions in recruitment. In addition to training 116 managers, they have also supported managers with 202 vacancies (an increase of almost 100 since the previous reporting period) which have been non-compliant since the new process was implemented on 1</w:t>
            </w:r>
            <w:r w:rsidRPr="009D241C">
              <w:rPr>
                <w:rFonts w:ascii="Arial" w:hAnsi="Arial" w:cs="Arial"/>
                <w:vertAlign w:val="superscript"/>
              </w:rPr>
              <w:t>st</w:t>
            </w:r>
            <w:r w:rsidRPr="009D241C">
              <w:rPr>
                <w:rFonts w:ascii="Arial" w:hAnsi="Arial" w:cs="Arial"/>
              </w:rPr>
              <w:t xml:space="preserve"> November 2024. </w:t>
            </w:r>
          </w:p>
          <w:p w14:paraId="2600083E" w14:textId="77777777" w:rsidR="00724E77" w:rsidRDefault="00724E77" w:rsidP="00724E77">
            <w:pPr>
              <w:rPr>
                <w:rFonts w:ascii="Arial" w:hAnsi="Arial" w:cs="Arial"/>
              </w:rPr>
            </w:pPr>
          </w:p>
          <w:p w14:paraId="56A14BD9" w14:textId="77777777" w:rsidR="00724E77" w:rsidRDefault="00724E77" w:rsidP="00724E77">
            <w:pPr>
              <w:rPr>
                <w:rFonts w:ascii="Arial" w:hAnsi="Arial" w:cs="Arial"/>
              </w:rPr>
            </w:pPr>
          </w:p>
          <w:p w14:paraId="74BFE5D7" w14:textId="608B2F45" w:rsidR="00724E77" w:rsidRPr="00326954" w:rsidRDefault="00724E77" w:rsidP="00724E77">
            <w:pPr>
              <w:rPr>
                <w:rFonts w:ascii="Arial" w:hAnsi="Arial" w:cs="Arial"/>
              </w:rPr>
            </w:pPr>
          </w:p>
        </w:tc>
      </w:tr>
      <w:tr w:rsidR="00724E77" w:rsidRPr="00407A0F" w14:paraId="4190C3C3" w14:textId="77777777" w:rsidTr="004E0089">
        <w:tc>
          <w:tcPr>
            <w:tcW w:w="2117" w:type="dxa"/>
            <w:shd w:val="clear" w:color="auto" w:fill="DBE5F1" w:themeFill="accent1" w:themeFillTint="33"/>
          </w:tcPr>
          <w:p w14:paraId="346FC8B3" w14:textId="77777777" w:rsidR="00724E77" w:rsidRDefault="00724E77" w:rsidP="004E0089">
            <w:pPr>
              <w:spacing w:after="0" w:line="240" w:lineRule="auto"/>
              <w:rPr>
                <w:rFonts w:ascii="Arial" w:hAnsi="Arial" w:cs="Arial"/>
                <w:b/>
                <w:bCs/>
                <w:sz w:val="22"/>
              </w:rPr>
            </w:pPr>
          </w:p>
          <w:p w14:paraId="3F733C5D" w14:textId="77777777" w:rsidR="00724E77" w:rsidRPr="0047276B" w:rsidRDefault="00724E77" w:rsidP="004E0089">
            <w:pPr>
              <w:spacing w:after="0" w:line="240" w:lineRule="auto"/>
              <w:rPr>
                <w:rFonts w:ascii="Arial" w:hAnsi="Arial" w:cs="Arial"/>
                <w:b/>
                <w:bCs/>
              </w:rPr>
            </w:pPr>
            <w:r w:rsidRPr="0047276B">
              <w:rPr>
                <w:rFonts w:ascii="Arial" w:hAnsi="Arial" w:cs="Arial"/>
                <w:b/>
                <w:bCs/>
                <w:sz w:val="22"/>
              </w:rPr>
              <w:t>Recruitment</w:t>
            </w:r>
            <w:r w:rsidRPr="0047276B">
              <w:rPr>
                <w:rFonts w:ascii="Arial" w:hAnsi="Arial" w:cs="Arial"/>
                <w:b/>
                <w:bCs/>
              </w:rPr>
              <w:t xml:space="preserve"> </w:t>
            </w:r>
          </w:p>
          <w:p w14:paraId="42DFA49C" w14:textId="77777777" w:rsidR="00724E77" w:rsidRPr="0047276B" w:rsidRDefault="00724E77" w:rsidP="004E0089">
            <w:pPr>
              <w:spacing w:after="0" w:line="240" w:lineRule="auto"/>
              <w:rPr>
                <w:rFonts w:ascii="Arial" w:hAnsi="Arial" w:cs="Arial"/>
                <w:bCs/>
                <w:i/>
                <w:sz w:val="21"/>
                <w:szCs w:val="21"/>
              </w:rPr>
            </w:pPr>
            <w:r w:rsidRPr="0047276B">
              <w:rPr>
                <w:rFonts w:ascii="Arial" w:hAnsi="Arial" w:cs="Arial"/>
                <w:bCs/>
                <w:i/>
                <w:sz w:val="21"/>
                <w:szCs w:val="21"/>
              </w:rPr>
              <w:t>Metrics provided by NWSSP.  Comparison with all-Wales benchmarking</w:t>
            </w:r>
          </w:p>
          <w:p w14:paraId="18BAD2EF" w14:textId="77777777" w:rsidR="00724E77" w:rsidRPr="0047276B" w:rsidRDefault="00724E77" w:rsidP="004E0089">
            <w:pPr>
              <w:spacing w:after="0" w:line="240" w:lineRule="auto"/>
              <w:rPr>
                <w:rFonts w:ascii="Arial" w:hAnsi="Arial" w:cs="Arial"/>
                <w:bCs/>
                <w:i/>
                <w:sz w:val="21"/>
                <w:szCs w:val="21"/>
              </w:rPr>
            </w:pPr>
          </w:p>
          <w:p w14:paraId="523AE1A1" w14:textId="77777777" w:rsidR="00724E77" w:rsidRPr="0047276B" w:rsidRDefault="00724E77" w:rsidP="004E0089">
            <w:pPr>
              <w:spacing w:after="0" w:line="240" w:lineRule="auto"/>
              <w:rPr>
                <w:rFonts w:ascii="Arial" w:hAnsi="Arial" w:cs="Arial"/>
                <w:b/>
                <w:bCs/>
                <w:sz w:val="24"/>
                <w:szCs w:val="24"/>
              </w:rPr>
            </w:pPr>
            <w:r w:rsidRPr="0047276B">
              <w:rPr>
                <w:rFonts w:ascii="Arial" w:hAnsi="Arial" w:cs="Arial"/>
                <w:bCs/>
                <w:i/>
                <w:sz w:val="21"/>
                <w:szCs w:val="21"/>
              </w:rPr>
              <w:t>Target 44 days</w:t>
            </w:r>
          </w:p>
        </w:tc>
        <w:tc>
          <w:tcPr>
            <w:tcW w:w="10730" w:type="dxa"/>
            <w:shd w:val="clear" w:color="auto" w:fill="auto"/>
          </w:tcPr>
          <w:p w14:paraId="37EED047" w14:textId="77777777" w:rsidR="00724E77" w:rsidRDefault="00724E77" w:rsidP="004E0089">
            <w:pPr>
              <w:spacing w:after="0" w:line="240" w:lineRule="auto"/>
              <w:jc w:val="center"/>
              <w:rPr>
                <w:noProof/>
              </w:rPr>
            </w:pPr>
            <w:r w:rsidRPr="00063181">
              <w:rPr>
                <w:noProof/>
              </w:rPr>
              <w:drawing>
                <wp:anchor distT="0" distB="0" distL="114300" distR="114300" simplePos="0" relativeHeight="251662336" behindDoc="0" locked="0" layoutInCell="1" allowOverlap="1" wp14:anchorId="69B2EC26" wp14:editId="101A659E">
                  <wp:simplePos x="0" y="0"/>
                  <wp:positionH relativeFrom="column">
                    <wp:posOffset>161925</wp:posOffset>
                  </wp:positionH>
                  <wp:positionV relativeFrom="paragraph">
                    <wp:posOffset>296545</wp:posOffset>
                  </wp:positionV>
                  <wp:extent cx="6381750" cy="182880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6381750" cy="1828800"/>
                          </a:xfrm>
                          <a:prstGeom prst="rect">
                            <a:avLst/>
                          </a:prstGeom>
                        </pic:spPr>
                      </pic:pic>
                    </a:graphicData>
                  </a:graphic>
                  <wp14:sizeRelH relativeFrom="margin">
                    <wp14:pctWidth>0</wp14:pctWidth>
                  </wp14:sizeRelH>
                </wp:anchor>
              </w:drawing>
            </w:r>
            <w:r>
              <w:rPr>
                <w:rFonts w:ascii="Arial" w:hAnsi="Arial" w:cs="Arial"/>
                <w:b/>
                <w:bCs/>
                <w:noProof/>
                <w:sz w:val="22"/>
                <w:szCs w:val="22"/>
                <w:lang w:val="en-US"/>
              </w:rPr>
              <w:t xml:space="preserve">Vacancy Creation to Conditional Offer </w:t>
            </w:r>
            <w:r w:rsidRPr="00724E77">
              <w:rPr>
                <w:rFonts w:ascii="Arial" w:hAnsi="Arial" w:cs="Arial"/>
                <w:b/>
                <w:bCs/>
                <w:noProof/>
                <w:sz w:val="22"/>
                <w:szCs w:val="22"/>
                <w:lang w:val="en-US"/>
              </w:rPr>
              <w:t>February 2025</w:t>
            </w:r>
            <w:r>
              <w:rPr>
                <w:rFonts w:ascii="Arial" w:hAnsi="Arial" w:cs="Arial"/>
                <w:b/>
                <w:bCs/>
                <w:noProof/>
                <w:sz w:val="22"/>
                <w:szCs w:val="22"/>
                <w:lang w:val="en-US"/>
              </w:rPr>
              <w:t xml:space="preserve"> (working days) T13</w:t>
            </w:r>
          </w:p>
          <w:p w14:paraId="5FB9181F" w14:textId="77777777" w:rsidR="00724E77" w:rsidRDefault="00724E77" w:rsidP="004E0089">
            <w:pPr>
              <w:spacing w:after="0" w:line="240" w:lineRule="auto"/>
              <w:jc w:val="center"/>
              <w:rPr>
                <w:noProof/>
              </w:rPr>
            </w:pPr>
          </w:p>
          <w:p w14:paraId="5ADF3F6B" w14:textId="77777777" w:rsidR="00724E77" w:rsidRPr="0047276B" w:rsidRDefault="00724E77" w:rsidP="004E0089">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Pr="00724E77">
              <w:rPr>
                <w:rFonts w:ascii="Arial" w:hAnsi="Arial" w:cs="Arial"/>
                <w:i/>
                <w:iCs/>
                <w:sz w:val="18"/>
                <w:szCs w:val="18"/>
              </w:rPr>
              <w:t>March</w:t>
            </w:r>
            <w:r>
              <w:rPr>
                <w:rFonts w:ascii="Arial" w:hAnsi="Arial" w:cs="Arial"/>
                <w:i/>
                <w:iCs/>
                <w:sz w:val="18"/>
                <w:szCs w:val="18"/>
              </w:rPr>
              <w:t xml:space="preserve"> 2025</w:t>
            </w:r>
            <w:r w:rsidRPr="5E29146B">
              <w:rPr>
                <w:rFonts w:ascii="Arial" w:hAnsi="Arial" w:cs="Arial"/>
                <w:i/>
                <w:iCs/>
                <w:sz w:val="18"/>
                <w:szCs w:val="18"/>
              </w:rPr>
              <w:t>, by NWSSP (Recruitment). Data source – TRAC system. Outliers are excluded. This is day to day vacancy management.</w:t>
            </w:r>
            <w:r>
              <w:rPr>
                <w:rFonts w:ascii="Arial" w:hAnsi="Arial" w:cs="Arial"/>
                <w:i/>
                <w:iCs/>
                <w:sz w:val="18"/>
                <w:szCs w:val="18"/>
              </w:rPr>
              <w:t xml:space="preserve"> Data excludes outliers.</w:t>
            </w:r>
          </w:p>
        </w:tc>
      </w:tr>
      <w:tr w:rsidR="00724E77" w:rsidRPr="00D40A65" w14:paraId="641E7D40" w14:textId="77777777" w:rsidTr="5E29146B">
        <w:tc>
          <w:tcPr>
            <w:tcW w:w="12847" w:type="dxa"/>
            <w:gridSpan w:val="2"/>
            <w:shd w:val="clear" w:color="auto" w:fill="EAF1DD" w:themeFill="accent3" w:themeFillTint="33"/>
          </w:tcPr>
          <w:p w14:paraId="1297C99E" w14:textId="77777777" w:rsidR="00724E77" w:rsidRPr="0047276B" w:rsidRDefault="00724E77" w:rsidP="00724E77">
            <w:pPr>
              <w:spacing w:after="0" w:line="240" w:lineRule="auto"/>
              <w:rPr>
                <w:rFonts w:ascii="Arial" w:hAnsi="Arial" w:cs="Arial"/>
                <w:b/>
              </w:rPr>
            </w:pPr>
            <w:r w:rsidRPr="0047276B">
              <w:rPr>
                <w:rFonts w:ascii="Arial" w:hAnsi="Arial" w:cs="Arial"/>
                <w:b/>
              </w:rPr>
              <w:lastRenderedPageBreak/>
              <w:t>Current Performance</w:t>
            </w:r>
          </w:p>
        </w:tc>
      </w:tr>
      <w:tr w:rsidR="00724E77" w:rsidRPr="00D40A65" w14:paraId="348D55F5" w14:textId="77777777" w:rsidTr="008D47A5">
        <w:tc>
          <w:tcPr>
            <w:tcW w:w="12847" w:type="dxa"/>
            <w:gridSpan w:val="2"/>
            <w:shd w:val="clear" w:color="auto" w:fill="auto"/>
          </w:tcPr>
          <w:p w14:paraId="71CD438D" w14:textId="77777777" w:rsidR="00724E77" w:rsidRPr="00823AA6" w:rsidRDefault="00724E77" w:rsidP="00724E77">
            <w:pPr>
              <w:spacing w:after="0" w:line="240" w:lineRule="auto"/>
              <w:ind w:left="360"/>
              <w:contextualSpacing/>
              <w:rPr>
                <w:rFonts w:ascii="Arial" w:hAnsi="Arial" w:cs="Arial"/>
              </w:rPr>
            </w:pPr>
          </w:p>
          <w:p w14:paraId="53AEEE77" w14:textId="77777777" w:rsidR="00724E77" w:rsidRPr="00724E77" w:rsidRDefault="00724E77" w:rsidP="00724E77">
            <w:pPr>
              <w:numPr>
                <w:ilvl w:val="0"/>
                <w:numId w:val="2"/>
              </w:numPr>
              <w:spacing w:after="0" w:line="240" w:lineRule="auto"/>
              <w:ind w:left="360"/>
              <w:contextualSpacing/>
              <w:rPr>
                <w:rFonts w:ascii="Arial" w:hAnsi="Arial" w:cs="Arial"/>
              </w:rPr>
            </w:pPr>
            <w:r w:rsidRPr="00724E77">
              <w:rPr>
                <w:rFonts w:ascii="Arial" w:hAnsi="Arial" w:cs="Arial"/>
              </w:rPr>
              <w:t xml:space="preserve">Swansea Bay UHB’s in-month time to hire performance has started to exceed the 44 day All Wales T13 target for the first time in over 12 months. This is due to Welsh language translation requirements and the admin and clerical recruitment pause, whereby managers have been asked to submit vacancy requests on the Trac recruitment system while waiting for approvals to be received from our executive team and for Welsh translation to be returned. </w:t>
            </w:r>
          </w:p>
          <w:p w14:paraId="78FF3720" w14:textId="77777777" w:rsidR="00724E77" w:rsidRPr="00724E77" w:rsidRDefault="00724E77" w:rsidP="00724E77">
            <w:pPr>
              <w:numPr>
                <w:ilvl w:val="0"/>
                <w:numId w:val="2"/>
              </w:numPr>
              <w:spacing w:after="0" w:line="240" w:lineRule="auto"/>
              <w:ind w:left="360"/>
              <w:contextualSpacing/>
              <w:rPr>
                <w:rFonts w:ascii="Arial" w:hAnsi="Arial" w:cs="Arial"/>
              </w:rPr>
            </w:pPr>
            <w:r w:rsidRPr="00724E77">
              <w:rPr>
                <w:rFonts w:ascii="Arial" w:hAnsi="Arial" w:cs="Arial"/>
              </w:rPr>
              <w:t xml:space="preserve">SBUHB’s 12m T13 average is still currently below the 44-day target at 41.5 days, however the in-month figures for January and February 2025 were 54.3 days and 45.9 days respectively, showing a decline in time to hire performance in recent months. The All-Wales monthly average performance remains below target at 43.3 days. </w:t>
            </w:r>
          </w:p>
          <w:p w14:paraId="42D16ECE" w14:textId="77777777" w:rsidR="00724E77" w:rsidRDefault="00724E77" w:rsidP="00724E77">
            <w:pPr>
              <w:numPr>
                <w:ilvl w:val="0"/>
                <w:numId w:val="2"/>
              </w:numPr>
              <w:spacing w:after="0" w:line="240" w:lineRule="auto"/>
              <w:ind w:left="360"/>
              <w:contextualSpacing/>
              <w:rPr>
                <w:rFonts w:ascii="Arial" w:hAnsi="Arial" w:cs="Arial"/>
              </w:rPr>
            </w:pPr>
            <w:r w:rsidRPr="00724E77">
              <w:rPr>
                <w:rFonts w:ascii="Arial" w:hAnsi="Arial" w:cs="Arial"/>
              </w:rPr>
              <w:t xml:space="preserve">SBUHB’s time to hire performance continues to be significantly below the 27 day All Wales T23 metric (target of 27 days) which is the measure from point of issuing an offer letter to agreeing a start date. SBUHB’s 12-month average is 14.8 days which is below the All-Wales monthly performance figure of 16.7 days. </w:t>
            </w:r>
          </w:p>
          <w:p w14:paraId="7503F9A6" w14:textId="6A6F16FA" w:rsidR="00724E77" w:rsidRPr="00724E77" w:rsidRDefault="00724E77" w:rsidP="00724E77">
            <w:pPr>
              <w:numPr>
                <w:ilvl w:val="0"/>
                <w:numId w:val="2"/>
              </w:numPr>
              <w:spacing w:after="0" w:line="240" w:lineRule="auto"/>
              <w:ind w:left="360"/>
              <w:contextualSpacing/>
              <w:rPr>
                <w:rFonts w:ascii="Arial" w:hAnsi="Arial" w:cs="Arial"/>
              </w:rPr>
            </w:pPr>
            <w:r w:rsidRPr="00724E77">
              <w:rPr>
                <w:rFonts w:ascii="Arial" w:hAnsi="Arial" w:cs="Arial"/>
              </w:rPr>
              <w:t>The Central Resourcing Team (CRT) have continued to coach candidates through the pre-employment check process for Band 5 nursing roles and Band 2 Health Care Support Worker roles in particular and have also been supporting with other stages of the recruitment process for some areas (e.g., shortlisting for mental health nursing and HCSW roles) to continue to assist in reducing the T13 and T27 time to hire targets, mentioned above</w:t>
            </w:r>
          </w:p>
        </w:tc>
      </w:tr>
      <w:tr w:rsidR="00724E77" w:rsidRPr="00877518" w14:paraId="5C950528" w14:textId="77777777" w:rsidTr="5E29146B">
        <w:tc>
          <w:tcPr>
            <w:tcW w:w="12847" w:type="dxa"/>
            <w:gridSpan w:val="2"/>
            <w:shd w:val="clear" w:color="auto" w:fill="EAF1DD" w:themeFill="accent3" w:themeFillTint="33"/>
          </w:tcPr>
          <w:p w14:paraId="2D276D33" w14:textId="77777777" w:rsidR="00724E77" w:rsidRPr="0047276B" w:rsidRDefault="00724E77" w:rsidP="00724E77">
            <w:pPr>
              <w:spacing w:after="0" w:line="240" w:lineRule="auto"/>
              <w:rPr>
                <w:rFonts w:ascii="Arial" w:hAnsi="Arial" w:cs="Arial"/>
                <w:b/>
              </w:rPr>
            </w:pPr>
            <w:r w:rsidRPr="0047276B">
              <w:rPr>
                <w:rFonts w:ascii="Arial" w:hAnsi="Arial" w:cs="Arial"/>
                <w:b/>
              </w:rPr>
              <w:t>Actions for Next Period</w:t>
            </w:r>
          </w:p>
        </w:tc>
      </w:tr>
      <w:tr w:rsidR="00724E77" w:rsidRPr="00D40A65" w14:paraId="10824AE5" w14:textId="77777777" w:rsidTr="008D47A5">
        <w:tc>
          <w:tcPr>
            <w:tcW w:w="12847" w:type="dxa"/>
            <w:gridSpan w:val="2"/>
            <w:shd w:val="clear" w:color="auto" w:fill="auto"/>
          </w:tcPr>
          <w:p w14:paraId="6A43F1B3" w14:textId="77777777" w:rsidR="00724E77" w:rsidRDefault="00724E77" w:rsidP="00724E77">
            <w:pPr>
              <w:spacing w:after="0" w:line="240" w:lineRule="auto"/>
              <w:ind w:left="360"/>
              <w:contextualSpacing/>
              <w:rPr>
                <w:rFonts w:ascii="Arial" w:hAnsi="Arial" w:cs="Arial"/>
              </w:rPr>
            </w:pPr>
          </w:p>
          <w:p w14:paraId="0F993ECC" w14:textId="77777777" w:rsidR="00724E77" w:rsidRPr="00724E77" w:rsidRDefault="00724E77" w:rsidP="00724E77">
            <w:pPr>
              <w:numPr>
                <w:ilvl w:val="0"/>
                <w:numId w:val="2"/>
              </w:numPr>
              <w:spacing w:after="0" w:line="240" w:lineRule="auto"/>
              <w:ind w:left="360"/>
              <w:contextualSpacing/>
              <w:rPr>
                <w:rFonts w:ascii="Arial" w:hAnsi="Arial" w:cs="Arial"/>
              </w:rPr>
            </w:pPr>
            <w:r w:rsidRPr="00724E77">
              <w:rPr>
                <w:rFonts w:ascii="Arial" w:hAnsi="Arial" w:cs="Arial"/>
              </w:rPr>
              <w:t>NWSSP continue to provide training sessions and drop-in sessions for SBU recruiting managers to improve time to hire. They are also delivering a recruitment module as part of SBU’s management development programme</w:t>
            </w:r>
          </w:p>
          <w:p w14:paraId="050AC66B" w14:textId="77777777" w:rsidR="00724E77" w:rsidRPr="00724E77" w:rsidRDefault="00724E77" w:rsidP="00724E77">
            <w:pPr>
              <w:numPr>
                <w:ilvl w:val="0"/>
                <w:numId w:val="2"/>
              </w:numPr>
              <w:spacing w:after="0" w:line="240" w:lineRule="auto"/>
              <w:ind w:left="360"/>
              <w:contextualSpacing/>
              <w:rPr>
                <w:rFonts w:ascii="Arial" w:hAnsi="Arial" w:cs="Arial"/>
              </w:rPr>
            </w:pPr>
            <w:r w:rsidRPr="00724E77">
              <w:rPr>
                <w:rFonts w:ascii="Arial" w:hAnsi="Arial" w:cs="Arial"/>
              </w:rPr>
              <w:t xml:space="preserve">The CRT will continue focussing on the recruitment of B5 nurses, B2 ward based HCSWs, assisting with overseas nurse recruitment and newly qualified nurses, as well as specific hard to recruit posts and Exec recruitment. </w:t>
            </w:r>
          </w:p>
          <w:p w14:paraId="096AB417" w14:textId="77777777" w:rsidR="00724E77" w:rsidRPr="00724E77" w:rsidRDefault="00724E77" w:rsidP="00724E77">
            <w:pPr>
              <w:numPr>
                <w:ilvl w:val="0"/>
                <w:numId w:val="2"/>
              </w:numPr>
              <w:spacing w:after="0" w:line="240" w:lineRule="auto"/>
              <w:ind w:left="360"/>
              <w:contextualSpacing/>
              <w:rPr>
                <w:rFonts w:ascii="Arial" w:hAnsi="Arial" w:cs="Arial"/>
              </w:rPr>
            </w:pPr>
            <w:r w:rsidRPr="00724E77">
              <w:rPr>
                <w:rFonts w:ascii="Arial" w:hAnsi="Arial" w:cs="Arial"/>
              </w:rPr>
              <w:t>In collaboration with NWSSP, the CRT will continue to chase outstanding management actions on vacancies and pre-employment checks with applicants, to further improve the HB’s overall time to hire performance. This includes the Welsh language translation requirement as of 01/11/24 to comply with legislation, which is currently having an impact on time to hire but will be monitored closely. The CRT continue to support managers who are adding vacancies to Trac with Welsh language requirements to ensure they are compliant.</w:t>
            </w:r>
          </w:p>
          <w:p w14:paraId="55E684AE" w14:textId="5D566F64" w:rsidR="00724E77" w:rsidRPr="00724E77" w:rsidRDefault="00724E77" w:rsidP="00724E77">
            <w:pPr>
              <w:numPr>
                <w:ilvl w:val="0"/>
                <w:numId w:val="2"/>
              </w:numPr>
              <w:spacing w:after="0" w:line="240" w:lineRule="auto"/>
              <w:ind w:left="360"/>
              <w:contextualSpacing/>
              <w:rPr>
                <w:rFonts w:ascii="Arial" w:hAnsi="Arial" w:cs="Arial"/>
              </w:rPr>
            </w:pPr>
            <w:r w:rsidRPr="00724E77">
              <w:rPr>
                <w:rFonts w:ascii="Arial" w:hAnsi="Arial" w:cs="Arial"/>
              </w:rPr>
              <w:t>Members are asked to note that the HB’s time to hire performance is likely to continue to deteriorate over the coming months due to the above changes in the recruitment process.</w:t>
            </w:r>
          </w:p>
          <w:p w14:paraId="175E1CC4" w14:textId="5E5AA130" w:rsidR="00724E77" w:rsidRPr="00326954" w:rsidRDefault="00724E77" w:rsidP="00724E77">
            <w:pPr>
              <w:spacing w:after="0" w:line="240" w:lineRule="auto"/>
              <w:ind w:left="360"/>
              <w:contextualSpacing/>
              <w:rPr>
                <w:rFonts w:ascii="Arial" w:hAnsi="Arial" w:cs="Arial"/>
              </w:rPr>
            </w:pPr>
          </w:p>
        </w:tc>
      </w:tr>
      <w:tr w:rsidR="00724E77" w:rsidRPr="00407A0F" w14:paraId="07AF20CC" w14:textId="77777777" w:rsidTr="00747234">
        <w:tc>
          <w:tcPr>
            <w:tcW w:w="2117" w:type="dxa"/>
            <w:shd w:val="clear" w:color="auto" w:fill="DBE5F1" w:themeFill="accent1" w:themeFillTint="33"/>
          </w:tcPr>
          <w:p w14:paraId="3214E06A" w14:textId="77777777" w:rsidR="00724E77" w:rsidRPr="0047276B" w:rsidRDefault="00724E77" w:rsidP="00724E77">
            <w:pPr>
              <w:spacing w:after="0" w:line="240" w:lineRule="auto"/>
              <w:rPr>
                <w:rFonts w:ascii="Arial" w:hAnsi="Arial" w:cs="Arial"/>
                <w:b/>
                <w:bCs/>
                <w:sz w:val="22"/>
                <w:szCs w:val="21"/>
              </w:rPr>
            </w:pPr>
            <w:r w:rsidRPr="0047276B">
              <w:rPr>
                <w:rFonts w:ascii="Arial" w:hAnsi="Arial" w:cs="Arial"/>
                <w:b/>
                <w:bCs/>
                <w:sz w:val="22"/>
                <w:szCs w:val="21"/>
              </w:rPr>
              <w:t>Turnover</w:t>
            </w:r>
          </w:p>
          <w:p w14:paraId="65F21E25" w14:textId="77777777" w:rsidR="00724E77" w:rsidRPr="0047276B" w:rsidRDefault="00724E77" w:rsidP="00724E77">
            <w:pPr>
              <w:spacing w:after="0" w:line="240" w:lineRule="auto"/>
              <w:rPr>
                <w:rFonts w:ascii="Arial" w:hAnsi="Arial" w:cs="Arial"/>
                <w:bCs/>
                <w:i/>
                <w:sz w:val="22"/>
                <w:szCs w:val="22"/>
              </w:rPr>
            </w:pPr>
            <w:r w:rsidRPr="0047276B">
              <w:rPr>
                <w:rFonts w:ascii="Arial" w:hAnsi="Arial" w:cs="Arial"/>
                <w:bCs/>
                <w:i/>
                <w:sz w:val="22"/>
                <w:szCs w:val="22"/>
              </w:rPr>
              <w:t>% turnover by occupational group</w:t>
            </w:r>
          </w:p>
        </w:tc>
        <w:tc>
          <w:tcPr>
            <w:tcW w:w="10730" w:type="dxa"/>
            <w:shd w:val="clear" w:color="auto" w:fill="DDD9C3" w:themeFill="background2" w:themeFillShade="E6"/>
          </w:tcPr>
          <w:p w14:paraId="147B50E7" w14:textId="70C6C8F8" w:rsidR="00724E77" w:rsidRPr="0047276B" w:rsidRDefault="00724E77" w:rsidP="00724E77">
            <w:pPr>
              <w:spacing w:after="0" w:line="240" w:lineRule="auto"/>
              <w:jc w:val="center"/>
              <w:rPr>
                <w:rFonts w:ascii="Arial" w:hAnsi="Arial" w:cs="Arial"/>
                <w:b/>
                <w:bCs/>
                <w:color w:val="000000"/>
              </w:rPr>
            </w:pPr>
            <w:r>
              <w:rPr>
                <w:rFonts w:ascii="Arial" w:hAnsi="Arial" w:cs="Arial"/>
                <w:b/>
                <w:bCs/>
                <w:color w:val="000000"/>
              </w:rPr>
              <w:t xml:space="preserve">12 month rolling </w:t>
            </w:r>
            <w:r w:rsidRPr="0047276B">
              <w:rPr>
                <w:rFonts w:ascii="Arial" w:hAnsi="Arial" w:cs="Arial"/>
                <w:b/>
                <w:bCs/>
                <w:color w:val="000000"/>
              </w:rPr>
              <w:t xml:space="preserve">Turnover Rate (Swansea Bay) – 01 </w:t>
            </w:r>
            <w:r>
              <w:rPr>
                <w:rFonts w:ascii="Arial" w:hAnsi="Arial" w:cs="Arial"/>
                <w:b/>
                <w:bCs/>
                <w:color w:val="000000"/>
              </w:rPr>
              <w:t>Mar</w:t>
            </w:r>
            <w:r w:rsidRPr="0047276B">
              <w:rPr>
                <w:rFonts w:ascii="Arial" w:hAnsi="Arial" w:cs="Arial"/>
                <w:b/>
                <w:bCs/>
                <w:color w:val="000000"/>
              </w:rPr>
              <w:t xml:space="preserve"> 202</w:t>
            </w:r>
            <w:r>
              <w:rPr>
                <w:rFonts w:ascii="Arial" w:hAnsi="Arial" w:cs="Arial"/>
                <w:b/>
                <w:bCs/>
                <w:color w:val="000000"/>
              </w:rPr>
              <w:t>4</w:t>
            </w:r>
            <w:r w:rsidRPr="0047276B">
              <w:rPr>
                <w:rFonts w:ascii="Arial" w:hAnsi="Arial" w:cs="Arial"/>
                <w:b/>
                <w:bCs/>
                <w:color w:val="000000"/>
              </w:rPr>
              <w:t xml:space="preserve"> </w:t>
            </w:r>
            <w:r>
              <w:rPr>
                <w:rFonts w:ascii="Arial" w:hAnsi="Arial" w:cs="Arial"/>
                <w:b/>
                <w:bCs/>
                <w:color w:val="000000"/>
              </w:rPr>
              <w:t>– 28 Feb 2025</w:t>
            </w:r>
          </w:p>
          <w:p w14:paraId="59DB7121" w14:textId="77777777" w:rsidR="00724E77" w:rsidRPr="0047276B" w:rsidRDefault="00724E77" w:rsidP="00724E77">
            <w:pPr>
              <w:spacing w:after="0" w:line="240" w:lineRule="auto"/>
              <w:jc w:val="center"/>
              <w:rPr>
                <w:rFonts w:ascii="Arial" w:hAnsi="Arial" w:cs="Arial"/>
                <w:b/>
                <w:sz w:val="10"/>
                <w:szCs w:val="24"/>
              </w:rPr>
            </w:pPr>
          </w:p>
          <w:p w14:paraId="528FD634" w14:textId="7F920F53" w:rsidR="00724E77" w:rsidRPr="0047276B" w:rsidRDefault="00724E77" w:rsidP="00724E77">
            <w:pPr>
              <w:spacing w:after="0"/>
              <w:jc w:val="center"/>
            </w:pPr>
            <w:r w:rsidRPr="002A57E1">
              <w:rPr>
                <w:noProof/>
              </w:rPr>
              <w:drawing>
                <wp:inline distT="0" distB="0" distL="0" distR="0" wp14:anchorId="498FD2EA" wp14:editId="2EAB0AFE">
                  <wp:extent cx="3156668" cy="1345465"/>
                  <wp:effectExtent l="0" t="0" r="5715"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213252" cy="1369583"/>
                          </a:xfrm>
                          <a:prstGeom prst="rect">
                            <a:avLst/>
                          </a:prstGeom>
                        </pic:spPr>
                      </pic:pic>
                    </a:graphicData>
                  </a:graphic>
                </wp:inline>
              </w:drawing>
            </w:r>
            <w:r w:rsidRPr="0047276B">
              <w:rPr>
                <w:noProof/>
              </w:rPr>
              <w:t xml:space="preserve">    </w:t>
            </w:r>
            <w:r w:rsidRPr="00747234">
              <w:rPr>
                <w:noProof/>
              </w:rPr>
              <w:drawing>
                <wp:inline distT="0" distB="0" distL="0" distR="0" wp14:anchorId="2162D652" wp14:editId="7961ABE9">
                  <wp:extent cx="3291840" cy="448073"/>
                  <wp:effectExtent l="0" t="0" r="381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382865" cy="460463"/>
                          </a:xfrm>
                          <a:prstGeom prst="rect">
                            <a:avLst/>
                          </a:prstGeom>
                        </pic:spPr>
                      </pic:pic>
                    </a:graphicData>
                  </a:graphic>
                </wp:inline>
              </w:drawing>
            </w:r>
          </w:p>
          <w:p w14:paraId="73197336" w14:textId="77777777" w:rsidR="00724E77" w:rsidRPr="0047276B" w:rsidRDefault="00724E77" w:rsidP="00724E77">
            <w:pPr>
              <w:spacing w:after="0"/>
              <w:rPr>
                <w:rFonts w:ascii="Arial" w:hAnsi="Arial" w:cs="Arial"/>
                <w:i/>
                <w:sz w:val="18"/>
                <w:szCs w:val="18"/>
              </w:rPr>
            </w:pPr>
          </w:p>
          <w:p w14:paraId="3265D528" w14:textId="5529D4FE" w:rsidR="00724E77" w:rsidRPr="0047276B" w:rsidRDefault="00724E77" w:rsidP="00724E77">
            <w:pPr>
              <w:spacing w:after="0"/>
              <w:rPr>
                <w:rFonts w:ascii="Arial" w:hAnsi="Arial" w:cs="Arial"/>
              </w:rPr>
            </w:pPr>
            <w:r w:rsidRPr="0047276B">
              <w:rPr>
                <w:rFonts w:ascii="Arial" w:hAnsi="Arial" w:cs="Arial"/>
                <w:i/>
                <w:sz w:val="18"/>
                <w:szCs w:val="18"/>
              </w:rPr>
              <w:lastRenderedPageBreak/>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Pr>
                <w:rFonts w:ascii="Arial" w:hAnsi="Arial" w:cs="Arial"/>
                <w:i/>
                <w:sz w:val="18"/>
                <w:szCs w:val="18"/>
              </w:rPr>
              <w:t>March 2025</w:t>
            </w:r>
            <w:r w:rsidRPr="0047276B">
              <w:rPr>
                <w:rFonts w:ascii="Arial" w:hAnsi="Arial" w:cs="Arial"/>
                <w:i/>
                <w:sz w:val="18"/>
                <w:szCs w:val="18"/>
              </w:rPr>
              <w:t>, within SBUHB (ESR Team). Data source – ESR (Workforce). Small risk of margin of error due to late communication of terminations. Report excludes Bank, Locum, Honorary &amp; Widow/Widower, Junior M&amp;D staff. Internal movement not included – measure is about leaving Swansea Bay UHB.</w:t>
            </w:r>
          </w:p>
        </w:tc>
      </w:tr>
      <w:tr w:rsidR="00724E77" w:rsidRPr="00D40A65" w14:paraId="1A6D0F54" w14:textId="77777777" w:rsidTr="5E29146B">
        <w:tc>
          <w:tcPr>
            <w:tcW w:w="12847" w:type="dxa"/>
            <w:gridSpan w:val="2"/>
            <w:shd w:val="clear" w:color="auto" w:fill="EAF1DD" w:themeFill="accent3" w:themeFillTint="33"/>
          </w:tcPr>
          <w:p w14:paraId="6489ED9A" w14:textId="77777777" w:rsidR="00724E77" w:rsidRPr="0047276B" w:rsidRDefault="00724E77" w:rsidP="00724E77">
            <w:pPr>
              <w:spacing w:after="0" w:line="240" w:lineRule="auto"/>
              <w:rPr>
                <w:rFonts w:ascii="Arial" w:hAnsi="Arial" w:cs="Arial"/>
                <w:b/>
              </w:rPr>
            </w:pPr>
            <w:r w:rsidRPr="0047276B">
              <w:rPr>
                <w:rFonts w:ascii="Arial" w:hAnsi="Arial" w:cs="Arial"/>
                <w:b/>
              </w:rPr>
              <w:lastRenderedPageBreak/>
              <w:t>Current Performance</w:t>
            </w:r>
          </w:p>
        </w:tc>
      </w:tr>
      <w:tr w:rsidR="00724E77" w:rsidRPr="00D40A65" w14:paraId="57A6AA7C" w14:textId="77777777" w:rsidTr="00C3652E">
        <w:tc>
          <w:tcPr>
            <w:tcW w:w="12847" w:type="dxa"/>
            <w:gridSpan w:val="2"/>
            <w:shd w:val="clear" w:color="auto" w:fill="DDD9C3" w:themeFill="background2" w:themeFillShade="E6"/>
          </w:tcPr>
          <w:p w14:paraId="2F70B24E" w14:textId="366E5E3A"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Organisationally, turnover has remained relatively stable in this reporting period, with a marginal decrease. This demonstrates the ongoing impact of retention-focused initiatives.</w:t>
            </w:r>
          </w:p>
          <w:p w14:paraId="1175359A"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Admin and Clerical has seen a slight decrease in turnover, with a 0.15% reduction in headcount and a 0.11% reduction in FTE. While this is a positive trend, continued monitoring is necessary, especially considering recruitment pauses that may impact future figures.</w:t>
            </w:r>
          </w:p>
          <w:p w14:paraId="58961190"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Estates and Facilities has experienced the most significant decrease in turnover, with a 0.82% reduction in headcount and a 1.00% reduction in FTE. This highlights the success of ongoing initiatives in this area and should be built upon to maintain progress.</w:t>
            </w:r>
          </w:p>
          <w:p w14:paraId="102C9922"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Healthcare Scientists have seen an increase in turnover, with a 0.45% rise in headcount and a 0.34% rise in FTE. This contrasts with previous downward trends and will require further analysis to determine key drivers.</w:t>
            </w:r>
          </w:p>
          <w:p w14:paraId="19FB5C56"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 xml:space="preserve">Medical and Dental turnover has decreased again this period, with a 0.51% decrease in headcount and a 0.36% decrease in FTE. </w:t>
            </w:r>
          </w:p>
          <w:p w14:paraId="5B11FE72"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Nursing and Midwifery turnover has remained stable, with no change in headcount turnover and only a marginal 0.01% reduction in FTE. While this is not a significant shift, it suggests that retention efforts continue to provide stability in the workforce.</w:t>
            </w:r>
          </w:p>
          <w:p w14:paraId="5C5B45E3"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 xml:space="preserve">AHP (Allied Health Professionals) turnover has decreased, with a 0.39% decrease in headcount and a 0.29% decrease in FTE. </w:t>
            </w:r>
          </w:p>
          <w:p w14:paraId="3494F393"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 xml:space="preserve">Additional Professional, Scientific, and </w:t>
            </w:r>
            <w:proofErr w:type="gramStart"/>
            <w:r w:rsidRPr="00C3652E">
              <w:rPr>
                <w:rFonts w:ascii="Arial" w:hAnsi="Arial" w:cs="Arial"/>
                <w:color w:val="000000" w:themeColor="text1"/>
              </w:rPr>
              <w:t>Technical</w:t>
            </w:r>
            <w:proofErr w:type="gramEnd"/>
            <w:r w:rsidRPr="00C3652E">
              <w:rPr>
                <w:rFonts w:ascii="Arial" w:hAnsi="Arial" w:cs="Arial"/>
                <w:color w:val="000000" w:themeColor="text1"/>
              </w:rPr>
              <w:t xml:space="preserve"> turnover has increased slightly in headcount (0.19%) but has seen a more notable increase in FTE turnover (0.42%). Further exploration may be needed to understand the movement in FTE figures.</w:t>
            </w:r>
          </w:p>
          <w:p w14:paraId="51512DA3"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Additional Clinical Services has experienced a small decrease in turnover (Headcount 0.29%, FTE 0.27%), reflecting positive retention efforts within this staff group.</w:t>
            </w:r>
          </w:p>
          <w:p w14:paraId="32509AE3"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These trends will continue to be monitored, with targeted actions taken to address areas of increasing turnover and maintain positive momentum in areas where reductions have been achieved.</w:t>
            </w:r>
          </w:p>
          <w:p w14:paraId="486EA46C" w14:textId="7822E44E" w:rsidR="00724E77" w:rsidRPr="00893258" w:rsidRDefault="00724E77" w:rsidP="00724E77">
            <w:pPr>
              <w:spacing w:after="0" w:line="240" w:lineRule="auto"/>
              <w:ind w:left="360"/>
              <w:contextualSpacing/>
              <w:rPr>
                <w:rFonts w:ascii="Arial" w:hAnsi="Arial" w:cs="Arial"/>
                <w:color w:val="000000" w:themeColor="text1"/>
              </w:rPr>
            </w:pPr>
          </w:p>
        </w:tc>
      </w:tr>
      <w:tr w:rsidR="00724E77" w:rsidRPr="00877518" w14:paraId="5505F238" w14:textId="77777777" w:rsidTr="5E29146B">
        <w:tc>
          <w:tcPr>
            <w:tcW w:w="12847" w:type="dxa"/>
            <w:gridSpan w:val="2"/>
            <w:shd w:val="clear" w:color="auto" w:fill="EAF1DD" w:themeFill="accent3" w:themeFillTint="33"/>
          </w:tcPr>
          <w:p w14:paraId="2FE73C6D" w14:textId="77777777" w:rsidR="00724E77" w:rsidRPr="0047276B" w:rsidRDefault="00724E77" w:rsidP="00724E77">
            <w:pPr>
              <w:spacing w:after="0" w:line="240" w:lineRule="auto"/>
              <w:rPr>
                <w:rFonts w:ascii="Arial" w:hAnsi="Arial" w:cs="Arial"/>
                <w:b/>
              </w:rPr>
            </w:pPr>
            <w:r w:rsidRPr="0047276B">
              <w:rPr>
                <w:rFonts w:ascii="Arial" w:hAnsi="Arial" w:cs="Arial"/>
                <w:b/>
              </w:rPr>
              <w:t>Actions for Next Period</w:t>
            </w:r>
          </w:p>
        </w:tc>
      </w:tr>
      <w:tr w:rsidR="00724E77" w:rsidRPr="00877518" w14:paraId="69192ABF" w14:textId="77777777" w:rsidTr="00C3652E">
        <w:tc>
          <w:tcPr>
            <w:tcW w:w="12847" w:type="dxa"/>
            <w:gridSpan w:val="2"/>
            <w:shd w:val="clear" w:color="auto" w:fill="DDD9C3" w:themeFill="background2" w:themeFillShade="E6"/>
          </w:tcPr>
          <w:p w14:paraId="559A475F"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The retention plan will be presented at key forums for final ratification and implementation, ensuring alignment with organisational priorities and workforce strategies.</w:t>
            </w:r>
          </w:p>
          <w:p w14:paraId="1AB0DCA2"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The ESR flexible working request system, will be launched in April, will continue to be embedded, with sub-groups focusing on communications, training, and the review of declined requests to enhance uptake and effectiveness.</w:t>
            </w:r>
          </w:p>
          <w:p w14:paraId="0E0CF385"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The Retention Lead will work closely with Workforce Business Partners to further embed best practices and targeted retention strategies across all staff groups.</w:t>
            </w:r>
          </w:p>
          <w:p w14:paraId="21E6DF6E"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The Emergency Department retention plan will continue to be refined and implemented, addressing specific challenges and ensuring sustainable workforce improvements.</w:t>
            </w:r>
          </w:p>
          <w:p w14:paraId="31163596"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Increased focus will be placed on staff groups experiencing rising turnover, particularly Healthcare Scientists, Medical and Dental, and Allied Health Professionals (AHPs), to develop tailored interventions and mitigate workforce risks.</w:t>
            </w:r>
          </w:p>
          <w:p w14:paraId="3C127EEE" w14:textId="77777777" w:rsidR="00724E77" w:rsidRPr="00C3652E" w:rsidRDefault="00724E77" w:rsidP="00724E77">
            <w:pPr>
              <w:pStyle w:val="ListParagraph"/>
              <w:numPr>
                <w:ilvl w:val="0"/>
                <w:numId w:val="18"/>
              </w:numPr>
              <w:spacing w:after="120" w:line="240" w:lineRule="auto"/>
              <w:rPr>
                <w:rFonts w:ascii="Arial" w:hAnsi="Arial" w:cs="Arial"/>
                <w:color w:val="000000" w:themeColor="text1"/>
              </w:rPr>
            </w:pPr>
            <w:r w:rsidRPr="00C3652E">
              <w:rPr>
                <w:rFonts w:ascii="Arial" w:hAnsi="Arial" w:cs="Arial"/>
                <w:color w:val="000000" w:themeColor="text1"/>
              </w:rPr>
              <w:t>Ongoing engagement with key stakeholders in Medical and Dental will be prioritised to identify turnover drivers and targeted solutions for workforce stability.</w:t>
            </w:r>
          </w:p>
          <w:p w14:paraId="1E6F1081" w14:textId="77777777" w:rsidR="00724E77" w:rsidRDefault="00724E77" w:rsidP="00724E77">
            <w:pPr>
              <w:pStyle w:val="ListParagraph"/>
              <w:spacing w:after="120" w:line="240" w:lineRule="auto"/>
              <w:ind w:left="360"/>
              <w:rPr>
                <w:rFonts w:ascii="Arial" w:hAnsi="Arial" w:cs="Arial"/>
                <w:color w:val="000000" w:themeColor="text1"/>
              </w:rPr>
            </w:pPr>
          </w:p>
          <w:p w14:paraId="17656B30" w14:textId="0C9F9289" w:rsidR="00724E77" w:rsidRPr="00724E77" w:rsidRDefault="00724E77" w:rsidP="00724E77">
            <w:pPr>
              <w:spacing w:after="120" w:line="240" w:lineRule="auto"/>
              <w:rPr>
                <w:rFonts w:ascii="Arial" w:hAnsi="Arial" w:cs="Arial"/>
                <w:b/>
                <w:highlight w:val="yellow"/>
              </w:rPr>
            </w:pPr>
          </w:p>
          <w:p w14:paraId="13601BDA" w14:textId="2B668768" w:rsidR="00724E77" w:rsidRPr="00326954" w:rsidRDefault="00724E77" w:rsidP="00724E77">
            <w:pPr>
              <w:pStyle w:val="ListParagraph"/>
              <w:spacing w:after="120" w:line="240" w:lineRule="auto"/>
              <w:ind w:left="360"/>
              <w:rPr>
                <w:rFonts w:ascii="Arial" w:hAnsi="Arial" w:cs="Arial"/>
                <w:b/>
                <w:highlight w:val="yellow"/>
              </w:rPr>
            </w:pPr>
          </w:p>
        </w:tc>
      </w:tr>
      <w:tr w:rsidR="00724E77" w:rsidRPr="00783A68" w14:paraId="48FAFB9B" w14:textId="77777777" w:rsidTr="00A37F7A">
        <w:tc>
          <w:tcPr>
            <w:tcW w:w="2117" w:type="dxa"/>
            <w:shd w:val="clear" w:color="auto" w:fill="DBE5F1" w:themeFill="accent1" w:themeFillTint="33"/>
          </w:tcPr>
          <w:p w14:paraId="6E96F804" w14:textId="77777777" w:rsidR="00724E77" w:rsidRPr="0047276B" w:rsidRDefault="00724E77" w:rsidP="00724E77">
            <w:pPr>
              <w:spacing w:after="0" w:line="240" w:lineRule="auto"/>
              <w:rPr>
                <w:rFonts w:ascii="Arial" w:hAnsi="Arial" w:cs="Arial"/>
                <w:b/>
                <w:bCs/>
                <w:sz w:val="24"/>
                <w:szCs w:val="24"/>
              </w:rPr>
            </w:pPr>
            <w:r w:rsidRPr="0047276B">
              <w:rPr>
                <w:rFonts w:ascii="Arial" w:hAnsi="Arial" w:cs="Arial"/>
                <w:b/>
                <w:bCs/>
                <w:sz w:val="24"/>
                <w:szCs w:val="24"/>
              </w:rPr>
              <w:lastRenderedPageBreak/>
              <w:t>PADR</w:t>
            </w:r>
          </w:p>
          <w:p w14:paraId="30B5A884" w14:textId="77777777" w:rsidR="00724E77" w:rsidRPr="0047276B" w:rsidRDefault="00724E77" w:rsidP="00724E77">
            <w:pPr>
              <w:spacing w:after="0" w:line="240" w:lineRule="auto"/>
              <w:rPr>
                <w:rFonts w:ascii="Arial" w:hAnsi="Arial" w:cs="Arial"/>
                <w:bCs/>
                <w:i/>
                <w:sz w:val="24"/>
                <w:szCs w:val="24"/>
              </w:rPr>
            </w:pPr>
            <w:r w:rsidRPr="0047276B">
              <w:rPr>
                <w:rFonts w:ascii="Arial" w:hAnsi="Arial" w:cs="Arial"/>
                <w:bCs/>
                <w:i/>
                <w:sz w:val="24"/>
                <w:szCs w:val="24"/>
              </w:rPr>
              <w:t>% staff who have a current PADR review recorded</w:t>
            </w:r>
          </w:p>
          <w:p w14:paraId="531D3C89" w14:textId="77777777" w:rsidR="00724E77" w:rsidRPr="0047276B" w:rsidRDefault="00724E77" w:rsidP="00724E77">
            <w:pPr>
              <w:spacing w:after="0" w:line="240" w:lineRule="auto"/>
              <w:rPr>
                <w:rFonts w:ascii="Arial" w:hAnsi="Arial" w:cs="Arial"/>
                <w:bCs/>
                <w:i/>
                <w:sz w:val="24"/>
                <w:szCs w:val="24"/>
              </w:rPr>
            </w:pPr>
          </w:p>
          <w:p w14:paraId="09E9DD4F" w14:textId="1C4D709E" w:rsidR="00724E77" w:rsidRPr="0047276B" w:rsidRDefault="00724E77" w:rsidP="00724E77">
            <w:pPr>
              <w:spacing w:after="0" w:line="240" w:lineRule="auto"/>
              <w:rPr>
                <w:rFonts w:ascii="Arial" w:hAnsi="Arial" w:cs="Arial"/>
                <w:b/>
                <w:i/>
                <w:sz w:val="22"/>
                <w:szCs w:val="22"/>
              </w:rPr>
            </w:pPr>
            <w:r w:rsidRPr="0047276B">
              <w:rPr>
                <w:rFonts w:ascii="Arial" w:hAnsi="Arial" w:cs="Arial"/>
                <w:b/>
                <w:i/>
                <w:sz w:val="22"/>
                <w:szCs w:val="22"/>
              </w:rPr>
              <w:t>PADR target – 85%</w:t>
            </w:r>
          </w:p>
          <w:p w14:paraId="440E9B8E" w14:textId="77777777" w:rsidR="00724E77" w:rsidRPr="0047276B" w:rsidRDefault="00724E77" w:rsidP="00724E77">
            <w:pPr>
              <w:spacing w:after="0" w:line="240" w:lineRule="auto"/>
              <w:rPr>
                <w:rFonts w:ascii="Arial" w:hAnsi="Arial" w:cs="Arial"/>
                <w:b/>
                <w:bCs/>
                <w:sz w:val="24"/>
                <w:szCs w:val="24"/>
              </w:rPr>
            </w:pPr>
          </w:p>
        </w:tc>
        <w:tc>
          <w:tcPr>
            <w:tcW w:w="10730" w:type="dxa"/>
            <w:shd w:val="clear" w:color="auto" w:fill="DDD9C3" w:themeFill="background2" w:themeFillShade="E6"/>
          </w:tcPr>
          <w:p w14:paraId="7F727AFC" w14:textId="0D224B1B" w:rsidR="00724E77" w:rsidRDefault="00724E77" w:rsidP="00724E77">
            <w:pPr>
              <w:spacing w:after="0" w:line="240" w:lineRule="auto"/>
              <w:jc w:val="center"/>
              <w:rPr>
                <w:rFonts w:ascii="Arial" w:hAnsi="Arial" w:cs="Arial"/>
                <w:b/>
                <w:bCs/>
                <w:sz w:val="24"/>
                <w:szCs w:val="24"/>
              </w:rPr>
            </w:pPr>
            <w:r w:rsidRPr="194081B6">
              <w:rPr>
                <w:rFonts w:ascii="Arial" w:hAnsi="Arial" w:cs="Arial"/>
                <w:b/>
                <w:bCs/>
                <w:sz w:val="24"/>
                <w:szCs w:val="24"/>
              </w:rPr>
              <w:t>% of staff (Headcount) who have had a PADR in previous 12 months</w:t>
            </w:r>
          </w:p>
          <w:p w14:paraId="3D94D67F" w14:textId="0C4C819E" w:rsidR="00724E77" w:rsidRDefault="00724E77" w:rsidP="00724E77">
            <w:pPr>
              <w:spacing w:after="0" w:line="240" w:lineRule="auto"/>
              <w:jc w:val="center"/>
              <w:rPr>
                <w:rFonts w:ascii="Arial" w:hAnsi="Arial" w:cs="Arial"/>
                <w:b/>
                <w:sz w:val="24"/>
                <w:szCs w:val="24"/>
              </w:rPr>
            </w:pPr>
            <w:r>
              <w:rPr>
                <w:noProof/>
              </w:rPr>
              <w:drawing>
                <wp:inline distT="0" distB="0" distL="0" distR="0" wp14:anchorId="6E15327C" wp14:editId="7857404D">
                  <wp:extent cx="5168348" cy="3005593"/>
                  <wp:effectExtent l="0" t="0" r="0" b="4445"/>
                  <wp:docPr id="4" name="Chart 4">
                    <a:extLst xmlns:a="http://schemas.openxmlformats.org/drawingml/2006/main">
                      <a:ext uri="{FF2B5EF4-FFF2-40B4-BE49-F238E27FC236}">
                        <a16:creationId xmlns:a16="http://schemas.microsoft.com/office/drawing/2014/main" id="{7D01AB43-FDA2-4C17-8AE9-500CC49F9D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5E52508" w14:textId="6BFBF1E8" w:rsidR="00724E77" w:rsidRPr="0047276B" w:rsidRDefault="00724E77" w:rsidP="00724E77">
            <w:pPr>
              <w:spacing w:after="0" w:line="240" w:lineRule="auto"/>
              <w:jc w:val="center"/>
            </w:pPr>
          </w:p>
          <w:p w14:paraId="486ED1C8" w14:textId="40BE726F" w:rsidR="00724E77" w:rsidRDefault="00724E77" w:rsidP="00724E77">
            <w:pPr>
              <w:spacing w:after="0" w:line="240" w:lineRule="auto"/>
              <w:rPr>
                <w:rFonts w:ascii="Arial" w:hAnsi="Arial" w:cs="Arial"/>
                <w:i/>
                <w:iCs/>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Pr>
                <w:rFonts w:ascii="Arial" w:hAnsi="Arial" w:cs="Arial"/>
                <w:i/>
                <w:sz w:val="18"/>
                <w:szCs w:val="18"/>
              </w:rPr>
              <w:t>March</w:t>
            </w:r>
            <w:r w:rsidRPr="0047276B">
              <w:rPr>
                <w:rFonts w:ascii="Arial" w:hAnsi="Arial" w:cs="Arial"/>
                <w:i/>
                <w:sz w:val="18"/>
                <w:szCs w:val="18"/>
              </w:rPr>
              <w:t xml:space="preserve"> 202</w:t>
            </w:r>
            <w:r>
              <w:rPr>
                <w:rFonts w:ascii="Arial" w:hAnsi="Arial" w:cs="Arial"/>
                <w:i/>
                <w:sz w:val="18"/>
                <w:szCs w:val="18"/>
              </w:rPr>
              <w:t>5</w:t>
            </w:r>
            <w:r w:rsidRPr="0047276B">
              <w:rPr>
                <w:rFonts w:ascii="Arial" w:hAnsi="Arial" w:cs="Arial"/>
                <w:i/>
                <w:sz w:val="18"/>
                <w:szCs w:val="18"/>
              </w:rPr>
              <w:t>, within SBUHB (Performance Team). Data source – ESR (OLM Module). Accuracy levels subject to local maintenance and validation standards.</w:t>
            </w:r>
            <w:r>
              <w:rPr>
                <w:rFonts w:ascii="Arial" w:hAnsi="Arial" w:cs="Arial"/>
                <w:i/>
                <w:sz w:val="18"/>
                <w:szCs w:val="18"/>
              </w:rPr>
              <w:t xml:space="preserve"> </w:t>
            </w:r>
            <w:r w:rsidRPr="194081B6">
              <w:rPr>
                <w:rFonts w:ascii="Arial" w:hAnsi="Arial" w:cs="Arial"/>
                <w:i/>
                <w:iCs/>
                <w:sz w:val="18"/>
                <w:szCs w:val="18"/>
              </w:rPr>
              <w:t>Target of 85% added as blue line</w:t>
            </w:r>
            <w:r>
              <w:rPr>
                <w:rFonts w:ascii="Arial" w:hAnsi="Arial" w:cs="Arial"/>
                <w:i/>
                <w:iCs/>
                <w:sz w:val="18"/>
                <w:szCs w:val="18"/>
              </w:rPr>
              <w:t>.</w:t>
            </w:r>
          </w:p>
          <w:p w14:paraId="5220A230" w14:textId="00AC91A7" w:rsidR="00724E77" w:rsidRPr="00EF6058" w:rsidRDefault="00724E77" w:rsidP="00724E77">
            <w:pPr>
              <w:spacing w:after="0" w:line="240" w:lineRule="auto"/>
              <w:rPr>
                <w:rFonts w:ascii="Arial" w:hAnsi="Arial" w:cs="Arial"/>
              </w:rPr>
            </w:pPr>
          </w:p>
        </w:tc>
      </w:tr>
      <w:tr w:rsidR="00724E77" w:rsidRPr="00783A68" w14:paraId="2F08400A" w14:textId="77777777" w:rsidTr="5E29146B">
        <w:tc>
          <w:tcPr>
            <w:tcW w:w="12847" w:type="dxa"/>
            <w:gridSpan w:val="2"/>
            <w:shd w:val="clear" w:color="auto" w:fill="EAF1DD" w:themeFill="accent3" w:themeFillTint="33"/>
          </w:tcPr>
          <w:p w14:paraId="5F933FED" w14:textId="77777777" w:rsidR="00724E77" w:rsidRPr="0047276B" w:rsidRDefault="00724E77" w:rsidP="00724E77">
            <w:pPr>
              <w:spacing w:after="0" w:line="240" w:lineRule="auto"/>
              <w:rPr>
                <w:rFonts w:ascii="Arial" w:hAnsi="Arial" w:cs="Arial"/>
                <w:b/>
              </w:rPr>
            </w:pPr>
            <w:r w:rsidRPr="0047276B">
              <w:rPr>
                <w:rFonts w:ascii="Arial" w:hAnsi="Arial" w:cs="Arial"/>
                <w:b/>
              </w:rPr>
              <w:t>Current Performance</w:t>
            </w:r>
          </w:p>
        </w:tc>
      </w:tr>
      <w:tr w:rsidR="00724E77" w:rsidRPr="00783A68" w14:paraId="301B5DD5" w14:textId="77777777" w:rsidTr="00CC23E6">
        <w:tc>
          <w:tcPr>
            <w:tcW w:w="12847" w:type="dxa"/>
            <w:gridSpan w:val="2"/>
            <w:shd w:val="clear" w:color="auto" w:fill="DDD9C3" w:themeFill="background2" w:themeFillShade="E6"/>
          </w:tcPr>
          <w:p w14:paraId="5B50BB8A" w14:textId="77777777" w:rsidR="00724E77" w:rsidRPr="00CC23E6" w:rsidRDefault="00724E77" w:rsidP="00724E77">
            <w:pPr>
              <w:pStyle w:val="BodyTextIndent"/>
              <w:numPr>
                <w:ilvl w:val="0"/>
                <w:numId w:val="20"/>
              </w:numPr>
              <w:spacing w:after="0"/>
              <w:ind w:left="357" w:hanging="357"/>
              <w:rPr>
                <w:rStyle w:val="normaltextrun"/>
                <w:rFonts w:ascii="Arial" w:hAnsi="Arial" w:cs="Arial"/>
              </w:rPr>
            </w:pPr>
            <w:r w:rsidRPr="00CC23E6">
              <w:rPr>
                <w:rStyle w:val="normaltextrun"/>
                <w:rFonts w:ascii="Arial" w:hAnsi="Arial" w:cs="Arial"/>
              </w:rPr>
              <w:t>Staff who have had a Personal Appraisal and Development Review (PADR) as of 28</w:t>
            </w:r>
            <w:r w:rsidRPr="00CC23E6">
              <w:rPr>
                <w:rStyle w:val="normaltextrun"/>
                <w:rFonts w:ascii="Arial" w:hAnsi="Arial" w:cs="Arial"/>
                <w:vertAlign w:val="superscript"/>
              </w:rPr>
              <w:t>th</w:t>
            </w:r>
            <w:r w:rsidRPr="00CC23E6">
              <w:rPr>
                <w:rStyle w:val="normaltextrun"/>
                <w:rFonts w:ascii="Arial" w:hAnsi="Arial" w:cs="Arial"/>
              </w:rPr>
              <w:t xml:space="preserve"> February 2025 is 72.04 %, this is a 0.02% increase in completion rates over the past 6 months. </w:t>
            </w:r>
          </w:p>
          <w:p w14:paraId="43377BFE" w14:textId="77777777" w:rsidR="00724E77" w:rsidRPr="00CC23E6" w:rsidRDefault="00724E77" w:rsidP="00724E77">
            <w:pPr>
              <w:pStyle w:val="BodyTextIndent"/>
              <w:numPr>
                <w:ilvl w:val="0"/>
                <w:numId w:val="20"/>
              </w:numPr>
              <w:spacing w:after="0"/>
              <w:rPr>
                <w:rStyle w:val="normaltextrun"/>
                <w:rFonts w:ascii="Arial" w:hAnsi="Arial" w:cs="Arial"/>
              </w:rPr>
            </w:pPr>
            <w:r w:rsidRPr="00CC23E6">
              <w:rPr>
                <w:rStyle w:val="normaltextrun"/>
                <w:rFonts w:ascii="Arial" w:hAnsi="Arial" w:cs="Arial"/>
              </w:rPr>
              <w:t>During January and February 2025, a total of 27 staff completed 130 PADR-Personal Appraisal Review for Managers delivered by the Education and Learning Team. In addition, the How to Complete PADR Documentation and PADR Hints &amp; Tips bitesize learning modules have been added to the Brilliant Basics Platform from January 2025.  Colleagues are signposted to SBU ESR - ESR User Guides SharePoint Page for resources on how enter PADR Dates in ESR. This is also linked to the Brilliant Basics platform.</w:t>
            </w:r>
          </w:p>
          <w:p w14:paraId="26053051" w14:textId="429C9777" w:rsidR="00724E77" w:rsidRPr="00CC23E6" w:rsidRDefault="00724E77" w:rsidP="00724E77">
            <w:pPr>
              <w:pStyle w:val="BodyTextIndent"/>
              <w:numPr>
                <w:ilvl w:val="0"/>
                <w:numId w:val="20"/>
              </w:numPr>
              <w:spacing w:after="0"/>
              <w:ind w:left="357" w:hanging="357"/>
              <w:rPr>
                <w:rFonts w:ascii="Arial" w:hAnsi="Arial" w:cs="Arial"/>
              </w:rPr>
            </w:pPr>
            <w:r w:rsidRPr="00CC23E6">
              <w:rPr>
                <w:rStyle w:val="normaltextrun"/>
                <w:rFonts w:ascii="Arial" w:hAnsi="Arial" w:cs="Arial"/>
              </w:rPr>
              <w:t>Compliance figures per Service Group (excluding Medical and Dental Staff) – MH&amp;LD 75.15%, NPTS 77.90%, PCCT 82.33%, Morriston 64.32%, Finance and Estates 64.91%</w:t>
            </w:r>
          </w:p>
        </w:tc>
      </w:tr>
      <w:tr w:rsidR="00724E77" w:rsidRPr="00783A68" w14:paraId="781B55C9" w14:textId="77777777" w:rsidTr="5E29146B">
        <w:tc>
          <w:tcPr>
            <w:tcW w:w="12847" w:type="dxa"/>
            <w:gridSpan w:val="2"/>
            <w:shd w:val="clear" w:color="auto" w:fill="EAF1DD" w:themeFill="accent3" w:themeFillTint="33"/>
          </w:tcPr>
          <w:p w14:paraId="24EB7605" w14:textId="77777777" w:rsidR="00724E77" w:rsidRPr="00CC23E6" w:rsidRDefault="00724E77" w:rsidP="00724E77">
            <w:pPr>
              <w:spacing w:after="0" w:line="240" w:lineRule="auto"/>
              <w:rPr>
                <w:rFonts w:ascii="Arial" w:hAnsi="Arial" w:cs="Arial"/>
                <w:b/>
              </w:rPr>
            </w:pPr>
            <w:r w:rsidRPr="00CC23E6">
              <w:rPr>
                <w:rFonts w:ascii="Arial" w:hAnsi="Arial" w:cs="Arial"/>
                <w:b/>
              </w:rPr>
              <w:t>Actions Planned for Next Period</w:t>
            </w:r>
          </w:p>
        </w:tc>
      </w:tr>
      <w:tr w:rsidR="00724E77" w:rsidRPr="00783A68" w14:paraId="7EA0A092" w14:textId="77777777" w:rsidTr="00CC23E6">
        <w:tc>
          <w:tcPr>
            <w:tcW w:w="12847" w:type="dxa"/>
            <w:gridSpan w:val="2"/>
            <w:shd w:val="clear" w:color="auto" w:fill="DDD9C3" w:themeFill="background2" w:themeFillShade="E6"/>
          </w:tcPr>
          <w:p w14:paraId="7249DD29" w14:textId="77777777" w:rsidR="00724E77" w:rsidRPr="00CC23E6" w:rsidRDefault="00724E77" w:rsidP="00724E77">
            <w:pPr>
              <w:pStyle w:val="ListParagraph"/>
              <w:numPr>
                <w:ilvl w:val="0"/>
                <w:numId w:val="22"/>
              </w:numPr>
              <w:spacing w:after="0" w:line="240" w:lineRule="auto"/>
              <w:rPr>
                <w:rFonts w:ascii="Arial" w:hAnsi="Arial" w:cs="Arial"/>
              </w:rPr>
            </w:pPr>
            <w:r w:rsidRPr="00CC23E6">
              <w:rPr>
                <w:rFonts w:ascii="Arial" w:hAnsi="Arial" w:cs="Arial"/>
              </w:rPr>
              <w:t>Supporting activity outlined in previous reports continues, Service Groups continue to focus on highlighting areas for focus.</w:t>
            </w:r>
          </w:p>
          <w:p w14:paraId="68E39A3A" w14:textId="16B65B11" w:rsidR="00724E77" w:rsidRPr="00CC23E6" w:rsidRDefault="00724E77" w:rsidP="00724E77">
            <w:pPr>
              <w:pStyle w:val="ListParagraph"/>
              <w:spacing w:after="0" w:line="240" w:lineRule="auto"/>
              <w:ind w:left="360"/>
              <w:rPr>
                <w:rFonts w:cs="Calibri"/>
                <w:sz w:val="22"/>
                <w:szCs w:val="22"/>
              </w:rPr>
            </w:pPr>
            <w:r w:rsidRPr="00CC23E6">
              <w:rPr>
                <w:rFonts w:ascii="Arial" w:hAnsi="Arial" w:cs="Arial"/>
              </w:rPr>
              <w:t>NPTSG updated that Improvement plans should be in place for Divisions below the target of 85% (this is coordinated via the Divisional Workforce Groups)</w:t>
            </w:r>
          </w:p>
        </w:tc>
      </w:tr>
      <w:tr w:rsidR="00724E77" w:rsidRPr="00407A0F" w14:paraId="6B2CD376" w14:textId="77777777" w:rsidTr="00B06AF1">
        <w:trPr>
          <w:trHeight w:val="3920"/>
        </w:trPr>
        <w:tc>
          <w:tcPr>
            <w:tcW w:w="2117" w:type="dxa"/>
            <w:shd w:val="clear" w:color="auto" w:fill="DBE5F1" w:themeFill="accent1" w:themeFillTint="33"/>
          </w:tcPr>
          <w:p w14:paraId="733D0AC1" w14:textId="77777777" w:rsidR="00724E77" w:rsidRPr="00783A68" w:rsidRDefault="00724E77" w:rsidP="00724E77">
            <w:pPr>
              <w:spacing w:after="0" w:line="240" w:lineRule="auto"/>
              <w:rPr>
                <w:rFonts w:ascii="Arial" w:hAnsi="Arial" w:cs="Arial"/>
                <w:b/>
                <w:bCs/>
                <w:sz w:val="24"/>
                <w:szCs w:val="24"/>
              </w:rPr>
            </w:pPr>
            <w:bookmarkStart w:id="1" w:name="Finance"/>
            <w:r w:rsidRPr="00783A68">
              <w:rPr>
                <w:rFonts w:ascii="Arial" w:hAnsi="Arial" w:cs="Arial"/>
                <w:b/>
                <w:bCs/>
                <w:sz w:val="24"/>
                <w:szCs w:val="24"/>
              </w:rPr>
              <w:lastRenderedPageBreak/>
              <w:t>Operational Casework</w:t>
            </w:r>
          </w:p>
          <w:p w14:paraId="07D288ED" w14:textId="77777777" w:rsidR="00724E77" w:rsidRPr="00783A68" w:rsidRDefault="00724E77" w:rsidP="00724E77">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0730" w:type="dxa"/>
            <w:shd w:val="clear" w:color="auto" w:fill="DDD9C3" w:themeFill="background2" w:themeFillShade="E6"/>
          </w:tcPr>
          <w:p w14:paraId="32DB947C" w14:textId="77777777" w:rsidR="00724E77" w:rsidRDefault="00724E77" w:rsidP="00724E77">
            <w:pPr>
              <w:spacing w:after="0"/>
              <w:rPr>
                <w:rFonts w:ascii="Arial" w:hAnsi="Arial" w:cs="Arial"/>
              </w:rPr>
            </w:pPr>
          </w:p>
          <w:p w14:paraId="2CDC2F37" w14:textId="109D2FAD" w:rsidR="00724E77" w:rsidRDefault="00724E77" w:rsidP="00724E77">
            <w:pPr>
              <w:spacing w:after="0"/>
              <w:jc w:val="center"/>
            </w:pPr>
            <w:r>
              <w:rPr>
                <w:noProof/>
              </w:rPr>
              <w:drawing>
                <wp:inline distT="0" distB="0" distL="0" distR="0" wp14:anchorId="793AB618" wp14:editId="3D974E27">
                  <wp:extent cx="5905500" cy="2818130"/>
                  <wp:effectExtent l="0" t="0" r="0" b="127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60C267A" w14:textId="1FFC4ABE" w:rsidR="00724E77" w:rsidRPr="00407A0F" w:rsidRDefault="00724E77" w:rsidP="00724E77">
            <w:pPr>
              <w:spacing w:after="0"/>
              <w:rPr>
                <w:rFonts w:ascii="Arial" w:hAnsi="Arial" w:cs="Arial"/>
              </w:rPr>
            </w:pPr>
            <w:r>
              <w:rPr>
                <w:rFonts w:ascii="Arial" w:hAnsi="Arial" w:cs="Arial"/>
                <w:i/>
                <w:sz w:val="18"/>
                <w:szCs w:val="18"/>
              </w:rPr>
              <w:t>C&amp;</w:t>
            </w:r>
            <w:proofErr w:type="gramStart"/>
            <w:r>
              <w:rPr>
                <w:rFonts w:ascii="Arial" w:hAnsi="Arial" w:cs="Arial"/>
                <w:i/>
                <w:sz w:val="18"/>
                <w:szCs w:val="18"/>
              </w:rPr>
              <w:t>L;-</w:t>
            </w:r>
            <w:proofErr w:type="gramEnd"/>
            <w:r>
              <w:rPr>
                <w:rFonts w:ascii="Arial" w:hAnsi="Arial" w:cs="Arial"/>
                <w:i/>
                <w:sz w:val="18"/>
                <w:szCs w:val="18"/>
              </w:rPr>
              <w:t xml:space="preserve"> Report generated March</w:t>
            </w:r>
            <w:r w:rsidRPr="004844A4">
              <w:rPr>
                <w:rFonts w:ascii="Arial" w:hAnsi="Arial" w:cs="Arial"/>
                <w:i/>
                <w:sz w:val="18"/>
                <w:szCs w:val="18"/>
              </w:rPr>
              <w:t xml:space="preserve"> 202</w:t>
            </w:r>
            <w:r>
              <w:rPr>
                <w:rFonts w:ascii="Arial" w:hAnsi="Arial" w:cs="Arial"/>
                <w:i/>
                <w:sz w:val="18"/>
                <w:szCs w:val="18"/>
              </w:rPr>
              <w:t>4, within SBUHB (Workforce Digital)</w:t>
            </w:r>
            <w:r w:rsidRPr="004844A4">
              <w:rPr>
                <w:rFonts w:ascii="Arial" w:hAnsi="Arial" w:cs="Arial"/>
                <w:i/>
                <w:sz w:val="18"/>
                <w:szCs w:val="18"/>
              </w:rPr>
              <w:t>.</w:t>
            </w:r>
            <w:r>
              <w:rPr>
                <w:rFonts w:ascii="Arial" w:hAnsi="Arial" w:cs="Arial"/>
                <w:i/>
                <w:sz w:val="18"/>
                <w:szCs w:val="18"/>
              </w:rPr>
              <w:t xml:space="preserve"> Data source – ER Tracker.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p>
        </w:tc>
      </w:tr>
      <w:tr w:rsidR="00724E77" w:rsidRPr="00D40A65" w14:paraId="29A9F605" w14:textId="77777777" w:rsidTr="5E29146B">
        <w:tc>
          <w:tcPr>
            <w:tcW w:w="12847" w:type="dxa"/>
            <w:gridSpan w:val="2"/>
            <w:shd w:val="clear" w:color="auto" w:fill="EAF1DD" w:themeFill="accent3" w:themeFillTint="33"/>
          </w:tcPr>
          <w:p w14:paraId="31B93819" w14:textId="77777777" w:rsidR="00724E77" w:rsidRPr="00D40A65" w:rsidRDefault="00724E77" w:rsidP="00724E77">
            <w:pPr>
              <w:spacing w:after="0" w:line="240" w:lineRule="auto"/>
              <w:rPr>
                <w:rFonts w:ascii="Arial" w:hAnsi="Arial" w:cs="Arial"/>
                <w:b/>
              </w:rPr>
            </w:pPr>
            <w:r w:rsidRPr="00D40A65">
              <w:rPr>
                <w:rFonts w:ascii="Arial" w:hAnsi="Arial" w:cs="Arial"/>
                <w:b/>
              </w:rPr>
              <w:t>Current Performance</w:t>
            </w:r>
          </w:p>
        </w:tc>
      </w:tr>
      <w:tr w:rsidR="00724E77" w:rsidRPr="00D40A65" w14:paraId="4096AA13" w14:textId="77777777" w:rsidTr="00C3652E">
        <w:tc>
          <w:tcPr>
            <w:tcW w:w="12847" w:type="dxa"/>
            <w:gridSpan w:val="2"/>
            <w:shd w:val="clear" w:color="auto" w:fill="DDD9C3" w:themeFill="background2" w:themeFillShade="E6"/>
          </w:tcPr>
          <w:p w14:paraId="18AF5634" w14:textId="77777777" w:rsidR="00724E77" w:rsidRDefault="00724E77" w:rsidP="00724E77">
            <w:pPr>
              <w:spacing w:after="0" w:line="240" w:lineRule="auto"/>
              <w:ind w:left="741"/>
              <w:contextualSpacing/>
              <w:rPr>
                <w:rFonts w:ascii="Arial" w:hAnsi="Arial" w:cs="Arial"/>
              </w:rPr>
            </w:pPr>
          </w:p>
          <w:p w14:paraId="2468F2D6" w14:textId="77777777" w:rsidR="00724E77" w:rsidRPr="008878C5" w:rsidRDefault="00724E77" w:rsidP="00724E77">
            <w:pPr>
              <w:numPr>
                <w:ilvl w:val="0"/>
                <w:numId w:val="16"/>
              </w:numPr>
              <w:spacing w:after="0" w:line="240" w:lineRule="auto"/>
              <w:ind w:left="741"/>
              <w:contextualSpacing/>
              <w:rPr>
                <w:rFonts w:ascii="Arial" w:hAnsi="Arial" w:cs="Arial"/>
              </w:rPr>
            </w:pPr>
            <w:r w:rsidRPr="008878C5">
              <w:rPr>
                <w:rFonts w:ascii="Arial" w:hAnsi="Arial" w:cs="Arial"/>
              </w:rPr>
              <w:t>No. of open Formal Disciplinaries since the last reporting period ha</w:t>
            </w:r>
            <w:r>
              <w:rPr>
                <w:rFonts w:ascii="Arial" w:hAnsi="Arial" w:cs="Arial"/>
              </w:rPr>
              <w:t xml:space="preserve">ve decreased from 50 </w:t>
            </w:r>
            <w:r w:rsidRPr="008878C5">
              <w:rPr>
                <w:rFonts w:ascii="Arial" w:hAnsi="Arial" w:cs="Arial"/>
              </w:rPr>
              <w:t xml:space="preserve">to </w:t>
            </w:r>
            <w:r>
              <w:rPr>
                <w:rFonts w:ascii="Arial" w:hAnsi="Arial" w:cs="Arial"/>
              </w:rPr>
              <w:t>45</w:t>
            </w:r>
            <w:r w:rsidRPr="008878C5">
              <w:rPr>
                <w:rFonts w:ascii="Arial" w:hAnsi="Arial" w:cs="Arial"/>
              </w:rPr>
              <w:t xml:space="preserve"> open cases</w:t>
            </w:r>
          </w:p>
          <w:p w14:paraId="6938BBF4" w14:textId="3372C131" w:rsidR="00724E77" w:rsidRPr="008878C5" w:rsidRDefault="00724E77" w:rsidP="00724E77">
            <w:pPr>
              <w:numPr>
                <w:ilvl w:val="0"/>
                <w:numId w:val="16"/>
              </w:numPr>
              <w:spacing w:after="0" w:line="240" w:lineRule="auto"/>
              <w:ind w:left="741"/>
              <w:contextualSpacing/>
              <w:rPr>
                <w:rFonts w:ascii="Arial" w:hAnsi="Arial" w:cs="Arial"/>
              </w:rPr>
            </w:pPr>
            <w:r w:rsidRPr="008878C5">
              <w:rPr>
                <w:rFonts w:ascii="Arial" w:hAnsi="Arial" w:cs="Arial"/>
              </w:rPr>
              <w:t>Number of Formal requests for Resolution</w:t>
            </w:r>
            <w:r>
              <w:rPr>
                <w:rFonts w:ascii="Arial" w:hAnsi="Arial" w:cs="Arial"/>
              </w:rPr>
              <w:t xml:space="preserve"> raised within this period</w:t>
            </w:r>
            <w:r w:rsidRPr="008878C5">
              <w:rPr>
                <w:rFonts w:ascii="Arial" w:hAnsi="Arial" w:cs="Arial"/>
              </w:rPr>
              <w:t xml:space="preserve"> </w:t>
            </w:r>
            <w:r>
              <w:rPr>
                <w:rFonts w:ascii="Arial" w:hAnsi="Arial" w:cs="Arial"/>
              </w:rPr>
              <w:t>have decreased from 24 to 16. There are currently 41 Formal Respect &amp; Resolution cases open</w:t>
            </w:r>
            <w:r w:rsidR="00367719">
              <w:rPr>
                <w:rFonts w:ascii="Arial" w:hAnsi="Arial" w:cs="Arial"/>
              </w:rPr>
              <w:t xml:space="preserve"> – it is noted that whilst there has been a reduction in formal cases being raised there is an increase in the formality in which staff side are raising issues </w:t>
            </w:r>
            <w:proofErr w:type="gramStart"/>
            <w:r w:rsidR="00367719">
              <w:rPr>
                <w:rFonts w:ascii="Arial" w:hAnsi="Arial" w:cs="Arial"/>
              </w:rPr>
              <w:t>whereby</w:t>
            </w:r>
            <w:proofErr w:type="gramEnd"/>
            <w:r w:rsidR="00367719">
              <w:rPr>
                <w:rFonts w:ascii="Arial" w:hAnsi="Arial" w:cs="Arial"/>
              </w:rPr>
              <w:t xml:space="preserve"> they are not engaging informally in the first instance, however, we a</w:t>
            </w:r>
            <w:r w:rsidR="007F735A">
              <w:rPr>
                <w:rFonts w:ascii="Arial" w:hAnsi="Arial" w:cs="Arial"/>
              </w:rPr>
              <w:t>r</w:t>
            </w:r>
            <w:r w:rsidR="00367719">
              <w:rPr>
                <w:rFonts w:ascii="Arial" w:hAnsi="Arial" w:cs="Arial"/>
              </w:rPr>
              <w:t>e resolving issues informally resulting in the reduction.</w:t>
            </w:r>
          </w:p>
          <w:p w14:paraId="408F7308" w14:textId="77777777" w:rsidR="00724E77" w:rsidRDefault="00724E77" w:rsidP="00724E77">
            <w:pPr>
              <w:numPr>
                <w:ilvl w:val="0"/>
                <w:numId w:val="16"/>
              </w:numPr>
              <w:spacing w:after="0" w:line="240" w:lineRule="auto"/>
              <w:ind w:left="741"/>
              <w:contextualSpacing/>
              <w:rPr>
                <w:rFonts w:ascii="Arial" w:hAnsi="Arial" w:cs="Arial"/>
              </w:rPr>
            </w:pPr>
            <w:r w:rsidRPr="008878C5">
              <w:rPr>
                <w:rFonts w:ascii="Arial" w:hAnsi="Arial" w:cs="Arial"/>
              </w:rPr>
              <w:t>Suspensions</w:t>
            </w:r>
            <w:r>
              <w:rPr>
                <w:rFonts w:ascii="Arial" w:hAnsi="Arial" w:cs="Arial"/>
              </w:rPr>
              <w:t>,</w:t>
            </w:r>
            <w:r w:rsidRPr="008878C5">
              <w:rPr>
                <w:rFonts w:ascii="Arial" w:hAnsi="Arial" w:cs="Arial"/>
              </w:rPr>
              <w:t xml:space="preserve"> since the last reporting period</w:t>
            </w:r>
            <w:r>
              <w:rPr>
                <w:rFonts w:ascii="Arial" w:hAnsi="Arial" w:cs="Arial"/>
              </w:rPr>
              <w:t xml:space="preserve"> have increased from 11 to 12</w:t>
            </w:r>
          </w:p>
          <w:p w14:paraId="6222331F" w14:textId="77777777" w:rsidR="00724E77" w:rsidRDefault="00724E77" w:rsidP="00724E77">
            <w:pPr>
              <w:numPr>
                <w:ilvl w:val="0"/>
                <w:numId w:val="16"/>
              </w:numPr>
              <w:spacing w:after="0" w:line="240" w:lineRule="auto"/>
              <w:ind w:left="741"/>
              <w:contextualSpacing/>
              <w:rPr>
                <w:rFonts w:ascii="Arial" w:hAnsi="Arial" w:cs="Arial"/>
              </w:rPr>
            </w:pPr>
            <w:r w:rsidRPr="008878C5">
              <w:rPr>
                <w:rFonts w:ascii="Arial" w:hAnsi="Arial" w:cs="Arial"/>
              </w:rPr>
              <w:t xml:space="preserve">ET’s </w:t>
            </w:r>
            <w:r w:rsidR="00C73F47">
              <w:rPr>
                <w:rFonts w:ascii="Arial" w:hAnsi="Arial" w:cs="Arial"/>
              </w:rPr>
              <w:t xml:space="preserve">– </w:t>
            </w:r>
            <w:r w:rsidR="006E2C9F">
              <w:rPr>
                <w:rFonts w:ascii="Arial" w:hAnsi="Arial" w:cs="Arial"/>
              </w:rPr>
              <w:t>increased to 4</w:t>
            </w:r>
          </w:p>
          <w:p w14:paraId="12757F05" w14:textId="61F7B5AE" w:rsidR="007F735A" w:rsidRPr="00274F85" w:rsidRDefault="007F735A" w:rsidP="00724E77">
            <w:pPr>
              <w:numPr>
                <w:ilvl w:val="0"/>
                <w:numId w:val="16"/>
              </w:numPr>
              <w:spacing w:after="0" w:line="240" w:lineRule="auto"/>
              <w:ind w:left="741"/>
              <w:contextualSpacing/>
              <w:rPr>
                <w:rFonts w:ascii="Arial" w:hAnsi="Arial" w:cs="Arial"/>
              </w:rPr>
            </w:pPr>
            <w:r>
              <w:rPr>
                <w:rFonts w:ascii="Arial" w:hAnsi="Arial" w:cs="Arial"/>
              </w:rPr>
              <w:t xml:space="preserve">It is noted that we do not currently fully record whistleblowing cases on our reporting system. However, intelligence confirms that we have </w:t>
            </w:r>
            <w:proofErr w:type="gramStart"/>
            <w:r>
              <w:rPr>
                <w:rFonts w:ascii="Arial" w:hAnsi="Arial" w:cs="Arial"/>
              </w:rPr>
              <w:t>a number of</w:t>
            </w:r>
            <w:proofErr w:type="gramEnd"/>
            <w:r>
              <w:rPr>
                <w:rFonts w:ascii="Arial" w:hAnsi="Arial" w:cs="Arial"/>
              </w:rPr>
              <w:t xml:space="preserve"> concerns linked to our Raising Concerns policy, some of which are currently being addressed informally and some formally. Workforce &amp; OD are involved in below 5 cases at this stage. It is noted that Service Groups may well be addressing such matters locally that is not reported centrally. This will be picked up as part of the </w:t>
            </w:r>
            <w:proofErr w:type="gramStart"/>
            <w:r>
              <w:rPr>
                <w:rFonts w:ascii="Arial" w:hAnsi="Arial" w:cs="Arial"/>
              </w:rPr>
              <w:t>S[</w:t>
            </w:r>
            <w:proofErr w:type="gramEnd"/>
            <w:r>
              <w:rPr>
                <w:rFonts w:ascii="Arial" w:hAnsi="Arial" w:cs="Arial"/>
              </w:rPr>
              <w:t>peaking up Safely action plan to ensure organisation oversight of such concerns.</w:t>
            </w:r>
          </w:p>
        </w:tc>
      </w:tr>
      <w:tr w:rsidR="00724E77" w:rsidRPr="00877518" w14:paraId="0A981FE6" w14:textId="77777777" w:rsidTr="5E29146B">
        <w:tc>
          <w:tcPr>
            <w:tcW w:w="12847" w:type="dxa"/>
            <w:gridSpan w:val="2"/>
            <w:shd w:val="clear" w:color="auto" w:fill="EAF1DD" w:themeFill="accent3" w:themeFillTint="33"/>
          </w:tcPr>
          <w:p w14:paraId="6F076AC6" w14:textId="387134CB" w:rsidR="00724E77" w:rsidRPr="00877518" w:rsidRDefault="00724E77" w:rsidP="00724E77">
            <w:pPr>
              <w:spacing w:after="0" w:line="240" w:lineRule="auto"/>
              <w:rPr>
                <w:rFonts w:ascii="Arial" w:hAnsi="Arial" w:cs="Arial"/>
                <w:b/>
              </w:rPr>
            </w:pPr>
          </w:p>
        </w:tc>
      </w:tr>
      <w:tr w:rsidR="00724E77" w:rsidRPr="00D40A65" w14:paraId="35F6D1A1" w14:textId="77777777" w:rsidTr="00C3652E">
        <w:tc>
          <w:tcPr>
            <w:tcW w:w="12847" w:type="dxa"/>
            <w:gridSpan w:val="2"/>
            <w:shd w:val="clear" w:color="auto" w:fill="DDD9C3" w:themeFill="background2" w:themeFillShade="E6"/>
          </w:tcPr>
          <w:p w14:paraId="54D3650C" w14:textId="77777777" w:rsidR="00724E77" w:rsidRDefault="00724E77" w:rsidP="00724E77">
            <w:pPr>
              <w:numPr>
                <w:ilvl w:val="0"/>
                <w:numId w:val="2"/>
              </w:numPr>
              <w:spacing w:after="0" w:line="240" w:lineRule="auto"/>
              <w:contextualSpacing/>
              <w:rPr>
                <w:rFonts w:ascii="Arial" w:hAnsi="Arial" w:cs="Arial"/>
              </w:rPr>
            </w:pPr>
            <w:proofErr w:type="gramStart"/>
            <w:r w:rsidRPr="0054104E">
              <w:rPr>
                <w:rFonts w:ascii="Arial" w:hAnsi="Arial" w:cs="Arial"/>
              </w:rPr>
              <w:t>A number of</w:t>
            </w:r>
            <w:proofErr w:type="gramEnd"/>
            <w:r w:rsidRPr="0054104E">
              <w:rPr>
                <w:rFonts w:ascii="Arial" w:hAnsi="Arial" w:cs="Arial"/>
              </w:rPr>
              <w:t xml:space="preserve"> actions are on-going in line with the Best Practice Review </w:t>
            </w:r>
          </w:p>
          <w:p w14:paraId="4CD86EF3" w14:textId="77777777" w:rsidR="00724E77" w:rsidRDefault="00724E77" w:rsidP="00724E77">
            <w:pPr>
              <w:numPr>
                <w:ilvl w:val="0"/>
                <w:numId w:val="2"/>
              </w:numPr>
              <w:spacing w:after="0" w:line="240" w:lineRule="auto"/>
              <w:contextualSpacing/>
              <w:rPr>
                <w:rFonts w:ascii="Arial" w:hAnsi="Arial" w:cs="Arial"/>
              </w:rPr>
            </w:pPr>
            <w:r>
              <w:rPr>
                <w:rFonts w:ascii="Arial" w:hAnsi="Arial" w:cs="Arial"/>
              </w:rPr>
              <w:t xml:space="preserve">The Best Practice Review project has been refreshed with the introduction of multidisciplinary subgroups focusing on priority areas of work, reporting into the Core Working Group. </w:t>
            </w:r>
          </w:p>
          <w:p w14:paraId="26254834" w14:textId="77777777" w:rsidR="00724E77" w:rsidRDefault="00724E77" w:rsidP="00724E77">
            <w:pPr>
              <w:numPr>
                <w:ilvl w:val="0"/>
                <w:numId w:val="2"/>
              </w:numPr>
              <w:spacing w:after="0" w:line="240" w:lineRule="auto"/>
              <w:contextualSpacing/>
              <w:rPr>
                <w:rFonts w:ascii="Arial" w:hAnsi="Arial" w:cs="Arial"/>
              </w:rPr>
            </w:pPr>
            <w:r>
              <w:rPr>
                <w:rFonts w:ascii="Arial" w:hAnsi="Arial" w:cs="Arial"/>
              </w:rPr>
              <w:lastRenderedPageBreak/>
              <w:t>3 w</w:t>
            </w:r>
            <w:r w:rsidRPr="0054104E">
              <w:rPr>
                <w:rFonts w:ascii="Arial" w:hAnsi="Arial" w:cs="Arial"/>
              </w:rPr>
              <w:t xml:space="preserve">orkshops have </w:t>
            </w:r>
            <w:r>
              <w:rPr>
                <w:rFonts w:ascii="Arial" w:hAnsi="Arial" w:cs="Arial"/>
              </w:rPr>
              <w:t>taken place</w:t>
            </w:r>
            <w:r w:rsidRPr="0054104E">
              <w:rPr>
                <w:rFonts w:ascii="Arial" w:hAnsi="Arial" w:cs="Arial"/>
              </w:rPr>
              <w:t xml:space="preserve"> in partnership with our Trade Unions facilitated by HEIW and SBUHB covering the following: Employee Investigations – Avoiding Employee Harm. </w:t>
            </w:r>
          </w:p>
          <w:p w14:paraId="7F4FCA41" w14:textId="77777777" w:rsidR="00724E77" w:rsidRDefault="00724E77" w:rsidP="00724E77">
            <w:pPr>
              <w:numPr>
                <w:ilvl w:val="0"/>
                <w:numId w:val="2"/>
              </w:numPr>
              <w:spacing w:after="0" w:line="240" w:lineRule="auto"/>
              <w:contextualSpacing/>
              <w:rPr>
                <w:rFonts w:ascii="Arial" w:hAnsi="Arial" w:cs="Arial"/>
              </w:rPr>
            </w:pPr>
            <w:r w:rsidRPr="0054104E">
              <w:rPr>
                <w:rFonts w:ascii="Arial" w:hAnsi="Arial" w:cs="Arial"/>
              </w:rPr>
              <w:t>We have successfully launched the Management Review document, to replace the initial assessment, which allows us to determine the most appropriate course of action at an early stage with the intention to resolve cases informally where possible – education and training ongoing with HR and leaders</w:t>
            </w:r>
            <w:r>
              <w:rPr>
                <w:rFonts w:ascii="Arial" w:hAnsi="Arial" w:cs="Arial"/>
              </w:rPr>
              <w:t>, this is being embedded and continually reviewed</w:t>
            </w:r>
          </w:p>
          <w:p w14:paraId="1E4E1E8D" w14:textId="7485CE34" w:rsidR="00724E77" w:rsidRPr="00C3652E" w:rsidRDefault="00724E77" w:rsidP="00724E77">
            <w:pPr>
              <w:pStyle w:val="ListParagraph"/>
              <w:numPr>
                <w:ilvl w:val="0"/>
                <w:numId w:val="2"/>
              </w:numPr>
              <w:spacing w:after="0" w:line="240" w:lineRule="auto"/>
              <w:rPr>
                <w:rFonts w:ascii="Arial" w:hAnsi="Arial" w:cs="Arial"/>
              </w:rPr>
            </w:pPr>
            <w:r w:rsidRPr="00D47F8E">
              <w:rPr>
                <w:rFonts w:ascii="Arial" w:hAnsi="Arial" w:cs="Arial"/>
              </w:rPr>
              <w:t xml:space="preserve">Suspension Guidance for leaders and employees </w:t>
            </w:r>
            <w:r>
              <w:rPr>
                <w:rFonts w:ascii="Arial" w:hAnsi="Arial" w:cs="Arial"/>
              </w:rPr>
              <w:t>has been shared for comment</w:t>
            </w:r>
            <w:r w:rsidRPr="00D47F8E">
              <w:rPr>
                <w:rFonts w:ascii="Arial" w:hAnsi="Arial" w:cs="Arial"/>
              </w:rPr>
              <w:t xml:space="preserve"> with the aim of supporting both groups and clarifying the process</w:t>
            </w:r>
          </w:p>
        </w:tc>
      </w:tr>
      <w:bookmarkEnd w:id="1"/>
    </w:tbl>
    <w:p w14:paraId="58D4CF20" w14:textId="77777777" w:rsidR="006314C7" w:rsidRPr="00783A68" w:rsidRDefault="006314C7" w:rsidP="0004342F">
      <w:pPr>
        <w:spacing w:after="0" w:line="240" w:lineRule="auto"/>
        <w:rPr>
          <w:rFonts w:ascii="Arial" w:hAnsi="Arial" w:cs="Arial"/>
          <w:b/>
          <w:caps/>
          <w:sz w:val="28"/>
          <w:szCs w:val="24"/>
        </w:rPr>
      </w:pPr>
    </w:p>
    <w:sectPr w:rsidR="006314C7" w:rsidRPr="00783A68" w:rsidSect="00CF7017">
      <w:footerReference w:type="default" r:id="rId20"/>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86998A" w14:textId="77777777" w:rsidR="00CE01EE" w:rsidRDefault="00CE01EE" w:rsidP="00F000BB">
      <w:pPr>
        <w:spacing w:after="0" w:line="240" w:lineRule="auto"/>
      </w:pPr>
      <w:r>
        <w:separator/>
      </w:r>
    </w:p>
  </w:endnote>
  <w:endnote w:type="continuationSeparator" w:id="0">
    <w:p w14:paraId="1A0A173E" w14:textId="77777777" w:rsidR="00CE01EE" w:rsidRDefault="00CE01EE" w:rsidP="00F000BB">
      <w:pPr>
        <w:spacing w:after="0" w:line="240" w:lineRule="auto"/>
      </w:pPr>
      <w:r>
        <w:continuationSeparator/>
      </w:r>
    </w:p>
  </w:endnote>
  <w:endnote w:type="continuationNotice" w:id="1">
    <w:p w14:paraId="437FC85A" w14:textId="77777777" w:rsidR="00CE01EE" w:rsidRDefault="00CE01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C6B23" w14:textId="4016B63D"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724E77">
      <w:rPr>
        <w:rFonts w:ascii="Arial" w:hAnsi="Arial" w:cs="Arial"/>
        <w:noProof/>
      </w:rPr>
      <w:t>2</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6C0E50" w14:textId="77777777" w:rsidR="00CE01EE" w:rsidRDefault="00CE01EE" w:rsidP="00F000BB">
      <w:pPr>
        <w:spacing w:after="0" w:line="240" w:lineRule="auto"/>
      </w:pPr>
      <w:r>
        <w:separator/>
      </w:r>
    </w:p>
  </w:footnote>
  <w:footnote w:type="continuationSeparator" w:id="0">
    <w:p w14:paraId="708AB28E" w14:textId="77777777" w:rsidR="00CE01EE" w:rsidRDefault="00CE01EE" w:rsidP="00F000BB">
      <w:pPr>
        <w:spacing w:after="0" w:line="240" w:lineRule="auto"/>
      </w:pPr>
      <w:r>
        <w:continuationSeparator/>
      </w:r>
    </w:p>
  </w:footnote>
  <w:footnote w:type="continuationNotice" w:id="1">
    <w:p w14:paraId="1A3429B1" w14:textId="77777777" w:rsidR="00CE01EE" w:rsidRDefault="00CE01E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FC81F1F"/>
    <w:multiLevelType w:val="hybridMultilevel"/>
    <w:tmpl w:val="3572C940"/>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1FF0989"/>
    <w:multiLevelType w:val="hybridMultilevel"/>
    <w:tmpl w:val="C704958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0545D40"/>
    <w:multiLevelType w:val="hybridMultilevel"/>
    <w:tmpl w:val="4D08AC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1ED39A7"/>
    <w:multiLevelType w:val="hybridMultilevel"/>
    <w:tmpl w:val="76D098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9" w15:restartNumberingAfterBreak="0">
    <w:nsid w:val="26D16856"/>
    <w:multiLevelType w:val="hybridMultilevel"/>
    <w:tmpl w:val="36EEB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120F08"/>
    <w:multiLevelType w:val="hybridMultilevel"/>
    <w:tmpl w:val="715EB92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737153E"/>
    <w:multiLevelType w:val="hybridMultilevel"/>
    <w:tmpl w:val="20F6F1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9059E9"/>
    <w:multiLevelType w:val="hybridMultilevel"/>
    <w:tmpl w:val="1C788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6E5173"/>
    <w:multiLevelType w:val="hybridMultilevel"/>
    <w:tmpl w:val="ECF28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020D9B"/>
    <w:multiLevelType w:val="hybridMultilevel"/>
    <w:tmpl w:val="C410355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A90AB68"/>
    <w:multiLevelType w:val="hybridMultilevel"/>
    <w:tmpl w:val="C8CE0C18"/>
    <w:lvl w:ilvl="0" w:tplc="3E548D42">
      <w:start w:val="1"/>
      <w:numFmt w:val="bullet"/>
      <w:lvlText w:val=""/>
      <w:lvlJc w:val="left"/>
      <w:pPr>
        <w:ind w:left="360" w:hanging="360"/>
      </w:pPr>
      <w:rPr>
        <w:rFonts w:ascii="Symbol" w:hAnsi="Symbol" w:hint="default"/>
      </w:rPr>
    </w:lvl>
    <w:lvl w:ilvl="1" w:tplc="9E849B48">
      <w:start w:val="1"/>
      <w:numFmt w:val="bullet"/>
      <w:lvlText w:val="o"/>
      <w:lvlJc w:val="left"/>
      <w:pPr>
        <w:ind w:left="1080" w:hanging="360"/>
      </w:pPr>
      <w:rPr>
        <w:rFonts w:ascii="Courier New" w:hAnsi="Courier New" w:hint="default"/>
      </w:rPr>
    </w:lvl>
    <w:lvl w:ilvl="2" w:tplc="BB66BA6C">
      <w:start w:val="1"/>
      <w:numFmt w:val="bullet"/>
      <w:lvlText w:val=""/>
      <w:lvlJc w:val="left"/>
      <w:pPr>
        <w:ind w:left="1800" w:hanging="360"/>
      </w:pPr>
      <w:rPr>
        <w:rFonts w:ascii="Wingdings" w:hAnsi="Wingdings" w:hint="default"/>
      </w:rPr>
    </w:lvl>
    <w:lvl w:ilvl="3" w:tplc="7772E1C6">
      <w:start w:val="1"/>
      <w:numFmt w:val="bullet"/>
      <w:lvlText w:val=""/>
      <w:lvlJc w:val="left"/>
      <w:pPr>
        <w:ind w:left="2520" w:hanging="360"/>
      </w:pPr>
      <w:rPr>
        <w:rFonts w:ascii="Symbol" w:hAnsi="Symbol" w:hint="default"/>
      </w:rPr>
    </w:lvl>
    <w:lvl w:ilvl="4" w:tplc="0D6890AA">
      <w:start w:val="1"/>
      <w:numFmt w:val="bullet"/>
      <w:lvlText w:val="o"/>
      <w:lvlJc w:val="left"/>
      <w:pPr>
        <w:ind w:left="3240" w:hanging="360"/>
      </w:pPr>
      <w:rPr>
        <w:rFonts w:ascii="Courier New" w:hAnsi="Courier New" w:hint="default"/>
      </w:rPr>
    </w:lvl>
    <w:lvl w:ilvl="5" w:tplc="4B849234">
      <w:start w:val="1"/>
      <w:numFmt w:val="bullet"/>
      <w:lvlText w:val=""/>
      <w:lvlJc w:val="left"/>
      <w:pPr>
        <w:ind w:left="3960" w:hanging="360"/>
      </w:pPr>
      <w:rPr>
        <w:rFonts w:ascii="Wingdings" w:hAnsi="Wingdings" w:hint="default"/>
      </w:rPr>
    </w:lvl>
    <w:lvl w:ilvl="6" w:tplc="471E9DB6">
      <w:start w:val="1"/>
      <w:numFmt w:val="bullet"/>
      <w:lvlText w:val=""/>
      <w:lvlJc w:val="left"/>
      <w:pPr>
        <w:ind w:left="4680" w:hanging="360"/>
      </w:pPr>
      <w:rPr>
        <w:rFonts w:ascii="Symbol" w:hAnsi="Symbol" w:hint="default"/>
      </w:rPr>
    </w:lvl>
    <w:lvl w:ilvl="7" w:tplc="D67E3B78">
      <w:start w:val="1"/>
      <w:numFmt w:val="bullet"/>
      <w:lvlText w:val="o"/>
      <w:lvlJc w:val="left"/>
      <w:pPr>
        <w:ind w:left="5400" w:hanging="360"/>
      </w:pPr>
      <w:rPr>
        <w:rFonts w:ascii="Courier New" w:hAnsi="Courier New" w:hint="default"/>
      </w:rPr>
    </w:lvl>
    <w:lvl w:ilvl="8" w:tplc="E78209CE">
      <w:start w:val="1"/>
      <w:numFmt w:val="bullet"/>
      <w:lvlText w:val=""/>
      <w:lvlJc w:val="left"/>
      <w:pPr>
        <w:ind w:left="6120" w:hanging="360"/>
      </w:pPr>
      <w:rPr>
        <w:rFonts w:ascii="Wingdings" w:hAnsi="Wingdings" w:hint="default"/>
      </w:rPr>
    </w:lvl>
  </w:abstractNum>
  <w:abstractNum w:abstractNumId="16"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17"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18"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19" w15:restartNumberingAfterBreak="0">
    <w:nsid w:val="44D7366F"/>
    <w:multiLevelType w:val="hybridMultilevel"/>
    <w:tmpl w:val="DFF0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1" w15:restartNumberingAfterBreak="0">
    <w:nsid w:val="535E0B34"/>
    <w:multiLevelType w:val="hybridMultilevel"/>
    <w:tmpl w:val="F9C0C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23" w15:restartNumberingAfterBreak="0">
    <w:nsid w:val="566F1655"/>
    <w:multiLevelType w:val="hybridMultilevel"/>
    <w:tmpl w:val="5290C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5D705828"/>
    <w:multiLevelType w:val="hybridMultilevel"/>
    <w:tmpl w:val="750A5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7" w15:restartNumberingAfterBreak="0">
    <w:nsid w:val="63655AD8"/>
    <w:multiLevelType w:val="hybridMultilevel"/>
    <w:tmpl w:val="AA1ED7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4EF7B0C"/>
    <w:multiLevelType w:val="hybridMultilevel"/>
    <w:tmpl w:val="8A708FCA"/>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30" w15:restartNumberingAfterBreak="0">
    <w:nsid w:val="69152ABC"/>
    <w:multiLevelType w:val="hybridMultilevel"/>
    <w:tmpl w:val="8514BFAC"/>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31" w15:restartNumberingAfterBreak="0">
    <w:nsid w:val="6A672F85"/>
    <w:multiLevelType w:val="hybridMultilevel"/>
    <w:tmpl w:val="61AEE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A47D08"/>
    <w:multiLevelType w:val="hybridMultilevel"/>
    <w:tmpl w:val="F32691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4" w15:restartNumberingAfterBreak="0">
    <w:nsid w:val="72A03E3B"/>
    <w:multiLevelType w:val="hybridMultilevel"/>
    <w:tmpl w:val="5B229C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915167"/>
    <w:multiLevelType w:val="hybridMultilevel"/>
    <w:tmpl w:val="2BD036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355621018">
    <w:abstractNumId w:val="15"/>
  </w:num>
  <w:num w:numId="2" w16cid:durableId="1106997301">
    <w:abstractNumId w:val="34"/>
  </w:num>
  <w:num w:numId="3" w16cid:durableId="731394684">
    <w:abstractNumId w:val="8"/>
  </w:num>
  <w:num w:numId="4" w16cid:durableId="67116745">
    <w:abstractNumId w:val="2"/>
  </w:num>
  <w:num w:numId="5" w16cid:durableId="453331246">
    <w:abstractNumId w:val="29"/>
  </w:num>
  <w:num w:numId="6" w16cid:durableId="2002006266">
    <w:abstractNumId w:val="22"/>
  </w:num>
  <w:num w:numId="7" w16cid:durableId="415832054">
    <w:abstractNumId w:val="18"/>
  </w:num>
  <w:num w:numId="8" w16cid:durableId="1868254807">
    <w:abstractNumId w:val="0"/>
  </w:num>
  <w:num w:numId="9" w16cid:durableId="1561089347">
    <w:abstractNumId w:val="1"/>
  </w:num>
  <w:num w:numId="10" w16cid:durableId="1007175747">
    <w:abstractNumId w:val="26"/>
  </w:num>
  <w:num w:numId="11" w16cid:durableId="1388726613">
    <w:abstractNumId w:val="16"/>
  </w:num>
  <w:num w:numId="12" w16cid:durableId="1737826145">
    <w:abstractNumId w:val="33"/>
  </w:num>
  <w:num w:numId="13" w16cid:durableId="682633622">
    <w:abstractNumId w:val="24"/>
  </w:num>
  <w:num w:numId="14" w16cid:durableId="2075665164">
    <w:abstractNumId w:val="17"/>
  </w:num>
  <w:num w:numId="15" w16cid:durableId="1957759486">
    <w:abstractNumId w:val="20"/>
  </w:num>
  <w:num w:numId="16" w16cid:durableId="465853676">
    <w:abstractNumId w:val="10"/>
  </w:num>
  <w:num w:numId="17" w16cid:durableId="1099448029">
    <w:abstractNumId w:val="13"/>
  </w:num>
  <w:num w:numId="18" w16cid:durableId="910893185">
    <w:abstractNumId w:val="36"/>
  </w:num>
  <w:num w:numId="19" w16cid:durableId="86969841">
    <w:abstractNumId w:val="28"/>
  </w:num>
  <w:num w:numId="20" w16cid:durableId="124397870">
    <w:abstractNumId w:val="25"/>
  </w:num>
  <w:num w:numId="21" w16cid:durableId="1309826297">
    <w:abstractNumId w:val="19"/>
  </w:num>
  <w:num w:numId="22" w16cid:durableId="408187263">
    <w:abstractNumId w:val="35"/>
  </w:num>
  <w:num w:numId="23" w16cid:durableId="327292579">
    <w:abstractNumId w:val="12"/>
  </w:num>
  <w:num w:numId="24" w16cid:durableId="717782547">
    <w:abstractNumId w:val="31"/>
  </w:num>
  <w:num w:numId="25" w16cid:durableId="1746344351">
    <w:abstractNumId w:val="11"/>
  </w:num>
  <w:num w:numId="26" w16cid:durableId="1500191758">
    <w:abstractNumId w:val="34"/>
  </w:num>
  <w:num w:numId="27" w16cid:durableId="138035907">
    <w:abstractNumId w:val="34"/>
  </w:num>
  <w:num w:numId="28" w16cid:durableId="1973830663">
    <w:abstractNumId w:val="5"/>
  </w:num>
  <w:num w:numId="29" w16cid:durableId="1217818596">
    <w:abstractNumId w:val="7"/>
  </w:num>
  <w:num w:numId="30" w16cid:durableId="1492910764">
    <w:abstractNumId w:val="32"/>
  </w:num>
  <w:num w:numId="31" w16cid:durableId="861162086">
    <w:abstractNumId w:val="21"/>
  </w:num>
  <w:num w:numId="32" w16cid:durableId="723142370">
    <w:abstractNumId w:val="30"/>
  </w:num>
  <w:num w:numId="33" w16cid:durableId="954479586">
    <w:abstractNumId w:val="6"/>
  </w:num>
  <w:num w:numId="34" w16cid:durableId="1699814185">
    <w:abstractNumId w:val="27"/>
  </w:num>
  <w:num w:numId="35" w16cid:durableId="1664549457">
    <w:abstractNumId w:val="23"/>
  </w:num>
  <w:num w:numId="36" w16cid:durableId="1818060871">
    <w:abstractNumId w:val="9"/>
  </w:num>
  <w:num w:numId="37" w16cid:durableId="1250113516">
    <w:abstractNumId w:val="3"/>
  </w:num>
  <w:num w:numId="38" w16cid:durableId="1318463571">
    <w:abstractNumId w:val="4"/>
  </w:num>
  <w:num w:numId="39" w16cid:durableId="172570236">
    <w:abstractNumId w:val="1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4DA"/>
    <w:rsid w:val="00034E22"/>
    <w:rsid w:val="00035ACD"/>
    <w:rsid w:val="00035DA0"/>
    <w:rsid w:val="00035ECD"/>
    <w:rsid w:val="000378B7"/>
    <w:rsid w:val="00037945"/>
    <w:rsid w:val="00037B77"/>
    <w:rsid w:val="00037D4E"/>
    <w:rsid w:val="00040053"/>
    <w:rsid w:val="00040735"/>
    <w:rsid w:val="00040CDE"/>
    <w:rsid w:val="00040D22"/>
    <w:rsid w:val="000411A3"/>
    <w:rsid w:val="000417E6"/>
    <w:rsid w:val="00041F5B"/>
    <w:rsid w:val="00042AAF"/>
    <w:rsid w:val="0004342F"/>
    <w:rsid w:val="00043C6B"/>
    <w:rsid w:val="00043CE6"/>
    <w:rsid w:val="00043E7E"/>
    <w:rsid w:val="000447FB"/>
    <w:rsid w:val="0004482B"/>
    <w:rsid w:val="000461CD"/>
    <w:rsid w:val="0004754E"/>
    <w:rsid w:val="000475BD"/>
    <w:rsid w:val="00047DE0"/>
    <w:rsid w:val="00047F42"/>
    <w:rsid w:val="00050048"/>
    <w:rsid w:val="0005089F"/>
    <w:rsid w:val="0005129B"/>
    <w:rsid w:val="00051B8B"/>
    <w:rsid w:val="0005314C"/>
    <w:rsid w:val="0005380A"/>
    <w:rsid w:val="000538BA"/>
    <w:rsid w:val="000542D1"/>
    <w:rsid w:val="0005452C"/>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C10"/>
    <w:rsid w:val="00064DC9"/>
    <w:rsid w:val="000657E6"/>
    <w:rsid w:val="00065C0B"/>
    <w:rsid w:val="00066F4F"/>
    <w:rsid w:val="0006764B"/>
    <w:rsid w:val="00071492"/>
    <w:rsid w:val="00071A07"/>
    <w:rsid w:val="00071D9C"/>
    <w:rsid w:val="00071E10"/>
    <w:rsid w:val="0007209C"/>
    <w:rsid w:val="000723C4"/>
    <w:rsid w:val="0007293A"/>
    <w:rsid w:val="00072CE9"/>
    <w:rsid w:val="00073A50"/>
    <w:rsid w:val="00073DAA"/>
    <w:rsid w:val="00074060"/>
    <w:rsid w:val="000745AB"/>
    <w:rsid w:val="00074678"/>
    <w:rsid w:val="00075166"/>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868"/>
    <w:rsid w:val="00084FD5"/>
    <w:rsid w:val="00085003"/>
    <w:rsid w:val="0008501F"/>
    <w:rsid w:val="000855A6"/>
    <w:rsid w:val="000860F6"/>
    <w:rsid w:val="000862D4"/>
    <w:rsid w:val="00086444"/>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5AD"/>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98A"/>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C77"/>
    <w:rsid w:val="00135D78"/>
    <w:rsid w:val="00136088"/>
    <w:rsid w:val="00136DA0"/>
    <w:rsid w:val="00137A20"/>
    <w:rsid w:val="001400B6"/>
    <w:rsid w:val="00140327"/>
    <w:rsid w:val="0014084A"/>
    <w:rsid w:val="00140E91"/>
    <w:rsid w:val="00140EE4"/>
    <w:rsid w:val="0014121D"/>
    <w:rsid w:val="001415F1"/>
    <w:rsid w:val="001416D4"/>
    <w:rsid w:val="0014290E"/>
    <w:rsid w:val="001431EC"/>
    <w:rsid w:val="00143F93"/>
    <w:rsid w:val="00144003"/>
    <w:rsid w:val="00144718"/>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6736E"/>
    <w:rsid w:val="00170590"/>
    <w:rsid w:val="00171572"/>
    <w:rsid w:val="00171E46"/>
    <w:rsid w:val="00172EBD"/>
    <w:rsid w:val="0017343C"/>
    <w:rsid w:val="0017365F"/>
    <w:rsid w:val="001741C6"/>
    <w:rsid w:val="0017427B"/>
    <w:rsid w:val="00174427"/>
    <w:rsid w:val="0017456D"/>
    <w:rsid w:val="001749B0"/>
    <w:rsid w:val="0017513B"/>
    <w:rsid w:val="001755EE"/>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6BE"/>
    <w:rsid w:val="00190E16"/>
    <w:rsid w:val="00190FAB"/>
    <w:rsid w:val="00191AD0"/>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657"/>
    <w:rsid w:val="001B4CDB"/>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A7B"/>
    <w:rsid w:val="001C2D09"/>
    <w:rsid w:val="001C3329"/>
    <w:rsid w:val="001C3D62"/>
    <w:rsid w:val="001C41E3"/>
    <w:rsid w:val="001C4445"/>
    <w:rsid w:val="001C53A4"/>
    <w:rsid w:val="001C6A10"/>
    <w:rsid w:val="001C6B72"/>
    <w:rsid w:val="001C7C09"/>
    <w:rsid w:val="001C7CC9"/>
    <w:rsid w:val="001C7FC0"/>
    <w:rsid w:val="001C7FD2"/>
    <w:rsid w:val="001D028C"/>
    <w:rsid w:val="001D0885"/>
    <w:rsid w:val="001D08C2"/>
    <w:rsid w:val="001D0C39"/>
    <w:rsid w:val="001D0DAB"/>
    <w:rsid w:val="001D1C59"/>
    <w:rsid w:val="001D1DF9"/>
    <w:rsid w:val="001D221E"/>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E87B5"/>
    <w:rsid w:val="001F1507"/>
    <w:rsid w:val="001F1BF0"/>
    <w:rsid w:val="001F20BD"/>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5B58"/>
    <w:rsid w:val="0020603F"/>
    <w:rsid w:val="00206289"/>
    <w:rsid w:val="00206291"/>
    <w:rsid w:val="00206625"/>
    <w:rsid w:val="00206832"/>
    <w:rsid w:val="002074E3"/>
    <w:rsid w:val="00207ADD"/>
    <w:rsid w:val="00207CE2"/>
    <w:rsid w:val="002103F6"/>
    <w:rsid w:val="00210B1C"/>
    <w:rsid w:val="0021127F"/>
    <w:rsid w:val="00211359"/>
    <w:rsid w:val="00212BFC"/>
    <w:rsid w:val="00212C97"/>
    <w:rsid w:val="00212EF5"/>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4A7"/>
    <w:rsid w:val="0023380D"/>
    <w:rsid w:val="00233A02"/>
    <w:rsid w:val="00233D8C"/>
    <w:rsid w:val="00233FBE"/>
    <w:rsid w:val="00234126"/>
    <w:rsid w:val="00234396"/>
    <w:rsid w:val="002344ED"/>
    <w:rsid w:val="00234625"/>
    <w:rsid w:val="00234653"/>
    <w:rsid w:val="00234893"/>
    <w:rsid w:val="00235654"/>
    <w:rsid w:val="0023651E"/>
    <w:rsid w:val="002373A2"/>
    <w:rsid w:val="00237590"/>
    <w:rsid w:val="002376B0"/>
    <w:rsid w:val="00240064"/>
    <w:rsid w:val="002401EF"/>
    <w:rsid w:val="00240332"/>
    <w:rsid w:val="002409A6"/>
    <w:rsid w:val="002415FA"/>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4F8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34A"/>
    <w:rsid w:val="00292755"/>
    <w:rsid w:val="0029482F"/>
    <w:rsid w:val="00294A7B"/>
    <w:rsid w:val="002958FE"/>
    <w:rsid w:val="00295AFF"/>
    <w:rsid w:val="00295BDB"/>
    <w:rsid w:val="00296127"/>
    <w:rsid w:val="002961C0"/>
    <w:rsid w:val="0029655E"/>
    <w:rsid w:val="00296DD7"/>
    <w:rsid w:val="0029706A"/>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7E1"/>
    <w:rsid w:val="002A5C84"/>
    <w:rsid w:val="002A60FF"/>
    <w:rsid w:val="002A6457"/>
    <w:rsid w:val="002A6556"/>
    <w:rsid w:val="002A66E6"/>
    <w:rsid w:val="002A680E"/>
    <w:rsid w:val="002A6820"/>
    <w:rsid w:val="002A6A53"/>
    <w:rsid w:val="002A6B1B"/>
    <w:rsid w:val="002A7678"/>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5D49"/>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21D"/>
    <w:rsid w:val="002D381E"/>
    <w:rsid w:val="002D383D"/>
    <w:rsid w:val="002D39A1"/>
    <w:rsid w:val="002D3F62"/>
    <w:rsid w:val="002D4A2B"/>
    <w:rsid w:val="002D4CC4"/>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8F3"/>
    <w:rsid w:val="002F1D89"/>
    <w:rsid w:val="002F1F27"/>
    <w:rsid w:val="002F2DB5"/>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F46"/>
    <w:rsid w:val="003170A5"/>
    <w:rsid w:val="0031716A"/>
    <w:rsid w:val="003172F8"/>
    <w:rsid w:val="0031751F"/>
    <w:rsid w:val="003211FD"/>
    <w:rsid w:val="0032142D"/>
    <w:rsid w:val="00321F2B"/>
    <w:rsid w:val="00322396"/>
    <w:rsid w:val="003227C3"/>
    <w:rsid w:val="00323148"/>
    <w:rsid w:val="00323BD5"/>
    <w:rsid w:val="003240B5"/>
    <w:rsid w:val="003243FA"/>
    <w:rsid w:val="00324BF4"/>
    <w:rsid w:val="003256DC"/>
    <w:rsid w:val="00325BCB"/>
    <w:rsid w:val="00326547"/>
    <w:rsid w:val="00326954"/>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15E"/>
    <w:rsid w:val="0034272D"/>
    <w:rsid w:val="003442FF"/>
    <w:rsid w:val="0034440E"/>
    <w:rsid w:val="0034450E"/>
    <w:rsid w:val="00344FDB"/>
    <w:rsid w:val="00345E41"/>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19"/>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4AEC"/>
    <w:rsid w:val="00385194"/>
    <w:rsid w:val="0038541B"/>
    <w:rsid w:val="00385FA4"/>
    <w:rsid w:val="00386569"/>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977C9"/>
    <w:rsid w:val="003A079A"/>
    <w:rsid w:val="003A1D2D"/>
    <w:rsid w:val="003A1E38"/>
    <w:rsid w:val="003A2376"/>
    <w:rsid w:val="003A29EC"/>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7DB"/>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64A"/>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27E22"/>
    <w:rsid w:val="004302A2"/>
    <w:rsid w:val="0043054B"/>
    <w:rsid w:val="00430AC4"/>
    <w:rsid w:val="00430B6C"/>
    <w:rsid w:val="00430D2F"/>
    <w:rsid w:val="00430E15"/>
    <w:rsid w:val="004312EA"/>
    <w:rsid w:val="0043156E"/>
    <w:rsid w:val="00431C64"/>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5E76"/>
    <w:rsid w:val="00486464"/>
    <w:rsid w:val="004867A9"/>
    <w:rsid w:val="00486F88"/>
    <w:rsid w:val="00487020"/>
    <w:rsid w:val="00490028"/>
    <w:rsid w:val="00490E70"/>
    <w:rsid w:val="004912FE"/>
    <w:rsid w:val="00491AFF"/>
    <w:rsid w:val="00491C21"/>
    <w:rsid w:val="00491CC9"/>
    <w:rsid w:val="00492003"/>
    <w:rsid w:val="004921BB"/>
    <w:rsid w:val="0049276E"/>
    <w:rsid w:val="00492E9B"/>
    <w:rsid w:val="0049363C"/>
    <w:rsid w:val="004946A4"/>
    <w:rsid w:val="00494FF7"/>
    <w:rsid w:val="00495396"/>
    <w:rsid w:val="004954CA"/>
    <w:rsid w:val="00495C89"/>
    <w:rsid w:val="004962B1"/>
    <w:rsid w:val="0049674A"/>
    <w:rsid w:val="004967A4"/>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BBE"/>
    <w:rsid w:val="004A4EE0"/>
    <w:rsid w:val="004A5807"/>
    <w:rsid w:val="004A59E8"/>
    <w:rsid w:val="004A5D42"/>
    <w:rsid w:val="004A6222"/>
    <w:rsid w:val="004A69BC"/>
    <w:rsid w:val="004A7382"/>
    <w:rsid w:val="004A76D6"/>
    <w:rsid w:val="004A7723"/>
    <w:rsid w:val="004A778B"/>
    <w:rsid w:val="004A7BD9"/>
    <w:rsid w:val="004B038D"/>
    <w:rsid w:val="004B04E6"/>
    <w:rsid w:val="004B18A0"/>
    <w:rsid w:val="004B1AB9"/>
    <w:rsid w:val="004B2291"/>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C7F64"/>
    <w:rsid w:val="004D0964"/>
    <w:rsid w:val="004D0F7A"/>
    <w:rsid w:val="004D0FCB"/>
    <w:rsid w:val="004D13A8"/>
    <w:rsid w:val="004D150D"/>
    <w:rsid w:val="004D16AA"/>
    <w:rsid w:val="004D1AA7"/>
    <w:rsid w:val="004D245C"/>
    <w:rsid w:val="004D2CC1"/>
    <w:rsid w:val="004D312F"/>
    <w:rsid w:val="004D3130"/>
    <w:rsid w:val="004D490A"/>
    <w:rsid w:val="004D54DA"/>
    <w:rsid w:val="004D563A"/>
    <w:rsid w:val="004D5A6C"/>
    <w:rsid w:val="004D66A0"/>
    <w:rsid w:val="004D683D"/>
    <w:rsid w:val="004D6ED9"/>
    <w:rsid w:val="004D72B6"/>
    <w:rsid w:val="004D79D4"/>
    <w:rsid w:val="004D7A65"/>
    <w:rsid w:val="004D7B7A"/>
    <w:rsid w:val="004E035C"/>
    <w:rsid w:val="004E07EA"/>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0A88"/>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17AE"/>
    <w:rsid w:val="00512C79"/>
    <w:rsid w:val="00512E9C"/>
    <w:rsid w:val="005139D1"/>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7E3"/>
    <w:rsid w:val="00530872"/>
    <w:rsid w:val="00531B27"/>
    <w:rsid w:val="005320DC"/>
    <w:rsid w:val="00532102"/>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9FD"/>
    <w:rsid w:val="00552E9F"/>
    <w:rsid w:val="0055329E"/>
    <w:rsid w:val="00553BAF"/>
    <w:rsid w:val="00554605"/>
    <w:rsid w:val="00554B17"/>
    <w:rsid w:val="005564EF"/>
    <w:rsid w:val="00556E1A"/>
    <w:rsid w:val="00556F9A"/>
    <w:rsid w:val="00557972"/>
    <w:rsid w:val="00557B48"/>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AAE"/>
    <w:rsid w:val="005F7E19"/>
    <w:rsid w:val="005F7EB3"/>
    <w:rsid w:val="006007E7"/>
    <w:rsid w:val="00600AB1"/>
    <w:rsid w:val="006010B2"/>
    <w:rsid w:val="006015B7"/>
    <w:rsid w:val="00601DC1"/>
    <w:rsid w:val="00602D2E"/>
    <w:rsid w:val="0060368C"/>
    <w:rsid w:val="006040FE"/>
    <w:rsid w:val="0060466E"/>
    <w:rsid w:val="00604E6F"/>
    <w:rsid w:val="006050DD"/>
    <w:rsid w:val="0060592C"/>
    <w:rsid w:val="00605932"/>
    <w:rsid w:val="00605E4C"/>
    <w:rsid w:val="0060667F"/>
    <w:rsid w:val="006073E3"/>
    <w:rsid w:val="0060773A"/>
    <w:rsid w:val="00607984"/>
    <w:rsid w:val="00607BC5"/>
    <w:rsid w:val="0061050D"/>
    <w:rsid w:val="006109BA"/>
    <w:rsid w:val="00610F95"/>
    <w:rsid w:val="006111EA"/>
    <w:rsid w:val="00611297"/>
    <w:rsid w:val="00611BD6"/>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15"/>
    <w:rsid w:val="006460F2"/>
    <w:rsid w:val="006464A8"/>
    <w:rsid w:val="00646E32"/>
    <w:rsid w:val="006477C4"/>
    <w:rsid w:val="00647A43"/>
    <w:rsid w:val="00647BCD"/>
    <w:rsid w:val="006502F2"/>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51A"/>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2C9F"/>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6CAE"/>
    <w:rsid w:val="006F747D"/>
    <w:rsid w:val="006F7533"/>
    <w:rsid w:val="006F7743"/>
    <w:rsid w:val="00700B80"/>
    <w:rsid w:val="00700C21"/>
    <w:rsid w:val="00700C33"/>
    <w:rsid w:val="00701275"/>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887"/>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4E7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D"/>
    <w:rsid w:val="0073696F"/>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34"/>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65D"/>
    <w:rsid w:val="007668B0"/>
    <w:rsid w:val="00767769"/>
    <w:rsid w:val="00767A91"/>
    <w:rsid w:val="00767B16"/>
    <w:rsid w:val="00767D4C"/>
    <w:rsid w:val="00770C37"/>
    <w:rsid w:val="00771B06"/>
    <w:rsid w:val="00771E72"/>
    <w:rsid w:val="0077243B"/>
    <w:rsid w:val="0077261A"/>
    <w:rsid w:val="00772CE1"/>
    <w:rsid w:val="00773045"/>
    <w:rsid w:val="007731D4"/>
    <w:rsid w:val="007732A3"/>
    <w:rsid w:val="00773540"/>
    <w:rsid w:val="00773FF7"/>
    <w:rsid w:val="0077489E"/>
    <w:rsid w:val="00774AAB"/>
    <w:rsid w:val="00774B6C"/>
    <w:rsid w:val="0077554C"/>
    <w:rsid w:val="007755C9"/>
    <w:rsid w:val="00775652"/>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779"/>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C6114"/>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35A"/>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3BA6"/>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AA6"/>
    <w:rsid w:val="00823D8E"/>
    <w:rsid w:val="0082455B"/>
    <w:rsid w:val="00824623"/>
    <w:rsid w:val="008248D3"/>
    <w:rsid w:val="00825272"/>
    <w:rsid w:val="00825B71"/>
    <w:rsid w:val="00825BB7"/>
    <w:rsid w:val="00825CC6"/>
    <w:rsid w:val="00826892"/>
    <w:rsid w:val="00827B80"/>
    <w:rsid w:val="008305CB"/>
    <w:rsid w:val="008307A9"/>
    <w:rsid w:val="00830B70"/>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4C5"/>
    <w:rsid w:val="008375FB"/>
    <w:rsid w:val="00840351"/>
    <w:rsid w:val="008412AD"/>
    <w:rsid w:val="00841C79"/>
    <w:rsid w:val="00841EF8"/>
    <w:rsid w:val="008427B2"/>
    <w:rsid w:val="00842BE9"/>
    <w:rsid w:val="0084361B"/>
    <w:rsid w:val="008437BB"/>
    <w:rsid w:val="00843903"/>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263"/>
    <w:rsid w:val="00857806"/>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05C7"/>
    <w:rsid w:val="00870ABF"/>
    <w:rsid w:val="008725E9"/>
    <w:rsid w:val="00872D5A"/>
    <w:rsid w:val="00874895"/>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2CE"/>
    <w:rsid w:val="00892939"/>
    <w:rsid w:val="00893258"/>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CC1"/>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7A5"/>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CAD"/>
    <w:rsid w:val="008F1E46"/>
    <w:rsid w:val="008F2543"/>
    <w:rsid w:val="008F2741"/>
    <w:rsid w:val="008F4274"/>
    <w:rsid w:val="008F5C62"/>
    <w:rsid w:val="008F61D4"/>
    <w:rsid w:val="008F6FDB"/>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26ED"/>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05CE"/>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3F22"/>
    <w:rsid w:val="00994869"/>
    <w:rsid w:val="009948FD"/>
    <w:rsid w:val="00994D25"/>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6ED"/>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365"/>
    <w:rsid w:val="009D1587"/>
    <w:rsid w:val="009D1932"/>
    <w:rsid w:val="009D1E35"/>
    <w:rsid w:val="009D1F35"/>
    <w:rsid w:val="009D241C"/>
    <w:rsid w:val="009D2DA9"/>
    <w:rsid w:val="009D4CBD"/>
    <w:rsid w:val="009D70A8"/>
    <w:rsid w:val="009D76F7"/>
    <w:rsid w:val="009D7895"/>
    <w:rsid w:val="009D7CDB"/>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4DC3"/>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1A2"/>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233"/>
    <w:rsid w:val="00A34858"/>
    <w:rsid w:val="00A350B5"/>
    <w:rsid w:val="00A37D0E"/>
    <w:rsid w:val="00A37F7A"/>
    <w:rsid w:val="00A40775"/>
    <w:rsid w:val="00A4090F"/>
    <w:rsid w:val="00A413B5"/>
    <w:rsid w:val="00A41739"/>
    <w:rsid w:val="00A423F4"/>
    <w:rsid w:val="00A42A0B"/>
    <w:rsid w:val="00A43CEF"/>
    <w:rsid w:val="00A44704"/>
    <w:rsid w:val="00A45408"/>
    <w:rsid w:val="00A46457"/>
    <w:rsid w:val="00A47694"/>
    <w:rsid w:val="00A47AF9"/>
    <w:rsid w:val="00A5055A"/>
    <w:rsid w:val="00A509D6"/>
    <w:rsid w:val="00A51D76"/>
    <w:rsid w:val="00A51E3A"/>
    <w:rsid w:val="00A532DF"/>
    <w:rsid w:val="00A53616"/>
    <w:rsid w:val="00A53995"/>
    <w:rsid w:val="00A54DC9"/>
    <w:rsid w:val="00A5508F"/>
    <w:rsid w:val="00A55417"/>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369"/>
    <w:rsid w:val="00A655BC"/>
    <w:rsid w:val="00A65DAA"/>
    <w:rsid w:val="00A6698B"/>
    <w:rsid w:val="00A669DA"/>
    <w:rsid w:val="00A66A00"/>
    <w:rsid w:val="00A66C4C"/>
    <w:rsid w:val="00A66C78"/>
    <w:rsid w:val="00A670FF"/>
    <w:rsid w:val="00A67243"/>
    <w:rsid w:val="00A675CB"/>
    <w:rsid w:val="00A6768B"/>
    <w:rsid w:val="00A7029B"/>
    <w:rsid w:val="00A704DF"/>
    <w:rsid w:val="00A70D62"/>
    <w:rsid w:val="00A70EB7"/>
    <w:rsid w:val="00A7100E"/>
    <w:rsid w:val="00A718A6"/>
    <w:rsid w:val="00A71D02"/>
    <w:rsid w:val="00A725F3"/>
    <w:rsid w:val="00A7316E"/>
    <w:rsid w:val="00A7326D"/>
    <w:rsid w:val="00A73F84"/>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6B66"/>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1CD7"/>
    <w:rsid w:val="00AD270E"/>
    <w:rsid w:val="00AD2719"/>
    <w:rsid w:val="00AD45E3"/>
    <w:rsid w:val="00AD540D"/>
    <w:rsid w:val="00AD574F"/>
    <w:rsid w:val="00AD5E5C"/>
    <w:rsid w:val="00AD5F5E"/>
    <w:rsid w:val="00AD622A"/>
    <w:rsid w:val="00AD6F67"/>
    <w:rsid w:val="00AD75BE"/>
    <w:rsid w:val="00AD7FDA"/>
    <w:rsid w:val="00AE040F"/>
    <w:rsid w:val="00AE12CC"/>
    <w:rsid w:val="00AE1D5A"/>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6AF1"/>
    <w:rsid w:val="00B07442"/>
    <w:rsid w:val="00B07961"/>
    <w:rsid w:val="00B07A2B"/>
    <w:rsid w:val="00B0D702"/>
    <w:rsid w:val="00B103EA"/>
    <w:rsid w:val="00B112CA"/>
    <w:rsid w:val="00B115F7"/>
    <w:rsid w:val="00B116EE"/>
    <w:rsid w:val="00B116FC"/>
    <w:rsid w:val="00B1176D"/>
    <w:rsid w:val="00B11F04"/>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5B28"/>
    <w:rsid w:val="00B36AD4"/>
    <w:rsid w:val="00B3719D"/>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37C"/>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77EEC"/>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6ACE"/>
    <w:rsid w:val="00B96D5E"/>
    <w:rsid w:val="00B97075"/>
    <w:rsid w:val="00B9789E"/>
    <w:rsid w:val="00B97A46"/>
    <w:rsid w:val="00BA01DA"/>
    <w:rsid w:val="00BA02E0"/>
    <w:rsid w:val="00BA0508"/>
    <w:rsid w:val="00BA05C8"/>
    <w:rsid w:val="00BA0C60"/>
    <w:rsid w:val="00BA1197"/>
    <w:rsid w:val="00BA22AE"/>
    <w:rsid w:val="00BA2A96"/>
    <w:rsid w:val="00BA2BE9"/>
    <w:rsid w:val="00BA3842"/>
    <w:rsid w:val="00BA3EA0"/>
    <w:rsid w:val="00BA4418"/>
    <w:rsid w:val="00BA4C8B"/>
    <w:rsid w:val="00BA4FB9"/>
    <w:rsid w:val="00BA50AA"/>
    <w:rsid w:val="00BA51C5"/>
    <w:rsid w:val="00BA59F2"/>
    <w:rsid w:val="00BA625F"/>
    <w:rsid w:val="00BA6994"/>
    <w:rsid w:val="00BA7263"/>
    <w:rsid w:val="00BA7B72"/>
    <w:rsid w:val="00BA7B73"/>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5B48"/>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665"/>
    <w:rsid w:val="00BE49AC"/>
    <w:rsid w:val="00BE4DEC"/>
    <w:rsid w:val="00BE4FF3"/>
    <w:rsid w:val="00BE56B8"/>
    <w:rsid w:val="00BE57EA"/>
    <w:rsid w:val="00BE5A7A"/>
    <w:rsid w:val="00BE5BED"/>
    <w:rsid w:val="00BE6112"/>
    <w:rsid w:val="00BE620B"/>
    <w:rsid w:val="00BE6801"/>
    <w:rsid w:val="00BE6D94"/>
    <w:rsid w:val="00BE7058"/>
    <w:rsid w:val="00BE75DA"/>
    <w:rsid w:val="00BE7647"/>
    <w:rsid w:val="00BE76E0"/>
    <w:rsid w:val="00BF0320"/>
    <w:rsid w:val="00BF0FEB"/>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631"/>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853"/>
    <w:rsid w:val="00C27BDA"/>
    <w:rsid w:val="00C27D37"/>
    <w:rsid w:val="00C317CB"/>
    <w:rsid w:val="00C31B45"/>
    <w:rsid w:val="00C321E9"/>
    <w:rsid w:val="00C33DBB"/>
    <w:rsid w:val="00C34CC7"/>
    <w:rsid w:val="00C3550F"/>
    <w:rsid w:val="00C35DC0"/>
    <w:rsid w:val="00C3652E"/>
    <w:rsid w:val="00C366F3"/>
    <w:rsid w:val="00C377FA"/>
    <w:rsid w:val="00C37970"/>
    <w:rsid w:val="00C40225"/>
    <w:rsid w:val="00C403FE"/>
    <w:rsid w:val="00C404BF"/>
    <w:rsid w:val="00C40562"/>
    <w:rsid w:val="00C406C2"/>
    <w:rsid w:val="00C40E5E"/>
    <w:rsid w:val="00C41886"/>
    <w:rsid w:val="00C41BA6"/>
    <w:rsid w:val="00C42014"/>
    <w:rsid w:val="00C43C4A"/>
    <w:rsid w:val="00C4504C"/>
    <w:rsid w:val="00C45476"/>
    <w:rsid w:val="00C45568"/>
    <w:rsid w:val="00C46210"/>
    <w:rsid w:val="00C46432"/>
    <w:rsid w:val="00C46571"/>
    <w:rsid w:val="00C47D44"/>
    <w:rsid w:val="00C50E85"/>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3F47"/>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5F5"/>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174"/>
    <w:rsid w:val="00CC02F1"/>
    <w:rsid w:val="00CC165F"/>
    <w:rsid w:val="00CC170C"/>
    <w:rsid w:val="00CC1FB9"/>
    <w:rsid w:val="00CC23E6"/>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2F10"/>
    <w:rsid w:val="00CD30C8"/>
    <w:rsid w:val="00CD352C"/>
    <w:rsid w:val="00CD3A7B"/>
    <w:rsid w:val="00CD3BD9"/>
    <w:rsid w:val="00CD3E30"/>
    <w:rsid w:val="00CD4656"/>
    <w:rsid w:val="00CD4CC4"/>
    <w:rsid w:val="00CD53A1"/>
    <w:rsid w:val="00CD5632"/>
    <w:rsid w:val="00CD7AEC"/>
    <w:rsid w:val="00CD7C62"/>
    <w:rsid w:val="00CE01EE"/>
    <w:rsid w:val="00CE029A"/>
    <w:rsid w:val="00CE04F2"/>
    <w:rsid w:val="00CE0D88"/>
    <w:rsid w:val="00CE10AD"/>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86A"/>
    <w:rsid w:val="00CF5D3C"/>
    <w:rsid w:val="00CF5FE1"/>
    <w:rsid w:val="00CF61AE"/>
    <w:rsid w:val="00CF6347"/>
    <w:rsid w:val="00CF6DDE"/>
    <w:rsid w:val="00CF7017"/>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87"/>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40FA"/>
    <w:rsid w:val="00D14E4C"/>
    <w:rsid w:val="00D1524C"/>
    <w:rsid w:val="00D15459"/>
    <w:rsid w:val="00D15819"/>
    <w:rsid w:val="00D16187"/>
    <w:rsid w:val="00D167C7"/>
    <w:rsid w:val="00D169FB"/>
    <w:rsid w:val="00D16EB0"/>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44E"/>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47F8E"/>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CD"/>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6C92"/>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77F00"/>
    <w:rsid w:val="00D800BC"/>
    <w:rsid w:val="00D80A8E"/>
    <w:rsid w:val="00D80D6C"/>
    <w:rsid w:val="00D80F58"/>
    <w:rsid w:val="00D8177B"/>
    <w:rsid w:val="00D81A19"/>
    <w:rsid w:val="00D81BE7"/>
    <w:rsid w:val="00D8272D"/>
    <w:rsid w:val="00D82801"/>
    <w:rsid w:val="00D8425E"/>
    <w:rsid w:val="00D84A4F"/>
    <w:rsid w:val="00D84ECE"/>
    <w:rsid w:val="00D85B6F"/>
    <w:rsid w:val="00D85E6F"/>
    <w:rsid w:val="00D86070"/>
    <w:rsid w:val="00D86F77"/>
    <w:rsid w:val="00D87B19"/>
    <w:rsid w:val="00D87FA6"/>
    <w:rsid w:val="00D904C5"/>
    <w:rsid w:val="00D90D21"/>
    <w:rsid w:val="00D917AE"/>
    <w:rsid w:val="00D91919"/>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1D23"/>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089"/>
    <w:rsid w:val="00DB3189"/>
    <w:rsid w:val="00DB3CC2"/>
    <w:rsid w:val="00DB414B"/>
    <w:rsid w:val="00DB4965"/>
    <w:rsid w:val="00DB539D"/>
    <w:rsid w:val="00DB5957"/>
    <w:rsid w:val="00DB5E34"/>
    <w:rsid w:val="00DB5F42"/>
    <w:rsid w:val="00DB677A"/>
    <w:rsid w:val="00DB6945"/>
    <w:rsid w:val="00DB6D8F"/>
    <w:rsid w:val="00DB6DAD"/>
    <w:rsid w:val="00DB6FAB"/>
    <w:rsid w:val="00DC0229"/>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00D"/>
    <w:rsid w:val="00DC747C"/>
    <w:rsid w:val="00DD015E"/>
    <w:rsid w:val="00DD14AA"/>
    <w:rsid w:val="00DD160C"/>
    <w:rsid w:val="00DD19C6"/>
    <w:rsid w:val="00DD2205"/>
    <w:rsid w:val="00DD242C"/>
    <w:rsid w:val="00DD25D9"/>
    <w:rsid w:val="00DD28FD"/>
    <w:rsid w:val="00DD33B5"/>
    <w:rsid w:val="00DD36BC"/>
    <w:rsid w:val="00DD3D72"/>
    <w:rsid w:val="00DD44B1"/>
    <w:rsid w:val="00DD4744"/>
    <w:rsid w:val="00DD4BF9"/>
    <w:rsid w:val="00DD52B9"/>
    <w:rsid w:val="00DD5C58"/>
    <w:rsid w:val="00DD7008"/>
    <w:rsid w:val="00DD72E8"/>
    <w:rsid w:val="00DD77F7"/>
    <w:rsid w:val="00DD7825"/>
    <w:rsid w:val="00DE09A9"/>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DA3"/>
    <w:rsid w:val="00E06E5A"/>
    <w:rsid w:val="00E070F8"/>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5C4"/>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3E29"/>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2F7"/>
    <w:rsid w:val="00E93F2B"/>
    <w:rsid w:val="00E94933"/>
    <w:rsid w:val="00E953D4"/>
    <w:rsid w:val="00E95CAE"/>
    <w:rsid w:val="00E961F9"/>
    <w:rsid w:val="00E968E7"/>
    <w:rsid w:val="00E96FA0"/>
    <w:rsid w:val="00E97176"/>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2F00"/>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F12"/>
    <w:rsid w:val="00EB30D1"/>
    <w:rsid w:val="00EB32EC"/>
    <w:rsid w:val="00EB351B"/>
    <w:rsid w:val="00EB384A"/>
    <w:rsid w:val="00EB3F45"/>
    <w:rsid w:val="00EB4066"/>
    <w:rsid w:val="00EB407A"/>
    <w:rsid w:val="00EB46F3"/>
    <w:rsid w:val="00EB4709"/>
    <w:rsid w:val="00EB49C3"/>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6DF5"/>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6B63"/>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058"/>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3D9B"/>
    <w:rsid w:val="00F143F9"/>
    <w:rsid w:val="00F147BD"/>
    <w:rsid w:val="00F14915"/>
    <w:rsid w:val="00F14A27"/>
    <w:rsid w:val="00F14D6A"/>
    <w:rsid w:val="00F151BA"/>
    <w:rsid w:val="00F15655"/>
    <w:rsid w:val="00F15E3D"/>
    <w:rsid w:val="00F1702B"/>
    <w:rsid w:val="00F170BD"/>
    <w:rsid w:val="00F174B0"/>
    <w:rsid w:val="00F17581"/>
    <w:rsid w:val="00F21ECC"/>
    <w:rsid w:val="00F222AD"/>
    <w:rsid w:val="00F222DB"/>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D74"/>
    <w:rsid w:val="00F42417"/>
    <w:rsid w:val="00F43047"/>
    <w:rsid w:val="00F433C9"/>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08A7"/>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1F0D"/>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2D32"/>
    <w:rsid w:val="00FB36D6"/>
    <w:rsid w:val="00FB3CCD"/>
    <w:rsid w:val="00FB48C5"/>
    <w:rsid w:val="00FB49FA"/>
    <w:rsid w:val="00FB4C96"/>
    <w:rsid w:val="00FB55F3"/>
    <w:rsid w:val="00FB56BB"/>
    <w:rsid w:val="00FB670E"/>
    <w:rsid w:val="00FB67A9"/>
    <w:rsid w:val="00FB688D"/>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207"/>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137B631"/>
    <w:rsid w:val="0159BB65"/>
    <w:rsid w:val="019B8684"/>
    <w:rsid w:val="0202CF4A"/>
    <w:rsid w:val="020A03E9"/>
    <w:rsid w:val="02361981"/>
    <w:rsid w:val="02577615"/>
    <w:rsid w:val="0274466C"/>
    <w:rsid w:val="02989EB4"/>
    <w:rsid w:val="02A6D709"/>
    <w:rsid w:val="02A7A720"/>
    <w:rsid w:val="02A7AEE0"/>
    <w:rsid w:val="02CBF29B"/>
    <w:rsid w:val="02EA5FB4"/>
    <w:rsid w:val="031F1DF3"/>
    <w:rsid w:val="032B94A4"/>
    <w:rsid w:val="03D7D7B5"/>
    <w:rsid w:val="03DDCAB2"/>
    <w:rsid w:val="03E6ABF0"/>
    <w:rsid w:val="03FAACBC"/>
    <w:rsid w:val="0412E7A4"/>
    <w:rsid w:val="0414110D"/>
    <w:rsid w:val="04863015"/>
    <w:rsid w:val="049DFE79"/>
    <w:rsid w:val="04DD4E5B"/>
    <w:rsid w:val="0509C40D"/>
    <w:rsid w:val="051A4F5A"/>
    <w:rsid w:val="0530B71F"/>
    <w:rsid w:val="053B625C"/>
    <w:rsid w:val="05444EAC"/>
    <w:rsid w:val="05C54F6E"/>
    <w:rsid w:val="05D29780"/>
    <w:rsid w:val="060CFFCB"/>
    <w:rsid w:val="06179A5A"/>
    <w:rsid w:val="0655FD81"/>
    <w:rsid w:val="069AA775"/>
    <w:rsid w:val="071F6639"/>
    <w:rsid w:val="073FCB34"/>
    <w:rsid w:val="078E1D94"/>
    <w:rsid w:val="07DEC5E8"/>
    <w:rsid w:val="07F28F16"/>
    <w:rsid w:val="082B1337"/>
    <w:rsid w:val="08562E7E"/>
    <w:rsid w:val="085C6520"/>
    <w:rsid w:val="08CC2786"/>
    <w:rsid w:val="0929EDF5"/>
    <w:rsid w:val="09407D66"/>
    <w:rsid w:val="0955E7A7"/>
    <w:rsid w:val="098E5F77"/>
    <w:rsid w:val="0A01154E"/>
    <w:rsid w:val="0A0AF2EF"/>
    <w:rsid w:val="0A2892CB"/>
    <w:rsid w:val="0A4FC718"/>
    <w:rsid w:val="0A7A321C"/>
    <w:rsid w:val="0A8B3252"/>
    <w:rsid w:val="0AC1B30F"/>
    <w:rsid w:val="0AD6A2D1"/>
    <w:rsid w:val="0AF57199"/>
    <w:rsid w:val="0AFC2AF9"/>
    <w:rsid w:val="0B18E96E"/>
    <w:rsid w:val="0B463318"/>
    <w:rsid w:val="0B62B3F9"/>
    <w:rsid w:val="0BA86EC2"/>
    <w:rsid w:val="0C1ABF91"/>
    <w:rsid w:val="0D25DCDF"/>
    <w:rsid w:val="0D2A9467"/>
    <w:rsid w:val="0D68F9D1"/>
    <w:rsid w:val="0D8504ED"/>
    <w:rsid w:val="0DD26567"/>
    <w:rsid w:val="0E00363F"/>
    <w:rsid w:val="0E508A30"/>
    <w:rsid w:val="0E782D89"/>
    <w:rsid w:val="0E9EF3CE"/>
    <w:rsid w:val="0F1D7C9E"/>
    <w:rsid w:val="0F6A8FB6"/>
    <w:rsid w:val="0F7B329B"/>
    <w:rsid w:val="0F9AD453"/>
    <w:rsid w:val="0FE4789E"/>
    <w:rsid w:val="104A86A7"/>
    <w:rsid w:val="106124AB"/>
    <w:rsid w:val="10670808"/>
    <w:rsid w:val="107112DB"/>
    <w:rsid w:val="107CD666"/>
    <w:rsid w:val="10C3A303"/>
    <w:rsid w:val="10D73786"/>
    <w:rsid w:val="10FD8EE6"/>
    <w:rsid w:val="1129B29D"/>
    <w:rsid w:val="1172FA7F"/>
    <w:rsid w:val="11793121"/>
    <w:rsid w:val="11AEDD10"/>
    <w:rsid w:val="128DE524"/>
    <w:rsid w:val="12A5950F"/>
    <w:rsid w:val="13616B7F"/>
    <w:rsid w:val="1367D5A3"/>
    <w:rsid w:val="139A584A"/>
    <w:rsid w:val="13B93C85"/>
    <w:rsid w:val="141BE70B"/>
    <w:rsid w:val="1427CBEE"/>
    <w:rsid w:val="143A021E"/>
    <w:rsid w:val="1472C3A8"/>
    <w:rsid w:val="152AD28C"/>
    <w:rsid w:val="1548DC0E"/>
    <w:rsid w:val="154F8A79"/>
    <w:rsid w:val="15940F88"/>
    <w:rsid w:val="15AB9142"/>
    <w:rsid w:val="15D5D27F"/>
    <w:rsid w:val="15E430D5"/>
    <w:rsid w:val="15F56BAC"/>
    <w:rsid w:val="164456C9"/>
    <w:rsid w:val="1653BA22"/>
    <w:rsid w:val="167D55B9"/>
    <w:rsid w:val="167ED3A9"/>
    <w:rsid w:val="16CB00D0"/>
    <w:rsid w:val="16CF362B"/>
    <w:rsid w:val="16D8247E"/>
    <w:rsid w:val="16E92E9F"/>
    <w:rsid w:val="17338A00"/>
    <w:rsid w:val="1771A2E0"/>
    <w:rsid w:val="17A29C71"/>
    <w:rsid w:val="17AC2EE4"/>
    <w:rsid w:val="17E13D71"/>
    <w:rsid w:val="180087F1"/>
    <w:rsid w:val="181AB6B4"/>
    <w:rsid w:val="183708AE"/>
    <w:rsid w:val="18634E4B"/>
    <w:rsid w:val="1873EF70"/>
    <w:rsid w:val="189AF5B2"/>
    <w:rsid w:val="18D20807"/>
    <w:rsid w:val="18F339DC"/>
    <w:rsid w:val="190D7341"/>
    <w:rsid w:val="194081B6"/>
    <w:rsid w:val="1946C022"/>
    <w:rsid w:val="19C6DAE7"/>
    <w:rsid w:val="1A0999CE"/>
    <w:rsid w:val="1A32958F"/>
    <w:rsid w:val="1A4A5F98"/>
    <w:rsid w:val="1A6DA4A4"/>
    <w:rsid w:val="1A6F392E"/>
    <w:rsid w:val="1A86FFCA"/>
    <w:rsid w:val="1AE29B13"/>
    <w:rsid w:val="1AEF570A"/>
    <w:rsid w:val="1B17982E"/>
    <w:rsid w:val="1B59BF2B"/>
    <w:rsid w:val="1B72E788"/>
    <w:rsid w:val="1B86ECC8"/>
    <w:rsid w:val="1B8B418A"/>
    <w:rsid w:val="1BA56A2F"/>
    <w:rsid w:val="1BBD121B"/>
    <w:rsid w:val="1BC46B4A"/>
    <w:rsid w:val="1C236F9D"/>
    <w:rsid w:val="1C334EF8"/>
    <w:rsid w:val="1C424825"/>
    <w:rsid w:val="1C993CB6"/>
    <w:rsid w:val="1CC0F7E1"/>
    <w:rsid w:val="1CDE231C"/>
    <w:rsid w:val="1CF7931A"/>
    <w:rsid w:val="1D1A2A27"/>
    <w:rsid w:val="1D286341"/>
    <w:rsid w:val="1D524D17"/>
    <w:rsid w:val="1D56CB42"/>
    <w:rsid w:val="1D84E5D2"/>
    <w:rsid w:val="1D989376"/>
    <w:rsid w:val="1DA3E6CA"/>
    <w:rsid w:val="1DAB520F"/>
    <w:rsid w:val="1DE175ED"/>
    <w:rsid w:val="1E085F0A"/>
    <w:rsid w:val="1E1B092F"/>
    <w:rsid w:val="1E1B85AF"/>
    <w:rsid w:val="1E650E9E"/>
    <w:rsid w:val="1E7BB5B6"/>
    <w:rsid w:val="1E86FE24"/>
    <w:rsid w:val="1E8BCB7C"/>
    <w:rsid w:val="1EB17676"/>
    <w:rsid w:val="1EB90057"/>
    <w:rsid w:val="1EE47618"/>
    <w:rsid w:val="1EE940C0"/>
    <w:rsid w:val="1EEE1D78"/>
    <w:rsid w:val="1F08754E"/>
    <w:rsid w:val="1F283E86"/>
    <w:rsid w:val="1F742572"/>
    <w:rsid w:val="1F87CDE1"/>
    <w:rsid w:val="1F8D5833"/>
    <w:rsid w:val="1FA42F6B"/>
    <w:rsid w:val="20C38232"/>
    <w:rsid w:val="20D1DA20"/>
    <w:rsid w:val="20DD19EC"/>
    <w:rsid w:val="20EF890B"/>
    <w:rsid w:val="20F619F2"/>
    <w:rsid w:val="21400BD9"/>
    <w:rsid w:val="21494FDB"/>
    <w:rsid w:val="2176F2BF"/>
    <w:rsid w:val="2186C237"/>
    <w:rsid w:val="219F765D"/>
    <w:rsid w:val="21CB043D"/>
    <w:rsid w:val="221AA66F"/>
    <w:rsid w:val="2231F6E6"/>
    <w:rsid w:val="226E99DA"/>
    <w:rsid w:val="229E9979"/>
    <w:rsid w:val="22A35C23"/>
    <w:rsid w:val="22A6C947"/>
    <w:rsid w:val="22CAA163"/>
    <w:rsid w:val="22D0AE17"/>
    <w:rsid w:val="22F6CA62"/>
    <w:rsid w:val="23363FB4"/>
    <w:rsid w:val="23625CCD"/>
    <w:rsid w:val="237D2B12"/>
    <w:rsid w:val="238C93E6"/>
    <w:rsid w:val="23A98D9F"/>
    <w:rsid w:val="2402D234"/>
    <w:rsid w:val="244154A9"/>
    <w:rsid w:val="247261F0"/>
    <w:rsid w:val="24C03371"/>
    <w:rsid w:val="24D55D07"/>
    <w:rsid w:val="24D9C4FE"/>
    <w:rsid w:val="24E02969"/>
    <w:rsid w:val="25FD9A8B"/>
    <w:rsid w:val="269018D7"/>
    <w:rsid w:val="26A2BBA2"/>
    <w:rsid w:val="26D5BC44"/>
    <w:rsid w:val="27C8B80C"/>
    <w:rsid w:val="27F4CCE9"/>
    <w:rsid w:val="28001EF6"/>
    <w:rsid w:val="286BD47E"/>
    <w:rsid w:val="2880FDBB"/>
    <w:rsid w:val="28CCA087"/>
    <w:rsid w:val="29D8F180"/>
    <w:rsid w:val="29FDE70F"/>
    <w:rsid w:val="2A28EDEC"/>
    <w:rsid w:val="2A3B14F4"/>
    <w:rsid w:val="2A5F9409"/>
    <w:rsid w:val="2ACDC5C2"/>
    <w:rsid w:val="2AD5746A"/>
    <w:rsid w:val="2AEF070C"/>
    <w:rsid w:val="2B0B3DBE"/>
    <w:rsid w:val="2B209B97"/>
    <w:rsid w:val="2BD170EB"/>
    <w:rsid w:val="2BF837FE"/>
    <w:rsid w:val="2C044149"/>
    <w:rsid w:val="2C2E16C8"/>
    <w:rsid w:val="2CD0A367"/>
    <w:rsid w:val="2CF18030"/>
    <w:rsid w:val="2D18BEBA"/>
    <w:rsid w:val="2D4A7403"/>
    <w:rsid w:val="2D4B3D3D"/>
    <w:rsid w:val="2D5853A4"/>
    <w:rsid w:val="2D715BC2"/>
    <w:rsid w:val="2DC5F93E"/>
    <w:rsid w:val="2E1F839B"/>
    <w:rsid w:val="2E7085DF"/>
    <w:rsid w:val="2EAF5EEC"/>
    <w:rsid w:val="2ECBA5B0"/>
    <w:rsid w:val="2EE64464"/>
    <w:rsid w:val="2F029C55"/>
    <w:rsid w:val="2F98BD8B"/>
    <w:rsid w:val="2FB5C671"/>
    <w:rsid w:val="2FEE3FEC"/>
    <w:rsid w:val="302056E9"/>
    <w:rsid w:val="304861BA"/>
    <w:rsid w:val="30564459"/>
    <w:rsid w:val="305BAE1A"/>
    <w:rsid w:val="3068814D"/>
    <w:rsid w:val="3074D677"/>
    <w:rsid w:val="30752117"/>
    <w:rsid w:val="3075BF7D"/>
    <w:rsid w:val="307BD17B"/>
    <w:rsid w:val="3098C47B"/>
    <w:rsid w:val="30F5529A"/>
    <w:rsid w:val="310EB212"/>
    <w:rsid w:val="3185C5A4"/>
    <w:rsid w:val="3192E434"/>
    <w:rsid w:val="31E5EA6B"/>
    <w:rsid w:val="32064C81"/>
    <w:rsid w:val="3217A1DC"/>
    <w:rsid w:val="3218E031"/>
    <w:rsid w:val="3218F55E"/>
    <w:rsid w:val="323A3D17"/>
    <w:rsid w:val="323BED57"/>
    <w:rsid w:val="326C9440"/>
    <w:rsid w:val="328E5112"/>
    <w:rsid w:val="3290E64C"/>
    <w:rsid w:val="32FE71D7"/>
    <w:rsid w:val="3330D470"/>
    <w:rsid w:val="336F166F"/>
    <w:rsid w:val="339610E9"/>
    <w:rsid w:val="344919D1"/>
    <w:rsid w:val="349FDAD3"/>
    <w:rsid w:val="34AD7FDA"/>
    <w:rsid w:val="34C48575"/>
    <w:rsid w:val="34C84AF4"/>
    <w:rsid w:val="34F8935A"/>
    <w:rsid w:val="353048B9"/>
    <w:rsid w:val="3531E14A"/>
    <w:rsid w:val="3548479A"/>
    <w:rsid w:val="357A3129"/>
    <w:rsid w:val="35B888F7"/>
    <w:rsid w:val="35CD09FF"/>
    <w:rsid w:val="35F36409"/>
    <w:rsid w:val="361C5474"/>
    <w:rsid w:val="3622E230"/>
    <w:rsid w:val="3623059E"/>
    <w:rsid w:val="366F871A"/>
    <w:rsid w:val="369609A3"/>
    <w:rsid w:val="36CC191A"/>
    <w:rsid w:val="36D547A9"/>
    <w:rsid w:val="36E91E90"/>
    <w:rsid w:val="379EC62A"/>
    <w:rsid w:val="37C5FC7E"/>
    <w:rsid w:val="37C84EAD"/>
    <w:rsid w:val="37DC98E6"/>
    <w:rsid w:val="38EC7C06"/>
    <w:rsid w:val="3968FCCD"/>
    <w:rsid w:val="39786947"/>
    <w:rsid w:val="3993CEB0"/>
    <w:rsid w:val="39AE027D"/>
    <w:rsid w:val="39F6345B"/>
    <w:rsid w:val="3A36D958"/>
    <w:rsid w:val="3A46FF3C"/>
    <w:rsid w:val="3A9A2A94"/>
    <w:rsid w:val="3B0391A1"/>
    <w:rsid w:val="3B3BE655"/>
    <w:rsid w:val="3BA513D5"/>
    <w:rsid w:val="3BAB4A77"/>
    <w:rsid w:val="3BD7A072"/>
    <w:rsid w:val="3C1260F9"/>
    <w:rsid w:val="3C1A6513"/>
    <w:rsid w:val="3C1F1F5B"/>
    <w:rsid w:val="3C87A773"/>
    <w:rsid w:val="3D3A3122"/>
    <w:rsid w:val="3D41C400"/>
    <w:rsid w:val="3D6038EE"/>
    <w:rsid w:val="3D74216D"/>
    <w:rsid w:val="3D8456DF"/>
    <w:rsid w:val="3DB63574"/>
    <w:rsid w:val="3DD25F81"/>
    <w:rsid w:val="3DFBF121"/>
    <w:rsid w:val="3E10E64D"/>
    <w:rsid w:val="3E4BE9B0"/>
    <w:rsid w:val="3EDA8A72"/>
    <w:rsid w:val="3EEF29E0"/>
    <w:rsid w:val="3F014802"/>
    <w:rsid w:val="3F60A8D4"/>
    <w:rsid w:val="3F7AC7CE"/>
    <w:rsid w:val="3F9D2103"/>
    <w:rsid w:val="3FE689FF"/>
    <w:rsid w:val="4015BDBC"/>
    <w:rsid w:val="4023C38C"/>
    <w:rsid w:val="408C2645"/>
    <w:rsid w:val="40909C44"/>
    <w:rsid w:val="409AB3ED"/>
    <w:rsid w:val="41192B9D"/>
    <w:rsid w:val="4138F164"/>
    <w:rsid w:val="415F8318"/>
    <w:rsid w:val="4180B2C6"/>
    <w:rsid w:val="4185B838"/>
    <w:rsid w:val="418A3C2B"/>
    <w:rsid w:val="418EA875"/>
    <w:rsid w:val="41913C22"/>
    <w:rsid w:val="41AA9061"/>
    <w:rsid w:val="41B57C10"/>
    <w:rsid w:val="41BD0BFC"/>
    <w:rsid w:val="41CB1B77"/>
    <w:rsid w:val="41F73BF5"/>
    <w:rsid w:val="41FF577A"/>
    <w:rsid w:val="421F3D78"/>
    <w:rsid w:val="423E48D8"/>
    <w:rsid w:val="4247E2BD"/>
    <w:rsid w:val="42624C07"/>
    <w:rsid w:val="427B19F9"/>
    <w:rsid w:val="42A307E0"/>
    <w:rsid w:val="42DF844D"/>
    <w:rsid w:val="42F0F8BC"/>
    <w:rsid w:val="431121B9"/>
    <w:rsid w:val="4388F964"/>
    <w:rsid w:val="43ADFB95"/>
    <w:rsid w:val="43B854EA"/>
    <w:rsid w:val="43E3B31E"/>
    <w:rsid w:val="43EDE182"/>
    <w:rsid w:val="4400A7FD"/>
    <w:rsid w:val="4409FD3F"/>
    <w:rsid w:val="44104751"/>
    <w:rsid w:val="4452DEAD"/>
    <w:rsid w:val="44B88580"/>
    <w:rsid w:val="44BCF977"/>
    <w:rsid w:val="44EEE210"/>
    <w:rsid w:val="44F9C69C"/>
    <w:rsid w:val="452D083B"/>
    <w:rsid w:val="457BAE1B"/>
    <w:rsid w:val="45ADAA44"/>
    <w:rsid w:val="45EA5865"/>
    <w:rsid w:val="469596FD"/>
    <w:rsid w:val="46A059C0"/>
    <w:rsid w:val="46E900EE"/>
    <w:rsid w:val="46F2205C"/>
    <w:rsid w:val="473E03C4"/>
    <w:rsid w:val="47697D11"/>
    <w:rsid w:val="4789AB0A"/>
    <w:rsid w:val="47A3AB56"/>
    <w:rsid w:val="47B12901"/>
    <w:rsid w:val="47DE64DD"/>
    <w:rsid w:val="47F942B3"/>
    <w:rsid w:val="4855163B"/>
    <w:rsid w:val="48922D0C"/>
    <w:rsid w:val="489716EF"/>
    <w:rsid w:val="48A84840"/>
    <w:rsid w:val="48CFE33B"/>
    <w:rsid w:val="48F8E81B"/>
    <w:rsid w:val="48FE7352"/>
    <w:rsid w:val="49662A7B"/>
    <w:rsid w:val="498E615E"/>
    <w:rsid w:val="49D201EE"/>
    <w:rsid w:val="49D395D5"/>
    <w:rsid w:val="49DC3DDE"/>
    <w:rsid w:val="49EB5E22"/>
    <w:rsid w:val="4A077953"/>
    <w:rsid w:val="4A171B1F"/>
    <w:rsid w:val="4A389431"/>
    <w:rsid w:val="4A3D2297"/>
    <w:rsid w:val="4A621C9B"/>
    <w:rsid w:val="4A62A716"/>
    <w:rsid w:val="4A88B4F8"/>
    <w:rsid w:val="4AADA632"/>
    <w:rsid w:val="4AAF7850"/>
    <w:rsid w:val="4ACC5024"/>
    <w:rsid w:val="4AF4783C"/>
    <w:rsid w:val="4B8806C4"/>
    <w:rsid w:val="4BCA7999"/>
    <w:rsid w:val="4BDE7ADA"/>
    <w:rsid w:val="4BEDD049"/>
    <w:rsid w:val="4BFE7777"/>
    <w:rsid w:val="4C22C572"/>
    <w:rsid w:val="4C5CCB13"/>
    <w:rsid w:val="4C98950E"/>
    <w:rsid w:val="4CA14DE6"/>
    <w:rsid w:val="4D45DF4E"/>
    <w:rsid w:val="4D4ACEB8"/>
    <w:rsid w:val="4D61AA13"/>
    <w:rsid w:val="4D67E0B5"/>
    <w:rsid w:val="4D692159"/>
    <w:rsid w:val="4DCD8F8E"/>
    <w:rsid w:val="4E124504"/>
    <w:rsid w:val="4E34D4CC"/>
    <w:rsid w:val="4E4A42CC"/>
    <w:rsid w:val="4E4D05AD"/>
    <w:rsid w:val="4E6D7C48"/>
    <w:rsid w:val="4E779906"/>
    <w:rsid w:val="4E885EC1"/>
    <w:rsid w:val="4E9010D4"/>
    <w:rsid w:val="4E985BBC"/>
    <w:rsid w:val="4EDAEA76"/>
    <w:rsid w:val="4F1F5952"/>
    <w:rsid w:val="4F75E567"/>
    <w:rsid w:val="4F9C2041"/>
    <w:rsid w:val="4FC9961E"/>
    <w:rsid w:val="4FDDF3D1"/>
    <w:rsid w:val="4FF482CD"/>
    <w:rsid w:val="502D3591"/>
    <w:rsid w:val="505E5A17"/>
    <w:rsid w:val="507E04C4"/>
    <w:rsid w:val="5081D7F9"/>
    <w:rsid w:val="50CA14D3"/>
    <w:rsid w:val="50CA5433"/>
    <w:rsid w:val="50E23C17"/>
    <w:rsid w:val="5105B81B"/>
    <w:rsid w:val="51070AD4"/>
    <w:rsid w:val="5135ECD1"/>
    <w:rsid w:val="516C068D"/>
    <w:rsid w:val="51713C60"/>
    <w:rsid w:val="5184A66F"/>
    <w:rsid w:val="51A6FF20"/>
    <w:rsid w:val="51C2E846"/>
    <w:rsid w:val="51D0984B"/>
    <w:rsid w:val="51FA2A78"/>
    <w:rsid w:val="52065811"/>
    <w:rsid w:val="5242D821"/>
    <w:rsid w:val="5258404F"/>
    <w:rsid w:val="529BE639"/>
    <w:rsid w:val="52EDF429"/>
    <w:rsid w:val="5308323C"/>
    <w:rsid w:val="53995B96"/>
    <w:rsid w:val="5449568A"/>
    <w:rsid w:val="54933DD2"/>
    <w:rsid w:val="54C57785"/>
    <w:rsid w:val="54C66F7B"/>
    <w:rsid w:val="54D99AFE"/>
    <w:rsid w:val="5542A024"/>
    <w:rsid w:val="55578075"/>
    <w:rsid w:val="5566B20E"/>
    <w:rsid w:val="557D877D"/>
    <w:rsid w:val="55FD6ACF"/>
    <w:rsid w:val="565B1931"/>
    <w:rsid w:val="56887582"/>
    <w:rsid w:val="5698E25F"/>
    <w:rsid w:val="56C2D91F"/>
    <w:rsid w:val="56F33AA9"/>
    <w:rsid w:val="572A05D5"/>
    <w:rsid w:val="5784F21D"/>
    <w:rsid w:val="5796431F"/>
    <w:rsid w:val="57B64CDC"/>
    <w:rsid w:val="57B8CEF8"/>
    <w:rsid w:val="5801C5CB"/>
    <w:rsid w:val="58130B0C"/>
    <w:rsid w:val="58379335"/>
    <w:rsid w:val="5876549B"/>
    <w:rsid w:val="5892E0B3"/>
    <w:rsid w:val="58A1F01D"/>
    <w:rsid w:val="58BB84C4"/>
    <w:rsid w:val="58EFF23A"/>
    <w:rsid w:val="59114ECE"/>
    <w:rsid w:val="591CC7AD"/>
    <w:rsid w:val="59215036"/>
    <w:rsid w:val="59267297"/>
    <w:rsid w:val="59591136"/>
    <w:rsid w:val="595F393B"/>
    <w:rsid w:val="59604194"/>
    <w:rsid w:val="596DC7AB"/>
    <w:rsid w:val="598747D6"/>
    <w:rsid w:val="59956657"/>
    <w:rsid w:val="59E9A67B"/>
    <w:rsid w:val="59EE1E4C"/>
    <w:rsid w:val="5A1AAC8F"/>
    <w:rsid w:val="5A1E12CE"/>
    <w:rsid w:val="5A61F74C"/>
    <w:rsid w:val="5ADAF5B7"/>
    <w:rsid w:val="5ADCE846"/>
    <w:rsid w:val="5ADD696E"/>
    <w:rsid w:val="5B1A0495"/>
    <w:rsid w:val="5B7E1EEA"/>
    <w:rsid w:val="5BCE77F4"/>
    <w:rsid w:val="5BF2B93C"/>
    <w:rsid w:val="5BF92E73"/>
    <w:rsid w:val="5C01F566"/>
    <w:rsid w:val="5C0A73CB"/>
    <w:rsid w:val="5C3E1E06"/>
    <w:rsid w:val="5CB0B0BD"/>
    <w:rsid w:val="5CDCD261"/>
    <w:rsid w:val="5E29146B"/>
    <w:rsid w:val="5E32AA5E"/>
    <w:rsid w:val="5E870B67"/>
    <w:rsid w:val="5E920BB7"/>
    <w:rsid w:val="5EA5546C"/>
    <w:rsid w:val="5EFC8160"/>
    <w:rsid w:val="5F1131A1"/>
    <w:rsid w:val="5F4D351C"/>
    <w:rsid w:val="5F9E18A6"/>
    <w:rsid w:val="5FF01AF0"/>
    <w:rsid w:val="5FF20F81"/>
    <w:rsid w:val="6058E7FF"/>
    <w:rsid w:val="60B4EF88"/>
    <w:rsid w:val="610EB135"/>
    <w:rsid w:val="6134EC0F"/>
    <w:rsid w:val="61761946"/>
    <w:rsid w:val="61C6B904"/>
    <w:rsid w:val="6214F0DA"/>
    <w:rsid w:val="6218D8F9"/>
    <w:rsid w:val="623697EE"/>
    <w:rsid w:val="624DDD0A"/>
    <w:rsid w:val="6268BF60"/>
    <w:rsid w:val="6297A383"/>
    <w:rsid w:val="62E4C8D2"/>
    <w:rsid w:val="63AFC197"/>
    <w:rsid w:val="64279AAC"/>
    <w:rsid w:val="6431C8B4"/>
    <w:rsid w:val="6433A6B5"/>
    <w:rsid w:val="64419320"/>
    <w:rsid w:val="6485C47A"/>
    <w:rsid w:val="6498C517"/>
    <w:rsid w:val="649F19F9"/>
    <w:rsid w:val="64A28048"/>
    <w:rsid w:val="64AE5D01"/>
    <w:rsid w:val="650C2296"/>
    <w:rsid w:val="652C5922"/>
    <w:rsid w:val="6586E70E"/>
    <w:rsid w:val="66361A65"/>
    <w:rsid w:val="665412B7"/>
    <w:rsid w:val="667F5936"/>
    <w:rsid w:val="67011C65"/>
    <w:rsid w:val="67176293"/>
    <w:rsid w:val="6723F22E"/>
    <w:rsid w:val="6724357F"/>
    <w:rsid w:val="6730D312"/>
    <w:rsid w:val="676AAD53"/>
    <w:rsid w:val="67854433"/>
    <w:rsid w:val="67EFE318"/>
    <w:rsid w:val="6815EE3A"/>
    <w:rsid w:val="685138BD"/>
    <w:rsid w:val="685CB418"/>
    <w:rsid w:val="68C52C5E"/>
    <w:rsid w:val="68FA82E5"/>
    <w:rsid w:val="690122FD"/>
    <w:rsid w:val="699CF76A"/>
    <w:rsid w:val="69A80400"/>
    <w:rsid w:val="6A4CE944"/>
    <w:rsid w:val="6A4EB87A"/>
    <w:rsid w:val="6A6CF45B"/>
    <w:rsid w:val="6ABEBF9C"/>
    <w:rsid w:val="6B49259B"/>
    <w:rsid w:val="6B990D75"/>
    <w:rsid w:val="6BCB94BF"/>
    <w:rsid w:val="6BCEFAE5"/>
    <w:rsid w:val="6C044435"/>
    <w:rsid w:val="6C4CA505"/>
    <w:rsid w:val="6C76353C"/>
    <w:rsid w:val="6C8085AF"/>
    <w:rsid w:val="6C8C0841"/>
    <w:rsid w:val="6CAA2BDE"/>
    <w:rsid w:val="6CB41128"/>
    <w:rsid w:val="6CC1F5B1"/>
    <w:rsid w:val="6CC3543B"/>
    <w:rsid w:val="6CD75C31"/>
    <w:rsid w:val="6D0699C1"/>
    <w:rsid w:val="6D5AEE6F"/>
    <w:rsid w:val="6D6EB131"/>
    <w:rsid w:val="6D7D90E6"/>
    <w:rsid w:val="6D860985"/>
    <w:rsid w:val="6D92B1E6"/>
    <w:rsid w:val="6E2D5698"/>
    <w:rsid w:val="6E68DC5B"/>
    <w:rsid w:val="6EBA130B"/>
    <w:rsid w:val="6F033581"/>
    <w:rsid w:val="6FA208BB"/>
    <w:rsid w:val="6FADA911"/>
    <w:rsid w:val="6FD14DD3"/>
    <w:rsid w:val="6FD60C5A"/>
    <w:rsid w:val="6FD98F12"/>
    <w:rsid w:val="7025BA2C"/>
    <w:rsid w:val="703F022A"/>
    <w:rsid w:val="70ADB17D"/>
    <w:rsid w:val="70B53E85"/>
    <w:rsid w:val="70C53498"/>
    <w:rsid w:val="7149A65F"/>
    <w:rsid w:val="71555798"/>
    <w:rsid w:val="717EC67D"/>
    <w:rsid w:val="7180E5B3"/>
    <w:rsid w:val="71C8AEED"/>
    <w:rsid w:val="71F1D67E"/>
    <w:rsid w:val="71FF6F95"/>
    <w:rsid w:val="722A335E"/>
    <w:rsid w:val="72510EE6"/>
    <w:rsid w:val="7292F3C0"/>
    <w:rsid w:val="72E810D0"/>
    <w:rsid w:val="7328B404"/>
    <w:rsid w:val="736CD637"/>
    <w:rsid w:val="737D9358"/>
    <w:rsid w:val="73C70E7B"/>
    <w:rsid w:val="74317B9E"/>
    <w:rsid w:val="7452C7CD"/>
    <w:rsid w:val="7507B1DE"/>
    <w:rsid w:val="751423B1"/>
    <w:rsid w:val="755596C5"/>
    <w:rsid w:val="755B8B9A"/>
    <w:rsid w:val="756BBF08"/>
    <w:rsid w:val="761D1782"/>
    <w:rsid w:val="7628FBD3"/>
    <w:rsid w:val="765C7A3B"/>
    <w:rsid w:val="76B30591"/>
    <w:rsid w:val="76D4A594"/>
    <w:rsid w:val="76FA6D7E"/>
    <w:rsid w:val="76FE188A"/>
    <w:rsid w:val="77003185"/>
    <w:rsid w:val="7701763A"/>
    <w:rsid w:val="775E1C28"/>
    <w:rsid w:val="77B7EEDE"/>
    <w:rsid w:val="77E2BBD9"/>
    <w:rsid w:val="77F3E2FA"/>
    <w:rsid w:val="7814EF6C"/>
    <w:rsid w:val="7856053C"/>
    <w:rsid w:val="78D034FC"/>
    <w:rsid w:val="78FD6689"/>
    <w:rsid w:val="79194D7F"/>
    <w:rsid w:val="79406E1A"/>
    <w:rsid w:val="79437D6D"/>
    <w:rsid w:val="7997D5F3"/>
    <w:rsid w:val="79CD1DC2"/>
    <w:rsid w:val="79FE666A"/>
    <w:rsid w:val="7A49E4B1"/>
    <w:rsid w:val="7A583220"/>
    <w:rsid w:val="7A9FD6F8"/>
    <w:rsid w:val="7ACE2B28"/>
    <w:rsid w:val="7B2A1ACC"/>
    <w:rsid w:val="7B606270"/>
    <w:rsid w:val="7B680C83"/>
    <w:rsid w:val="7B68EE23"/>
    <w:rsid w:val="7BA651DB"/>
    <w:rsid w:val="7BB5C7CE"/>
    <w:rsid w:val="7C2F7628"/>
    <w:rsid w:val="7C4CCC3B"/>
    <w:rsid w:val="7C55DB62"/>
    <w:rsid w:val="7C58D47D"/>
    <w:rsid w:val="7C5CB116"/>
    <w:rsid w:val="7D0979C9"/>
    <w:rsid w:val="7D1039D2"/>
    <w:rsid w:val="7DAD1147"/>
    <w:rsid w:val="7DB0EC43"/>
    <w:rsid w:val="7DC2B56F"/>
    <w:rsid w:val="7DF188B2"/>
    <w:rsid w:val="7E3016ED"/>
    <w:rsid w:val="7E3BB358"/>
    <w:rsid w:val="7E538EC2"/>
    <w:rsid w:val="7E7D7DCE"/>
    <w:rsid w:val="7EF95204"/>
    <w:rsid w:val="7F3F7680"/>
    <w:rsid w:val="7F6E1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F3A6F0"/>
  <w15:chartTrackingRefBased/>
  <w15:docId w15:val="{212E1F20-F77A-4FED-9B29-54FEC4830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3"/>
      </w:numPr>
    </w:pPr>
  </w:style>
  <w:style w:type="numbering" w:customStyle="1" w:styleId="ImportedStyle2">
    <w:name w:val="Imported Style 2"/>
    <w:rsid w:val="005F349B"/>
  </w:style>
  <w:style w:type="numbering" w:customStyle="1" w:styleId="List1">
    <w:name w:val="List 1"/>
    <w:basedOn w:val="ImportedStyle3"/>
    <w:rsid w:val="005F349B"/>
    <w:pPr>
      <w:numPr>
        <w:numId w:val="11"/>
      </w:numPr>
    </w:pPr>
  </w:style>
  <w:style w:type="numbering" w:customStyle="1" w:styleId="ImportedStyle3">
    <w:name w:val="Imported Style 3"/>
    <w:rsid w:val="005F349B"/>
  </w:style>
  <w:style w:type="numbering" w:customStyle="1" w:styleId="List21">
    <w:name w:val="List 21"/>
    <w:basedOn w:val="ImportedStyle4"/>
    <w:rsid w:val="005F349B"/>
    <w:pPr>
      <w:numPr>
        <w:numId w:val="4"/>
      </w:numPr>
    </w:pPr>
  </w:style>
  <w:style w:type="numbering" w:customStyle="1" w:styleId="ImportedStyle4">
    <w:name w:val="Imported Style 4"/>
    <w:rsid w:val="005F349B"/>
  </w:style>
  <w:style w:type="numbering" w:customStyle="1" w:styleId="List31">
    <w:name w:val="List 31"/>
    <w:basedOn w:val="ImportedStyle4"/>
    <w:rsid w:val="005F349B"/>
    <w:pPr>
      <w:numPr>
        <w:numId w:val="5"/>
      </w:numPr>
    </w:pPr>
  </w:style>
  <w:style w:type="numbering" w:customStyle="1" w:styleId="List41">
    <w:name w:val="List 41"/>
    <w:basedOn w:val="ImportedStyle5"/>
    <w:rsid w:val="005F349B"/>
    <w:pPr>
      <w:numPr>
        <w:numId w:val="6"/>
      </w:numPr>
    </w:pPr>
  </w:style>
  <w:style w:type="numbering" w:customStyle="1" w:styleId="ImportedStyle5">
    <w:name w:val="Imported Style 5"/>
    <w:rsid w:val="005F349B"/>
  </w:style>
  <w:style w:type="numbering" w:customStyle="1" w:styleId="List51">
    <w:name w:val="List 51"/>
    <w:basedOn w:val="ImportedStyle5"/>
    <w:rsid w:val="005F349B"/>
    <w:pPr>
      <w:numPr>
        <w:numId w:val="7"/>
      </w:numPr>
    </w:pPr>
  </w:style>
  <w:style w:type="numbering" w:customStyle="1" w:styleId="List6">
    <w:name w:val="List 6"/>
    <w:basedOn w:val="ImportedStyle6"/>
    <w:rsid w:val="005F349B"/>
    <w:pPr>
      <w:numPr>
        <w:numId w:val="8"/>
      </w:numPr>
    </w:pPr>
  </w:style>
  <w:style w:type="numbering" w:customStyle="1" w:styleId="ImportedStyle6">
    <w:name w:val="Imported Style 6"/>
    <w:rsid w:val="005F349B"/>
  </w:style>
  <w:style w:type="numbering" w:customStyle="1" w:styleId="List7">
    <w:name w:val="List 7"/>
    <w:basedOn w:val="ImportedStyle3"/>
    <w:rsid w:val="005F349B"/>
    <w:pPr>
      <w:numPr>
        <w:numId w:val="12"/>
      </w:numPr>
    </w:pPr>
  </w:style>
  <w:style w:type="numbering" w:customStyle="1" w:styleId="List8">
    <w:name w:val="List 8"/>
    <w:basedOn w:val="ImportedStyle7"/>
    <w:rsid w:val="005F349B"/>
    <w:pPr>
      <w:numPr>
        <w:numId w:val="9"/>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10"/>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3"/>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4"/>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 w:type="paragraph" w:styleId="BodyTextIndent">
    <w:name w:val="Body Text Indent"/>
    <w:basedOn w:val="Normal"/>
    <w:link w:val="BodyTextIndentChar"/>
    <w:uiPriority w:val="99"/>
    <w:unhideWhenUsed/>
    <w:rsid w:val="00431C64"/>
    <w:pPr>
      <w:spacing w:after="120"/>
      <w:ind w:left="283"/>
    </w:pPr>
  </w:style>
  <w:style w:type="character" w:customStyle="1" w:styleId="BodyTextIndentChar">
    <w:name w:val="Body Text Indent Char"/>
    <w:basedOn w:val="DefaultParagraphFont"/>
    <w:link w:val="BodyTextIndent"/>
    <w:uiPriority w:val="99"/>
    <w:rsid w:val="00431C64"/>
    <w:rPr>
      <w:rFonts w:ascii="Calibri" w:eastAsia="Calibri" w:hAnsi="Calibri" w:cs="Times New Roman"/>
    </w:rPr>
  </w:style>
  <w:style w:type="table" w:styleId="TableGridLight">
    <w:name w:val="Grid Table Light"/>
    <w:basedOn w:val="TableNormal"/>
    <w:uiPriority w:val="40"/>
    <w:rsid w:val="00C3652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96487052">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48933110">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73205939">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32456318">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48072889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92347890">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chart" Target="charts/chart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chart" Target="charts/chart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SDYUWYA0\Charts%20for%20Metrics%20Report%20(Mar25).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SDYUWYA0\Charts%20for%20Metrics%20Report%20(Mar25).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SDYUWYA0\Charts%20for%20Metrics%20Report%20(Mar25).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0101498940539403E-2"/>
          <c:y val="4.0127371859066244E-2"/>
          <c:w val="0.66519859436175144"/>
          <c:h val="0.77280617354252168"/>
        </c:manualLayout>
      </c:layout>
      <c:lineChart>
        <c:grouping val="standard"/>
        <c:varyColors val="0"/>
        <c:ser>
          <c:idx val="0"/>
          <c:order val="0"/>
          <c:tx>
            <c:v>% sickness rate (12 month rolling)</c:v>
          </c:tx>
          <c:spPr>
            <a:ln w="28575" cap="rnd">
              <a:solidFill>
                <a:schemeClr val="accent2"/>
              </a:solidFill>
              <a:round/>
            </a:ln>
            <a:effectLst/>
          </c:spPr>
          <c:marker>
            <c:symbol val="none"/>
          </c:marker>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0.00%</c:formatCode>
              <c:ptCount val="37"/>
              <c:pt idx="0">
                <c:v>7.8200000000000006E-2</c:v>
              </c:pt>
              <c:pt idx="1">
                <c:v>8.1100000000000005E-2</c:v>
              </c:pt>
              <c:pt idx="2">
                <c:v>8.2000000000000003E-2</c:v>
              </c:pt>
              <c:pt idx="3">
                <c:v>8.2900000000000001E-2</c:v>
              </c:pt>
              <c:pt idx="4">
                <c:v>8.4599999999999995E-2</c:v>
              </c:pt>
              <c:pt idx="5">
                <c:v>8.4400000000000003E-2</c:v>
              </c:pt>
              <c:pt idx="6">
                <c:v>8.2500000000000004E-2</c:v>
              </c:pt>
              <c:pt idx="7">
                <c:v>8.0799999999999997E-2</c:v>
              </c:pt>
              <c:pt idx="8">
                <c:v>7.9899999999999999E-2</c:v>
              </c:pt>
              <c:pt idx="9">
                <c:v>8.0199999999999994E-2</c:v>
              </c:pt>
              <c:pt idx="10">
                <c:v>7.8899999999999998E-2</c:v>
              </c:pt>
              <c:pt idx="11">
                <c:v>7.7799999999999994E-2</c:v>
              </c:pt>
              <c:pt idx="12">
                <c:v>7.6499999999999999E-2</c:v>
              </c:pt>
              <c:pt idx="13">
                <c:v>7.46E-2</c:v>
              </c:pt>
              <c:pt idx="14">
                <c:v>7.3700000000000002E-2</c:v>
              </c:pt>
              <c:pt idx="15">
                <c:v>7.2800000000000004E-2</c:v>
              </c:pt>
              <c:pt idx="16">
                <c:v>7.1099999999999997E-2</c:v>
              </c:pt>
              <c:pt idx="17">
                <c:v>7.0800000000000002E-2</c:v>
              </c:pt>
              <c:pt idx="18">
                <c:v>7.0800000000000002E-2</c:v>
              </c:pt>
              <c:pt idx="19">
                <c:v>7.0499999999999993E-2</c:v>
              </c:pt>
              <c:pt idx="20">
                <c:v>7.0900000000000005E-2</c:v>
              </c:pt>
              <c:pt idx="21">
                <c:v>6.9599999999999995E-2</c:v>
              </c:pt>
              <c:pt idx="22">
                <c:v>6.9599999999999995E-2</c:v>
              </c:pt>
              <c:pt idx="23">
                <c:v>6.9900000000000004E-2</c:v>
              </c:pt>
              <c:pt idx="24">
                <c:v>6.9599999999999995E-2</c:v>
              </c:pt>
              <c:pt idx="25">
                <c:v>7.0000000000000007E-2</c:v>
              </c:pt>
              <c:pt idx="26">
                <c:v>7.0499999999999993E-2</c:v>
              </c:pt>
              <c:pt idx="27">
                <c:v>7.0900000000000005E-2</c:v>
              </c:pt>
              <c:pt idx="28">
                <c:v>7.2700000000000001E-2</c:v>
              </c:pt>
              <c:pt idx="29">
                <c:v>7.0699999999999999E-2</c:v>
              </c:pt>
              <c:pt idx="30">
                <c:v>7.0699999999999999E-2</c:v>
              </c:pt>
              <c:pt idx="31">
                <c:v>7.0499999999999993E-2</c:v>
              </c:pt>
              <c:pt idx="32">
                <c:v>7.2400000000000006E-2</c:v>
              </c:pt>
              <c:pt idx="33">
                <c:v>7.0599999999999996E-2</c:v>
              </c:pt>
              <c:pt idx="34">
                <c:v>7.0800000000000002E-2</c:v>
              </c:pt>
              <c:pt idx="35">
                <c:v>7.0800000000000002E-2</c:v>
              </c:pt>
            </c:numLit>
          </c:val>
          <c:smooth val="0"/>
          <c:extLst>
            <c:ext xmlns:c16="http://schemas.microsoft.com/office/drawing/2014/chart" uri="{C3380CC4-5D6E-409C-BE32-E72D297353CC}">
              <c16:uniqueId val="{00000000-20BD-4E25-9F94-033036EB2ACD}"/>
            </c:ext>
          </c:extLst>
        </c:ser>
        <c:ser>
          <c:idx val="1"/>
          <c:order val="1"/>
          <c:tx>
            <c:v>% sickness rate (in-month)</c:v>
          </c:tx>
          <c:spPr>
            <a:ln w="28575" cap="rnd">
              <a:solidFill>
                <a:srgbClr val="FFBF9F"/>
              </a:solidFill>
              <a:round/>
            </a:ln>
            <a:effectLst/>
          </c:spPr>
          <c:marker>
            <c:symbol val="diamond"/>
            <c:size val="5"/>
            <c:spPr>
              <a:solidFill>
                <a:srgbClr val="FFBF9F"/>
              </a:solidFill>
              <a:ln w="9525">
                <a:solidFill>
                  <a:srgbClr val="FFBF9F"/>
                </a:solidFill>
              </a:ln>
              <a:effectLst/>
            </c:spPr>
          </c:marker>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0.00%</c:formatCode>
              <c:ptCount val="37"/>
              <c:pt idx="0">
                <c:v>8.3599999999999994E-2</c:v>
              </c:pt>
              <c:pt idx="1">
                <c:v>8.7800000000000003E-2</c:v>
              </c:pt>
              <c:pt idx="2">
                <c:v>7.3999999999999996E-2</c:v>
              </c:pt>
              <c:pt idx="3">
                <c:v>7.9100000000000004E-2</c:v>
              </c:pt>
              <c:pt idx="4">
                <c:v>9.6500000000000002E-2</c:v>
              </c:pt>
              <c:pt idx="5">
                <c:v>7.8700000000000006E-2</c:v>
              </c:pt>
              <c:pt idx="6">
                <c:v>7.1900000000000006E-2</c:v>
              </c:pt>
              <c:pt idx="7">
                <c:v>7.5700000000000003E-2</c:v>
              </c:pt>
              <c:pt idx="8">
                <c:v>6.9199999999999998E-2</c:v>
              </c:pt>
              <c:pt idx="9">
                <c:v>8.7499999999999994E-2</c:v>
              </c:pt>
              <c:pt idx="10">
                <c:v>7.46E-2</c:v>
              </c:pt>
              <c:pt idx="11">
                <c:v>6.6900000000000001E-2</c:v>
              </c:pt>
              <c:pt idx="12">
                <c:v>6.7900000000000002E-2</c:v>
              </c:pt>
              <c:pt idx="13">
                <c:v>6.2399999999999997E-2</c:v>
              </c:pt>
              <c:pt idx="14">
                <c:v>5.8500000000000003E-2</c:v>
              </c:pt>
              <c:pt idx="15">
                <c:v>6.3E-2</c:v>
              </c:pt>
              <c:pt idx="16">
                <c:v>6.7599999999999993E-2</c:v>
              </c:pt>
              <c:pt idx="17">
                <c:v>6.6799999999999998E-2</c:v>
              </c:pt>
              <c:pt idx="18">
                <c:v>6.6900000000000001E-2</c:v>
              </c:pt>
              <c:pt idx="19">
                <c:v>6.9900000000000004E-2</c:v>
              </c:pt>
              <c:pt idx="20">
                <c:v>7.1099999999999997E-2</c:v>
              </c:pt>
              <c:pt idx="21">
                <c:v>7.3499999999999996E-2</c:v>
              </c:pt>
              <c:pt idx="22">
                <c:v>7.2400000000000006E-2</c:v>
              </c:pt>
              <c:pt idx="23">
                <c:v>6.9500000000000006E-2</c:v>
              </c:pt>
              <c:pt idx="24">
                <c:v>6.6699999999999995E-2</c:v>
              </c:pt>
              <c:pt idx="25">
                <c:v>6.6100000000000006E-2</c:v>
              </c:pt>
              <c:pt idx="26">
                <c:v>6.7599999999999993E-2</c:v>
              </c:pt>
              <c:pt idx="27">
                <c:v>7.1499999999999994E-2</c:v>
              </c:pt>
              <c:pt idx="28">
                <c:v>7.0999999999999994E-2</c:v>
              </c:pt>
              <c:pt idx="29">
                <c:v>6.6699999999999995E-2</c:v>
              </c:pt>
              <c:pt idx="30">
                <c:v>6.6699999999999995E-2</c:v>
              </c:pt>
              <c:pt idx="31">
                <c:v>7.0499999999999993E-2</c:v>
              </c:pt>
              <c:pt idx="32">
                <c:v>7.0599999999999996E-2</c:v>
              </c:pt>
              <c:pt idx="33">
                <c:v>7.7299999999999994E-2</c:v>
              </c:pt>
              <c:pt idx="34">
                <c:v>7.7100000000000002E-2</c:v>
              </c:pt>
              <c:pt idx="35">
                <c:v>7.0599999999999996E-2</c:v>
              </c:pt>
            </c:numLit>
          </c:val>
          <c:smooth val="0"/>
          <c:extLst>
            <c:ext xmlns:c16="http://schemas.microsoft.com/office/drawing/2014/chart" uri="{C3380CC4-5D6E-409C-BE32-E72D297353CC}">
              <c16:uniqueId val="{00000001-20BD-4E25-9F94-033036EB2ACD}"/>
            </c:ext>
          </c:extLst>
        </c:ser>
        <c:dLbls>
          <c:showLegendKey val="0"/>
          <c:showVal val="0"/>
          <c:showCatName val="0"/>
          <c:showSerName val="0"/>
          <c:showPercent val="0"/>
          <c:showBubbleSize val="0"/>
        </c:dLbls>
        <c:smooth val="0"/>
        <c:axId val="800349472"/>
        <c:axId val="800349864"/>
      </c:lineChart>
      <c:dateAx>
        <c:axId val="800349472"/>
        <c:scaling>
          <c:orientation val="minMax"/>
          <c:max val="45689"/>
          <c:min val="45323"/>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10000000000000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1.0000000000000002E-2"/>
      </c:valAx>
      <c:spPr>
        <a:noFill/>
        <a:ln>
          <a:noFill/>
        </a:ln>
        <a:effectLst/>
      </c:spPr>
    </c:plotArea>
    <c:legend>
      <c:legendPos val="r"/>
      <c:layout>
        <c:manualLayout>
          <c:xMode val="edge"/>
          <c:yMode val="edge"/>
          <c:x val="0.7644296788482835"/>
          <c:y val="0.20022254076095852"/>
          <c:w val="0.22228128460686605"/>
          <c:h val="0.53305450285048539"/>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112795575896261"/>
          <c:y val="6.9919919919919915E-2"/>
          <c:w val="0.6581751034750859"/>
          <c:h val="0.70655415513333863"/>
        </c:manualLayout>
      </c:layout>
      <c:barChart>
        <c:barDir val="col"/>
        <c:grouping val="clustered"/>
        <c:varyColors val="0"/>
        <c:ser>
          <c:idx val="2"/>
          <c:order val="1"/>
          <c:tx>
            <c:v>% Level 1 compliance (SBU HB)</c:v>
          </c:tx>
          <c:spPr>
            <a:solidFill>
              <a:schemeClr val="accent2"/>
            </a:solidFill>
            <a:ln>
              <a:solidFill>
                <a:schemeClr val="accent2"/>
              </a:solidFill>
            </a:ln>
            <a:effectLst/>
          </c:spPr>
          <c:invertIfNegative val="0"/>
          <c:cat>
            <c:numLit>
              <c:formatCode>mmm\-yy</c:formatCode>
              <c:ptCount val="36"/>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pt idx="29">
                <c:v>45536</c:v>
              </c:pt>
              <c:pt idx="30">
                <c:v>45566</c:v>
              </c:pt>
              <c:pt idx="31">
                <c:v>45597</c:v>
              </c:pt>
              <c:pt idx="32">
                <c:v>45627</c:v>
              </c:pt>
              <c:pt idx="33">
                <c:v>45658</c:v>
              </c:pt>
              <c:pt idx="34">
                <c:v>45689</c:v>
              </c:pt>
              <c:pt idx="35">
                <c:v>45717</c:v>
              </c:pt>
            </c:numLit>
          </c:cat>
          <c:val>
            <c:numLit>
              <c:formatCode>0.0%</c:formatCode>
              <c:ptCount val="36"/>
              <c:pt idx="0">
                <c:v>0.8</c:v>
              </c:pt>
              <c:pt idx="1">
                <c:v>0.8</c:v>
              </c:pt>
              <c:pt idx="2">
                <c:v>0.80100000000000005</c:v>
              </c:pt>
              <c:pt idx="3">
                <c:v>0.80500000000000005</c:v>
              </c:pt>
              <c:pt idx="4">
                <c:v>0.81</c:v>
              </c:pt>
              <c:pt idx="5">
                <c:v>0.82199999999999995</c:v>
              </c:pt>
              <c:pt idx="6">
                <c:v>0.83199999999999996</c:v>
              </c:pt>
              <c:pt idx="7">
                <c:v>0.83499999999999996</c:v>
              </c:pt>
              <c:pt idx="8">
                <c:v>0.83799999999999997</c:v>
              </c:pt>
              <c:pt idx="9">
                <c:v>0.84599999999999997</c:v>
              </c:pt>
              <c:pt idx="10">
                <c:v>0.85</c:v>
              </c:pt>
              <c:pt idx="11">
                <c:v>0.81899999999999995</c:v>
              </c:pt>
              <c:pt idx="12">
                <c:v>0.86399999999999999</c:v>
              </c:pt>
              <c:pt idx="13">
                <c:v>0.86799999999999999</c:v>
              </c:pt>
              <c:pt idx="14">
                <c:v>0.872</c:v>
              </c:pt>
              <c:pt idx="15">
                <c:v>0.875</c:v>
              </c:pt>
              <c:pt idx="16">
                <c:v>0.877</c:v>
              </c:pt>
              <c:pt idx="17">
                <c:v>0.872</c:v>
              </c:pt>
              <c:pt idx="18">
                <c:v>0.879</c:v>
              </c:pt>
              <c:pt idx="19">
                <c:v>0.88500000000000001</c:v>
              </c:pt>
              <c:pt idx="20">
                <c:v>0.88470000000000004</c:v>
              </c:pt>
              <c:pt idx="21">
                <c:v>0.86299999999999999</c:v>
              </c:pt>
              <c:pt idx="22">
                <c:v>0.89659999999999995</c:v>
              </c:pt>
              <c:pt idx="23">
                <c:v>0.86699999999999999</c:v>
              </c:pt>
              <c:pt idx="24">
                <c:v>0.89829999999999999</c:v>
              </c:pt>
              <c:pt idx="25">
                <c:v>0.90010000000000001</c:v>
              </c:pt>
              <c:pt idx="26">
                <c:v>0.90059999999999996</c:v>
              </c:pt>
              <c:pt idx="27">
                <c:v>0.90039999999999998</c:v>
              </c:pt>
              <c:pt idx="28">
                <c:v>0.88990000000000002</c:v>
              </c:pt>
              <c:pt idx="29">
                <c:v>0.89459999999999995</c:v>
              </c:pt>
              <c:pt idx="30">
                <c:v>0.88829999999999998</c:v>
              </c:pt>
              <c:pt idx="31">
                <c:v>0.88829999999999998</c:v>
              </c:pt>
              <c:pt idx="32">
                <c:v>0.89280000000000004</c:v>
              </c:pt>
              <c:pt idx="33">
                <c:v>0.8931</c:v>
              </c:pt>
              <c:pt idx="34">
                <c:v>0.85489999999999999</c:v>
              </c:pt>
            </c:numLit>
          </c:val>
          <c:extLst>
            <c:ext xmlns:c16="http://schemas.microsoft.com/office/drawing/2014/chart" uri="{C3380CC4-5D6E-409C-BE32-E72D297353CC}">
              <c16:uniqueId val="{00000000-90E6-4FBD-B4A3-2FB1CF2004F2}"/>
            </c:ext>
          </c:extLst>
        </c:ser>
        <c:dLbls>
          <c:showLegendKey val="0"/>
          <c:showVal val="0"/>
          <c:showCatName val="0"/>
          <c:showSerName val="0"/>
          <c:showPercent val="0"/>
          <c:showBubbleSize val="0"/>
        </c:dLbls>
        <c:gapWidth val="150"/>
        <c:axId val="843591080"/>
        <c:axId val="843591472"/>
        <c:extLst>
          <c:ext xmlns:c15="http://schemas.microsoft.com/office/drawing/2012/chart" uri="{02D57815-91ED-43cb-92C2-25804820EDAC}">
            <c15:filteredBarSeries>
              <c15:ser>
                <c:idx val="0"/>
                <c:order val="0"/>
                <c:tx>
                  <c:v>% Level 1 compliance (ABMU HB)</c:v>
                </c:tx>
                <c:spPr>
                  <a:solidFill>
                    <a:schemeClr val="accent1"/>
                  </a:solidFill>
                  <a:ln>
                    <a:noFill/>
                  </a:ln>
                  <a:effectLst/>
                </c:spPr>
                <c:invertIfNegative val="0"/>
                <c:cat>
                  <c:numLit>
                    <c:formatCode>mmm\-yy</c:formatCode>
                    <c:ptCount val="36"/>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pt idx="29">
                      <c:v>45536</c:v>
                    </c:pt>
                    <c:pt idx="30">
                      <c:v>45566</c:v>
                    </c:pt>
                    <c:pt idx="31">
                      <c:v>45597</c:v>
                    </c:pt>
                    <c:pt idx="32">
                      <c:v>45627</c:v>
                    </c:pt>
                    <c:pt idx="33">
                      <c:v>45658</c:v>
                    </c:pt>
                    <c:pt idx="34">
                      <c:v>45689</c:v>
                    </c:pt>
                    <c:pt idx="35">
                      <c:v>45717</c:v>
                    </c:pt>
                  </c:numLit>
                </c:cat>
                <c:val>
                  <c:numRef>
                    <c:extLst>
                      <c:ext uri="{02D57815-91ED-43cb-92C2-25804820EDAC}">
                        <c15:formulaRef>
                          <c15:sqref>[1]Training!$D$14:$AM$14</c15:sqref>
                        </c15:formulaRef>
                      </c:ext>
                    </c:extLst>
                    <c:numCache>
                      <c:formatCode>General</c:formatCode>
                      <c:ptCount val="3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numCache>
                  </c:numRef>
                </c:val>
                <c:extLst>
                  <c:ext xmlns:c16="http://schemas.microsoft.com/office/drawing/2014/chart" uri="{C3380CC4-5D6E-409C-BE32-E72D297353CC}">
                    <c16:uniqueId val="{00000001-90E6-4FBD-B4A3-2FB1CF2004F2}"/>
                  </c:ext>
                </c:extLst>
              </c15:ser>
            </c15:filteredBarSeries>
          </c:ext>
        </c:extLst>
      </c:barChart>
      <c:dateAx>
        <c:axId val="843591080"/>
        <c:scaling>
          <c:orientation val="minMax"/>
          <c:max val="45689"/>
          <c:min val="45323"/>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472"/>
        <c:crosses val="autoZero"/>
        <c:auto val="1"/>
        <c:lblOffset val="100"/>
        <c:baseTimeUnit val="months"/>
        <c:majorUnit val="1"/>
      </c:dateAx>
      <c:valAx>
        <c:axId val="84359147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080"/>
        <c:crosses val="autoZero"/>
        <c:crossBetween val="between"/>
      </c:valAx>
      <c:spPr>
        <a:noFill/>
        <a:ln>
          <a:noFill/>
        </a:ln>
        <a:effectLst/>
      </c:spPr>
    </c:plotArea>
    <c:legend>
      <c:legendPos val="r"/>
      <c:layout>
        <c:manualLayout>
          <c:xMode val="edge"/>
          <c:yMode val="edge"/>
          <c:x val="0.80240868818052491"/>
          <c:y val="0.21760085309771582"/>
          <c:w val="0.18225780811387843"/>
          <c:h val="0.3390828564809084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2839272043664147E-2"/>
          <c:y val="4.2059309750460287E-2"/>
          <c:w val="0.75152036981621173"/>
          <c:h val="0.78347412543581307"/>
        </c:manualLayout>
      </c:layout>
      <c:barChart>
        <c:barDir val="col"/>
        <c:grouping val="clustered"/>
        <c:varyColors val="0"/>
        <c:ser>
          <c:idx val="2"/>
          <c:order val="1"/>
          <c:tx>
            <c:v>PADR Compliance (SBU HB)</c:v>
          </c:tx>
          <c:spPr>
            <a:solidFill>
              <a:schemeClr val="accent2"/>
            </a:solidFill>
            <a:ln>
              <a:solidFill>
                <a:schemeClr val="accent2"/>
              </a:solidFill>
            </a:ln>
            <a:effectLst/>
          </c:spPr>
          <c:invertIfNegative val="0"/>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c:formatCode>
              <c:ptCount val="37"/>
              <c:pt idx="0">
                <c:v>0.55740000000000001</c:v>
              </c:pt>
              <c:pt idx="1">
                <c:v>0.5605</c:v>
              </c:pt>
              <c:pt idx="2">
                <c:v>0.55910000000000004</c:v>
              </c:pt>
              <c:pt idx="3">
                <c:v>0.55230000000000001</c:v>
              </c:pt>
              <c:pt idx="4">
                <c:v>0.5827</c:v>
              </c:pt>
              <c:pt idx="5">
                <c:v>0.60570000000000002</c:v>
              </c:pt>
              <c:pt idx="6">
                <c:v>0.64029999999999998</c:v>
              </c:pt>
              <c:pt idx="7">
                <c:v>0.66890000000000005</c:v>
              </c:pt>
              <c:pt idx="8">
                <c:v>0.6825</c:v>
              </c:pt>
              <c:pt idx="9">
                <c:v>0.68420000000000003</c:v>
              </c:pt>
              <c:pt idx="10">
                <c:v>0.68920000000000003</c:v>
              </c:pt>
              <c:pt idx="11">
                <c:v>0.69389999999999996</c:v>
              </c:pt>
              <c:pt idx="12">
                <c:v>0.68799999999999994</c:v>
              </c:pt>
              <c:pt idx="13">
                <c:v>0.7208</c:v>
              </c:pt>
              <c:pt idx="14">
                <c:v>0.67820000000000003</c:v>
              </c:pt>
              <c:pt idx="15">
                <c:v>0.67300000000000004</c:v>
              </c:pt>
              <c:pt idx="16">
                <c:v>0.6724</c:v>
              </c:pt>
              <c:pt idx="17">
                <c:v>0.67110000000000003</c:v>
              </c:pt>
              <c:pt idx="18">
                <c:v>0.66359999999999997</c:v>
              </c:pt>
              <c:pt idx="19">
                <c:v>0.66359999999999997</c:v>
              </c:pt>
              <c:pt idx="20">
                <c:v>0.66410000000000002</c:v>
              </c:pt>
              <c:pt idx="21">
                <c:v>0.67130000000000001</c:v>
              </c:pt>
              <c:pt idx="22">
                <c:v>0.69040000000000001</c:v>
              </c:pt>
              <c:pt idx="23">
                <c:v>0.69350000000000001</c:v>
              </c:pt>
              <c:pt idx="24">
                <c:v>0.69789999999999996</c:v>
              </c:pt>
              <c:pt idx="25">
                <c:v>0.7319</c:v>
              </c:pt>
              <c:pt idx="26">
                <c:v>0.72619999999999996</c:v>
              </c:pt>
              <c:pt idx="27">
                <c:v>0.72019999999999995</c:v>
              </c:pt>
              <c:pt idx="28">
                <c:v>0.73129999999999995</c:v>
              </c:pt>
              <c:pt idx="29">
                <c:v>0.73880000000000001</c:v>
              </c:pt>
              <c:pt idx="30">
                <c:v>0.74580000000000002</c:v>
              </c:pt>
              <c:pt idx="31">
                <c:v>0.71840000000000004</c:v>
              </c:pt>
              <c:pt idx="32">
                <c:v>0.73540000000000005</c:v>
              </c:pt>
              <c:pt idx="33">
                <c:v>0.74039999999999995</c:v>
              </c:pt>
              <c:pt idx="34">
                <c:v>0.73029999999999995</c:v>
              </c:pt>
              <c:pt idx="35">
                <c:v>0.72060000000000002</c:v>
              </c:pt>
            </c:numLit>
          </c:val>
          <c:extLst>
            <c:ext xmlns:c16="http://schemas.microsoft.com/office/drawing/2014/chart" uri="{C3380CC4-5D6E-409C-BE32-E72D297353CC}">
              <c16:uniqueId val="{00000000-9D9D-4CE8-A5F4-967B68A2E90B}"/>
            </c:ext>
          </c:extLst>
        </c:ser>
        <c:dLbls>
          <c:showLegendKey val="0"/>
          <c:showVal val="0"/>
          <c:showCatName val="0"/>
          <c:showSerName val="0"/>
          <c:showPercent val="0"/>
          <c:showBubbleSize val="0"/>
        </c:dLbls>
        <c:gapWidth val="150"/>
        <c:axId val="842218640"/>
        <c:axId val="842219032"/>
        <c:extLst>
          <c:ext xmlns:c15="http://schemas.microsoft.com/office/drawing/2012/chart" uri="{02D57815-91ED-43cb-92C2-25804820EDAC}">
            <c15:filteredBarSeries>
              <c15:ser>
                <c:idx val="0"/>
                <c:order val="0"/>
                <c:spPr>
                  <a:solidFill>
                    <a:schemeClr val="accent1"/>
                  </a:solidFill>
                  <a:ln>
                    <a:noFill/>
                  </a:ln>
                  <a:effectLst/>
                </c:spPr>
                <c:invertIfNegative val="0"/>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Ref>
                    <c:extLst>
                      <c:ext uri="{02D57815-91ED-43cb-92C2-25804820EDAC}">
                        <c15:formulaRef>
                          <c15:sqref>[1]Appraisals!$U$14:$BK$14</c15:sqref>
                        </c15:formulaRef>
                      </c:ext>
                    </c:extLst>
                    <c:numCache>
                      <c:formatCode>General</c:formatCode>
                      <c:ptCount val="4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numCache>
                  </c:numRef>
                </c:val>
                <c:extLst>
                  <c:ext xmlns:c16="http://schemas.microsoft.com/office/drawing/2014/chart" uri="{C3380CC4-5D6E-409C-BE32-E72D297353CC}">
                    <c16:uniqueId val="{00000001-9D9D-4CE8-A5F4-967B68A2E90B}"/>
                  </c:ext>
                </c:extLst>
              </c15:ser>
            </c15:filteredBarSeries>
          </c:ext>
        </c:extLst>
      </c:barChart>
      <c:lineChart>
        <c:grouping val="standard"/>
        <c:varyColors val="0"/>
        <c:dLbls>
          <c:showLegendKey val="0"/>
          <c:showVal val="0"/>
          <c:showCatName val="0"/>
          <c:showSerName val="0"/>
          <c:showPercent val="0"/>
          <c:showBubbleSize val="0"/>
        </c:dLbls>
        <c:marker val="1"/>
        <c:smooth val="0"/>
        <c:axId val="842218640"/>
        <c:axId val="842219032"/>
        <c:extLst>
          <c:ext xmlns:c15="http://schemas.microsoft.com/office/drawing/2012/chart" uri="{02D57815-91ED-43cb-92C2-25804820EDAC}">
            <c15:filteredLineSeries>
              <c15:ser>
                <c:idx val="1"/>
                <c:order val="2"/>
                <c:spPr>
                  <a:ln w="28575" cap="rnd">
                    <a:solidFill>
                      <a:srgbClr val="C00000"/>
                    </a:solidFill>
                    <a:round/>
                  </a:ln>
                  <a:effectLst/>
                </c:spPr>
                <c:marker>
                  <c:symbol val="none"/>
                </c:marker>
                <c:cat>
                  <c:numLit>
                    <c:formatCode>mmm\-yy</c:formatCode>
                    <c:ptCount val="1"/>
                    <c:pt idx="0">
                      <c:v>44621</c:v>
                    </c:pt>
                  </c:numLit>
                </c:cat>
                <c:val>
                  <c:numLit>
                    <c:formatCode>0%</c:formatCode>
                    <c:ptCount val="1"/>
                    <c:pt idx="0">
                      <c:v>0.85</c:v>
                    </c:pt>
                  </c:numLit>
                </c:val>
                <c:smooth val="0"/>
                <c:extLst>
                  <c:ext xmlns:c16="http://schemas.microsoft.com/office/drawing/2014/chart" uri="{C3380CC4-5D6E-409C-BE32-E72D297353CC}">
                    <c16:uniqueId val="{00000002-9D9D-4CE8-A5F4-967B68A2E90B}"/>
                  </c:ext>
                </c:extLst>
              </c15:ser>
            </c15:filteredLineSeries>
          </c:ext>
        </c:extLst>
      </c:lineChart>
      <c:dateAx>
        <c:axId val="842218640"/>
        <c:scaling>
          <c:orientation val="minMax"/>
          <c:max val="45689"/>
          <c:min val="45323"/>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9032"/>
        <c:crosses val="autoZero"/>
        <c:auto val="1"/>
        <c:lblOffset val="100"/>
        <c:baseTimeUnit val="months"/>
        <c:majorUnit val="1"/>
      </c:dateAx>
      <c:valAx>
        <c:axId val="842219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8640"/>
        <c:crosses val="autoZero"/>
        <c:crossBetween val="between"/>
      </c:valAx>
      <c:spPr>
        <a:noFill/>
        <a:ln>
          <a:noFill/>
        </a:ln>
        <a:effectLst/>
      </c:spPr>
    </c:plotArea>
    <c:legend>
      <c:legendPos val="r"/>
      <c:layout>
        <c:manualLayout>
          <c:xMode val="edge"/>
          <c:yMode val="edge"/>
          <c:x val="0.83453808772854199"/>
          <c:y val="0.20335675950953888"/>
          <c:w val="0.15147263738220645"/>
          <c:h val="0.33059991381674303"/>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4543406992677137"/>
          <c:h val="0.79328700511694594"/>
        </c:manualLayout>
      </c:layout>
      <c:lineChart>
        <c:grouping val="standard"/>
        <c:varyColors val="0"/>
        <c:ser>
          <c:idx val="0"/>
          <c:order val="0"/>
          <c:tx>
            <c:strRef>
              <c:f>'Swansea Bay data revised'!$A$2</c:f>
              <c:strCache>
                <c:ptCount val="1"/>
                <c:pt idx="0">
                  <c:v>Number of Disciplinary cases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revised'!$B$2:$G$2</c:f>
              <c:numCache>
                <c:formatCode>General</c:formatCode>
                <c:ptCount val="6"/>
                <c:pt idx="0">
                  <c:v>54</c:v>
                </c:pt>
                <c:pt idx="1">
                  <c:v>53</c:v>
                </c:pt>
                <c:pt idx="2">
                  <c:v>56</c:v>
                </c:pt>
                <c:pt idx="3">
                  <c:v>62</c:v>
                </c:pt>
                <c:pt idx="4">
                  <c:v>53</c:v>
                </c:pt>
                <c:pt idx="5">
                  <c:v>54</c:v>
                </c:pt>
              </c:numCache>
            </c:numRef>
          </c:val>
          <c:smooth val="0"/>
          <c:extLst>
            <c:ext xmlns:c16="http://schemas.microsoft.com/office/drawing/2014/chart" uri="{C3380CC4-5D6E-409C-BE32-E72D297353CC}">
              <c16:uniqueId val="{00000000-55C4-41D2-8154-240DC590B529}"/>
            </c:ext>
          </c:extLst>
        </c:ser>
        <c:ser>
          <c:idx val="1"/>
          <c:order val="1"/>
          <c:tx>
            <c:strRef>
              <c:f>'Swansea Bay data revised'!$A$3</c:f>
              <c:strCache>
                <c:ptCount val="1"/>
                <c:pt idx="0">
                  <c:v>No. of Disciplinary cases opened in month</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revised'!$B$3:$G$3</c:f>
              <c:numCache>
                <c:formatCode>General</c:formatCode>
                <c:ptCount val="6"/>
                <c:pt idx="0">
                  <c:v>5</c:v>
                </c:pt>
                <c:pt idx="1">
                  <c:v>3</c:v>
                </c:pt>
                <c:pt idx="2">
                  <c:v>20</c:v>
                </c:pt>
                <c:pt idx="3">
                  <c:v>22</c:v>
                </c:pt>
                <c:pt idx="4">
                  <c:v>15</c:v>
                </c:pt>
                <c:pt idx="5">
                  <c:v>8</c:v>
                </c:pt>
              </c:numCache>
            </c:numRef>
          </c:val>
          <c:smooth val="0"/>
          <c:extLst>
            <c:ext xmlns:c16="http://schemas.microsoft.com/office/drawing/2014/chart" uri="{C3380CC4-5D6E-409C-BE32-E72D297353CC}">
              <c16:uniqueId val="{00000001-55C4-41D2-8154-240DC590B529}"/>
            </c:ext>
          </c:extLst>
        </c:ser>
        <c:ser>
          <c:idx val="2"/>
          <c:order val="2"/>
          <c:tx>
            <c:strRef>
              <c:f>'Swansea Bay data revised'!$A$4</c:f>
              <c:strCache>
                <c:ptCount val="1"/>
                <c:pt idx="0">
                  <c:v>No. of Disciplinary cases closed in month</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revised'!$B$4:$G$4</c:f>
              <c:numCache>
                <c:formatCode>General</c:formatCode>
                <c:ptCount val="6"/>
                <c:pt idx="0">
                  <c:v>2</c:v>
                </c:pt>
                <c:pt idx="1">
                  <c:v>3</c:v>
                </c:pt>
                <c:pt idx="2">
                  <c:v>13</c:v>
                </c:pt>
                <c:pt idx="3">
                  <c:v>13</c:v>
                </c:pt>
                <c:pt idx="4">
                  <c:v>20</c:v>
                </c:pt>
                <c:pt idx="5">
                  <c:v>7</c:v>
                </c:pt>
              </c:numCache>
            </c:numRef>
          </c:val>
          <c:smooth val="0"/>
          <c:extLst>
            <c:ext xmlns:c16="http://schemas.microsoft.com/office/drawing/2014/chart" uri="{C3380CC4-5D6E-409C-BE32-E72D297353CC}">
              <c16:uniqueId val="{00000002-55C4-41D2-8154-240DC590B529}"/>
            </c:ext>
          </c:extLst>
        </c:ser>
        <c:ser>
          <c:idx val="3"/>
          <c:order val="3"/>
          <c:tx>
            <c:strRef>
              <c:f>'Swansea Bay data revised'!$A$5</c:f>
              <c:strCache>
                <c:ptCount val="1"/>
                <c:pt idx="0">
                  <c:v>Total No. of staff suspended (inc &gt;6 months)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revised'!$B$5:$G$5</c:f>
              <c:numCache>
                <c:formatCode>General</c:formatCode>
                <c:ptCount val="6"/>
                <c:pt idx="0">
                  <c:v>13</c:v>
                </c:pt>
                <c:pt idx="1">
                  <c:v>13</c:v>
                </c:pt>
                <c:pt idx="2">
                  <c:v>13</c:v>
                </c:pt>
                <c:pt idx="3">
                  <c:v>1</c:v>
                </c:pt>
                <c:pt idx="4">
                  <c:v>9</c:v>
                </c:pt>
                <c:pt idx="5">
                  <c:v>9</c:v>
                </c:pt>
              </c:numCache>
            </c:numRef>
          </c:val>
          <c:smooth val="0"/>
          <c:extLst>
            <c:ext xmlns:c16="http://schemas.microsoft.com/office/drawing/2014/chart" uri="{C3380CC4-5D6E-409C-BE32-E72D297353CC}">
              <c16:uniqueId val="{00000003-55C4-41D2-8154-240DC590B529}"/>
            </c:ext>
          </c:extLst>
        </c:ser>
        <c:ser>
          <c:idx val="4"/>
          <c:order val="4"/>
          <c:tx>
            <c:strRef>
              <c:f>'Swansea Bay data revised'!$A$6</c:f>
              <c:strCache>
                <c:ptCount val="1"/>
                <c:pt idx="0">
                  <c:v>No. of staff suspended &gt;6 months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revised'!$B$6:$G$6</c:f>
              <c:numCache>
                <c:formatCode>General</c:formatCode>
                <c:ptCount val="6"/>
                <c:pt idx="0">
                  <c:v>10</c:v>
                </c:pt>
                <c:pt idx="1">
                  <c:v>10</c:v>
                </c:pt>
                <c:pt idx="2">
                  <c:v>10</c:v>
                </c:pt>
                <c:pt idx="3">
                  <c:v>1</c:v>
                </c:pt>
                <c:pt idx="4">
                  <c:v>8</c:v>
                </c:pt>
                <c:pt idx="5">
                  <c:v>8</c:v>
                </c:pt>
              </c:numCache>
            </c:numRef>
          </c:val>
          <c:smooth val="0"/>
          <c:extLst>
            <c:ext xmlns:c16="http://schemas.microsoft.com/office/drawing/2014/chart" uri="{C3380CC4-5D6E-409C-BE32-E72D297353CC}">
              <c16:uniqueId val="{00000004-55C4-41D2-8154-240DC590B529}"/>
            </c:ext>
          </c:extLst>
        </c:ser>
        <c:ser>
          <c:idx val="5"/>
          <c:order val="5"/>
          <c:tx>
            <c:strRef>
              <c:f>'Swansea Bay data revised'!$A$7</c:f>
              <c:strCache>
                <c:ptCount val="1"/>
                <c:pt idx="0">
                  <c:v>No. of cases continuing for &gt;2 years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revised'!$B$7:$G$7</c:f>
              <c:numCache>
                <c:formatCode>General</c:formatCode>
                <c:ptCount val="6"/>
                <c:pt idx="0">
                  <c:v>3</c:v>
                </c:pt>
                <c:pt idx="1">
                  <c:v>3</c:v>
                </c:pt>
                <c:pt idx="2">
                  <c:v>3</c:v>
                </c:pt>
                <c:pt idx="3">
                  <c:v>0</c:v>
                </c:pt>
                <c:pt idx="4">
                  <c:v>2</c:v>
                </c:pt>
                <c:pt idx="5">
                  <c:v>2</c:v>
                </c:pt>
              </c:numCache>
            </c:numRef>
          </c:val>
          <c:smooth val="0"/>
          <c:extLst>
            <c:ext xmlns:c16="http://schemas.microsoft.com/office/drawing/2014/chart" uri="{C3380CC4-5D6E-409C-BE32-E72D297353CC}">
              <c16:uniqueId val="{00000005-55C4-41D2-8154-240DC590B529}"/>
            </c:ext>
          </c:extLst>
        </c:ser>
        <c:ser>
          <c:idx val="6"/>
          <c:order val="6"/>
          <c:tx>
            <c:strRef>
              <c:f>'Swansea Bay data revised'!$A$8</c:f>
              <c:strCache>
                <c:ptCount val="1"/>
                <c:pt idx="0">
                  <c:v>Dignity at work</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revised'!$B$8:$G$8</c:f>
              <c:numCache>
                <c:formatCode>General</c:formatCode>
                <c:ptCount val="6"/>
                <c:pt idx="0">
                  <c:v>1</c:v>
                </c:pt>
                <c:pt idx="1">
                  <c:v>1</c:v>
                </c:pt>
                <c:pt idx="2">
                  <c:v>1</c:v>
                </c:pt>
                <c:pt idx="3">
                  <c:v>1</c:v>
                </c:pt>
                <c:pt idx="4">
                  <c:v>1</c:v>
                </c:pt>
                <c:pt idx="5">
                  <c:v>1</c:v>
                </c:pt>
              </c:numCache>
            </c:numRef>
          </c:val>
          <c:smooth val="0"/>
          <c:extLst>
            <c:ext xmlns:c16="http://schemas.microsoft.com/office/drawing/2014/chart" uri="{C3380CC4-5D6E-409C-BE32-E72D297353CC}">
              <c16:uniqueId val="{00000006-55C4-41D2-8154-240DC590B529}"/>
            </c:ext>
          </c:extLst>
        </c:ser>
        <c:ser>
          <c:idx val="7"/>
          <c:order val="7"/>
          <c:tx>
            <c:strRef>
              <c:f>'Swansea Bay data revised'!$A$9</c:f>
              <c:strCache>
                <c:ptCount val="1"/>
                <c:pt idx="0">
                  <c:v>Grievances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revised'!$B$9:$G$9</c:f>
              <c:numCache>
                <c:formatCode>General</c:formatCode>
                <c:ptCount val="6"/>
                <c:pt idx="0">
                  <c:v>22</c:v>
                </c:pt>
                <c:pt idx="1">
                  <c:v>17</c:v>
                </c:pt>
                <c:pt idx="2">
                  <c:v>18</c:v>
                </c:pt>
                <c:pt idx="3">
                  <c:v>20</c:v>
                </c:pt>
                <c:pt idx="4">
                  <c:v>31</c:v>
                </c:pt>
                <c:pt idx="5">
                  <c:v>38</c:v>
                </c:pt>
              </c:numCache>
            </c:numRef>
          </c:val>
          <c:smooth val="0"/>
          <c:extLst>
            <c:ext xmlns:c16="http://schemas.microsoft.com/office/drawing/2014/chart" uri="{C3380CC4-5D6E-409C-BE32-E72D297353CC}">
              <c16:uniqueId val="{00000007-55C4-41D2-8154-240DC590B529}"/>
            </c:ext>
          </c:extLst>
        </c:ser>
        <c:ser>
          <c:idx val="8"/>
          <c:order val="8"/>
          <c:tx>
            <c:strRef>
              <c:f>'Swansea Bay data revised'!$A$10</c:f>
              <c:strCache>
                <c:ptCount val="1"/>
                <c:pt idx="0">
                  <c:v>ET’s</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revised'!$B$10:$G$10</c:f>
              <c:numCache>
                <c:formatCode>General</c:formatCode>
                <c:ptCount val="6"/>
                <c:pt idx="0">
                  <c:v>1</c:v>
                </c:pt>
                <c:pt idx="1">
                  <c:v>1</c:v>
                </c:pt>
                <c:pt idx="2">
                  <c:v>1</c:v>
                </c:pt>
                <c:pt idx="3">
                  <c:v>0</c:v>
                </c:pt>
                <c:pt idx="4">
                  <c:v>0</c:v>
                </c:pt>
                <c:pt idx="5">
                  <c:v>0</c:v>
                </c:pt>
              </c:numCache>
            </c:numRef>
          </c:val>
          <c:smooth val="0"/>
          <c:extLst>
            <c:ext xmlns:c16="http://schemas.microsoft.com/office/drawing/2014/chart" uri="{C3380CC4-5D6E-409C-BE32-E72D297353CC}">
              <c16:uniqueId val="{00000008-55C4-41D2-8154-240DC590B529}"/>
            </c:ext>
          </c:extLst>
        </c:ser>
        <c:ser>
          <c:idx val="9"/>
          <c:order val="9"/>
          <c:tx>
            <c:strRef>
              <c:f>'Swansea Bay data revised'!$A$11</c:f>
              <c:strCache>
                <c:ptCount val="1"/>
                <c:pt idx="0">
                  <c:v>Capability</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revised'!$B$11:$G$11</c:f>
              <c:numCache>
                <c:formatCode>General</c:formatCode>
                <c:ptCount val="6"/>
                <c:pt idx="0">
                  <c:v>2</c:v>
                </c:pt>
                <c:pt idx="1">
                  <c:v>2</c:v>
                </c:pt>
                <c:pt idx="2">
                  <c:v>1</c:v>
                </c:pt>
                <c:pt idx="3">
                  <c:v>1</c:v>
                </c:pt>
                <c:pt idx="4">
                  <c:v>1</c:v>
                </c:pt>
                <c:pt idx="5">
                  <c:v>1</c:v>
                </c:pt>
              </c:numCache>
            </c:numRef>
          </c:val>
          <c:smooth val="0"/>
          <c:extLst>
            <c:ext xmlns:c16="http://schemas.microsoft.com/office/drawing/2014/chart" uri="{C3380CC4-5D6E-409C-BE32-E72D297353CC}">
              <c16:uniqueId val="{00000009-55C4-41D2-8154-240DC590B529}"/>
            </c:ext>
          </c:extLst>
        </c:ser>
        <c:ser>
          <c:idx val="10"/>
          <c:order val="10"/>
          <c:tx>
            <c:strRef>
              <c:f>'Swansea Bay data revised'!$A$12</c:f>
              <c:strCache>
                <c:ptCount val="1"/>
                <c:pt idx="0">
                  <c:v>Whistleblowing</c:v>
                </c:pt>
              </c:strCache>
            </c:strRef>
          </c:tx>
          <c:marker>
            <c:symbol val="none"/>
          </c:marker>
          <c:cat>
            <c:numRef>
              <c:f>'Swansea Bay data revised'!$B$1:$G$1</c:f>
              <c:numCache>
                <c:formatCode>mmm\-yy</c:formatCode>
                <c:ptCount val="6"/>
                <c:pt idx="0">
                  <c:v>45474</c:v>
                </c:pt>
                <c:pt idx="1">
                  <c:v>45505</c:v>
                </c:pt>
                <c:pt idx="2">
                  <c:v>45536</c:v>
                </c:pt>
                <c:pt idx="3">
                  <c:v>45566</c:v>
                </c:pt>
                <c:pt idx="4">
                  <c:v>45597</c:v>
                </c:pt>
                <c:pt idx="5">
                  <c:v>45627</c:v>
                </c:pt>
              </c:numCache>
            </c:numRef>
          </c:cat>
          <c:val>
            <c:numRef>
              <c:f>'Swansea Bay data revised'!$B$12:$G$12</c:f>
              <c:numCache>
                <c:formatCode>General</c:formatCode>
                <c:ptCount val="6"/>
                <c:pt idx="0">
                  <c:v>1</c:v>
                </c:pt>
                <c:pt idx="1">
                  <c:v>1</c:v>
                </c:pt>
                <c:pt idx="2">
                  <c:v>0</c:v>
                </c:pt>
                <c:pt idx="3">
                  <c:v>0</c:v>
                </c:pt>
                <c:pt idx="4">
                  <c:v>0</c:v>
                </c:pt>
                <c:pt idx="5">
                  <c:v>0</c:v>
                </c:pt>
              </c:numCache>
            </c:numRef>
          </c:val>
          <c:smooth val="0"/>
          <c:extLst>
            <c:ext xmlns:c16="http://schemas.microsoft.com/office/drawing/2014/chart" uri="{C3380CC4-5D6E-409C-BE32-E72D297353CC}">
              <c16:uniqueId val="{0000000A-55C4-41D2-8154-240DC590B529}"/>
            </c:ext>
          </c:extLst>
        </c:ser>
        <c:dLbls>
          <c:showLegendKey val="0"/>
          <c:showVal val="0"/>
          <c:showCatName val="0"/>
          <c:showSerName val="0"/>
          <c:showPercent val="0"/>
          <c:showBubbleSize val="0"/>
        </c:dLbls>
        <c:smooth val="0"/>
        <c:axId val="319380880"/>
        <c:axId val="1"/>
      </c:lineChart>
      <c:dateAx>
        <c:axId val="319380880"/>
        <c:scaling>
          <c:orientation val="minMax"/>
        </c:scaling>
        <c:delete val="0"/>
        <c:axPos val="b"/>
        <c:numFmt formatCode="mmm\-yy" sourceLinked="0"/>
        <c:majorTickMark val="out"/>
        <c:minorTickMark val="none"/>
        <c:tickLblPos val="nextTo"/>
        <c:txPr>
          <a:bodyPr rot="-5400000" vert="horz"/>
          <a:lstStyle/>
          <a:p>
            <a:pPr>
              <a:defRPr sz="800" b="0" i="0" u="none" strike="noStrike" baseline="0">
                <a:solidFill>
                  <a:srgbClr val="000000"/>
                </a:solidFill>
                <a:latin typeface="Calibri"/>
                <a:ea typeface="Calibri"/>
                <a:cs typeface="Calibri"/>
              </a:defRPr>
            </a:pPr>
            <a:endParaRPr lang="en-US"/>
          </a:p>
        </c:txPr>
        <c:crossAx val="1"/>
        <c:crosses val="autoZero"/>
        <c:auto val="1"/>
        <c:lblOffset val="100"/>
        <c:baseTimeUnit val="months"/>
        <c:majorUnit val="1"/>
      </c:dateAx>
      <c:valAx>
        <c:axId val="1"/>
        <c:scaling>
          <c:orientation val="minMax"/>
          <c:max val="65"/>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55376723651175952"/>
          <c:y val="1.3026069279470281E-2"/>
          <c:w val="0.43370962637438581"/>
          <c:h val="0.98372483260109223"/>
        </c:manualLayout>
      </c:layout>
      <c:overlay val="0"/>
      <c:txPr>
        <a:bodyPr/>
        <a:lstStyle/>
        <a:p>
          <a:pPr>
            <a:defRPr sz="90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userShapes r:id="rId2"/>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6.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7582958" cy="4667901"/>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23256DDBD408540B490657A6EB7EAFD" ma:contentTypeVersion="17" ma:contentTypeDescription="Create a new document." ma:contentTypeScope="" ma:versionID="5f9b6b4b9e850b6d4dcd68053f925a6c">
  <xsd:schema xmlns:xsd="http://www.w3.org/2001/XMLSchema" xmlns:xs="http://www.w3.org/2001/XMLSchema" xmlns:p="http://schemas.microsoft.com/office/2006/metadata/properties" xmlns:ns3="2e81050a-c09a-4fe0-81da-ae25a0763569" xmlns:ns4="1e408561-5f71-4e7b-be42-36032d68918d" targetNamespace="http://schemas.microsoft.com/office/2006/metadata/properties" ma:root="true" ma:fieldsID="ecdfc9725e5fd2ec4a22a3c4de245164" ns3:_="" ns4:_="">
    <xsd:import namespace="2e81050a-c09a-4fe0-81da-ae25a0763569"/>
    <xsd:import namespace="1e408561-5f71-4e7b-be42-36032d68918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81050a-c09a-4fe0-81da-ae25a07635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e408561-5f71-4e7b-be42-36032d68918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1e408561-5f71-4e7b-be42-36032d68918d">
      <UserInfo>
        <DisplayName>Bethan Raby (Swansea Bay UHB - Human Resources)</DisplayName>
        <AccountId>18</AccountId>
        <AccountType/>
      </UserInfo>
      <UserInfo>
        <DisplayName>Sarah Jenkins (Swansea Bay UHB - Workforce)</DisplayName>
        <AccountId>16</AccountId>
        <AccountType/>
      </UserInfo>
      <UserInfo>
        <DisplayName>Emma Owen (Swansea Bay UHB - Workforce Development)</DisplayName>
        <AccountId>15</AccountId>
        <AccountType/>
      </UserInfo>
    </SharedWithUsers>
    <_activity xmlns="2e81050a-c09a-4fe0-81da-ae25a076356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15BD4C-3B6E-40BB-9495-648E73669A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81050a-c09a-4fe0-81da-ae25a0763569"/>
    <ds:schemaRef ds:uri="1e408561-5f71-4e7b-be42-36032d68918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1336AC-2356-4CA4-9054-9BA088FCCF3C}">
  <ds:schemaRefs>
    <ds:schemaRef ds:uri="http://schemas.microsoft.com/office/2006/metadata/properties"/>
    <ds:schemaRef ds:uri="http://schemas.microsoft.com/office/infopath/2007/PartnerControls"/>
    <ds:schemaRef ds:uri="1e408561-5f71-4e7b-be42-36032d68918d"/>
    <ds:schemaRef ds:uri="2e81050a-c09a-4fe0-81da-ae25a0763569"/>
  </ds:schemaRefs>
</ds:datastoreItem>
</file>

<file path=customXml/itemProps3.xml><?xml version="1.0" encoding="utf-8"?>
<ds:datastoreItem xmlns:ds="http://schemas.openxmlformats.org/officeDocument/2006/customXml" ds:itemID="{F5BCBA8E-CF61-4B7C-890B-7F6ABA6D22C5}">
  <ds:schemaRefs>
    <ds:schemaRef ds:uri="http://schemas.microsoft.com/sharepoint/v3/contenttype/forms"/>
  </ds:schemaRefs>
</ds:datastoreItem>
</file>

<file path=customXml/itemProps4.xml><?xml version="1.0" encoding="utf-8"?>
<ds:datastoreItem xmlns:ds="http://schemas.openxmlformats.org/officeDocument/2006/customXml" ds:itemID="{5983C242-B7CA-4100-A3EF-F4D495315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3015</Words>
  <Characters>17191</Characters>
  <Application>Microsoft Office Word</Application>
  <DocSecurity>4</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20166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Sophie Herbert (Swansea Bay UHB - Corporate Governance )</cp:lastModifiedBy>
  <cp:revision>2</cp:revision>
  <cp:lastPrinted>2019-12-13T12:12:00Z</cp:lastPrinted>
  <dcterms:created xsi:type="dcterms:W3CDTF">2025-04-01T12:26:00Z</dcterms:created>
  <dcterms:modified xsi:type="dcterms:W3CDTF">2025-04-01T12:26:00Z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0x010100823256DDBD408540B490657A6EB7EAFD</vt:lpwstr>
  </property>
</Properties>
</file>