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2B48E0CF">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5-12-04T00:00:00Z">
              <w:dateFormat w:val="dd MMMM yyyy"/>
              <w:lid w:val="en-GB"/>
              <w:storeMappedDataAs w:val="dateTime"/>
              <w:calendar w:val="gregorian"/>
            </w:date>
          </w:sdtPr>
          <w:sdtEndPr>
            <w:rPr>
              <w:rStyle w:val="DefaultParagraphFont"/>
            </w:rPr>
          </w:sdtEndPr>
          <w:sdtContent>
            <w:tc>
              <w:tcPr>
                <w:tcW w:w="2835" w:type="dxa"/>
              </w:tcPr>
              <w:p w14:paraId="6D2903DF" w14:textId="29DD4D40" w:rsidR="00F5082D" w:rsidRPr="00B105BD" w:rsidRDefault="00733373" w:rsidP="00FA0CA9">
                <w:pPr>
                  <w:rPr>
                    <w:b/>
                    <w:bCs/>
                  </w:rPr>
                </w:pPr>
                <w:r>
                  <w:rPr>
                    <w:rStyle w:val="Style1"/>
                    <w:b/>
                    <w:bCs/>
                  </w:rPr>
                  <w:t>04 December 2025</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6CE59D48" w:rsidR="00F5082D" w:rsidRPr="00F8567E" w:rsidRDefault="00733373" w:rsidP="00FA0CA9">
            <w:pPr>
              <w:rPr>
                <w:b/>
              </w:rPr>
            </w:pPr>
            <w:r>
              <w:rPr>
                <w:b/>
              </w:rPr>
              <w:t>2.2</w:t>
            </w:r>
          </w:p>
        </w:tc>
      </w:tr>
      <w:tr w:rsidR="00B0479E" w:rsidRPr="00F8567E" w14:paraId="1EEB45B2" w14:textId="77777777" w:rsidTr="2B48E0CF">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EndPr>
            <w:rPr>
              <w:rStyle w:val="DefaultParagraphFont"/>
            </w:rPr>
          </w:sdtEndPr>
          <w:sdtContent>
            <w:tc>
              <w:tcPr>
                <w:tcW w:w="6044" w:type="dxa"/>
                <w:gridSpan w:val="3"/>
              </w:tcPr>
              <w:p w14:paraId="5687483E" w14:textId="6922F442" w:rsidR="00B0479E" w:rsidRPr="00EC7151" w:rsidRDefault="000C24D3" w:rsidP="00FA0CA9">
                <w:pPr>
                  <w:rPr>
                    <w:b/>
                    <w:bCs/>
                  </w:rPr>
                </w:pPr>
                <w:r>
                  <w:rPr>
                    <w:rStyle w:val="CorporateFont"/>
                    <w:b/>
                    <w:bCs/>
                  </w:rPr>
                  <w:t>Quality &amp; Safety Committee</w:t>
                </w:r>
              </w:p>
            </w:tc>
          </w:sdtContent>
        </w:sdt>
      </w:tr>
      <w:tr w:rsidR="00083FC0" w:rsidRPr="00F8567E" w14:paraId="6D2903E5" w14:textId="77777777" w:rsidTr="2B48E0CF">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16151A72" w:rsidR="00034194" w:rsidRPr="00EC7151" w:rsidRDefault="000C24D3" w:rsidP="00FA0CA9">
            <w:pPr>
              <w:rPr>
                <w:b/>
                <w:bCs/>
              </w:rPr>
            </w:pPr>
            <w:r>
              <w:rPr>
                <w:b/>
                <w:bCs/>
              </w:rPr>
              <w:t>Quality and Safety Group Report</w:t>
            </w:r>
          </w:p>
        </w:tc>
      </w:tr>
      <w:tr w:rsidR="00083FC0" w:rsidRPr="00F8567E" w14:paraId="6D2903E8" w14:textId="77777777" w:rsidTr="2B48E0CF">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28EDC69D" w:rsidR="00034194" w:rsidRPr="00F8567E" w:rsidRDefault="000C24D3" w:rsidP="00FA0CA9">
            <w:r>
              <w:t>Angharad Higgins, Head of Quality and Safety</w:t>
            </w:r>
          </w:p>
        </w:tc>
      </w:tr>
      <w:tr w:rsidR="00762BBE" w:rsidRPr="00F8567E" w14:paraId="6D2903EB" w14:textId="77777777" w:rsidTr="2B48E0CF">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or"/>
            <w:tag w:val="Choose the Sponsor"/>
            <w:id w:val="-867840978"/>
            <w:lock w:val="sdtLocked"/>
            <w:placeholder>
              <w:docPart w:val="DefaultPlaceholder_-1854013438"/>
            </w:placeholder>
            <w:dropDownList>
              <w:listItem w:displayText="Choose the Sponsor" w:value="Choose the Sponso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411CEBBE" w:rsidR="00762BBE" w:rsidRPr="00F8567E" w:rsidRDefault="000C24D3" w:rsidP="00762BBE">
                <w:r>
                  <w:rPr>
                    <w:rStyle w:val="Style1"/>
                  </w:rPr>
                  <w:t>Executive Director of Nursing and Patient Experience</w:t>
                </w:r>
              </w:p>
            </w:tc>
          </w:sdtContent>
        </w:sdt>
      </w:tr>
      <w:tr w:rsidR="00762BBE" w:rsidRPr="00F8567E" w14:paraId="6D2903EE" w14:textId="77777777" w:rsidTr="2B48E0CF">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789BC9DD" w:rsidR="00762BBE" w:rsidRPr="00F8567E" w:rsidRDefault="000C24D3" w:rsidP="00762BBE">
            <w:r>
              <w:t>Elizabeth Rix</w:t>
            </w:r>
          </w:p>
        </w:tc>
      </w:tr>
      <w:tr w:rsidR="00653AEC" w:rsidRPr="00F8567E" w14:paraId="6D2903F1" w14:textId="77777777" w:rsidTr="2B48E0CF">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7D838154" w:rsidR="00850C29" w:rsidRPr="00F618CD" w:rsidRDefault="000C24D3" w:rsidP="004222DD">
                <w:r>
                  <w:rPr>
                    <w:rStyle w:val="Style1"/>
                  </w:rPr>
                  <w:t>Open</w:t>
                </w:r>
              </w:p>
            </w:sdtContent>
          </w:sdt>
        </w:tc>
      </w:tr>
      <w:tr w:rsidR="00041CF6" w:rsidRPr="00F8567E" w14:paraId="3533518D" w14:textId="77777777" w:rsidTr="2B48E0CF">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2B48E0CF">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2B48E0CF">
        <w:tc>
          <w:tcPr>
            <w:tcW w:w="5812" w:type="dxa"/>
            <w:gridSpan w:val="2"/>
          </w:tcPr>
          <w:p w14:paraId="5E84E502" w14:textId="15AE0911" w:rsidR="00A35122" w:rsidRPr="00737883" w:rsidRDefault="000C24D3" w:rsidP="00110100">
            <w:pPr>
              <w:rPr>
                <w:b/>
                <w:color w:val="FF0000"/>
              </w:rPr>
            </w:pPr>
            <w:r w:rsidRPr="000C24D3">
              <w:rPr>
                <w:color w:val="000000" w:themeColor="text1"/>
              </w:rPr>
              <w:t>Not required</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2B48E0CF">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50E9C4A3" w:rsidR="00EA4667" w:rsidRPr="005F4E71" w:rsidRDefault="000C24D3">
                <w:pPr>
                  <w:ind w:right="96"/>
                </w:pPr>
                <w:r>
                  <w:rPr>
                    <w:rStyle w:val="Style1"/>
                  </w:rPr>
                  <w:t>For Assurance</w:t>
                </w:r>
              </w:p>
            </w:tc>
          </w:sdtContent>
        </w:sdt>
      </w:tr>
      <w:tr w:rsidR="00110100" w:rsidRPr="00F8567E" w14:paraId="2607A37D" w14:textId="77777777" w:rsidTr="2B48E0CF">
        <w:tc>
          <w:tcPr>
            <w:tcW w:w="9021" w:type="dxa"/>
            <w:gridSpan w:val="4"/>
            <w:shd w:val="clear" w:color="auto" w:fill="C1A775"/>
          </w:tcPr>
          <w:p w14:paraId="213FC224" w14:textId="4833FD62" w:rsidR="00110100" w:rsidRPr="000C24D3" w:rsidRDefault="00110100" w:rsidP="00110100">
            <w:pPr>
              <w:rPr>
                <w:color w:val="FF0000"/>
              </w:rPr>
            </w:pPr>
            <w:r w:rsidRPr="000C24D3">
              <w:rPr>
                <w:b/>
              </w:rPr>
              <w:t>Report Summary; detailing any action required</w:t>
            </w:r>
          </w:p>
        </w:tc>
      </w:tr>
      <w:tr w:rsidR="000C24D3" w:rsidRPr="00F8567E" w14:paraId="6D2903F8" w14:textId="77777777" w:rsidTr="2B48E0CF">
        <w:tc>
          <w:tcPr>
            <w:tcW w:w="9021" w:type="dxa"/>
            <w:gridSpan w:val="4"/>
            <w:vAlign w:val="center"/>
          </w:tcPr>
          <w:p w14:paraId="6D2903F7" w14:textId="33298924" w:rsidR="000C24D3" w:rsidRPr="000C24D3" w:rsidRDefault="000C24D3" w:rsidP="000C24D3">
            <w:pPr>
              <w:rPr>
                <w:b/>
                <w:color w:val="FF0000"/>
              </w:rPr>
            </w:pPr>
            <w:r w:rsidRPr="00664E0B">
              <w:rPr>
                <w:rFonts w:eastAsia="Verdana Pro"/>
                <w:color w:val="000000" w:themeColor="text1"/>
              </w:rPr>
              <w:t>The purpose of this report is to provide an overview of the matters identified by Quality and Safety Group (QSG) to be brought to the attention of the Quality and Safety Committee and following discussions at the meetings held in the period.</w:t>
            </w:r>
          </w:p>
        </w:tc>
      </w:tr>
      <w:tr w:rsidR="000C24D3" w:rsidRPr="00F8567E" w14:paraId="70491417" w14:textId="77777777" w:rsidTr="2B48E0CF">
        <w:tc>
          <w:tcPr>
            <w:tcW w:w="9021" w:type="dxa"/>
            <w:gridSpan w:val="4"/>
            <w:shd w:val="clear" w:color="auto" w:fill="C1A775"/>
          </w:tcPr>
          <w:p w14:paraId="012E824A" w14:textId="7C1EDF26" w:rsidR="000C24D3" w:rsidRPr="00D16C84" w:rsidRDefault="000C24D3" w:rsidP="000C24D3">
            <w:pPr>
              <w:rPr>
                <w:b/>
              </w:rPr>
            </w:pPr>
            <w:r w:rsidRPr="00F8567E">
              <w:rPr>
                <w:b/>
              </w:rPr>
              <w:t>Key Issues</w:t>
            </w:r>
          </w:p>
        </w:tc>
      </w:tr>
      <w:tr w:rsidR="000C24D3" w:rsidRPr="00F8567E" w14:paraId="6D290402" w14:textId="77777777" w:rsidTr="2B48E0CF">
        <w:trPr>
          <w:trHeight w:val="2452"/>
        </w:trPr>
        <w:tc>
          <w:tcPr>
            <w:tcW w:w="9021" w:type="dxa"/>
            <w:gridSpan w:val="4"/>
          </w:tcPr>
          <w:p w14:paraId="04F43E1B" w14:textId="77777777" w:rsidR="00664E0B" w:rsidRPr="00664E0B" w:rsidRDefault="00664E0B" w:rsidP="00664E0B">
            <w:pPr>
              <w:spacing w:line="300" w:lineRule="atLeast"/>
              <w:rPr>
                <w:rFonts w:eastAsia="Times New Roman" w:cs="Segoe UI"/>
                <w:lang w:eastAsia="en-GB"/>
              </w:rPr>
            </w:pPr>
            <w:r w:rsidRPr="00664E0B">
              <w:rPr>
                <w:rFonts w:eastAsia="Times New Roman" w:cs="Segoe UI"/>
                <w:lang w:eastAsia="en-GB"/>
              </w:rPr>
              <w:t>The report highlights key quality and safety risks, including</w:t>
            </w:r>
          </w:p>
          <w:p w14:paraId="5FEA498A" w14:textId="02C4AABE" w:rsidR="00664E0B" w:rsidRDefault="00664E0B" w:rsidP="00664E0B">
            <w:pPr>
              <w:pStyle w:val="ListParagraph"/>
              <w:numPr>
                <w:ilvl w:val="0"/>
                <w:numId w:val="12"/>
              </w:numPr>
              <w:spacing w:line="300" w:lineRule="atLeast"/>
              <w:rPr>
                <w:rFonts w:eastAsia="Times New Roman" w:cs="Segoe UI"/>
                <w:lang w:eastAsia="en-GB"/>
              </w:rPr>
            </w:pPr>
            <w:r w:rsidRPr="00664E0B">
              <w:rPr>
                <w:rFonts w:eastAsia="Times New Roman" w:cs="Segoe UI"/>
                <w:lang w:eastAsia="en-GB"/>
              </w:rPr>
              <w:t xml:space="preserve">Risk in relation to overnight Major Trauma Desk </w:t>
            </w:r>
            <w:r w:rsidR="00FF6342">
              <w:rPr>
                <w:rFonts w:eastAsia="Times New Roman" w:cs="Segoe UI"/>
                <w:lang w:eastAsia="en-GB"/>
              </w:rPr>
              <w:t xml:space="preserve">co-ordination </w:t>
            </w:r>
            <w:r w:rsidRPr="00664E0B">
              <w:rPr>
                <w:rFonts w:eastAsia="Times New Roman" w:cs="Segoe UI"/>
                <w:lang w:eastAsia="en-GB"/>
              </w:rPr>
              <w:t>cover</w:t>
            </w:r>
          </w:p>
          <w:p w14:paraId="4713C5A1" w14:textId="67B7EE91" w:rsidR="00664E0B" w:rsidRDefault="00664E0B" w:rsidP="00664E0B">
            <w:pPr>
              <w:pStyle w:val="ListParagraph"/>
              <w:numPr>
                <w:ilvl w:val="0"/>
                <w:numId w:val="12"/>
              </w:numPr>
              <w:spacing w:line="300" w:lineRule="atLeast"/>
              <w:rPr>
                <w:rFonts w:eastAsia="Times New Roman" w:cs="Segoe UI"/>
                <w:lang w:eastAsia="en-GB"/>
              </w:rPr>
            </w:pPr>
            <w:r w:rsidRPr="00664E0B">
              <w:rPr>
                <w:rFonts w:eastAsia="Times New Roman" w:cs="Segoe UI"/>
                <w:lang w:eastAsia="en-GB"/>
              </w:rPr>
              <w:t>There are governance concerns, with non-quorate meetings reducing effective oversight and decision-making.</w:t>
            </w:r>
          </w:p>
          <w:p w14:paraId="1371BDF5" w14:textId="3BCA610B" w:rsidR="00664E0B" w:rsidRDefault="00664E0B" w:rsidP="00664E0B">
            <w:pPr>
              <w:pStyle w:val="ListParagraph"/>
              <w:numPr>
                <w:ilvl w:val="0"/>
                <w:numId w:val="12"/>
              </w:numPr>
              <w:spacing w:line="300" w:lineRule="atLeast"/>
              <w:rPr>
                <w:rFonts w:eastAsia="Times New Roman" w:cs="Segoe UI"/>
                <w:lang w:eastAsia="en-GB"/>
              </w:rPr>
            </w:pPr>
            <w:r w:rsidRPr="00664E0B">
              <w:rPr>
                <w:rFonts w:eastAsia="Times New Roman" w:cs="Segoe UI"/>
                <w:lang w:eastAsia="en-GB"/>
              </w:rPr>
              <w:t xml:space="preserve">Areas of non-compliance with </w:t>
            </w:r>
            <w:r>
              <w:rPr>
                <w:rFonts w:eastAsia="Times New Roman" w:cs="Segoe UI"/>
                <w:lang w:eastAsia="en-GB"/>
              </w:rPr>
              <w:t>national clinical</w:t>
            </w:r>
            <w:r w:rsidRPr="00664E0B">
              <w:rPr>
                <w:rFonts w:eastAsia="Times New Roman" w:cs="Segoe UI"/>
                <w:lang w:eastAsia="en-GB"/>
              </w:rPr>
              <w:t xml:space="preserve"> guidance </w:t>
            </w:r>
          </w:p>
          <w:p w14:paraId="73D549E2" w14:textId="5769DDE0" w:rsidR="00664E0B" w:rsidRPr="00664E0B" w:rsidRDefault="00664E0B" w:rsidP="00664E0B">
            <w:pPr>
              <w:pStyle w:val="ListParagraph"/>
              <w:numPr>
                <w:ilvl w:val="0"/>
                <w:numId w:val="12"/>
              </w:numPr>
              <w:spacing w:line="300" w:lineRule="atLeast"/>
              <w:rPr>
                <w:rFonts w:eastAsia="Times New Roman" w:cs="Segoe UI"/>
                <w:lang w:eastAsia="en-GB"/>
              </w:rPr>
            </w:pPr>
            <w:r w:rsidRPr="00664E0B">
              <w:rPr>
                <w:rFonts w:eastAsia="Times New Roman" w:cs="Segoe UI"/>
                <w:lang w:eastAsia="en-GB"/>
              </w:rPr>
              <w:t>Operational pressures including backlogs in concerns management</w:t>
            </w:r>
          </w:p>
          <w:p w14:paraId="56467308" w14:textId="77777777" w:rsidR="00664E0B" w:rsidRDefault="00664E0B" w:rsidP="00664E0B">
            <w:pPr>
              <w:pStyle w:val="ListParagraph"/>
              <w:numPr>
                <w:ilvl w:val="0"/>
                <w:numId w:val="12"/>
              </w:numPr>
              <w:spacing w:line="300" w:lineRule="atLeast"/>
              <w:rPr>
                <w:rFonts w:eastAsia="Times New Roman" w:cs="Segoe UI"/>
                <w:lang w:eastAsia="en-GB"/>
              </w:rPr>
            </w:pPr>
            <w:r w:rsidRPr="00664E0B">
              <w:rPr>
                <w:rFonts w:eastAsia="Times New Roman" w:cs="Segoe UI"/>
                <w:lang w:eastAsia="en-GB"/>
              </w:rPr>
              <w:t xml:space="preserve">Progress against the Joint Commissioning Committee action plan for mental health services. </w:t>
            </w:r>
          </w:p>
          <w:p w14:paraId="6D290401" w14:textId="2F5A188B" w:rsidR="000C24D3" w:rsidRPr="00737883" w:rsidRDefault="000C24D3" w:rsidP="000C24D3">
            <w:pPr>
              <w:rPr>
                <w:b/>
                <w:color w:val="FF0000"/>
              </w:rPr>
            </w:pPr>
          </w:p>
        </w:tc>
      </w:tr>
      <w:tr w:rsidR="000C24D3" w:rsidRPr="00F8567E" w14:paraId="78C95897" w14:textId="77777777" w:rsidTr="2B48E0CF">
        <w:tc>
          <w:tcPr>
            <w:tcW w:w="2977" w:type="dxa"/>
            <w:shd w:val="clear" w:color="auto" w:fill="C1A775"/>
          </w:tcPr>
          <w:p w14:paraId="1B78D4FE" w14:textId="54876F52" w:rsidR="000C24D3" w:rsidRPr="00F8567E" w:rsidRDefault="000C24D3" w:rsidP="000C24D3">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0272E64604E347AFA7247E36AB88F33D"/>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2D99A7ED" w:rsidR="000C24D3" w:rsidRPr="00F8567E" w:rsidRDefault="000C24D3" w:rsidP="000C24D3">
                <w:pPr>
                  <w:rPr>
                    <w:b/>
                  </w:rPr>
                </w:pPr>
                <w:r>
                  <w:rPr>
                    <w:rStyle w:val="Style1"/>
                  </w:rPr>
                  <w:t>No</w:t>
                </w:r>
              </w:p>
            </w:sdtContent>
          </w:sdt>
        </w:tc>
      </w:tr>
      <w:tr w:rsidR="000C24D3" w:rsidRPr="00F8567E" w14:paraId="4682E8B7" w14:textId="77777777" w:rsidTr="2B48E0CF">
        <w:tc>
          <w:tcPr>
            <w:tcW w:w="9021" w:type="dxa"/>
            <w:gridSpan w:val="4"/>
            <w:shd w:val="clear" w:color="auto" w:fill="C1A775"/>
          </w:tcPr>
          <w:p w14:paraId="155705B7" w14:textId="5CCD1FFB" w:rsidR="000C24D3" w:rsidRPr="00061E86" w:rsidRDefault="000C24D3" w:rsidP="000C24D3">
            <w:pPr>
              <w:rPr>
                <w:b/>
              </w:rPr>
            </w:pPr>
            <w:r w:rsidRPr="00F8567E">
              <w:rPr>
                <w:b/>
              </w:rPr>
              <w:t>Recommendations</w:t>
            </w:r>
          </w:p>
        </w:tc>
      </w:tr>
      <w:tr w:rsidR="000C24D3" w:rsidRPr="00F8567E" w14:paraId="6D290418" w14:textId="77777777" w:rsidTr="2B48E0CF">
        <w:tc>
          <w:tcPr>
            <w:tcW w:w="9021" w:type="dxa"/>
            <w:gridSpan w:val="4"/>
          </w:tcPr>
          <w:p w14:paraId="6D290412" w14:textId="77777777" w:rsidR="000C24D3" w:rsidRPr="00FF6342" w:rsidRDefault="000C24D3" w:rsidP="00FF6342">
            <w:pPr>
              <w:shd w:val="clear" w:color="auto" w:fill="FFFFFF" w:themeFill="background1"/>
              <w:ind w:right="96"/>
              <w:rPr>
                <w:color w:val="000000" w:themeColor="text1"/>
              </w:rPr>
            </w:pPr>
            <w:r w:rsidRPr="00FF6342">
              <w:rPr>
                <w:color w:val="000000" w:themeColor="text1"/>
              </w:rPr>
              <w:t>Members are asked to:</w:t>
            </w:r>
          </w:p>
          <w:p w14:paraId="6D290414" w14:textId="2B4A8937" w:rsidR="000C24D3" w:rsidRPr="00FF6342" w:rsidRDefault="000C24D3" w:rsidP="00FF6342">
            <w:pPr>
              <w:pStyle w:val="ListParagraph"/>
              <w:shd w:val="clear" w:color="auto" w:fill="FFFFFF" w:themeFill="background1"/>
              <w:ind w:right="96"/>
              <w:rPr>
                <w:b/>
                <w:color w:val="000000" w:themeColor="text1"/>
              </w:rPr>
            </w:pPr>
          </w:p>
          <w:p w14:paraId="6D290415" w14:textId="6B687D76" w:rsidR="000C24D3" w:rsidRPr="001E6F3B" w:rsidRDefault="00FF6342" w:rsidP="2B48E0CF">
            <w:pPr>
              <w:pStyle w:val="ListParagraph"/>
              <w:numPr>
                <w:ilvl w:val="0"/>
                <w:numId w:val="1"/>
              </w:numPr>
              <w:shd w:val="clear" w:color="auto" w:fill="FFFFFF" w:themeFill="background1"/>
              <w:ind w:right="96"/>
              <w:rPr>
                <w:b/>
                <w:bCs/>
              </w:rPr>
            </w:pPr>
            <w:r w:rsidRPr="2B48E0CF">
              <w:rPr>
                <w:b/>
                <w:bCs/>
              </w:rPr>
              <w:t xml:space="preserve">RECEIVE </w:t>
            </w:r>
            <w:r w:rsidRPr="2B48E0CF">
              <w:t>this report and the risks and progress noted within it.</w:t>
            </w:r>
          </w:p>
          <w:p w14:paraId="6D290417" w14:textId="77777777" w:rsidR="000C24D3" w:rsidRPr="00F8567E" w:rsidRDefault="000C24D3" w:rsidP="000C24D3">
            <w:pPr>
              <w:ind w:right="96"/>
            </w:pPr>
          </w:p>
        </w:tc>
      </w:tr>
    </w:tbl>
    <w:p w14:paraId="6D29041A" w14:textId="1062259F" w:rsidR="00653AEC" w:rsidRPr="00F8567E" w:rsidRDefault="0020539A" w:rsidP="00653AEC">
      <w:pPr>
        <w:spacing w:after="0" w:line="240" w:lineRule="auto"/>
        <w:jc w:val="center"/>
        <w:rPr>
          <w:b/>
        </w:rPr>
      </w:pPr>
      <w:r w:rsidRPr="00F8567E">
        <w:br w:type="page"/>
      </w:r>
      <w:r w:rsidR="000C24D3">
        <w:rPr>
          <w:b/>
        </w:rPr>
        <w:t>Quality and Safety Group Bi-monthly Report</w:t>
      </w:r>
    </w:p>
    <w:p w14:paraId="6D29041B" w14:textId="77777777" w:rsidR="00653AEC" w:rsidRPr="00F8567E" w:rsidRDefault="00653AEC" w:rsidP="00653AEC">
      <w:pPr>
        <w:spacing w:after="0" w:line="240" w:lineRule="auto"/>
        <w:jc w:val="center"/>
        <w:rPr>
          <w:b/>
        </w:rPr>
      </w:pPr>
    </w:p>
    <w:p w14:paraId="6D29041C" w14:textId="77777777" w:rsidR="00653AEC" w:rsidRPr="00F8567E" w:rsidRDefault="00653AEC" w:rsidP="00653AEC">
      <w:pPr>
        <w:pStyle w:val="ListParagraph"/>
        <w:numPr>
          <w:ilvl w:val="0"/>
          <w:numId w:val="2"/>
        </w:numPr>
        <w:spacing w:after="0" w:line="240" w:lineRule="auto"/>
        <w:rPr>
          <w:b/>
        </w:rPr>
      </w:pPr>
      <w:r w:rsidRPr="00F8567E">
        <w:rPr>
          <w:b/>
        </w:rPr>
        <w:t>INTRODUCTION</w:t>
      </w:r>
    </w:p>
    <w:p w14:paraId="6D29041D" w14:textId="61E4CED2" w:rsidR="00653AEC" w:rsidRPr="000C24D3" w:rsidRDefault="000C24D3" w:rsidP="004221DC">
      <w:pPr>
        <w:spacing w:after="0" w:line="240" w:lineRule="auto"/>
        <w:jc w:val="both"/>
        <w:rPr>
          <w:b/>
          <w:color w:val="000000" w:themeColor="text1"/>
        </w:rPr>
      </w:pPr>
      <w:r w:rsidRPr="000C24D3">
        <w:rPr>
          <w:color w:val="000000" w:themeColor="text1"/>
        </w:rPr>
        <w:t xml:space="preserve">Quality and Safety Group </w:t>
      </w:r>
      <w:r w:rsidR="00450A45">
        <w:rPr>
          <w:color w:val="000000" w:themeColor="text1"/>
        </w:rPr>
        <w:t xml:space="preserve">(QSG) </w:t>
      </w:r>
      <w:r w:rsidRPr="000C24D3">
        <w:rPr>
          <w:color w:val="000000" w:themeColor="text1"/>
        </w:rPr>
        <w:t>meets monthly to provide oversight and escalation of the quality and safety of patient care. This report summarises the discussions from the April and May meetings using the agreed 3As format.</w:t>
      </w:r>
    </w:p>
    <w:p w14:paraId="6D29041E" w14:textId="77777777" w:rsidR="00653AEC" w:rsidRPr="00F8567E" w:rsidRDefault="00653AEC" w:rsidP="00653AEC">
      <w:pPr>
        <w:pStyle w:val="ListParagraph"/>
        <w:spacing w:after="0" w:line="240" w:lineRule="auto"/>
        <w:rPr>
          <w:b/>
        </w:rPr>
      </w:pPr>
    </w:p>
    <w:p w14:paraId="6D29041F" w14:textId="77777777" w:rsidR="00653AEC" w:rsidRPr="00F8567E" w:rsidRDefault="00653AEC" w:rsidP="00653AEC">
      <w:pPr>
        <w:pStyle w:val="ListParagraph"/>
        <w:numPr>
          <w:ilvl w:val="0"/>
          <w:numId w:val="2"/>
        </w:numPr>
        <w:spacing w:after="0" w:line="240" w:lineRule="auto"/>
        <w:rPr>
          <w:b/>
        </w:rPr>
      </w:pPr>
      <w:r w:rsidRPr="00F8567E">
        <w:rPr>
          <w:b/>
        </w:rPr>
        <w:t>BACKGROUND</w:t>
      </w:r>
    </w:p>
    <w:p w14:paraId="6D290421" w14:textId="05927621" w:rsidR="00653AEC" w:rsidRDefault="00653AEC" w:rsidP="000C24D3">
      <w:pPr>
        <w:spacing w:after="0" w:line="240" w:lineRule="auto"/>
        <w:rPr>
          <w:b/>
        </w:rPr>
      </w:pPr>
    </w:p>
    <w:tbl>
      <w:tblPr>
        <w:tblStyle w:val="TableGrid1"/>
        <w:tblW w:w="8985"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198"/>
        <w:gridCol w:w="6787"/>
      </w:tblGrid>
      <w:tr w:rsidR="000C24D3" w:rsidRPr="000C24D3" w14:paraId="4CC58A7F" w14:textId="77777777" w:rsidTr="1ADD2D89">
        <w:trPr>
          <w:trHeight w:val="300"/>
        </w:trPr>
        <w:tc>
          <w:tcPr>
            <w:tcW w:w="2070" w:type="dxa"/>
            <w:shd w:val="clear" w:color="auto" w:fill="FF9999"/>
            <w:tcMar>
              <w:left w:w="105" w:type="dxa"/>
              <w:right w:w="105" w:type="dxa"/>
            </w:tcMar>
            <w:vAlign w:val="center"/>
          </w:tcPr>
          <w:p w14:paraId="264D3EBE" w14:textId="77777777" w:rsidR="000C24D3" w:rsidRPr="000C24D3" w:rsidRDefault="000C24D3" w:rsidP="000C24D3">
            <w:pPr>
              <w:rPr>
                <w:rFonts w:ascii="Verdana" w:hAnsi="Verdana"/>
                <w:sz w:val="22"/>
                <w:szCs w:val="22"/>
              </w:rPr>
            </w:pPr>
            <w:r w:rsidRPr="000C24D3">
              <w:rPr>
                <w:rFonts w:ascii="Verdana" w:hAnsi="Verdana"/>
                <w:sz w:val="22"/>
                <w:szCs w:val="22"/>
              </w:rPr>
              <w:t>Alert</w:t>
            </w:r>
          </w:p>
        </w:tc>
        <w:tc>
          <w:tcPr>
            <w:tcW w:w="6390" w:type="dxa"/>
            <w:tcMar>
              <w:left w:w="105" w:type="dxa"/>
              <w:right w:w="105" w:type="dxa"/>
            </w:tcMar>
            <w:vAlign w:val="center"/>
          </w:tcPr>
          <w:p w14:paraId="77200C88" w14:textId="3E5FD6BC" w:rsidR="000C24D3" w:rsidRPr="000C24D3" w:rsidRDefault="000C24D3" w:rsidP="00450A45">
            <w:pPr>
              <w:rPr>
                <w:rFonts w:ascii="Verdana" w:hAnsi="Verdana"/>
                <w:sz w:val="22"/>
                <w:szCs w:val="22"/>
              </w:rPr>
            </w:pPr>
            <w:r w:rsidRPr="000C24D3">
              <w:rPr>
                <w:rFonts w:ascii="Verdana" w:hAnsi="Verdana"/>
                <w:sz w:val="22"/>
                <w:szCs w:val="22"/>
              </w:rPr>
              <w:t>Major Trauma Network: Significant patient safety risk identified relating to the sustainability of the Major Trauma Desk, particularly out-of-hours cover. Current funding arrangements risk withdrawal of overnight coordination, with potential impact on patient outcomes and system resilience. Ongoing engagement with Welsh Government, Joint Commissioning Committee, Welsh Ambulance Service Trust and Emergency Medical Retrieval and Transfer Service continues, but escalation is required.</w:t>
            </w:r>
            <w:r w:rsidRPr="000C24D3">
              <w:rPr>
                <w:rFonts w:ascii="Verdana" w:hAnsi="Verdana"/>
                <w:sz w:val="22"/>
                <w:szCs w:val="22"/>
              </w:rPr>
              <w:br/>
            </w:r>
            <w:r w:rsidRPr="000C24D3">
              <w:rPr>
                <w:rFonts w:ascii="Verdana" w:hAnsi="Verdana"/>
                <w:sz w:val="22"/>
                <w:szCs w:val="22"/>
              </w:rPr>
              <w:br/>
              <w:t>Patient Travel Policy: Resubmitted policy was not in the approved corporate template and lacked clear assurance on consultation and compliance; unable to be assured at this time and requires further revision prior to approval. A meeting has been arranged to support the service in using the correct process in policy drafting.</w:t>
            </w:r>
            <w:r w:rsidRPr="000C24D3">
              <w:rPr>
                <w:rFonts w:ascii="Verdana" w:hAnsi="Verdana"/>
                <w:sz w:val="22"/>
                <w:szCs w:val="22"/>
              </w:rPr>
              <w:br/>
            </w:r>
            <w:r w:rsidRPr="000C24D3">
              <w:rPr>
                <w:rFonts w:ascii="Verdana" w:hAnsi="Verdana"/>
                <w:sz w:val="22"/>
                <w:szCs w:val="22"/>
              </w:rPr>
              <w:br/>
              <w:t>Governance: April</w:t>
            </w:r>
            <w:r w:rsidR="00450A45">
              <w:rPr>
                <w:rFonts w:ascii="Verdana" w:hAnsi="Verdana"/>
                <w:sz w:val="22"/>
                <w:szCs w:val="22"/>
              </w:rPr>
              <w:t xml:space="preserve"> and May</w:t>
            </w:r>
            <w:r w:rsidRPr="000C24D3">
              <w:rPr>
                <w:rFonts w:ascii="Verdana" w:hAnsi="Verdana"/>
                <w:sz w:val="22"/>
                <w:szCs w:val="22"/>
              </w:rPr>
              <w:t xml:space="preserve"> meeting</w:t>
            </w:r>
            <w:r w:rsidR="00450A45">
              <w:rPr>
                <w:rFonts w:ascii="Verdana" w:hAnsi="Verdana"/>
                <w:sz w:val="22"/>
                <w:szCs w:val="22"/>
              </w:rPr>
              <w:t>s were</w:t>
            </w:r>
            <w:r w:rsidRPr="000C24D3">
              <w:rPr>
                <w:rFonts w:ascii="Verdana" w:hAnsi="Verdana"/>
                <w:sz w:val="22"/>
                <w:szCs w:val="22"/>
              </w:rPr>
              <w:t xml:space="preserve"> not quorate due to absence of required members</w:t>
            </w:r>
            <w:r w:rsidR="00450A45">
              <w:rPr>
                <w:rFonts w:ascii="Verdana" w:hAnsi="Verdana"/>
                <w:sz w:val="22"/>
                <w:szCs w:val="22"/>
              </w:rPr>
              <w:t>.</w:t>
            </w:r>
            <w:r w:rsidRPr="000C24D3">
              <w:rPr>
                <w:rFonts w:ascii="Verdana" w:hAnsi="Verdana"/>
                <w:sz w:val="22"/>
                <w:szCs w:val="22"/>
              </w:rPr>
              <w:t xml:space="preserve"> A working group chaired by the Executive Medical Director and Executive Director of Nursing and Patient Experience is being arranged to discuss the functioning of QSG and how to address the risks related to attendance.</w:t>
            </w:r>
          </w:p>
          <w:p w14:paraId="238DAC3A" w14:textId="77777777" w:rsidR="000C24D3" w:rsidRPr="000C24D3" w:rsidRDefault="000C24D3" w:rsidP="000C24D3">
            <w:pPr>
              <w:rPr>
                <w:rFonts w:ascii="Verdana" w:hAnsi="Verdana"/>
                <w:sz w:val="22"/>
                <w:szCs w:val="22"/>
              </w:rPr>
            </w:pPr>
          </w:p>
          <w:p w14:paraId="0D14F96D" w14:textId="77777777" w:rsidR="000C24D3" w:rsidRPr="000C24D3" w:rsidRDefault="000C24D3" w:rsidP="000C24D3">
            <w:pPr>
              <w:rPr>
                <w:rFonts w:ascii="Verdana" w:hAnsi="Verdana"/>
                <w:b/>
                <w:bCs/>
                <w:sz w:val="22"/>
                <w:szCs w:val="22"/>
              </w:rPr>
            </w:pPr>
            <w:r w:rsidRPr="000C24D3">
              <w:rPr>
                <w:rFonts w:ascii="Verdana" w:hAnsi="Verdana"/>
                <w:sz w:val="22"/>
                <w:szCs w:val="22"/>
              </w:rPr>
              <w:t>Compliance with National Institute for Clinical Effective Care (NICE) and Health Technology Wales (HTW) guidance: The Clinical Outcomes and Effectiveness Group escalated non-compliance with 8 areas of guidance. Morriston and Neath Port Talbot Service Group representatives were asked to escalate this within their groups.</w:t>
            </w:r>
          </w:p>
          <w:p w14:paraId="78B18198" w14:textId="77777777" w:rsidR="000C24D3" w:rsidRPr="000C24D3" w:rsidRDefault="000C24D3" w:rsidP="000C24D3">
            <w:pPr>
              <w:rPr>
                <w:rFonts w:ascii="Verdana" w:hAnsi="Verdana"/>
                <w:b/>
                <w:bCs/>
                <w:sz w:val="22"/>
                <w:szCs w:val="22"/>
              </w:rPr>
            </w:pPr>
          </w:p>
        </w:tc>
      </w:tr>
      <w:tr w:rsidR="000C24D3" w:rsidRPr="000C24D3" w14:paraId="5D1F4D0A" w14:textId="77777777" w:rsidTr="1ADD2D89">
        <w:trPr>
          <w:trHeight w:val="300"/>
        </w:trPr>
        <w:tc>
          <w:tcPr>
            <w:tcW w:w="2070" w:type="dxa"/>
            <w:tcBorders>
              <w:bottom w:val="single" w:sz="6" w:space="0" w:color="auto"/>
            </w:tcBorders>
            <w:shd w:val="clear" w:color="auto" w:fill="FFCC66"/>
            <w:tcMar>
              <w:left w:w="105" w:type="dxa"/>
              <w:right w:w="105" w:type="dxa"/>
            </w:tcMar>
            <w:vAlign w:val="center"/>
          </w:tcPr>
          <w:p w14:paraId="515F01BA" w14:textId="77777777" w:rsidR="000C24D3" w:rsidRPr="000C24D3" w:rsidRDefault="000C24D3" w:rsidP="000C24D3">
            <w:pPr>
              <w:rPr>
                <w:rFonts w:ascii="Verdana" w:hAnsi="Verdana"/>
                <w:sz w:val="22"/>
                <w:szCs w:val="22"/>
              </w:rPr>
            </w:pPr>
            <w:r w:rsidRPr="000C24D3">
              <w:rPr>
                <w:rFonts w:ascii="Verdana" w:hAnsi="Verdana"/>
                <w:sz w:val="22"/>
                <w:szCs w:val="22"/>
              </w:rPr>
              <w:t>Awareness</w:t>
            </w:r>
          </w:p>
        </w:tc>
        <w:tc>
          <w:tcPr>
            <w:tcW w:w="6390" w:type="dxa"/>
            <w:tcMar>
              <w:left w:w="105" w:type="dxa"/>
              <w:right w:w="105" w:type="dxa"/>
            </w:tcMar>
            <w:vAlign w:val="center"/>
          </w:tcPr>
          <w:p w14:paraId="4CA3D571" w14:textId="05AE3833" w:rsidR="000C24D3" w:rsidRPr="000C24D3" w:rsidRDefault="000C24D3" w:rsidP="000C24D3">
            <w:pPr>
              <w:rPr>
                <w:rFonts w:ascii="Verdana" w:hAnsi="Verdana"/>
                <w:sz w:val="22"/>
                <w:szCs w:val="22"/>
              </w:rPr>
            </w:pPr>
            <w:r w:rsidRPr="000C24D3">
              <w:rPr>
                <w:rFonts w:ascii="Verdana" w:hAnsi="Verdana"/>
                <w:sz w:val="22"/>
                <w:szCs w:val="22"/>
              </w:rPr>
              <w:t xml:space="preserve">Patient </w:t>
            </w:r>
            <w:r w:rsidR="00450A45">
              <w:rPr>
                <w:rFonts w:ascii="Verdana" w:hAnsi="Verdana"/>
                <w:sz w:val="22"/>
                <w:szCs w:val="22"/>
              </w:rPr>
              <w:t>Voice</w:t>
            </w:r>
            <w:r w:rsidRPr="000C24D3">
              <w:rPr>
                <w:rFonts w:ascii="Verdana" w:hAnsi="Verdana"/>
                <w:sz w:val="22"/>
                <w:szCs w:val="22"/>
              </w:rPr>
              <w:t>: A powerful Mental Health (MHLD) veteran experience (‘Fragments of Yesterday’) highlighted the impact of timely specialist psychological care and inequalities in veterans’ service funding across Wales. Learning identified for wider organisational sharing.</w:t>
            </w:r>
            <w:r w:rsidRPr="000C24D3">
              <w:rPr>
                <w:rFonts w:ascii="Verdana" w:hAnsi="Verdana"/>
                <w:sz w:val="22"/>
                <w:szCs w:val="22"/>
              </w:rPr>
              <w:br/>
            </w:r>
            <w:r w:rsidRPr="000C24D3">
              <w:rPr>
                <w:rFonts w:ascii="Verdana" w:hAnsi="Verdana"/>
                <w:sz w:val="22"/>
                <w:szCs w:val="22"/>
              </w:rPr>
              <w:br/>
              <w:t>Controlled Drugs: Bi-annual and quarterly updates from MHLD, Morriston and Neath Port Talbot Singleton service groups provided assurance of statutory compliance, with recurring themes relating to documentation, administration, storage and human factors; no patient harm identified.</w:t>
            </w:r>
            <w:r w:rsidRPr="000C24D3">
              <w:rPr>
                <w:rFonts w:ascii="Verdana" w:hAnsi="Verdana"/>
                <w:sz w:val="22"/>
                <w:szCs w:val="22"/>
              </w:rPr>
              <w:br/>
            </w:r>
            <w:r w:rsidRPr="000C24D3">
              <w:rPr>
                <w:rFonts w:ascii="Verdana" w:hAnsi="Verdana"/>
                <w:sz w:val="22"/>
                <w:szCs w:val="22"/>
              </w:rPr>
              <w:br/>
              <w:t>Listening to People Programme: Programme has gone live with revised access routes; pressures remain due to backlog of concerns and workforce capacity, with continued monitoring required.</w:t>
            </w:r>
            <w:r w:rsidR="00450A45">
              <w:rPr>
                <w:rFonts w:ascii="Verdana" w:hAnsi="Verdana"/>
                <w:sz w:val="22"/>
                <w:szCs w:val="22"/>
              </w:rPr>
              <w:t xml:space="preserve"> April data indicates that we are on track to meet the target of 40% of concerns being managed through early resolution.</w:t>
            </w:r>
            <w:r w:rsidRPr="000C24D3">
              <w:rPr>
                <w:rFonts w:ascii="Verdana" w:hAnsi="Verdana"/>
                <w:sz w:val="22"/>
                <w:szCs w:val="22"/>
              </w:rPr>
              <w:br/>
            </w:r>
            <w:r w:rsidRPr="000C24D3">
              <w:rPr>
                <w:rFonts w:ascii="Verdana" w:hAnsi="Verdana"/>
                <w:sz w:val="22"/>
                <w:szCs w:val="22"/>
              </w:rPr>
              <w:br/>
              <w:t>National Patient Safety Plan: Supersedes local Quality Strategy; implementation roadmap to be developed and aligned with the Quality Management System. A copy of the plan is included as Appendix 2.</w:t>
            </w:r>
          </w:p>
          <w:p w14:paraId="6B046E50" w14:textId="77777777" w:rsidR="00450A45" w:rsidRDefault="00450A45" w:rsidP="000C24D3">
            <w:pPr>
              <w:rPr>
                <w:rFonts w:ascii="Verdana" w:hAnsi="Verdana"/>
                <w:b/>
                <w:bCs/>
                <w:sz w:val="22"/>
                <w:szCs w:val="22"/>
              </w:rPr>
            </w:pPr>
          </w:p>
          <w:p w14:paraId="2B2E6442" w14:textId="3041E53F" w:rsidR="000C24D3" w:rsidRPr="000C24D3" w:rsidRDefault="000C24D3" w:rsidP="000C24D3">
            <w:pPr>
              <w:rPr>
                <w:rFonts w:ascii="Verdana" w:hAnsi="Verdana"/>
                <w:sz w:val="22"/>
                <w:szCs w:val="22"/>
              </w:rPr>
            </w:pPr>
            <w:r w:rsidRPr="000C24D3">
              <w:rPr>
                <w:rFonts w:ascii="Verdana" w:hAnsi="Verdana"/>
                <w:sz w:val="22"/>
                <w:szCs w:val="22"/>
              </w:rPr>
              <w:t xml:space="preserve">Quality Improvement Capacity and Capability is being expanded through the launch of Enabling Quality Improvement teams-based training programmes in the Older Persons’ Assessment Unit, the Parkinson’s Team, Community Services and Radiology. </w:t>
            </w:r>
          </w:p>
          <w:p w14:paraId="2DC90707" w14:textId="77777777" w:rsidR="000C24D3" w:rsidRPr="000C24D3" w:rsidRDefault="000C24D3" w:rsidP="000C24D3">
            <w:pPr>
              <w:rPr>
                <w:rFonts w:ascii="Verdana" w:hAnsi="Verdana"/>
                <w:sz w:val="22"/>
                <w:szCs w:val="22"/>
              </w:rPr>
            </w:pPr>
          </w:p>
          <w:p w14:paraId="141F6339" w14:textId="77777777" w:rsidR="000C24D3" w:rsidRPr="000C24D3" w:rsidRDefault="000C24D3" w:rsidP="000C24D3">
            <w:pPr>
              <w:rPr>
                <w:rFonts w:ascii="Verdana" w:hAnsi="Verdana"/>
                <w:sz w:val="22"/>
                <w:szCs w:val="22"/>
              </w:rPr>
            </w:pPr>
            <w:r w:rsidRPr="000C24D3">
              <w:rPr>
                <w:rFonts w:ascii="Verdana" w:hAnsi="Verdana"/>
                <w:sz w:val="22"/>
                <w:szCs w:val="22"/>
              </w:rPr>
              <w:t>Clinical Ethics Group: now reporting to QSG and wider engagement in the work of the group was sought.</w:t>
            </w:r>
          </w:p>
          <w:p w14:paraId="132E46B8" w14:textId="77777777" w:rsidR="000C24D3" w:rsidRPr="000C24D3" w:rsidRDefault="000C24D3" w:rsidP="000C24D3">
            <w:pPr>
              <w:rPr>
                <w:rFonts w:ascii="Verdana" w:hAnsi="Verdana"/>
                <w:sz w:val="22"/>
                <w:szCs w:val="22"/>
              </w:rPr>
            </w:pPr>
          </w:p>
          <w:p w14:paraId="715BBF7B" w14:textId="64725FF2" w:rsidR="000C24D3" w:rsidRPr="000C24D3" w:rsidRDefault="000C24D3" w:rsidP="000C24D3">
            <w:pPr>
              <w:rPr>
                <w:rFonts w:ascii="Verdana" w:hAnsi="Verdana"/>
                <w:sz w:val="22"/>
                <w:szCs w:val="22"/>
              </w:rPr>
            </w:pPr>
            <w:r w:rsidRPr="000C24D3">
              <w:rPr>
                <w:rFonts w:ascii="Verdana" w:hAnsi="Verdana"/>
                <w:sz w:val="22"/>
                <w:szCs w:val="22"/>
              </w:rPr>
              <w:t xml:space="preserve">Caswell Review Action Plan: </w:t>
            </w:r>
            <w:r w:rsidR="00FF4170">
              <w:rPr>
                <w:rFonts w:ascii="Verdana" w:hAnsi="Verdana"/>
                <w:sz w:val="22"/>
                <w:szCs w:val="22"/>
              </w:rPr>
              <w:t xml:space="preserve">the service has reopened for </w:t>
            </w:r>
            <w:proofErr w:type="gramStart"/>
            <w:r w:rsidR="00FF4170">
              <w:rPr>
                <w:rFonts w:ascii="Verdana" w:hAnsi="Verdana"/>
                <w:sz w:val="22"/>
                <w:szCs w:val="22"/>
              </w:rPr>
              <w:t>admissions, but</w:t>
            </w:r>
            <w:proofErr w:type="gramEnd"/>
            <w:r w:rsidR="00FF4170">
              <w:rPr>
                <w:rFonts w:ascii="Verdana" w:hAnsi="Verdana"/>
                <w:sz w:val="22"/>
                <w:szCs w:val="22"/>
              </w:rPr>
              <w:t xml:space="preserve"> remains at Level 3 escalation with the Joint Commissioning Committee (JCC). JCC oversight meetings have now moved to monthly in frequency and service meetings to progress the associated action plan are bi-monthly.</w:t>
            </w:r>
          </w:p>
          <w:p w14:paraId="794F6EF7" w14:textId="77777777" w:rsidR="000C24D3" w:rsidRDefault="000C24D3" w:rsidP="000C24D3">
            <w:pPr>
              <w:rPr>
                <w:rFonts w:ascii="Verdana" w:hAnsi="Verdana"/>
                <w:b/>
                <w:bCs/>
                <w:sz w:val="22"/>
                <w:szCs w:val="22"/>
              </w:rPr>
            </w:pPr>
          </w:p>
          <w:p w14:paraId="796E4D91" w14:textId="77777777" w:rsidR="00FF4170" w:rsidRDefault="00FF4170" w:rsidP="000C24D3">
            <w:pPr>
              <w:rPr>
                <w:rFonts w:ascii="Verdana" w:hAnsi="Verdana"/>
                <w:sz w:val="22"/>
                <w:szCs w:val="22"/>
              </w:rPr>
            </w:pPr>
            <w:r w:rsidRPr="1ADD2D89">
              <w:rPr>
                <w:rFonts w:ascii="Verdana" w:hAnsi="Verdana"/>
                <w:sz w:val="22"/>
                <w:szCs w:val="22"/>
              </w:rPr>
              <w:t>External Inspections: the group confirmed closure of the Health Inspectorate Wales inspections for Neath Port Talbot Birth Centre and Laurels and Briary.</w:t>
            </w:r>
          </w:p>
          <w:p w14:paraId="7D3E0B18" w14:textId="67965294" w:rsidR="1ADD2D89" w:rsidRDefault="1ADD2D89" w:rsidP="1ADD2D89">
            <w:pPr>
              <w:rPr>
                <w:rFonts w:ascii="Verdana" w:hAnsi="Verdana"/>
                <w:sz w:val="22"/>
                <w:szCs w:val="22"/>
              </w:rPr>
            </w:pPr>
          </w:p>
          <w:p w14:paraId="3E13022E" w14:textId="29A4BF5D" w:rsidR="5F65C2A9" w:rsidRDefault="5F65C2A9" w:rsidP="1ADD2D89">
            <w:pPr>
              <w:rPr>
                <w:rFonts w:ascii="Verdana" w:hAnsi="Verdana"/>
                <w:sz w:val="22"/>
                <w:szCs w:val="22"/>
              </w:rPr>
            </w:pPr>
            <w:r w:rsidRPr="1ADD2D89">
              <w:rPr>
                <w:rFonts w:ascii="Verdana" w:hAnsi="Verdana"/>
                <w:sz w:val="22"/>
                <w:szCs w:val="22"/>
              </w:rPr>
              <w:t>The group approved of the initial Quality Management System (QMS) position statement, developed to support our work in maturing our QMS (Appendix 6).</w:t>
            </w:r>
          </w:p>
          <w:p w14:paraId="67CDCC30" w14:textId="7A44038D" w:rsidR="002A7572" w:rsidRPr="000C24D3" w:rsidRDefault="002A7572" w:rsidP="000C24D3">
            <w:pPr>
              <w:rPr>
                <w:rFonts w:ascii="Verdana" w:hAnsi="Verdana"/>
                <w:sz w:val="22"/>
                <w:szCs w:val="22"/>
              </w:rPr>
            </w:pPr>
          </w:p>
        </w:tc>
      </w:tr>
      <w:tr w:rsidR="000C24D3" w:rsidRPr="000C24D3" w14:paraId="36A12E95" w14:textId="77777777" w:rsidTr="1ADD2D89">
        <w:trPr>
          <w:trHeight w:val="300"/>
        </w:trPr>
        <w:tc>
          <w:tcPr>
            <w:tcW w:w="2070" w:type="dxa"/>
            <w:tcBorders>
              <w:bottom w:val="single" w:sz="6" w:space="0" w:color="auto"/>
            </w:tcBorders>
            <w:shd w:val="clear" w:color="auto" w:fill="C5E0B3" w:themeFill="accent6" w:themeFillTint="66"/>
            <w:tcMar>
              <w:left w:w="105" w:type="dxa"/>
              <w:right w:w="105" w:type="dxa"/>
            </w:tcMar>
            <w:vAlign w:val="center"/>
          </w:tcPr>
          <w:p w14:paraId="14DB5F4A" w14:textId="77777777" w:rsidR="000C24D3" w:rsidRPr="000C24D3" w:rsidRDefault="000C24D3" w:rsidP="000C24D3">
            <w:pPr>
              <w:rPr>
                <w:rFonts w:ascii="Verdana" w:hAnsi="Verdana"/>
                <w:sz w:val="22"/>
                <w:szCs w:val="22"/>
              </w:rPr>
            </w:pPr>
            <w:r w:rsidRPr="000C24D3">
              <w:rPr>
                <w:rFonts w:ascii="Verdana" w:hAnsi="Verdana"/>
                <w:sz w:val="22"/>
                <w:szCs w:val="22"/>
              </w:rPr>
              <w:t>Assurance</w:t>
            </w:r>
          </w:p>
        </w:tc>
        <w:tc>
          <w:tcPr>
            <w:tcW w:w="6390" w:type="dxa"/>
            <w:tcMar>
              <w:left w:w="105" w:type="dxa"/>
              <w:right w:w="105" w:type="dxa"/>
            </w:tcMar>
            <w:vAlign w:val="center"/>
          </w:tcPr>
          <w:p w14:paraId="303B5E2F" w14:textId="2B6EB671" w:rsidR="000C24D3" w:rsidRDefault="000C24D3" w:rsidP="000C24D3">
            <w:pPr>
              <w:rPr>
                <w:rFonts w:ascii="Verdana" w:hAnsi="Verdana"/>
                <w:sz w:val="22"/>
                <w:szCs w:val="22"/>
              </w:rPr>
            </w:pPr>
            <w:r w:rsidRPr="000C24D3">
              <w:rPr>
                <w:rFonts w:ascii="Verdana" w:hAnsi="Verdana"/>
                <w:sz w:val="22"/>
                <w:szCs w:val="22"/>
              </w:rPr>
              <w:t>Never Events: Service Groups confirmed no open Never Events at the point of reporting; work underway to align theatre-specific and organisational processes.</w:t>
            </w:r>
            <w:r w:rsidRPr="000C24D3">
              <w:rPr>
                <w:rFonts w:ascii="Verdana" w:hAnsi="Verdana"/>
                <w:sz w:val="22"/>
                <w:szCs w:val="22"/>
              </w:rPr>
              <w:br/>
            </w:r>
            <w:r w:rsidRPr="000C24D3">
              <w:rPr>
                <w:rFonts w:ascii="Verdana" w:hAnsi="Verdana"/>
                <w:sz w:val="22"/>
                <w:szCs w:val="22"/>
              </w:rPr>
              <w:br/>
              <w:t>Venous Thromboembolism (VTE) Wales Review: Revised national position and local action plan discussed; improved compliance noted following HEPMA (the Hospital Electronic Prescribing and Medicines Administration) implementation.</w:t>
            </w:r>
            <w:r w:rsidRPr="000C24D3">
              <w:rPr>
                <w:rFonts w:ascii="Verdana" w:hAnsi="Verdana"/>
                <w:sz w:val="22"/>
                <w:szCs w:val="22"/>
              </w:rPr>
              <w:br/>
            </w:r>
            <w:r w:rsidRPr="000C24D3">
              <w:rPr>
                <w:rFonts w:ascii="Verdana" w:hAnsi="Verdana"/>
                <w:sz w:val="22"/>
                <w:szCs w:val="22"/>
              </w:rPr>
              <w:br/>
              <w:t>Risk Register: Governance arrangements updated with routine oversight now via Executive Operational Group; Quality Safety Group to continue receiving extracts for assurance of high-scoring quality-related risks.</w:t>
            </w:r>
          </w:p>
          <w:p w14:paraId="0484374C" w14:textId="77777777" w:rsidR="00450A45" w:rsidRDefault="00450A45" w:rsidP="000C24D3">
            <w:pPr>
              <w:rPr>
                <w:rFonts w:ascii="Verdana" w:hAnsi="Verdana"/>
                <w:sz w:val="22"/>
                <w:szCs w:val="22"/>
              </w:rPr>
            </w:pPr>
          </w:p>
          <w:p w14:paraId="090109C5" w14:textId="0E058321" w:rsidR="00FF4170" w:rsidRDefault="00FF4170" w:rsidP="000C24D3">
            <w:pPr>
              <w:rPr>
                <w:rFonts w:ascii="Verdana" w:hAnsi="Verdana"/>
                <w:sz w:val="22"/>
                <w:szCs w:val="22"/>
              </w:rPr>
            </w:pPr>
            <w:r>
              <w:rPr>
                <w:rFonts w:ascii="Verdana" w:hAnsi="Verdana"/>
                <w:sz w:val="22"/>
                <w:szCs w:val="22"/>
              </w:rPr>
              <w:t xml:space="preserve">Morriston Controlled Drug Improvement plan shared with three items overdue and one in progress. All other actions were complete and assurance in this area has improved. </w:t>
            </w:r>
          </w:p>
          <w:p w14:paraId="7098F2A2" w14:textId="77777777" w:rsidR="000C24D3" w:rsidRPr="000C24D3" w:rsidRDefault="000C24D3" w:rsidP="000C24D3">
            <w:pPr>
              <w:rPr>
                <w:rFonts w:ascii="Verdana" w:hAnsi="Verdana"/>
                <w:sz w:val="22"/>
                <w:szCs w:val="22"/>
              </w:rPr>
            </w:pPr>
            <w:r w:rsidRPr="000C24D3">
              <w:rPr>
                <w:rFonts w:ascii="Verdana" w:hAnsi="Verdana"/>
                <w:sz w:val="22"/>
                <w:szCs w:val="22"/>
              </w:rPr>
              <w:t xml:space="preserve"> </w:t>
            </w:r>
          </w:p>
        </w:tc>
      </w:tr>
    </w:tbl>
    <w:p w14:paraId="45CECA48" w14:textId="29330399" w:rsidR="000C24D3" w:rsidRDefault="000C24D3" w:rsidP="000C24D3">
      <w:pPr>
        <w:spacing w:after="0" w:line="240" w:lineRule="auto"/>
        <w:rPr>
          <w:b/>
        </w:rPr>
      </w:pPr>
    </w:p>
    <w:p w14:paraId="251DDD73" w14:textId="7DA5B06D" w:rsidR="000C24D3" w:rsidRDefault="008F68D5" w:rsidP="000C24D3">
      <w:pPr>
        <w:spacing w:after="0" w:line="240" w:lineRule="auto"/>
        <w:rPr>
          <w:b/>
        </w:rPr>
      </w:pPr>
      <w:r>
        <w:rPr>
          <w:b/>
        </w:rPr>
        <w:t>Quality and Safety Metric</w:t>
      </w:r>
      <w:r w:rsidR="00A64A29">
        <w:rPr>
          <w:b/>
        </w:rPr>
        <w:t>s Reporting</w:t>
      </w:r>
      <w:r>
        <w:rPr>
          <w:b/>
        </w:rPr>
        <w:t>:</w:t>
      </w:r>
    </w:p>
    <w:p w14:paraId="618EE263" w14:textId="2576B809" w:rsidR="00F65969" w:rsidRDefault="00F65969" w:rsidP="00F65969">
      <w:pPr>
        <w:spacing w:after="0" w:line="240" w:lineRule="auto"/>
        <w:rPr>
          <w:b/>
        </w:rPr>
      </w:pPr>
    </w:p>
    <w:p w14:paraId="0060E0CE" w14:textId="6FD528E1" w:rsidR="00A64A29" w:rsidRPr="00F65969" w:rsidRDefault="00F65969" w:rsidP="00A64A29">
      <w:pPr>
        <w:spacing w:after="0" w:line="240" w:lineRule="auto"/>
        <w:jc w:val="both"/>
        <w:rPr>
          <w:bCs/>
        </w:rPr>
      </w:pPr>
      <w:proofErr w:type="gramStart"/>
      <w:r>
        <w:rPr>
          <w:bCs/>
        </w:rPr>
        <w:t>In order to</w:t>
      </w:r>
      <w:proofErr w:type="gramEnd"/>
      <w:r>
        <w:rPr>
          <w:bCs/>
        </w:rPr>
        <w:t xml:space="preserve"> support the group in having oversight of quality and safety metrics across the organisation, in May a series of </w:t>
      </w:r>
      <w:r w:rsidR="00A64A29">
        <w:rPr>
          <w:bCs/>
        </w:rPr>
        <w:t xml:space="preserve">dashboard-style reports were received to provide an opportunity for service groups to provide exception reporting on key safety metrics. These reports </w:t>
      </w:r>
      <w:r w:rsidR="00FF6342">
        <w:rPr>
          <w:bCs/>
        </w:rPr>
        <w:t xml:space="preserve">presented and </w:t>
      </w:r>
      <w:r w:rsidR="00CC0278">
        <w:rPr>
          <w:bCs/>
        </w:rPr>
        <w:t xml:space="preserve">discussed in the meeting </w:t>
      </w:r>
      <w:r w:rsidR="00A64A29">
        <w:rPr>
          <w:bCs/>
        </w:rPr>
        <w:t xml:space="preserve">are included in Appendices </w:t>
      </w:r>
      <w:r w:rsidR="00FF6342">
        <w:rPr>
          <w:bCs/>
        </w:rPr>
        <w:t>3</w:t>
      </w:r>
      <w:r w:rsidR="00CC0278">
        <w:rPr>
          <w:bCs/>
        </w:rPr>
        <w:t>, where service groups did not submit a report in time for the meeting these are not included.</w:t>
      </w:r>
    </w:p>
    <w:p w14:paraId="17376E7D" w14:textId="77777777" w:rsidR="00F65969" w:rsidRDefault="00F65969" w:rsidP="00F65969">
      <w:pPr>
        <w:pStyle w:val="ListParagraph"/>
        <w:spacing w:after="0" w:line="240" w:lineRule="auto"/>
        <w:rPr>
          <w:b/>
        </w:rPr>
      </w:pPr>
    </w:p>
    <w:p w14:paraId="6D290422" w14:textId="0C16CBA3" w:rsidR="00653AEC" w:rsidRPr="00F8567E" w:rsidRDefault="00653AEC" w:rsidP="00653AEC">
      <w:pPr>
        <w:pStyle w:val="ListParagraph"/>
        <w:numPr>
          <w:ilvl w:val="0"/>
          <w:numId w:val="2"/>
        </w:numPr>
        <w:spacing w:after="0" w:line="240" w:lineRule="auto"/>
        <w:rPr>
          <w:b/>
        </w:rPr>
      </w:pPr>
      <w:r w:rsidRPr="00F8567E">
        <w:rPr>
          <w:b/>
        </w:rPr>
        <w:t>GOVERNANCE AND RISK ISSUES</w:t>
      </w:r>
    </w:p>
    <w:p w14:paraId="6D290425" w14:textId="47118334" w:rsidR="00653AEC" w:rsidRPr="00A664EA" w:rsidRDefault="009F5738" w:rsidP="004221DC">
      <w:pPr>
        <w:spacing w:after="0" w:line="240" w:lineRule="auto"/>
        <w:jc w:val="both"/>
        <w:rPr>
          <w:color w:val="000000" w:themeColor="text1"/>
        </w:rPr>
      </w:pPr>
      <w:r w:rsidRPr="00A664EA">
        <w:rPr>
          <w:color w:val="000000" w:themeColor="text1"/>
        </w:rPr>
        <w:t xml:space="preserve">There is a risk to patient safety due to </w:t>
      </w:r>
      <w:r w:rsidR="00FF6342">
        <w:rPr>
          <w:color w:val="000000" w:themeColor="text1"/>
        </w:rPr>
        <w:t xml:space="preserve">potential funding changes to the overnight </w:t>
      </w:r>
      <w:r w:rsidRPr="00A664EA">
        <w:rPr>
          <w:color w:val="000000" w:themeColor="text1"/>
        </w:rPr>
        <w:t>co</w:t>
      </w:r>
      <w:r w:rsidR="00F74DBF" w:rsidRPr="00A664EA">
        <w:rPr>
          <w:color w:val="000000" w:themeColor="text1"/>
        </w:rPr>
        <w:t>-</w:t>
      </w:r>
      <w:r w:rsidRPr="00A664EA">
        <w:rPr>
          <w:color w:val="000000" w:themeColor="text1"/>
        </w:rPr>
        <w:t>ordination of the Major Trauma Des</w:t>
      </w:r>
      <w:r w:rsidR="00FF6342">
        <w:rPr>
          <w:color w:val="000000" w:themeColor="text1"/>
        </w:rPr>
        <w:t>k. This has been escalated to Welsh Government and partners.</w:t>
      </w:r>
    </w:p>
    <w:p w14:paraId="712A842E" w14:textId="77777777" w:rsidR="00F74DBF" w:rsidRPr="00A664EA" w:rsidRDefault="00F74DBF" w:rsidP="004221DC">
      <w:pPr>
        <w:spacing w:after="0" w:line="240" w:lineRule="auto"/>
        <w:jc w:val="both"/>
        <w:rPr>
          <w:color w:val="000000" w:themeColor="text1"/>
        </w:rPr>
      </w:pPr>
    </w:p>
    <w:p w14:paraId="1B65A561" w14:textId="754C99DE" w:rsidR="00F74DBF" w:rsidRPr="00A664EA" w:rsidRDefault="00F74DBF" w:rsidP="004221DC">
      <w:pPr>
        <w:spacing w:after="0" w:line="240" w:lineRule="auto"/>
        <w:jc w:val="both"/>
        <w:rPr>
          <w:color w:val="000000" w:themeColor="text1"/>
        </w:rPr>
      </w:pPr>
      <w:r w:rsidRPr="00A664EA">
        <w:rPr>
          <w:color w:val="000000" w:themeColor="text1"/>
        </w:rPr>
        <w:t>There is a risk to decision making and oversight in relation to quality and safety due QSG meetings not being quorate.</w:t>
      </w:r>
    </w:p>
    <w:p w14:paraId="6D290426" w14:textId="77777777" w:rsidR="00653AEC" w:rsidRPr="00F8567E" w:rsidRDefault="00653AEC" w:rsidP="00653AEC">
      <w:pPr>
        <w:pStyle w:val="ListParagraph"/>
        <w:spacing w:after="0" w:line="240" w:lineRule="auto"/>
        <w:rPr>
          <w:b/>
        </w:rPr>
      </w:pPr>
    </w:p>
    <w:p w14:paraId="7D6248A7" w14:textId="03FA6B07" w:rsidR="00B50ABC" w:rsidRPr="00B50ABC" w:rsidRDefault="00653AEC" w:rsidP="00653AEC">
      <w:pPr>
        <w:pStyle w:val="ListParagraph"/>
        <w:numPr>
          <w:ilvl w:val="0"/>
          <w:numId w:val="2"/>
        </w:numPr>
        <w:spacing w:after="0" w:line="240" w:lineRule="auto"/>
        <w:rPr>
          <w:b/>
        </w:rPr>
      </w:pPr>
      <w:r w:rsidRPr="00F8567E">
        <w:rPr>
          <w:b/>
        </w:rPr>
        <w:t xml:space="preserve"> </w:t>
      </w:r>
      <w:r w:rsidR="00B50ABC" w:rsidRPr="6FC5F940">
        <w:rPr>
          <w:b/>
          <w:bCs/>
        </w:rPr>
        <w:t xml:space="preserve">OPEN AUDIT RECOMMENDATIONS </w:t>
      </w:r>
    </w:p>
    <w:p w14:paraId="350FB07C" w14:textId="0F9F981B" w:rsidR="00B50ABC" w:rsidRPr="00F97869" w:rsidRDefault="00F97869" w:rsidP="00072D3B">
      <w:pPr>
        <w:spacing w:after="0" w:line="240" w:lineRule="auto"/>
        <w:rPr>
          <w:b/>
          <w:color w:val="000000" w:themeColor="text1"/>
        </w:rPr>
      </w:pPr>
      <w:r w:rsidRPr="00F97869">
        <w:rPr>
          <w:color w:val="000000" w:themeColor="text1"/>
        </w:rPr>
        <w:t>There are open audit recommendations in relation to the Quality Assurance Framework, Learning from Concerns and Incidents, Morriston Controlled Drugs and the Patient Experience Framework</w:t>
      </w:r>
      <w:r>
        <w:rPr>
          <w:color w:val="000000" w:themeColor="text1"/>
        </w:rPr>
        <w:t>.</w:t>
      </w:r>
    </w:p>
    <w:p w14:paraId="2E68798D" w14:textId="77777777" w:rsidR="00B50ABC" w:rsidRPr="00B50ABC" w:rsidRDefault="00B50ABC" w:rsidP="00B50ABC">
      <w:pPr>
        <w:spacing w:after="0" w:line="240" w:lineRule="auto"/>
        <w:rPr>
          <w:b/>
        </w:rPr>
      </w:pPr>
    </w:p>
    <w:p w14:paraId="6D290427" w14:textId="5AD01FD6" w:rsidR="00653AEC" w:rsidRPr="00F8567E" w:rsidRDefault="00653AEC" w:rsidP="00653AEC">
      <w:pPr>
        <w:pStyle w:val="ListParagraph"/>
        <w:numPr>
          <w:ilvl w:val="0"/>
          <w:numId w:val="2"/>
        </w:numPr>
        <w:spacing w:after="0" w:line="240" w:lineRule="auto"/>
        <w:rPr>
          <w:b/>
        </w:rPr>
      </w:pPr>
      <w:r w:rsidRPr="00F8567E">
        <w:rPr>
          <w:b/>
        </w:rPr>
        <w:t>FINANCIAL IMPLICATIONS</w:t>
      </w:r>
    </w:p>
    <w:p w14:paraId="6D290428" w14:textId="0A8446DF" w:rsidR="00653AEC" w:rsidRPr="00A664EA" w:rsidRDefault="00A664EA" w:rsidP="004221DC">
      <w:pPr>
        <w:spacing w:after="0" w:line="240" w:lineRule="auto"/>
        <w:jc w:val="both"/>
        <w:rPr>
          <w:b/>
          <w:color w:val="000000" w:themeColor="text1"/>
        </w:rPr>
      </w:pPr>
      <w:r w:rsidRPr="00A664EA">
        <w:rPr>
          <w:color w:val="000000" w:themeColor="text1"/>
        </w:rPr>
        <w:t>There are no direct financial implications related to this paper.</w:t>
      </w:r>
    </w:p>
    <w:p w14:paraId="6D290429" w14:textId="77777777" w:rsidR="00653AEC" w:rsidRPr="00F8567E" w:rsidRDefault="00653AEC" w:rsidP="00653AEC">
      <w:pPr>
        <w:pStyle w:val="ListParagraph"/>
        <w:spacing w:after="0" w:line="240" w:lineRule="auto"/>
        <w:rPr>
          <w:b/>
        </w:rPr>
      </w:pPr>
    </w:p>
    <w:p w14:paraId="6D29042A" w14:textId="77777777" w:rsidR="00653AEC" w:rsidRPr="00F8567E" w:rsidRDefault="00653AEC" w:rsidP="00653AEC">
      <w:pPr>
        <w:pStyle w:val="ListParagraph"/>
        <w:numPr>
          <w:ilvl w:val="0"/>
          <w:numId w:val="2"/>
        </w:numPr>
        <w:spacing w:after="0" w:line="240" w:lineRule="auto"/>
        <w:rPr>
          <w:b/>
        </w:rPr>
      </w:pPr>
      <w:r w:rsidRPr="00F8567E">
        <w:rPr>
          <w:b/>
        </w:rPr>
        <w:t>RECOMMENDATION</w:t>
      </w:r>
    </w:p>
    <w:p w14:paraId="73CF14AE" w14:textId="5EA7C7AF" w:rsidR="00A664EA" w:rsidRPr="00A664EA" w:rsidRDefault="00A664EA">
      <w:pPr>
        <w:rPr>
          <w:bCs/>
        </w:rPr>
      </w:pPr>
      <w:r w:rsidRPr="00A664EA">
        <w:rPr>
          <w:bCs/>
        </w:rPr>
        <w:t xml:space="preserve">Quality and </w:t>
      </w:r>
      <w:r>
        <w:rPr>
          <w:bCs/>
        </w:rPr>
        <w:t>Safety Committee are asked to note the contents of this report and the risks escalated within them.</w:t>
      </w: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1ADD2D89">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1ADD2D89">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1ADD2D89">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1"/>
              <w14:checkedState w14:val="2612" w14:font="MS Gothic"/>
              <w14:uncheckedState w14:val="2610" w14:font="MS Gothic"/>
            </w14:checkbox>
          </w:sdtPr>
          <w:sdtContent>
            <w:tc>
              <w:tcPr>
                <w:tcW w:w="1624" w:type="dxa"/>
              </w:tcPr>
              <w:p w14:paraId="6D29043D" w14:textId="519C4CB7" w:rsidR="00F5324A" w:rsidRPr="00F8567E" w:rsidRDefault="00A664EA" w:rsidP="0020539A">
                <w:pPr>
                  <w:jc w:val="center"/>
                </w:pPr>
                <w:r>
                  <w:rPr>
                    <w:rFonts w:ascii="MS Gothic" w:eastAsia="MS Gothic" w:hAnsi="MS Gothic" w:hint="eastAsia"/>
                  </w:rPr>
                  <w:t>☒</w:t>
                </w:r>
              </w:p>
            </w:tc>
          </w:sdtContent>
        </w:sdt>
      </w:tr>
      <w:tr w:rsidR="00F5324A" w:rsidRPr="00F8567E" w14:paraId="6D290442" w14:textId="77777777" w:rsidTr="1ADD2D89">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14:paraId="6D290441" w14:textId="716A3046" w:rsidR="00F5324A" w:rsidRPr="00F8567E" w:rsidRDefault="00A664EA" w:rsidP="0020539A">
                <w:pPr>
                  <w:jc w:val="center"/>
                </w:pPr>
                <w:r>
                  <w:rPr>
                    <w:rFonts w:ascii="MS Gothic" w:eastAsia="MS Gothic" w:hAnsi="MS Gothic" w:hint="eastAsia"/>
                  </w:rPr>
                  <w:t>☒</w:t>
                </w:r>
              </w:p>
            </w:tc>
          </w:sdtContent>
        </w:sdt>
      </w:tr>
      <w:tr w:rsidR="00F5324A" w:rsidRPr="00F8567E" w14:paraId="6D290446" w14:textId="77777777" w:rsidTr="1ADD2D89">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1"/>
              <w14:checkedState w14:val="2612" w14:font="MS Gothic"/>
              <w14:uncheckedState w14:val="2610" w14:font="MS Gothic"/>
            </w14:checkbox>
          </w:sdtPr>
          <w:sdtContent>
            <w:tc>
              <w:tcPr>
                <w:tcW w:w="1624" w:type="dxa"/>
              </w:tcPr>
              <w:p w14:paraId="6D290445" w14:textId="32196571" w:rsidR="00F5324A" w:rsidRPr="00F8567E" w:rsidRDefault="00A664EA" w:rsidP="0020539A">
                <w:pPr>
                  <w:jc w:val="center"/>
                </w:pPr>
                <w:r>
                  <w:rPr>
                    <w:rFonts w:ascii="MS Gothic" w:eastAsia="MS Gothic" w:hAnsi="MS Gothic" w:hint="eastAsia"/>
                  </w:rPr>
                  <w:t>☒</w:t>
                </w:r>
              </w:p>
            </w:tc>
          </w:sdtContent>
        </w:sdt>
      </w:tr>
      <w:tr w:rsidR="00F5324A" w:rsidRPr="00F8567E" w14:paraId="6D29044D" w14:textId="77777777" w:rsidTr="1ADD2D89">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1ADD2D89">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Content>
            <w:tc>
              <w:tcPr>
                <w:tcW w:w="1624" w:type="dxa"/>
              </w:tcPr>
              <w:p w14:paraId="6D290450" w14:textId="1F06548F" w:rsidR="00F5324A" w:rsidRPr="00F8567E" w:rsidRDefault="00A664EA" w:rsidP="00133EA1">
                <w:pPr>
                  <w:jc w:val="center"/>
                </w:pPr>
                <w:r>
                  <w:rPr>
                    <w:rFonts w:ascii="MS Gothic" w:eastAsia="MS Gothic" w:hAnsi="MS Gothic" w:hint="eastAsia"/>
                  </w:rPr>
                  <w:t>☒</w:t>
                </w:r>
              </w:p>
            </w:tc>
          </w:sdtContent>
        </w:sdt>
      </w:tr>
      <w:tr w:rsidR="00F5324A" w:rsidRPr="00F8567E" w14:paraId="6D29045F" w14:textId="77777777" w:rsidTr="1ADD2D89">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1ADD2D89">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1"/>
              <w14:checkedState w14:val="2612" w14:font="MS Gothic"/>
              <w14:uncheckedState w14:val="2610" w14:font="MS Gothic"/>
            </w14:checkbox>
          </w:sdtPr>
          <w:sdtContent>
            <w:tc>
              <w:tcPr>
                <w:tcW w:w="1624" w:type="dxa"/>
              </w:tcPr>
              <w:p w14:paraId="6D290462" w14:textId="3CC3C87E" w:rsidR="00C43F7B" w:rsidRPr="00F8567E" w:rsidRDefault="00A664EA" w:rsidP="00C43F7B">
                <w:pPr>
                  <w:jc w:val="center"/>
                </w:pPr>
                <w:r>
                  <w:rPr>
                    <w:rFonts w:ascii="MS Gothic" w:eastAsia="MS Gothic" w:hAnsi="MS Gothic" w:hint="eastAsia"/>
                  </w:rPr>
                  <w:t>☒</w:t>
                </w:r>
              </w:p>
            </w:tc>
          </w:sdtContent>
        </w:sdt>
      </w:tr>
      <w:tr w:rsidR="00C43F7B" w:rsidRPr="00F8567E" w14:paraId="6D290467" w14:textId="77777777" w:rsidTr="1ADD2D89">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1"/>
              <w14:checkedState w14:val="2612" w14:font="MS Gothic"/>
              <w14:uncheckedState w14:val="2610" w14:font="MS Gothic"/>
            </w14:checkbox>
          </w:sdtPr>
          <w:sdtContent>
            <w:tc>
              <w:tcPr>
                <w:tcW w:w="1624" w:type="dxa"/>
              </w:tcPr>
              <w:p w14:paraId="6D290466" w14:textId="2320D778" w:rsidR="00C43F7B" w:rsidRPr="00F8567E" w:rsidRDefault="00A664EA" w:rsidP="00C43F7B">
                <w:pPr>
                  <w:jc w:val="center"/>
                  <w:rPr>
                    <w:b/>
                  </w:rPr>
                </w:pPr>
                <w:r>
                  <w:rPr>
                    <w:rFonts w:ascii="MS Gothic" w:eastAsia="MS Gothic" w:hAnsi="MS Gothic" w:hint="eastAsia"/>
                  </w:rPr>
                  <w:t>☒</w:t>
                </w:r>
              </w:p>
            </w:tc>
          </w:sdtContent>
        </w:sdt>
      </w:tr>
      <w:tr w:rsidR="00C43F7B" w:rsidRPr="00F8567E" w14:paraId="6D29046B" w14:textId="77777777" w:rsidTr="1ADD2D89">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Content>
            <w:tc>
              <w:tcPr>
                <w:tcW w:w="1624" w:type="dxa"/>
              </w:tcPr>
              <w:p w14:paraId="6D29046A" w14:textId="42310980" w:rsidR="00C43F7B" w:rsidRPr="00F8567E" w:rsidRDefault="00A664EA" w:rsidP="00C43F7B">
                <w:pPr>
                  <w:jc w:val="center"/>
                  <w:rPr>
                    <w:b/>
                  </w:rPr>
                </w:pPr>
                <w:r>
                  <w:rPr>
                    <w:rFonts w:ascii="MS Gothic" w:eastAsia="MS Gothic" w:hAnsi="MS Gothic" w:hint="eastAsia"/>
                  </w:rPr>
                  <w:t>☒</w:t>
                </w:r>
              </w:p>
            </w:tc>
          </w:sdtContent>
        </w:sdt>
      </w:tr>
      <w:tr w:rsidR="00C43F7B" w:rsidRPr="00F8567E" w14:paraId="6D29046F" w14:textId="77777777" w:rsidTr="1ADD2D89">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Content>
            <w:tc>
              <w:tcPr>
                <w:tcW w:w="1624" w:type="dxa"/>
              </w:tcPr>
              <w:p w14:paraId="6D29046E" w14:textId="1AE0CAF8" w:rsidR="00C43F7B" w:rsidRPr="00F8567E" w:rsidRDefault="00A664EA" w:rsidP="00C43F7B">
                <w:pPr>
                  <w:jc w:val="center"/>
                  <w:rPr>
                    <w:b/>
                  </w:rPr>
                </w:pPr>
                <w:r>
                  <w:rPr>
                    <w:rFonts w:ascii="MS Gothic" w:eastAsia="MS Gothic" w:hAnsi="MS Gothic" w:hint="eastAsia"/>
                  </w:rPr>
                  <w:t>☒</w:t>
                </w:r>
              </w:p>
            </w:tc>
          </w:sdtContent>
        </w:sdt>
      </w:tr>
      <w:tr w:rsidR="00C43F7B" w:rsidRPr="00F8567E" w14:paraId="6D290473" w14:textId="77777777" w:rsidTr="1ADD2D89">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1"/>
              <w14:checkedState w14:val="2612" w14:font="MS Gothic"/>
              <w14:uncheckedState w14:val="2610" w14:font="MS Gothic"/>
            </w14:checkbox>
          </w:sdtPr>
          <w:sdtContent>
            <w:tc>
              <w:tcPr>
                <w:tcW w:w="1624" w:type="dxa"/>
              </w:tcPr>
              <w:p w14:paraId="6D290472" w14:textId="19127DB9" w:rsidR="00C43F7B" w:rsidRPr="00F8567E" w:rsidRDefault="00A664EA" w:rsidP="00C43F7B">
                <w:pPr>
                  <w:jc w:val="center"/>
                  <w:rPr>
                    <w:b/>
                  </w:rPr>
                </w:pPr>
                <w:r>
                  <w:rPr>
                    <w:rFonts w:ascii="MS Gothic" w:eastAsia="MS Gothic" w:hAnsi="MS Gothic" w:hint="eastAsia"/>
                  </w:rPr>
                  <w:t>☒</w:t>
                </w:r>
              </w:p>
            </w:tc>
          </w:sdtContent>
        </w:sdt>
      </w:tr>
      <w:tr w:rsidR="00C43F7B" w:rsidRPr="00F8567E" w14:paraId="6D290477" w14:textId="77777777" w:rsidTr="1ADD2D89">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1"/>
              <w14:checkedState w14:val="2612" w14:font="MS Gothic"/>
              <w14:uncheckedState w14:val="2610" w14:font="MS Gothic"/>
            </w14:checkbox>
          </w:sdtPr>
          <w:sdtContent>
            <w:tc>
              <w:tcPr>
                <w:tcW w:w="1624" w:type="dxa"/>
              </w:tcPr>
              <w:p w14:paraId="6D290476" w14:textId="1218A756" w:rsidR="00C43F7B" w:rsidRPr="00F8567E" w:rsidRDefault="00A664EA" w:rsidP="00C43F7B">
                <w:pPr>
                  <w:jc w:val="center"/>
                  <w:rPr>
                    <w:b/>
                  </w:rPr>
                </w:pPr>
                <w:r>
                  <w:rPr>
                    <w:rFonts w:ascii="MS Gothic" w:eastAsia="MS Gothic" w:hAnsi="MS Gothic" w:hint="eastAsia"/>
                  </w:rPr>
                  <w:t>☒</w:t>
                </w:r>
              </w:p>
            </w:tc>
          </w:sdtContent>
        </w:sdt>
      </w:tr>
      <w:tr w:rsidR="00C43F7B" w:rsidRPr="00F8567E" w14:paraId="6D29047B" w14:textId="77777777" w:rsidTr="1ADD2D89">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0"/>
              <w14:checkedState w14:val="2612" w14:font="MS Gothic"/>
              <w14:uncheckedState w14:val="2610" w14:font="MS Gothic"/>
            </w14:checkbox>
          </w:sdtPr>
          <w:sdtContent>
            <w:tc>
              <w:tcPr>
                <w:tcW w:w="1624" w:type="dxa"/>
              </w:tcPr>
              <w:p w14:paraId="6D29047A"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925DA1" w:rsidRPr="00F8567E" w14:paraId="4481435E" w14:textId="77777777" w:rsidTr="1ADD2D89">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1"/>
              <w14:checkedState w14:val="2612" w14:font="MS Gothic"/>
              <w14:uncheckedState w14:val="2610" w14:font="MS Gothic"/>
            </w14:checkbox>
          </w:sdtPr>
          <w:sdtContent>
            <w:tc>
              <w:tcPr>
                <w:tcW w:w="1624" w:type="dxa"/>
              </w:tcPr>
              <w:p w14:paraId="7904B42E" w14:textId="40D407B9" w:rsidR="00925DA1" w:rsidRDefault="00A664EA" w:rsidP="00925DA1">
                <w:pPr>
                  <w:jc w:val="center"/>
                </w:pPr>
                <w:r>
                  <w:rPr>
                    <w:rFonts w:ascii="MS Gothic" w:eastAsia="MS Gothic" w:hAnsi="MS Gothic" w:hint="eastAsia"/>
                  </w:rPr>
                  <w:t>☒</w:t>
                </w:r>
              </w:p>
            </w:tc>
          </w:sdtContent>
        </w:sdt>
      </w:tr>
      <w:tr w:rsidR="00925DA1" w:rsidRPr="00F8567E" w14:paraId="2D450AA3" w14:textId="77777777" w:rsidTr="1ADD2D89">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Content>
            <w:tc>
              <w:tcPr>
                <w:tcW w:w="1624" w:type="dxa"/>
              </w:tcPr>
              <w:p w14:paraId="38BFB30F" w14:textId="28173A76" w:rsidR="00925DA1" w:rsidRDefault="00A664EA" w:rsidP="00925DA1">
                <w:pPr>
                  <w:jc w:val="center"/>
                </w:pPr>
                <w:r>
                  <w:rPr>
                    <w:rFonts w:ascii="MS Gothic" w:eastAsia="MS Gothic" w:hAnsi="MS Gothic" w:hint="eastAsia"/>
                  </w:rPr>
                  <w:t>☒</w:t>
                </w:r>
              </w:p>
            </w:tc>
          </w:sdtContent>
        </w:sdt>
      </w:tr>
      <w:tr w:rsidR="00925DA1" w:rsidRPr="00F8567E" w14:paraId="086E4F8D" w14:textId="77777777" w:rsidTr="1ADD2D89">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1ADD2D89">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Content>
            <w:tc>
              <w:tcPr>
                <w:tcW w:w="1624" w:type="dxa"/>
              </w:tcPr>
              <w:p w14:paraId="2B2CC2E7" w14:textId="63B760D6" w:rsidR="00925DA1" w:rsidRDefault="00A664EA" w:rsidP="00925DA1">
                <w:pPr>
                  <w:jc w:val="center"/>
                </w:pPr>
                <w:r>
                  <w:rPr>
                    <w:rFonts w:ascii="MS Gothic" w:eastAsia="MS Gothic" w:hAnsi="MS Gothic" w:hint="eastAsia"/>
                  </w:rPr>
                  <w:t>☒</w:t>
                </w:r>
              </w:p>
            </w:tc>
          </w:sdtContent>
        </w:sdt>
      </w:tr>
      <w:tr w:rsidR="00925DA1" w:rsidRPr="00F8567E" w14:paraId="7AD6E919" w14:textId="77777777" w:rsidTr="1ADD2D89">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Content>
            <w:tc>
              <w:tcPr>
                <w:tcW w:w="1624" w:type="dxa"/>
              </w:tcPr>
              <w:p w14:paraId="3E41BC05" w14:textId="7704ED30" w:rsidR="00925DA1" w:rsidRDefault="00A664EA" w:rsidP="00925DA1">
                <w:pPr>
                  <w:jc w:val="center"/>
                </w:pPr>
                <w:r>
                  <w:rPr>
                    <w:rFonts w:ascii="MS Gothic" w:eastAsia="MS Gothic" w:hAnsi="MS Gothic" w:hint="eastAsia"/>
                  </w:rPr>
                  <w:t>☒</w:t>
                </w:r>
              </w:p>
            </w:tc>
          </w:sdtContent>
        </w:sdt>
      </w:tr>
      <w:tr w:rsidR="00925DA1" w:rsidRPr="00F8567E" w14:paraId="5A1317D4" w14:textId="77777777" w:rsidTr="1ADD2D89">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Content>
            <w:tc>
              <w:tcPr>
                <w:tcW w:w="1624" w:type="dxa"/>
              </w:tcPr>
              <w:p w14:paraId="60F96135" w14:textId="586D54C6" w:rsidR="00925DA1" w:rsidRDefault="00A664EA" w:rsidP="00925DA1">
                <w:pPr>
                  <w:jc w:val="center"/>
                </w:pPr>
                <w:r>
                  <w:rPr>
                    <w:rFonts w:ascii="MS Gothic" w:eastAsia="MS Gothic" w:hAnsi="MS Gothic" w:hint="eastAsia"/>
                  </w:rPr>
                  <w:t>☒</w:t>
                </w:r>
              </w:p>
            </w:tc>
          </w:sdtContent>
        </w:sdt>
      </w:tr>
      <w:tr w:rsidR="00925DA1" w:rsidRPr="00F8567E" w14:paraId="6D29047D" w14:textId="77777777" w:rsidTr="1ADD2D89">
        <w:tc>
          <w:tcPr>
            <w:tcW w:w="9245" w:type="dxa"/>
            <w:gridSpan w:val="3"/>
            <w:shd w:val="clear" w:color="auto" w:fill="C1A775"/>
          </w:tcPr>
          <w:p w14:paraId="6D29047C" w14:textId="45C29034" w:rsidR="00925DA1" w:rsidRPr="00186749" w:rsidRDefault="00925DA1" w:rsidP="00925DA1">
            <w:pPr>
              <w:rPr>
                <w:b/>
                <w:color w:val="000000" w:themeColor="text1"/>
              </w:rPr>
            </w:pPr>
            <w:r w:rsidRPr="00186749">
              <w:rPr>
                <w:b/>
                <w:color w:val="000000" w:themeColor="text1"/>
              </w:rPr>
              <w:t>Quality, Safety and Patient Experience</w:t>
            </w:r>
          </w:p>
        </w:tc>
      </w:tr>
      <w:tr w:rsidR="00925DA1" w:rsidRPr="00F8567E" w14:paraId="6D290480" w14:textId="77777777" w:rsidTr="1ADD2D89">
        <w:tc>
          <w:tcPr>
            <w:tcW w:w="9245" w:type="dxa"/>
            <w:gridSpan w:val="3"/>
          </w:tcPr>
          <w:p w14:paraId="6D29047E" w14:textId="6F854648" w:rsidR="00925DA1" w:rsidRPr="00186749" w:rsidRDefault="00186749" w:rsidP="00925DA1">
            <w:pPr>
              <w:rPr>
                <w:b/>
                <w:color w:val="000000" w:themeColor="text1"/>
              </w:rPr>
            </w:pPr>
            <w:r>
              <w:rPr>
                <w:color w:val="000000" w:themeColor="text1"/>
              </w:rPr>
              <w:t>QSG has is responsible for oversight of the quality and safety of patient care and experience. The introduction of monthly metrics reporting will strengthen the group’s ability to undertake its functions.</w:t>
            </w:r>
          </w:p>
          <w:p w14:paraId="6D29047F" w14:textId="77777777" w:rsidR="00925DA1" w:rsidRPr="00186749" w:rsidRDefault="00925DA1" w:rsidP="00925DA1">
            <w:pPr>
              <w:jc w:val="center"/>
              <w:rPr>
                <w:b/>
                <w:color w:val="000000" w:themeColor="text1"/>
              </w:rPr>
            </w:pPr>
          </w:p>
        </w:tc>
      </w:tr>
      <w:tr w:rsidR="00925DA1" w:rsidRPr="00F8567E" w14:paraId="6D290482" w14:textId="77777777" w:rsidTr="1ADD2D89">
        <w:tc>
          <w:tcPr>
            <w:tcW w:w="9245" w:type="dxa"/>
            <w:gridSpan w:val="3"/>
            <w:shd w:val="clear" w:color="auto" w:fill="C1A775"/>
          </w:tcPr>
          <w:p w14:paraId="6D290481" w14:textId="77777777" w:rsidR="00925DA1" w:rsidRPr="00F8567E" w:rsidRDefault="00925DA1" w:rsidP="00925DA1">
            <w:pPr>
              <w:rPr>
                <w:b/>
              </w:rPr>
            </w:pPr>
            <w:r w:rsidRPr="00F8567E">
              <w:rPr>
                <w:b/>
              </w:rPr>
              <w:t>Financial Implications</w:t>
            </w:r>
          </w:p>
        </w:tc>
      </w:tr>
      <w:tr w:rsidR="00925DA1" w:rsidRPr="00F8567E" w14:paraId="6D290487" w14:textId="77777777" w:rsidTr="1ADD2D89">
        <w:tc>
          <w:tcPr>
            <w:tcW w:w="9245" w:type="dxa"/>
            <w:gridSpan w:val="3"/>
          </w:tcPr>
          <w:p w14:paraId="6D290485" w14:textId="58E4223B" w:rsidR="00925DA1" w:rsidRPr="00C46ECF" w:rsidRDefault="00C46ECF" w:rsidP="00925DA1">
            <w:pPr>
              <w:ind w:right="96"/>
              <w:rPr>
                <w:color w:val="000000" w:themeColor="text1"/>
              </w:rPr>
            </w:pPr>
            <w:r w:rsidRPr="00C46ECF">
              <w:rPr>
                <w:color w:val="000000" w:themeColor="text1"/>
              </w:rPr>
              <w:t>There are no direct financial implications relating to this paper.</w:t>
            </w:r>
          </w:p>
          <w:p w14:paraId="6D290486" w14:textId="77777777" w:rsidR="00925DA1" w:rsidRPr="00C46ECF" w:rsidRDefault="00925DA1" w:rsidP="00925DA1">
            <w:pPr>
              <w:ind w:right="96"/>
              <w:rPr>
                <w:color w:val="000000" w:themeColor="text1"/>
              </w:rPr>
            </w:pPr>
          </w:p>
        </w:tc>
      </w:tr>
      <w:tr w:rsidR="00925DA1" w:rsidRPr="00F8567E" w14:paraId="6D290489" w14:textId="77777777" w:rsidTr="1ADD2D89">
        <w:tc>
          <w:tcPr>
            <w:tcW w:w="9245" w:type="dxa"/>
            <w:gridSpan w:val="3"/>
            <w:shd w:val="clear" w:color="auto" w:fill="C1A775"/>
          </w:tcPr>
          <w:p w14:paraId="6D290488" w14:textId="77777777" w:rsidR="00925DA1" w:rsidRPr="00F8567E" w:rsidRDefault="00925DA1" w:rsidP="00925DA1">
            <w:pPr>
              <w:keepNext/>
              <w:keepLines/>
              <w:ind w:right="96"/>
              <w:rPr>
                <w:b/>
              </w:rPr>
            </w:pPr>
            <w:r w:rsidRPr="00F8567E">
              <w:rPr>
                <w:b/>
              </w:rPr>
              <w:t>Legal Implications (including equality and diversity assessment)</w:t>
            </w:r>
          </w:p>
        </w:tc>
      </w:tr>
      <w:tr w:rsidR="00925DA1" w:rsidRPr="00F8567E" w14:paraId="6D29048C" w14:textId="77777777" w:rsidTr="1ADD2D89">
        <w:tc>
          <w:tcPr>
            <w:tcW w:w="9245" w:type="dxa"/>
            <w:gridSpan w:val="3"/>
          </w:tcPr>
          <w:p w14:paraId="6D29048A" w14:textId="528DB919" w:rsidR="00925DA1" w:rsidRPr="00CC0278" w:rsidRDefault="00CC0278" w:rsidP="00925DA1">
            <w:pPr>
              <w:ind w:right="96"/>
              <w:rPr>
                <w:color w:val="000000" w:themeColor="text1"/>
              </w:rPr>
            </w:pPr>
            <w:r>
              <w:rPr>
                <w:color w:val="000000" w:themeColor="text1"/>
              </w:rPr>
              <w:t>Th</w:t>
            </w:r>
            <w:r w:rsidR="00C46ECF">
              <w:rPr>
                <w:color w:val="000000" w:themeColor="text1"/>
              </w:rPr>
              <w:t>ere are potential equality issues relating to the Patient Travel Policy which will be assessed for impact before adoption.</w:t>
            </w:r>
          </w:p>
          <w:p w14:paraId="6D29048B" w14:textId="77777777" w:rsidR="00925DA1" w:rsidRPr="00CC0278" w:rsidRDefault="00925DA1" w:rsidP="00925DA1">
            <w:pPr>
              <w:ind w:right="96"/>
              <w:rPr>
                <w:color w:val="000000" w:themeColor="text1"/>
              </w:rPr>
            </w:pPr>
          </w:p>
        </w:tc>
      </w:tr>
      <w:tr w:rsidR="00925DA1" w:rsidRPr="00F8567E" w14:paraId="6D29048E" w14:textId="77777777" w:rsidTr="1ADD2D89">
        <w:tc>
          <w:tcPr>
            <w:tcW w:w="9245" w:type="dxa"/>
            <w:gridSpan w:val="3"/>
            <w:shd w:val="clear" w:color="auto" w:fill="C1A775"/>
          </w:tcPr>
          <w:p w14:paraId="6D29048D" w14:textId="77777777" w:rsidR="00925DA1" w:rsidRPr="00F8567E" w:rsidRDefault="00925DA1" w:rsidP="00925DA1">
            <w:pPr>
              <w:ind w:right="96"/>
              <w:rPr>
                <w:b/>
                <w:color w:val="FF0000"/>
              </w:rPr>
            </w:pPr>
            <w:r w:rsidRPr="00F8567E">
              <w:rPr>
                <w:b/>
              </w:rPr>
              <w:t>Staffing Implications</w:t>
            </w:r>
          </w:p>
        </w:tc>
      </w:tr>
      <w:tr w:rsidR="00925DA1" w:rsidRPr="00F8567E" w14:paraId="6D290491" w14:textId="77777777" w:rsidTr="1ADD2D89">
        <w:tc>
          <w:tcPr>
            <w:tcW w:w="9245" w:type="dxa"/>
            <w:gridSpan w:val="3"/>
          </w:tcPr>
          <w:p w14:paraId="6D29048F" w14:textId="31A6331B" w:rsidR="00925DA1" w:rsidRPr="00A3203E" w:rsidRDefault="00A3203E" w:rsidP="00925DA1">
            <w:pPr>
              <w:ind w:right="96"/>
              <w:rPr>
                <w:color w:val="000000" w:themeColor="text1"/>
              </w:rPr>
            </w:pPr>
            <w:r w:rsidRPr="00A3203E">
              <w:rPr>
                <w:color w:val="000000" w:themeColor="text1"/>
              </w:rPr>
              <w:t>There are no direct staffing implications from this paper.</w:t>
            </w:r>
          </w:p>
          <w:p w14:paraId="6D290490" w14:textId="77777777" w:rsidR="00925DA1" w:rsidRPr="00F8567E" w:rsidRDefault="00925DA1" w:rsidP="00925DA1">
            <w:pPr>
              <w:ind w:right="96"/>
              <w:rPr>
                <w:color w:val="FF0000"/>
              </w:rPr>
            </w:pPr>
          </w:p>
        </w:tc>
      </w:tr>
      <w:tr w:rsidR="00925DA1" w:rsidRPr="00F8567E" w14:paraId="6D290493" w14:textId="77777777" w:rsidTr="1ADD2D89">
        <w:tc>
          <w:tcPr>
            <w:tcW w:w="9245" w:type="dxa"/>
            <w:gridSpan w:val="3"/>
            <w:shd w:val="clear" w:color="auto" w:fill="C1A775"/>
          </w:tcPr>
          <w:p w14:paraId="6D290492" w14:textId="77777777" w:rsidR="00925DA1" w:rsidRPr="00F8567E" w:rsidRDefault="00925DA1" w:rsidP="00925DA1">
            <w:pPr>
              <w:ind w:right="96"/>
              <w:rPr>
                <w:b/>
                <w:color w:val="FF0000"/>
              </w:rPr>
            </w:pPr>
            <w:r w:rsidRPr="00F8567E">
              <w:rPr>
                <w:b/>
              </w:rPr>
              <w:t>Long Term Implications (including the impact of the Well-being of Future Generations (Wales) Act 2015)</w:t>
            </w:r>
          </w:p>
        </w:tc>
      </w:tr>
      <w:tr w:rsidR="00925DA1" w:rsidRPr="00F8567E" w14:paraId="6D290496" w14:textId="77777777" w:rsidTr="1ADD2D89">
        <w:tc>
          <w:tcPr>
            <w:tcW w:w="9245" w:type="dxa"/>
            <w:gridSpan w:val="3"/>
          </w:tcPr>
          <w:p w14:paraId="6D290495" w14:textId="000AEBD1" w:rsidR="00925DA1" w:rsidRPr="00F8567E" w:rsidRDefault="002466B1" w:rsidP="003C7DCC">
            <w:pPr>
              <w:ind w:right="96"/>
              <w:rPr>
                <w:color w:val="FF0000"/>
              </w:rPr>
            </w:pPr>
            <w:r w:rsidRPr="002466B1">
              <w:rPr>
                <w:color w:val="000000" w:themeColor="text1"/>
              </w:rPr>
              <w:t>The paper highlights some positive progress in patient involvement and improvements in care.</w:t>
            </w:r>
          </w:p>
        </w:tc>
      </w:tr>
      <w:tr w:rsidR="00925DA1" w:rsidRPr="00F8567E" w14:paraId="4C321512" w14:textId="77777777" w:rsidTr="1ADD2D89">
        <w:tc>
          <w:tcPr>
            <w:tcW w:w="9245" w:type="dxa"/>
            <w:gridSpan w:val="3"/>
            <w:shd w:val="clear" w:color="auto" w:fill="C1A775"/>
          </w:tcPr>
          <w:p w14:paraId="7E102395" w14:textId="5A180082" w:rsidR="00925DA1" w:rsidRPr="00C40206" w:rsidRDefault="00925DA1" w:rsidP="00925DA1">
            <w:pPr>
              <w:ind w:right="96"/>
              <w:rPr>
                <w:b/>
              </w:rPr>
            </w:pPr>
            <w:r w:rsidRPr="00C40206">
              <w:rPr>
                <w:b/>
              </w:rPr>
              <w:t>Report History</w:t>
            </w:r>
          </w:p>
        </w:tc>
      </w:tr>
      <w:tr w:rsidR="00925DA1" w:rsidRPr="00F8567E" w14:paraId="6D29049A" w14:textId="77777777" w:rsidTr="1ADD2D89">
        <w:tc>
          <w:tcPr>
            <w:tcW w:w="9245" w:type="dxa"/>
            <w:gridSpan w:val="3"/>
          </w:tcPr>
          <w:p w14:paraId="6D290498" w14:textId="3EE32E75" w:rsidR="00925DA1" w:rsidRPr="003C7DCC" w:rsidRDefault="003C7DCC" w:rsidP="00925DA1">
            <w:pPr>
              <w:ind w:right="96"/>
              <w:rPr>
                <w:color w:val="000000" w:themeColor="text1"/>
              </w:rPr>
            </w:pPr>
            <w:r w:rsidRPr="003C7DCC">
              <w:rPr>
                <w:color w:val="000000" w:themeColor="text1"/>
              </w:rPr>
              <w:t>Quality and Safety Committee June 2026</w:t>
            </w:r>
          </w:p>
          <w:p w14:paraId="6D290499" w14:textId="77777777" w:rsidR="00925DA1" w:rsidRPr="00F8567E" w:rsidRDefault="00925DA1" w:rsidP="00925DA1">
            <w:pPr>
              <w:ind w:right="96"/>
              <w:rPr>
                <w:color w:val="FF0000"/>
              </w:rPr>
            </w:pPr>
          </w:p>
        </w:tc>
      </w:tr>
      <w:tr w:rsidR="00925DA1" w:rsidRPr="00F8567E" w14:paraId="08CD5C29" w14:textId="77777777" w:rsidTr="1ADD2D89">
        <w:tc>
          <w:tcPr>
            <w:tcW w:w="9245" w:type="dxa"/>
            <w:gridSpan w:val="3"/>
            <w:shd w:val="clear" w:color="auto" w:fill="C1A775"/>
          </w:tcPr>
          <w:p w14:paraId="6800FBEB" w14:textId="3ED5416B" w:rsidR="00925DA1" w:rsidRPr="002D1C55" w:rsidRDefault="00925DA1" w:rsidP="00925DA1">
            <w:pPr>
              <w:ind w:right="96"/>
              <w:rPr>
                <w:color w:val="000000" w:themeColor="text1"/>
              </w:rPr>
            </w:pPr>
            <w:r w:rsidRPr="002D1C55">
              <w:rPr>
                <w:b/>
                <w:color w:val="000000" w:themeColor="text1"/>
              </w:rPr>
              <w:t>Appendices</w:t>
            </w:r>
          </w:p>
        </w:tc>
      </w:tr>
      <w:tr w:rsidR="00925DA1" w:rsidRPr="00F8567E" w14:paraId="6D29049F" w14:textId="77777777" w:rsidTr="1ADD2D89">
        <w:tc>
          <w:tcPr>
            <w:tcW w:w="9245" w:type="dxa"/>
            <w:gridSpan w:val="3"/>
          </w:tcPr>
          <w:p w14:paraId="6D29049D" w14:textId="604F2142" w:rsidR="00925DA1" w:rsidRPr="002D1C55" w:rsidRDefault="00C46ECF" w:rsidP="00925DA1">
            <w:pPr>
              <w:ind w:right="96"/>
              <w:rPr>
                <w:color w:val="000000" w:themeColor="text1"/>
              </w:rPr>
            </w:pPr>
            <w:r w:rsidRPr="002D1C55">
              <w:rPr>
                <w:color w:val="000000" w:themeColor="text1"/>
              </w:rPr>
              <w:t>Appendix 1: April QSG agenda</w:t>
            </w:r>
          </w:p>
          <w:p w14:paraId="7BE66AFD" w14:textId="161CC55A" w:rsidR="00C46ECF" w:rsidRPr="002D1C55" w:rsidRDefault="00C46ECF" w:rsidP="00925DA1">
            <w:pPr>
              <w:ind w:right="96"/>
              <w:rPr>
                <w:color w:val="000000" w:themeColor="text1"/>
              </w:rPr>
            </w:pPr>
            <w:r w:rsidRPr="002D1C55">
              <w:rPr>
                <w:color w:val="000000" w:themeColor="text1"/>
              </w:rPr>
              <w:t>Appendix 2: May QSG agenda</w:t>
            </w:r>
          </w:p>
          <w:p w14:paraId="6FC0B87C" w14:textId="7CC2E1E4" w:rsidR="00C46ECF" w:rsidRPr="002D1C55" w:rsidRDefault="00C46ECF" w:rsidP="00925DA1">
            <w:pPr>
              <w:ind w:right="96"/>
              <w:rPr>
                <w:color w:val="000000" w:themeColor="text1"/>
              </w:rPr>
            </w:pPr>
            <w:r w:rsidRPr="002D1C55">
              <w:rPr>
                <w:color w:val="000000" w:themeColor="text1"/>
              </w:rPr>
              <w:t>Appendix 3: National Patient Safety Plan</w:t>
            </w:r>
          </w:p>
          <w:p w14:paraId="3075C3DC" w14:textId="073703E8" w:rsidR="00C46ECF" w:rsidRPr="002D1C55" w:rsidRDefault="00C46ECF" w:rsidP="00925DA1">
            <w:pPr>
              <w:ind w:right="96"/>
              <w:rPr>
                <w:color w:val="000000" w:themeColor="text1"/>
              </w:rPr>
            </w:pPr>
            <w:r w:rsidRPr="002D1C55">
              <w:rPr>
                <w:color w:val="000000" w:themeColor="text1"/>
              </w:rPr>
              <w:t>Appendix 4: Morriston Service Group Quality Metrics report</w:t>
            </w:r>
          </w:p>
          <w:p w14:paraId="0E06FCCB" w14:textId="11B456DE" w:rsidR="00C46ECF" w:rsidRPr="002D1C55" w:rsidRDefault="00C46ECF" w:rsidP="00925DA1">
            <w:pPr>
              <w:ind w:right="96"/>
              <w:rPr>
                <w:color w:val="000000" w:themeColor="text1"/>
              </w:rPr>
            </w:pPr>
            <w:r w:rsidRPr="1ADD2D89">
              <w:rPr>
                <w:color w:val="000000" w:themeColor="text1"/>
              </w:rPr>
              <w:t>Appendix 5: Neath Port Talbot Singleton Quality Metrics report</w:t>
            </w:r>
          </w:p>
          <w:p w14:paraId="63E58BA4" w14:textId="708482DD" w:rsidR="562A9571" w:rsidRDefault="562A9571" w:rsidP="1ADD2D89">
            <w:pPr>
              <w:ind w:right="96"/>
              <w:rPr>
                <w:color w:val="000000" w:themeColor="text1"/>
              </w:rPr>
            </w:pPr>
            <w:r w:rsidRPr="1ADD2D89">
              <w:rPr>
                <w:color w:val="000000" w:themeColor="text1"/>
              </w:rPr>
              <w:t xml:space="preserve">Appendix 6: Quality Management System Position Statement </w:t>
            </w:r>
          </w:p>
          <w:p w14:paraId="6D29049E" w14:textId="77777777" w:rsidR="00925DA1" w:rsidRPr="002D1C55" w:rsidRDefault="00925DA1" w:rsidP="002D1C55">
            <w:pPr>
              <w:ind w:right="96"/>
              <w:rPr>
                <w:color w:val="000000" w:themeColor="text1"/>
              </w:rPr>
            </w:pPr>
          </w:p>
        </w:tc>
      </w:tr>
    </w:tbl>
    <w:p w14:paraId="6D2904A0" w14:textId="77777777" w:rsidR="00034194" w:rsidRPr="00F8567E" w:rsidRDefault="00034194"/>
    <w:sectPr w:rsidR="00034194" w:rsidRPr="00F8567E"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E9A43B" w14:textId="77777777" w:rsidR="00EE0C7D" w:rsidRDefault="00EE0C7D" w:rsidP="00C107F2">
      <w:pPr>
        <w:spacing w:after="0" w:line="240" w:lineRule="auto"/>
      </w:pPr>
      <w:r>
        <w:separator/>
      </w:r>
    </w:p>
  </w:endnote>
  <w:endnote w:type="continuationSeparator" w:id="0">
    <w:p w14:paraId="1C1A70B7" w14:textId="77777777" w:rsidR="00EE0C7D" w:rsidRDefault="00EE0C7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Pro">
    <w:charset w:val="00"/>
    <w:family w:val="swiss"/>
    <w:pitch w:val="variable"/>
    <w:sig w:usb0="80000287" w:usb1="00000043"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Operational Board" w:value="Operational Board"/>
        <w:listItem w:displayText="Executive Board" w:value="Executive Board"/>
        <w:listItem w:displayText="Remuneration and Terms of Service Committee" w:value="Remuneration and Terms of Service Committee"/>
      </w:dropDownList>
    </w:sdtPr>
    <w:sdtContent>
      <w:p w14:paraId="6D2904A9" w14:textId="1F868895" w:rsidR="003324CB" w:rsidRDefault="00F703E1" w:rsidP="0031077C">
        <w:pPr>
          <w:pStyle w:val="Footer"/>
          <w:jc w:val="right"/>
          <w:rPr>
            <w:rStyle w:val="CorporateStyle2"/>
          </w:rPr>
        </w:pPr>
        <w:r>
          <w:rPr>
            <w:rStyle w:val="CorporateStyle2"/>
          </w:rPr>
          <w:t>Quality &amp; Safety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6-04T00:00:00Z">
        <w:dateFormat w:val="dddd, dd MMMM yyyy"/>
        <w:lid w:val="en-GB"/>
        <w:storeMappedDataAs w:val="dateTime"/>
        <w:calendar w:val="gregorian"/>
      </w:date>
    </w:sdtPr>
    <w:sdtEndPr>
      <w:rPr>
        <w:rStyle w:val="DefaultParagraphFont"/>
        <w:sz w:val="24"/>
        <w:szCs w:val="20"/>
      </w:rPr>
    </w:sdtEndPr>
    <w:sdtContent>
      <w:p w14:paraId="6DC782A8" w14:textId="5CC09750" w:rsidR="0031077C" w:rsidRPr="0031077C" w:rsidRDefault="00733373" w:rsidP="0031077C">
        <w:pPr>
          <w:pStyle w:val="Footer"/>
          <w:jc w:val="right"/>
          <w:rPr>
            <w:sz w:val="20"/>
            <w:szCs w:val="20"/>
          </w:rPr>
        </w:pPr>
        <w:r>
          <w:rPr>
            <w:rStyle w:val="CorporateStyle2"/>
          </w:rPr>
          <w:t>Thursday, 04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D75F3D" w14:textId="77777777" w:rsidR="00EE0C7D" w:rsidRDefault="00EE0C7D" w:rsidP="00C107F2">
      <w:pPr>
        <w:spacing w:after="0" w:line="240" w:lineRule="auto"/>
      </w:pPr>
      <w:r>
        <w:separator/>
      </w:r>
    </w:p>
  </w:footnote>
  <w:footnote w:type="continuationSeparator" w:id="0">
    <w:p w14:paraId="344B5690" w14:textId="77777777" w:rsidR="00EE0C7D" w:rsidRDefault="00EE0C7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B8F0421"/>
    <w:multiLevelType w:val="hybridMultilevel"/>
    <w:tmpl w:val="46AA79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00F820E"/>
    <w:multiLevelType w:val="hybridMultilevel"/>
    <w:tmpl w:val="BF9AFA1A"/>
    <w:lvl w:ilvl="0" w:tplc="4704F92A">
      <w:start w:val="1"/>
      <w:numFmt w:val="bullet"/>
      <w:lvlText w:val="-"/>
      <w:lvlJc w:val="left"/>
      <w:pPr>
        <w:ind w:left="720" w:hanging="360"/>
      </w:pPr>
      <w:rPr>
        <w:rFonts w:ascii="Aptos" w:hAnsi="Aptos" w:hint="default"/>
      </w:rPr>
    </w:lvl>
    <w:lvl w:ilvl="1" w:tplc="73E6AD14">
      <w:start w:val="1"/>
      <w:numFmt w:val="bullet"/>
      <w:lvlText w:val="o"/>
      <w:lvlJc w:val="left"/>
      <w:pPr>
        <w:ind w:left="1440" w:hanging="360"/>
      </w:pPr>
      <w:rPr>
        <w:rFonts w:ascii="Courier New" w:hAnsi="Courier New" w:hint="default"/>
      </w:rPr>
    </w:lvl>
    <w:lvl w:ilvl="2" w:tplc="440E3E06">
      <w:start w:val="1"/>
      <w:numFmt w:val="bullet"/>
      <w:lvlText w:val=""/>
      <w:lvlJc w:val="left"/>
      <w:pPr>
        <w:ind w:left="2160" w:hanging="360"/>
      </w:pPr>
      <w:rPr>
        <w:rFonts w:ascii="Wingdings" w:hAnsi="Wingdings" w:hint="default"/>
      </w:rPr>
    </w:lvl>
    <w:lvl w:ilvl="3" w:tplc="BF001F0C">
      <w:start w:val="1"/>
      <w:numFmt w:val="bullet"/>
      <w:lvlText w:val=""/>
      <w:lvlJc w:val="left"/>
      <w:pPr>
        <w:ind w:left="2880" w:hanging="360"/>
      </w:pPr>
      <w:rPr>
        <w:rFonts w:ascii="Symbol" w:hAnsi="Symbol" w:hint="default"/>
      </w:rPr>
    </w:lvl>
    <w:lvl w:ilvl="4" w:tplc="7C60001A">
      <w:start w:val="1"/>
      <w:numFmt w:val="bullet"/>
      <w:lvlText w:val="o"/>
      <w:lvlJc w:val="left"/>
      <w:pPr>
        <w:ind w:left="3600" w:hanging="360"/>
      </w:pPr>
      <w:rPr>
        <w:rFonts w:ascii="Courier New" w:hAnsi="Courier New" w:hint="default"/>
      </w:rPr>
    </w:lvl>
    <w:lvl w:ilvl="5" w:tplc="28583FD0">
      <w:start w:val="1"/>
      <w:numFmt w:val="bullet"/>
      <w:lvlText w:val=""/>
      <w:lvlJc w:val="left"/>
      <w:pPr>
        <w:ind w:left="4320" w:hanging="360"/>
      </w:pPr>
      <w:rPr>
        <w:rFonts w:ascii="Wingdings" w:hAnsi="Wingdings" w:hint="default"/>
      </w:rPr>
    </w:lvl>
    <w:lvl w:ilvl="6" w:tplc="8EF86206">
      <w:start w:val="1"/>
      <w:numFmt w:val="bullet"/>
      <w:lvlText w:val=""/>
      <w:lvlJc w:val="left"/>
      <w:pPr>
        <w:ind w:left="5040" w:hanging="360"/>
      </w:pPr>
      <w:rPr>
        <w:rFonts w:ascii="Symbol" w:hAnsi="Symbol" w:hint="default"/>
      </w:rPr>
    </w:lvl>
    <w:lvl w:ilvl="7" w:tplc="1D082AB4">
      <w:start w:val="1"/>
      <w:numFmt w:val="bullet"/>
      <w:lvlText w:val="o"/>
      <w:lvlJc w:val="left"/>
      <w:pPr>
        <w:ind w:left="5760" w:hanging="360"/>
      </w:pPr>
      <w:rPr>
        <w:rFonts w:ascii="Courier New" w:hAnsi="Courier New" w:hint="default"/>
      </w:rPr>
    </w:lvl>
    <w:lvl w:ilvl="8" w:tplc="AEA2049C">
      <w:start w:val="1"/>
      <w:numFmt w:val="bullet"/>
      <w:lvlText w:val=""/>
      <w:lvlJc w:val="left"/>
      <w:pPr>
        <w:ind w:left="6480" w:hanging="360"/>
      </w:pPr>
      <w:rPr>
        <w:rFonts w:ascii="Wingdings" w:hAnsi="Wingdings" w:hint="default"/>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63653226">
    <w:abstractNumId w:val="5"/>
  </w:num>
  <w:num w:numId="2" w16cid:durableId="1767920956">
    <w:abstractNumId w:val="0"/>
  </w:num>
  <w:num w:numId="3" w16cid:durableId="850879007">
    <w:abstractNumId w:val="6"/>
  </w:num>
  <w:num w:numId="4" w16cid:durableId="1444379052">
    <w:abstractNumId w:val="4"/>
  </w:num>
  <w:num w:numId="5" w16cid:durableId="310528905">
    <w:abstractNumId w:val="2"/>
  </w:num>
  <w:num w:numId="6" w16cid:durableId="1955940871">
    <w:abstractNumId w:val="1"/>
  </w:num>
  <w:num w:numId="7" w16cid:durableId="955256752">
    <w:abstractNumId w:val="10"/>
  </w:num>
  <w:num w:numId="8" w16cid:durableId="1853101566">
    <w:abstractNumId w:val="11"/>
  </w:num>
  <w:num w:numId="9" w16cid:durableId="1640500465">
    <w:abstractNumId w:val="7"/>
  </w:num>
  <w:num w:numId="10" w16cid:durableId="767849163">
    <w:abstractNumId w:val="8"/>
  </w:num>
  <w:num w:numId="11" w16cid:durableId="941570861">
    <w:abstractNumId w:val="9"/>
  </w:num>
  <w:num w:numId="12" w16cid:durableId="69134593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24C41"/>
    <w:rsid w:val="00034194"/>
    <w:rsid w:val="00041CF6"/>
    <w:rsid w:val="0004211A"/>
    <w:rsid w:val="00052D01"/>
    <w:rsid w:val="00054F8C"/>
    <w:rsid w:val="00061E86"/>
    <w:rsid w:val="00065531"/>
    <w:rsid w:val="00072D3B"/>
    <w:rsid w:val="00083FC0"/>
    <w:rsid w:val="000940E7"/>
    <w:rsid w:val="000A0751"/>
    <w:rsid w:val="000C24D3"/>
    <w:rsid w:val="000C3280"/>
    <w:rsid w:val="000E379E"/>
    <w:rsid w:val="000F361B"/>
    <w:rsid w:val="00110100"/>
    <w:rsid w:val="00133EA1"/>
    <w:rsid w:val="0016096B"/>
    <w:rsid w:val="001707C4"/>
    <w:rsid w:val="00177CE5"/>
    <w:rsid w:val="0018209C"/>
    <w:rsid w:val="00182C00"/>
    <w:rsid w:val="00186749"/>
    <w:rsid w:val="001A4E1B"/>
    <w:rsid w:val="001B3120"/>
    <w:rsid w:val="001C06A8"/>
    <w:rsid w:val="001C6C4F"/>
    <w:rsid w:val="001E6F3B"/>
    <w:rsid w:val="001F2857"/>
    <w:rsid w:val="001F48BE"/>
    <w:rsid w:val="002010FE"/>
    <w:rsid w:val="00203F67"/>
    <w:rsid w:val="0020539A"/>
    <w:rsid w:val="00233330"/>
    <w:rsid w:val="00233D58"/>
    <w:rsid w:val="00234AC2"/>
    <w:rsid w:val="00240F00"/>
    <w:rsid w:val="00241662"/>
    <w:rsid w:val="002432C6"/>
    <w:rsid w:val="002466B1"/>
    <w:rsid w:val="00250345"/>
    <w:rsid w:val="002518B7"/>
    <w:rsid w:val="00270897"/>
    <w:rsid w:val="00272BD5"/>
    <w:rsid w:val="002950FF"/>
    <w:rsid w:val="00296CD9"/>
    <w:rsid w:val="002A706E"/>
    <w:rsid w:val="002A7572"/>
    <w:rsid w:val="002B7C9A"/>
    <w:rsid w:val="002C3DD6"/>
    <w:rsid w:val="002C51CF"/>
    <w:rsid w:val="002D1C55"/>
    <w:rsid w:val="002D77FE"/>
    <w:rsid w:val="0030739E"/>
    <w:rsid w:val="0031077C"/>
    <w:rsid w:val="003261FD"/>
    <w:rsid w:val="00327324"/>
    <w:rsid w:val="0032747D"/>
    <w:rsid w:val="003324CB"/>
    <w:rsid w:val="003464BA"/>
    <w:rsid w:val="00366FDD"/>
    <w:rsid w:val="00375605"/>
    <w:rsid w:val="00387A41"/>
    <w:rsid w:val="003B31B1"/>
    <w:rsid w:val="003C0FF8"/>
    <w:rsid w:val="003C4A65"/>
    <w:rsid w:val="003C7DCC"/>
    <w:rsid w:val="004140C9"/>
    <w:rsid w:val="00414894"/>
    <w:rsid w:val="00416017"/>
    <w:rsid w:val="004221DC"/>
    <w:rsid w:val="004222DD"/>
    <w:rsid w:val="0042635B"/>
    <w:rsid w:val="0045045F"/>
    <w:rsid w:val="00450A45"/>
    <w:rsid w:val="00461835"/>
    <w:rsid w:val="00466612"/>
    <w:rsid w:val="00466F20"/>
    <w:rsid w:val="004671D2"/>
    <w:rsid w:val="004754FC"/>
    <w:rsid w:val="004937D3"/>
    <w:rsid w:val="004E109D"/>
    <w:rsid w:val="0052297E"/>
    <w:rsid w:val="0053076A"/>
    <w:rsid w:val="005404F4"/>
    <w:rsid w:val="005506AE"/>
    <w:rsid w:val="00556711"/>
    <w:rsid w:val="00574BCF"/>
    <w:rsid w:val="00576395"/>
    <w:rsid w:val="005835C5"/>
    <w:rsid w:val="00584F37"/>
    <w:rsid w:val="00585277"/>
    <w:rsid w:val="00594E39"/>
    <w:rsid w:val="005D1652"/>
    <w:rsid w:val="005D2C4A"/>
    <w:rsid w:val="005D3DF1"/>
    <w:rsid w:val="005D5AFA"/>
    <w:rsid w:val="005D5E16"/>
    <w:rsid w:val="005E6797"/>
    <w:rsid w:val="005F38A1"/>
    <w:rsid w:val="005F4E71"/>
    <w:rsid w:val="006201D0"/>
    <w:rsid w:val="006222DF"/>
    <w:rsid w:val="0064147E"/>
    <w:rsid w:val="00641883"/>
    <w:rsid w:val="00646AAE"/>
    <w:rsid w:val="00653AEC"/>
    <w:rsid w:val="00655190"/>
    <w:rsid w:val="00656183"/>
    <w:rsid w:val="00662218"/>
    <w:rsid w:val="00664E0B"/>
    <w:rsid w:val="006715A4"/>
    <w:rsid w:val="006729DA"/>
    <w:rsid w:val="00672A4C"/>
    <w:rsid w:val="00685AE0"/>
    <w:rsid w:val="00687037"/>
    <w:rsid w:val="006B56D7"/>
    <w:rsid w:val="006D1998"/>
    <w:rsid w:val="006F02B9"/>
    <w:rsid w:val="006F549F"/>
    <w:rsid w:val="00703D77"/>
    <w:rsid w:val="00707FAD"/>
    <w:rsid w:val="00711095"/>
    <w:rsid w:val="0072604C"/>
    <w:rsid w:val="007277B5"/>
    <w:rsid w:val="00733373"/>
    <w:rsid w:val="00737883"/>
    <w:rsid w:val="0075502E"/>
    <w:rsid w:val="00762BBE"/>
    <w:rsid w:val="0076681D"/>
    <w:rsid w:val="00767E3E"/>
    <w:rsid w:val="007B683C"/>
    <w:rsid w:val="007D313C"/>
    <w:rsid w:val="007E5BB1"/>
    <w:rsid w:val="007F125F"/>
    <w:rsid w:val="00804324"/>
    <w:rsid w:val="00820546"/>
    <w:rsid w:val="008267FB"/>
    <w:rsid w:val="00850C29"/>
    <w:rsid w:val="00857D93"/>
    <w:rsid w:val="00860674"/>
    <w:rsid w:val="00885CE9"/>
    <w:rsid w:val="00891BA2"/>
    <w:rsid w:val="008C15D9"/>
    <w:rsid w:val="008C50D5"/>
    <w:rsid w:val="008D0747"/>
    <w:rsid w:val="008E13D1"/>
    <w:rsid w:val="008F442A"/>
    <w:rsid w:val="008F68D5"/>
    <w:rsid w:val="00910C0A"/>
    <w:rsid w:val="009112DC"/>
    <w:rsid w:val="00925DA1"/>
    <w:rsid w:val="00931E6B"/>
    <w:rsid w:val="009331F3"/>
    <w:rsid w:val="00982988"/>
    <w:rsid w:val="00983F5E"/>
    <w:rsid w:val="009911F2"/>
    <w:rsid w:val="00996159"/>
    <w:rsid w:val="009B52E7"/>
    <w:rsid w:val="009E14BB"/>
    <w:rsid w:val="009E53B8"/>
    <w:rsid w:val="009E7AF7"/>
    <w:rsid w:val="009F5738"/>
    <w:rsid w:val="009F7421"/>
    <w:rsid w:val="00A3203E"/>
    <w:rsid w:val="00A35122"/>
    <w:rsid w:val="00A64A29"/>
    <w:rsid w:val="00A664EA"/>
    <w:rsid w:val="00A671E8"/>
    <w:rsid w:val="00A83E54"/>
    <w:rsid w:val="00A84941"/>
    <w:rsid w:val="00A94002"/>
    <w:rsid w:val="00A97D23"/>
    <w:rsid w:val="00AA4753"/>
    <w:rsid w:val="00AB4B93"/>
    <w:rsid w:val="00AC4AD4"/>
    <w:rsid w:val="00AC5F9F"/>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C107F2"/>
    <w:rsid w:val="00C2143D"/>
    <w:rsid w:val="00C30533"/>
    <w:rsid w:val="00C324F1"/>
    <w:rsid w:val="00C33A04"/>
    <w:rsid w:val="00C40206"/>
    <w:rsid w:val="00C43F7B"/>
    <w:rsid w:val="00C46ECF"/>
    <w:rsid w:val="00C55C8E"/>
    <w:rsid w:val="00C56152"/>
    <w:rsid w:val="00C61658"/>
    <w:rsid w:val="00C74B0D"/>
    <w:rsid w:val="00C77B23"/>
    <w:rsid w:val="00C933BE"/>
    <w:rsid w:val="00C95B3C"/>
    <w:rsid w:val="00CA1009"/>
    <w:rsid w:val="00CA6D65"/>
    <w:rsid w:val="00CB1C7D"/>
    <w:rsid w:val="00CC0278"/>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1AF7"/>
    <w:rsid w:val="00E06294"/>
    <w:rsid w:val="00E10124"/>
    <w:rsid w:val="00E242E5"/>
    <w:rsid w:val="00E31442"/>
    <w:rsid w:val="00E3794C"/>
    <w:rsid w:val="00E52C94"/>
    <w:rsid w:val="00E575AE"/>
    <w:rsid w:val="00E87B30"/>
    <w:rsid w:val="00EA06FC"/>
    <w:rsid w:val="00EA436A"/>
    <w:rsid w:val="00EA4667"/>
    <w:rsid w:val="00EC231A"/>
    <w:rsid w:val="00EC7151"/>
    <w:rsid w:val="00EE0C7D"/>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65969"/>
    <w:rsid w:val="00F703E1"/>
    <w:rsid w:val="00F7169E"/>
    <w:rsid w:val="00F7288F"/>
    <w:rsid w:val="00F74DBF"/>
    <w:rsid w:val="00F82EA6"/>
    <w:rsid w:val="00F8567E"/>
    <w:rsid w:val="00F86656"/>
    <w:rsid w:val="00F91B06"/>
    <w:rsid w:val="00F948C4"/>
    <w:rsid w:val="00F97869"/>
    <w:rsid w:val="00F97C38"/>
    <w:rsid w:val="00FA0CA9"/>
    <w:rsid w:val="00FA4762"/>
    <w:rsid w:val="00FA5DEC"/>
    <w:rsid w:val="00FC21DB"/>
    <w:rsid w:val="00FC75FE"/>
    <w:rsid w:val="00FD2D96"/>
    <w:rsid w:val="00FE7070"/>
    <w:rsid w:val="00FF4170"/>
    <w:rsid w:val="00FF6342"/>
    <w:rsid w:val="12413FBE"/>
    <w:rsid w:val="1ADD2D89"/>
    <w:rsid w:val="1D42462E"/>
    <w:rsid w:val="24D01AD7"/>
    <w:rsid w:val="2A31D359"/>
    <w:rsid w:val="2B48E0CF"/>
    <w:rsid w:val="3557FB6C"/>
    <w:rsid w:val="417E2099"/>
    <w:rsid w:val="556B38F9"/>
    <w:rsid w:val="562A9571"/>
    <w:rsid w:val="5F65C2A9"/>
    <w:rsid w:val="6163AAFF"/>
    <w:rsid w:val="6FC5F940"/>
    <w:rsid w:val="7C078191"/>
    <w:rsid w:val="7F22BD7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6499C0-2340-475C-BE57-2263B67EC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table" w:customStyle="1" w:styleId="TableGrid1">
    <w:name w:val="Table Grid1"/>
    <w:basedOn w:val="TableNormal"/>
    <w:next w:val="TableGrid"/>
    <w:uiPriority w:val="59"/>
    <w:rsid w:val="000C24D3"/>
    <w:pPr>
      <w:spacing w:after="0" w:line="240" w:lineRule="auto"/>
    </w:pPr>
    <w:rPr>
      <w:rFonts w:ascii="Aptos" w:eastAsia="Times New Roman" w:hAnsi="Aptos" w:cs="Times New Roman"/>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37767">
      <w:bodyDiv w:val="1"/>
      <w:marLeft w:val="0"/>
      <w:marRight w:val="0"/>
      <w:marTop w:val="0"/>
      <w:marBottom w:val="0"/>
      <w:divBdr>
        <w:top w:val="none" w:sz="0" w:space="0" w:color="auto"/>
        <w:left w:val="none" w:sz="0" w:space="0" w:color="auto"/>
        <w:bottom w:val="none" w:sz="0" w:space="0" w:color="auto"/>
        <w:right w:val="none" w:sz="0" w:space="0" w:color="auto"/>
      </w:divBdr>
      <w:divsChild>
        <w:div w:id="78063328">
          <w:marLeft w:val="0"/>
          <w:marRight w:val="0"/>
          <w:marTop w:val="0"/>
          <w:marBottom w:val="0"/>
          <w:divBdr>
            <w:top w:val="none" w:sz="0" w:space="0" w:color="auto"/>
            <w:left w:val="none" w:sz="0" w:space="0" w:color="auto"/>
            <w:bottom w:val="none" w:sz="0" w:space="0" w:color="auto"/>
            <w:right w:val="none" w:sz="0" w:space="0" w:color="auto"/>
          </w:divBdr>
        </w:div>
      </w:divsChild>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
      <w:docPartPr>
        <w:name w:val="0272E64604E347AFA7247E36AB88F33D"/>
        <w:category>
          <w:name w:val="General"/>
          <w:gallery w:val="placeholder"/>
        </w:category>
        <w:types>
          <w:type w:val="bbPlcHdr"/>
        </w:types>
        <w:behaviors>
          <w:behavior w:val="content"/>
        </w:behaviors>
        <w:guid w:val="{9DEBBCCC-EAB7-426D-AAEF-4FDA49A6A2A5}"/>
      </w:docPartPr>
      <w:docPartBody>
        <w:p w:rsidR="007A401A" w:rsidRDefault="0016626D" w:rsidP="0016626D">
          <w:pPr>
            <w:pStyle w:val="0272E64604E347AFA7247E36AB88F33D"/>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Pro">
    <w:charset w:val="00"/>
    <w:family w:val="swiss"/>
    <w:pitch w:val="variable"/>
    <w:sig w:usb0="80000287" w:usb1="00000043"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6626D"/>
    <w:rsid w:val="00177CE5"/>
    <w:rsid w:val="001B0EEF"/>
    <w:rsid w:val="001B3EFE"/>
    <w:rsid w:val="001C6C4F"/>
    <w:rsid w:val="00240F00"/>
    <w:rsid w:val="002C51CF"/>
    <w:rsid w:val="002D7989"/>
    <w:rsid w:val="003261FD"/>
    <w:rsid w:val="00327324"/>
    <w:rsid w:val="00387A41"/>
    <w:rsid w:val="0040753F"/>
    <w:rsid w:val="004140C9"/>
    <w:rsid w:val="00452091"/>
    <w:rsid w:val="00467E8C"/>
    <w:rsid w:val="00500DD2"/>
    <w:rsid w:val="00524839"/>
    <w:rsid w:val="00591655"/>
    <w:rsid w:val="00641883"/>
    <w:rsid w:val="00672A4C"/>
    <w:rsid w:val="006D0E46"/>
    <w:rsid w:val="006F549F"/>
    <w:rsid w:val="0076681D"/>
    <w:rsid w:val="007A401A"/>
    <w:rsid w:val="007D313C"/>
    <w:rsid w:val="008065BF"/>
    <w:rsid w:val="009B6F08"/>
    <w:rsid w:val="009E14BB"/>
    <w:rsid w:val="00AD486E"/>
    <w:rsid w:val="00B06ACB"/>
    <w:rsid w:val="00B76C18"/>
    <w:rsid w:val="00B904E5"/>
    <w:rsid w:val="00C3159D"/>
    <w:rsid w:val="00CB2F21"/>
    <w:rsid w:val="00CC048E"/>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6626D"/>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0272E64604E347AFA7247E36AB88F33D">
    <w:name w:val="0272E64604E347AFA7247E36AB88F33D"/>
    <w:rsid w:val="0016626D"/>
    <w:pPr>
      <w:spacing w:line="259" w:lineRule="auto"/>
    </w:pPr>
    <w:rPr>
      <w:kern w:val="0"/>
      <w:sz w:val="22"/>
      <w:szCs w:val="22"/>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351D0816-2389-4328-B9A8-C59DFEE122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1344</Words>
  <Characters>7857</Characters>
  <Application>Microsoft Office Word</Application>
  <DocSecurity>4</DocSecurity>
  <Lines>303</Lines>
  <Paragraphs>128</Paragraphs>
  <ScaleCrop>false</ScaleCrop>
  <Company>ABM LHB</Company>
  <LinksUpToDate>false</LinksUpToDate>
  <CharactersWithSpaces>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Georgia Lewis  (Swansea Bay UHB - Corporate Governance )</cp:lastModifiedBy>
  <cp:revision>29</cp:revision>
  <dcterms:created xsi:type="dcterms:W3CDTF">2026-05-19T18:35:00Z</dcterms:created>
  <dcterms:modified xsi:type="dcterms:W3CDTF">2026-05-28T10:52:00Z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