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292DF7" w14:textId="7AF9EE43" w:rsidR="002C6A1D" w:rsidRDefault="002F6DB7" w:rsidP="002F6DB7">
      <w:pPr>
        <w:tabs>
          <w:tab w:val="left" w:pos="4486"/>
        </w:tabs>
        <w:ind w:left="284"/>
        <w:rPr>
          <w:rFonts w:ascii="Arial" w:hAnsi="Arial" w:cs="Arial"/>
          <w:b/>
          <w:szCs w:val="24"/>
          <w:lang w:eastAsia="en-GB"/>
        </w:rPr>
      </w:pPr>
      <w:bookmarkStart w:id="0" w:name="Table5"/>
      <w:r w:rsidRPr="00584040">
        <w:rPr>
          <w:rFonts w:ascii="Arial" w:hAnsi="Arial" w:cs="Arial"/>
          <w:b/>
          <w:szCs w:val="24"/>
          <w:lang w:eastAsia="en-GB"/>
        </w:rPr>
        <w:t xml:space="preserve">Table </w:t>
      </w:r>
      <w:r>
        <w:rPr>
          <w:rFonts w:ascii="Arial" w:hAnsi="Arial" w:cs="Arial"/>
          <w:b/>
          <w:szCs w:val="24"/>
          <w:lang w:eastAsia="en-GB"/>
        </w:rPr>
        <w:t>5</w:t>
      </w:r>
      <w:r w:rsidRPr="00584040">
        <w:rPr>
          <w:rFonts w:ascii="Arial" w:hAnsi="Arial" w:cs="Arial"/>
          <w:b/>
          <w:szCs w:val="24"/>
          <w:lang w:eastAsia="en-GB"/>
        </w:rPr>
        <w:t xml:space="preserve">: </w:t>
      </w:r>
      <w:bookmarkEnd w:id="0"/>
      <w:r w:rsidRPr="00584040">
        <w:rPr>
          <w:rFonts w:ascii="Arial" w:hAnsi="Arial" w:cs="Arial"/>
          <w:b/>
          <w:szCs w:val="24"/>
          <w:lang w:eastAsia="en-GB"/>
        </w:rPr>
        <w:t xml:space="preserve">Periods of increased Incidence (PII) of </w:t>
      </w:r>
      <w:r w:rsidRPr="00584040">
        <w:rPr>
          <w:rFonts w:ascii="Arial" w:hAnsi="Arial" w:cs="Arial"/>
          <w:b/>
          <w:i/>
          <w:szCs w:val="24"/>
          <w:lang w:eastAsia="en-GB"/>
        </w:rPr>
        <w:t>Clostridioides difficile</w:t>
      </w:r>
      <w:r w:rsidRPr="00584040">
        <w:rPr>
          <w:rFonts w:ascii="Arial" w:hAnsi="Arial" w:cs="Arial"/>
          <w:b/>
          <w:szCs w:val="24"/>
          <w:lang w:eastAsia="en-GB"/>
        </w:rPr>
        <w:t xml:space="preserve"> </w:t>
      </w:r>
      <w:r w:rsidR="002C6A1D">
        <w:rPr>
          <w:rFonts w:ascii="Arial" w:hAnsi="Arial" w:cs="Arial"/>
          <w:b/>
          <w:szCs w:val="24"/>
          <w:lang w:eastAsia="en-GB"/>
        </w:rPr>
        <w:t xml:space="preserve">May 2022 – </w:t>
      </w:r>
      <w:r w:rsidR="007E69B3">
        <w:rPr>
          <w:rFonts w:ascii="Arial" w:hAnsi="Arial" w:cs="Arial"/>
          <w:b/>
          <w:szCs w:val="24"/>
          <w:lang w:eastAsia="en-GB"/>
        </w:rPr>
        <w:t>Sept</w:t>
      </w:r>
      <w:r w:rsidR="002C6A1D">
        <w:rPr>
          <w:rFonts w:ascii="Arial" w:hAnsi="Arial" w:cs="Arial"/>
          <w:b/>
          <w:szCs w:val="24"/>
          <w:lang w:eastAsia="en-GB"/>
        </w:rPr>
        <w:t xml:space="preserve"> 2025</w:t>
      </w:r>
    </w:p>
    <w:p w14:paraId="5ACB7255" w14:textId="77777777" w:rsidR="0071496E" w:rsidRDefault="0071496E" w:rsidP="0071496E">
      <w:pPr>
        <w:tabs>
          <w:tab w:val="left" w:pos="0"/>
        </w:tabs>
        <w:jc w:val="center"/>
        <w:rPr>
          <w:rFonts w:ascii="Arial" w:hAnsi="Arial" w:cs="Arial"/>
          <w:bCs/>
          <w:sz w:val="20"/>
          <w:lang w:eastAsia="en-GB"/>
        </w:rPr>
      </w:pPr>
    </w:p>
    <w:p w14:paraId="1FACA27C" w14:textId="070A2039" w:rsidR="002F6DB7" w:rsidRPr="00B22135" w:rsidRDefault="00C71C45" w:rsidP="002F6DB7">
      <w:pPr>
        <w:tabs>
          <w:tab w:val="left" w:pos="0"/>
        </w:tabs>
        <w:rPr>
          <w:rFonts w:ascii="Arial" w:hAnsi="Arial" w:cs="Arial"/>
          <w:bCs/>
          <w:sz w:val="20"/>
          <w:lang w:eastAsia="en-GB"/>
        </w:rPr>
      </w:pPr>
      <w:r>
        <w:rPr>
          <w:noProof/>
        </w:rPr>
        <w:drawing>
          <wp:inline distT="0" distB="0" distL="0" distR="0" wp14:anchorId="065C7726" wp14:editId="47B5083E">
            <wp:extent cx="6840855" cy="4697095"/>
            <wp:effectExtent l="0" t="0" r="17145" b="8255"/>
            <wp:docPr id="232261377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100-00000104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  <w:r w:rsidR="002F6DB7" w:rsidRPr="00B22135">
        <w:rPr>
          <w:rFonts w:ascii="Arial" w:hAnsi="Arial" w:cs="Arial"/>
          <w:bCs/>
          <w:sz w:val="20"/>
          <w:lang w:eastAsia="en-GB"/>
        </w:rPr>
        <w:br w:type="page"/>
      </w:r>
    </w:p>
    <w:p w14:paraId="6A85031A" w14:textId="355E9211" w:rsidR="002F6DB7" w:rsidRDefault="002F6DB7" w:rsidP="002F6DB7">
      <w:pPr>
        <w:tabs>
          <w:tab w:val="left" w:pos="1134"/>
        </w:tabs>
        <w:ind w:left="1134" w:hanging="850"/>
        <w:rPr>
          <w:rFonts w:ascii="Arial" w:hAnsi="Arial" w:cs="Arial"/>
          <w:b/>
          <w:szCs w:val="24"/>
          <w:lang w:eastAsia="en-GB"/>
        </w:rPr>
      </w:pPr>
      <w:bookmarkStart w:id="1" w:name="Table6"/>
      <w:r w:rsidRPr="00584040">
        <w:rPr>
          <w:rFonts w:ascii="Arial" w:hAnsi="Arial" w:cs="Arial"/>
          <w:b/>
          <w:szCs w:val="24"/>
          <w:lang w:eastAsia="en-GB"/>
        </w:rPr>
        <w:lastRenderedPageBreak/>
        <w:t xml:space="preserve">Table </w:t>
      </w:r>
      <w:r>
        <w:rPr>
          <w:rFonts w:ascii="Arial" w:hAnsi="Arial" w:cs="Arial"/>
          <w:b/>
          <w:szCs w:val="24"/>
          <w:lang w:eastAsia="en-GB"/>
        </w:rPr>
        <w:t>6</w:t>
      </w:r>
      <w:bookmarkEnd w:id="1"/>
      <w:r w:rsidRPr="00584040">
        <w:rPr>
          <w:rFonts w:ascii="Arial" w:hAnsi="Arial" w:cs="Arial"/>
          <w:b/>
          <w:szCs w:val="24"/>
          <w:lang w:eastAsia="en-GB"/>
        </w:rPr>
        <w:t xml:space="preserve">: </w:t>
      </w:r>
      <w:r w:rsidRPr="00584040">
        <w:rPr>
          <w:rFonts w:ascii="Arial" w:hAnsi="Arial" w:cs="Arial"/>
          <w:b/>
          <w:szCs w:val="24"/>
          <w:lang w:eastAsia="en-GB"/>
        </w:rPr>
        <w:tab/>
        <w:t xml:space="preserve">Genomically-linked Clusters reported in Quarter </w:t>
      </w:r>
      <w:r w:rsidR="00C71C45">
        <w:rPr>
          <w:rFonts w:ascii="Arial" w:hAnsi="Arial" w:cs="Arial"/>
          <w:b/>
          <w:szCs w:val="24"/>
          <w:lang w:eastAsia="en-GB"/>
        </w:rPr>
        <w:t>2</w:t>
      </w:r>
      <w:r w:rsidRPr="00584040">
        <w:rPr>
          <w:rFonts w:ascii="Arial" w:hAnsi="Arial" w:cs="Arial"/>
          <w:b/>
          <w:szCs w:val="24"/>
          <w:lang w:eastAsia="en-GB"/>
        </w:rPr>
        <w:t>, 202</w:t>
      </w:r>
      <w:r w:rsidR="00D549AC">
        <w:rPr>
          <w:rFonts w:ascii="Arial" w:hAnsi="Arial" w:cs="Arial"/>
          <w:b/>
          <w:szCs w:val="24"/>
          <w:lang w:eastAsia="en-GB"/>
        </w:rPr>
        <w:t>5</w:t>
      </w:r>
      <w:r w:rsidR="00A5286F">
        <w:rPr>
          <w:rFonts w:ascii="Arial" w:hAnsi="Arial" w:cs="Arial"/>
          <w:b/>
          <w:szCs w:val="24"/>
          <w:lang w:eastAsia="en-GB"/>
        </w:rPr>
        <w:t>/26</w:t>
      </w:r>
    </w:p>
    <w:p w14:paraId="61243359" w14:textId="77777777" w:rsidR="0071496E" w:rsidRDefault="0071496E" w:rsidP="002F6DB7">
      <w:pPr>
        <w:tabs>
          <w:tab w:val="left" w:pos="1701"/>
        </w:tabs>
        <w:spacing w:before="120"/>
        <w:ind w:left="284"/>
        <w:rPr>
          <w:rFonts w:ascii="Arial" w:hAnsi="Arial" w:cs="Arial"/>
          <w:b/>
          <w:bCs/>
          <w:szCs w:val="24"/>
          <w:lang w:eastAsia="en-GB"/>
        </w:rPr>
      </w:pPr>
    </w:p>
    <w:p w14:paraId="76B9AE5D" w14:textId="69B4D7E7" w:rsidR="00A5286F" w:rsidRDefault="00C71C45">
      <w:r>
        <w:rPr>
          <w:noProof/>
        </w:rPr>
        <w:drawing>
          <wp:inline distT="0" distB="0" distL="0" distR="0" wp14:anchorId="59CBB54C" wp14:editId="4701954F">
            <wp:extent cx="6840855" cy="4697095"/>
            <wp:effectExtent l="0" t="0" r="17145" b="8255"/>
            <wp:docPr id="1627792069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100-00000104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sectPr w:rsidR="00A5286F" w:rsidSect="002F6DB7">
      <w:headerReference w:type="default" r:id="rId9"/>
      <w:footerReference w:type="default" r:id="rId10"/>
      <w:pgSz w:w="11906" w:h="16838"/>
      <w:pgMar w:top="851" w:right="566" w:bottom="1134" w:left="567" w:header="426" w:footer="14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BBF5DC" w14:textId="77777777" w:rsidR="002F6DB7" w:rsidRDefault="002F6DB7" w:rsidP="002F6DB7">
      <w:pPr>
        <w:spacing w:after="0" w:line="240" w:lineRule="auto"/>
      </w:pPr>
      <w:r>
        <w:separator/>
      </w:r>
    </w:p>
  </w:endnote>
  <w:endnote w:type="continuationSeparator" w:id="0">
    <w:p w14:paraId="1470F931" w14:textId="77777777" w:rsidR="002F6DB7" w:rsidRDefault="002F6DB7" w:rsidP="002F6D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9172348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EB75D45" w14:textId="7A83F490" w:rsidR="002F6DB7" w:rsidRDefault="00D549AC" w:rsidP="002F6DB7">
            <w:pPr>
              <w:pStyle w:val="Footer"/>
            </w:pPr>
            <w:r>
              <w:rPr>
                <w:rFonts w:ascii="Arial" w:hAnsi="Arial" w:cs="Arial"/>
                <w:sz w:val="20"/>
              </w:rPr>
              <w:t>IPCSG</w:t>
            </w:r>
            <w:r w:rsidR="002F6DB7" w:rsidRPr="00B62EAC">
              <w:rPr>
                <w:rFonts w:ascii="Arial" w:hAnsi="Arial" w:cs="Arial"/>
                <w:sz w:val="20"/>
              </w:rPr>
              <w:t xml:space="preserve"> </w:t>
            </w:r>
            <w:r w:rsidR="002F6DB7" w:rsidRPr="002C3DF7">
              <w:rPr>
                <w:rFonts w:ascii="Arial" w:hAnsi="Arial" w:cs="Arial"/>
                <w:sz w:val="20"/>
              </w:rPr>
              <w:t xml:space="preserve">– </w:t>
            </w:r>
            <w:r w:rsidRPr="002C3DF7">
              <w:rPr>
                <w:rFonts w:ascii="Arial" w:hAnsi="Arial" w:cs="Arial"/>
                <w:sz w:val="20"/>
              </w:rPr>
              <w:t>29</w:t>
            </w:r>
            <w:r w:rsidR="00125305" w:rsidRPr="002C3DF7">
              <w:rPr>
                <w:rFonts w:ascii="Arial" w:hAnsi="Arial" w:cs="Arial"/>
                <w:sz w:val="20"/>
                <w:vertAlign w:val="superscript"/>
              </w:rPr>
              <w:t>th</w:t>
            </w:r>
            <w:r w:rsidR="00125305" w:rsidRPr="002C3DF7">
              <w:rPr>
                <w:rFonts w:ascii="Arial" w:hAnsi="Arial" w:cs="Arial"/>
                <w:sz w:val="20"/>
              </w:rPr>
              <w:t xml:space="preserve"> July</w:t>
            </w:r>
            <w:r>
              <w:rPr>
                <w:rFonts w:ascii="Arial" w:hAnsi="Arial" w:cs="Arial"/>
                <w:sz w:val="20"/>
              </w:rPr>
              <w:t xml:space="preserve"> </w:t>
            </w:r>
            <w:r w:rsidR="002F6DB7">
              <w:rPr>
                <w:rFonts w:ascii="Arial" w:hAnsi="Arial" w:cs="Arial"/>
                <w:sz w:val="20"/>
              </w:rPr>
              <w:t xml:space="preserve">2025                                                                                                          </w:t>
            </w:r>
          </w:p>
          <w:p w14:paraId="51277071" w14:textId="3C8D2AFF" w:rsidR="002F6DB7" w:rsidRDefault="002F6DB7">
            <w:pPr>
              <w:pStyle w:val="Footer"/>
              <w:jc w:val="right"/>
            </w:pPr>
            <w:r w:rsidRPr="002F6DB7">
              <w:rPr>
                <w:rFonts w:ascii="Arial" w:hAnsi="Arial" w:cs="Arial"/>
                <w:sz w:val="22"/>
                <w:szCs w:val="18"/>
              </w:rPr>
              <w:t xml:space="preserve">Page </w:t>
            </w:r>
            <w:r w:rsidRPr="002F6DB7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begin"/>
            </w:r>
            <w:r w:rsidRPr="002F6DB7">
              <w:rPr>
                <w:rFonts w:ascii="Arial" w:hAnsi="Arial" w:cs="Arial"/>
                <w:b/>
                <w:bCs/>
                <w:sz w:val="22"/>
                <w:szCs w:val="18"/>
              </w:rPr>
              <w:instrText>PAGE</w:instrText>
            </w:r>
            <w:r w:rsidRPr="002F6DB7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separate"/>
            </w:r>
            <w:r w:rsidRPr="002F6DB7">
              <w:rPr>
                <w:rFonts w:ascii="Arial" w:hAnsi="Arial" w:cs="Arial"/>
                <w:b/>
                <w:bCs/>
                <w:sz w:val="22"/>
                <w:szCs w:val="18"/>
              </w:rPr>
              <w:t>2</w:t>
            </w:r>
            <w:r w:rsidRPr="002F6DB7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end"/>
            </w:r>
            <w:r w:rsidRPr="002F6DB7">
              <w:rPr>
                <w:rFonts w:ascii="Arial" w:hAnsi="Arial" w:cs="Arial"/>
                <w:sz w:val="22"/>
                <w:szCs w:val="18"/>
              </w:rPr>
              <w:t xml:space="preserve"> of </w:t>
            </w:r>
            <w:r w:rsidRPr="002F6DB7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begin"/>
            </w:r>
            <w:r w:rsidRPr="002F6DB7">
              <w:rPr>
                <w:rFonts w:ascii="Arial" w:hAnsi="Arial" w:cs="Arial"/>
                <w:b/>
                <w:bCs/>
                <w:sz w:val="22"/>
                <w:szCs w:val="18"/>
              </w:rPr>
              <w:instrText>NUMPAGES</w:instrText>
            </w:r>
            <w:r w:rsidRPr="002F6DB7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separate"/>
            </w:r>
            <w:r w:rsidRPr="002F6DB7">
              <w:rPr>
                <w:rFonts w:ascii="Arial" w:hAnsi="Arial" w:cs="Arial"/>
                <w:b/>
                <w:bCs/>
                <w:sz w:val="22"/>
                <w:szCs w:val="18"/>
              </w:rPr>
              <w:t>2</w:t>
            </w:r>
            <w:r w:rsidRPr="002F6DB7">
              <w:rPr>
                <w:rFonts w:ascii="Arial" w:hAnsi="Arial" w:cs="Arial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10FD7FEC" w14:textId="77777777" w:rsidR="002F6DB7" w:rsidRDefault="002F6DB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73B578" w14:textId="77777777" w:rsidR="002F6DB7" w:rsidRDefault="002F6DB7" w:rsidP="002F6DB7">
      <w:pPr>
        <w:spacing w:after="0" w:line="240" w:lineRule="auto"/>
      </w:pPr>
      <w:r>
        <w:separator/>
      </w:r>
    </w:p>
  </w:footnote>
  <w:footnote w:type="continuationSeparator" w:id="0">
    <w:p w14:paraId="0B86DD9A" w14:textId="77777777" w:rsidR="002F6DB7" w:rsidRDefault="002F6DB7" w:rsidP="002F6D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4A233" w14:textId="2B952303" w:rsidR="002F6DB7" w:rsidRPr="002F6DB7" w:rsidRDefault="002F6DB7" w:rsidP="002F6DB7">
    <w:pPr>
      <w:pStyle w:val="Header"/>
      <w:tabs>
        <w:tab w:val="clear" w:pos="4513"/>
        <w:tab w:val="clear" w:pos="9026"/>
      </w:tabs>
      <w:rPr>
        <w:rFonts w:ascii="Arial" w:hAnsi="Arial" w:cs="Arial"/>
        <w:b/>
        <w:sz w:val="20"/>
      </w:rPr>
    </w:pPr>
    <w:r w:rsidRPr="000A74C8">
      <w:rPr>
        <w:rFonts w:ascii="Arial" w:hAnsi="Arial" w:cs="Arial"/>
        <w:b/>
        <w:sz w:val="20"/>
      </w:rPr>
      <w:t>Appendix</w:t>
    </w:r>
    <w:r>
      <w:rPr>
        <w:rFonts w:ascii="Arial" w:hAnsi="Arial" w:cs="Arial"/>
        <w:b/>
        <w:sz w:val="20"/>
      </w:rPr>
      <w:t xml:space="preserve"> </w:t>
    </w:r>
    <w:r w:rsidR="00047AE3">
      <w:rPr>
        <w:rFonts w:ascii="Arial" w:hAnsi="Arial" w:cs="Arial"/>
        <w:b/>
        <w:sz w:val="20"/>
      </w:rPr>
      <w:t xml:space="preserve">4: </w:t>
    </w:r>
    <w:r w:rsidRPr="00E9779E">
      <w:rPr>
        <w:rFonts w:ascii="Arial" w:hAnsi="Arial" w:cs="Arial"/>
        <w:b/>
        <w:sz w:val="20"/>
      </w:rPr>
      <w:t xml:space="preserve">PII and WGS clusters for Quarter </w:t>
    </w:r>
    <w:r w:rsidR="007E69B3">
      <w:rPr>
        <w:rFonts w:ascii="Arial" w:hAnsi="Arial" w:cs="Arial"/>
        <w:b/>
        <w:sz w:val="20"/>
      </w:rPr>
      <w:t>2</w:t>
    </w:r>
    <w:r w:rsidRPr="00E9779E">
      <w:rPr>
        <w:rFonts w:ascii="Arial" w:hAnsi="Arial" w:cs="Arial"/>
        <w:b/>
        <w:sz w:val="20"/>
      </w:rPr>
      <w:t>, 2025</w:t>
    </w:r>
    <w:r w:rsidR="00A5286F">
      <w:rPr>
        <w:rFonts w:ascii="Arial" w:hAnsi="Arial" w:cs="Arial"/>
        <w:b/>
        <w:sz w:val="20"/>
      </w:rPr>
      <w:t>/26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FB56164"/>
    <w:multiLevelType w:val="hybridMultilevel"/>
    <w:tmpl w:val="13E8121C"/>
    <w:lvl w:ilvl="0" w:tplc="CB44AA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trike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34797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savePreviewPicture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6DB7"/>
    <w:rsid w:val="00047AE3"/>
    <w:rsid w:val="00081CDE"/>
    <w:rsid w:val="00094D57"/>
    <w:rsid w:val="000C76C5"/>
    <w:rsid w:val="000C790C"/>
    <w:rsid w:val="000D0ED2"/>
    <w:rsid w:val="00125305"/>
    <w:rsid w:val="0012753E"/>
    <w:rsid w:val="00231272"/>
    <w:rsid w:val="00240C0E"/>
    <w:rsid w:val="00246359"/>
    <w:rsid w:val="002C3DF7"/>
    <w:rsid w:val="002C6A1D"/>
    <w:rsid w:val="002F6DB7"/>
    <w:rsid w:val="00355555"/>
    <w:rsid w:val="00404CB3"/>
    <w:rsid w:val="00481EB2"/>
    <w:rsid w:val="004C6A26"/>
    <w:rsid w:val="00544394"/>
    <w:rsid w:val="005A22B6"/>
    <w:rsid w:val="006016E9"/>
    <w:rsid w:val="0064172F"/>
    <w:rsid w:val="006709D4"/>
    <w:rsid w:val="006971F8"/>
    <w:rsid w:val="0071496E"/>
    <w:rsid w:val="007E69B3"/>
    <w:rsid w:val="008444D3"/>
    <w:rsid w:val="008602B4"/>
    <w:rsid w:val="009056D6"/>
    <w:rsid w:val="009A4A30"/>
    <w:rsid w:val="009E63D2"/>
    <w:rsid w:val="00A5286F"/>
    <w:rsid w:val="00A56FAB"/>
    <w:rsid w:val="00B23D72"/>
    <w:rsid w:val="00B85BE9"/>
    <w:rsid w:val="00C44C18"/>
    <w:rsid w:val="00C71C45"/>
    <w:rsid w:val="00CA5001"/>
    <w:rsid w:val="00D549AC"/>
    <w:rsid w:val="00E51CEA"/>
    <w:rsid w:val="00E57F52"/>
    <w:rsid w:val="00ED7680"/>
    <w:rsid w:val="00F80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119B9043"/>
  <w15:chartTrackingRefBased/>
  <w15:docId w15:val="{F7911E41-EB64-4C6C-A876-970068B3A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6DB7"/>
    <w:rPr>
      <w:rFonts w:ascii="Verdana" w:hAnsi="Verdana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F6DB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6DB7"/>
  </w:style>
  <w:style w:type="paragraph" w:styleId="Footer">
    <w:name w:val="footer"/>
    <w:basedOn w:val="Normal"/>
    <w:link w:val="FooterChar"/>
    <w:uiPriority w:val="99"/>
    <w:unhideWhenUsed/>
    <w:rsid w:val="002F6DB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6DB7"/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"/>
    <w:basedOn w:val="Normal"/>
    <w:link w:val="ListParagraphChar"/>
    <w:uiPriority w:val="34"/>
    <w:qFormat/>
    <w:rsid w:val="002F6DB7"/>
    <w:pPr>
      <w:ind w:left="720"/>
      <w:contextualSpacing/>
    </w:pPr>
    <w:rPr>
      <w:rFonts w:asciiTheme="minorHAnsi" w:hAnsiTheme="minorHAnsi"/>
      <w:sz w:val="22"/>
      <w:szCs w:val="22"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basedOn w:val="DefaultParagraphFont"/>
    <w:link w:val="ListParagraph"/>
    <w:uiPriority w:val="34"/>
    <w:qFormat/>
    <w:locked/>
    <w:rsid w:val="002F6D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13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customXml" Target="../customXml/item3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customXml" Target="../customXml/item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GB"/>
              <a:t>Datix</a:t>
            </a:r>
            <a:r>
              <a:rPr lang="en-GB" baseline="0"/>
              <a:t> reported </a:t>
            </a:r>
            <a:r>
              <a:rPr lang="en-GB" i="1" baseline="0"/>
              <a:t>C. difficile </a:t>
            </a:r>
            <a:r>
              <a:rPr lang="en-GB" baseline="0"/>
              <a:t>PII May 2022- Sept 2025</a:t>
            </a:r>
            <a:endParaRPr lang="en-GB"/>
          </a:p>
        </c:rich>
      </c:tx>
      <c:overlay val="0"/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Data!$B$1</c:f>
              <c:strCache>
                <c:ptCount val="1"/>
                <c:pt idx="0">
                  <c:v>Data</c:v>
                </c:pt>
              </c:strCache>
            </c:strRef>
          </c:tx>
          <c:spPr>
            <a:ln/>
          </c:spPr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Data!$A$2:$A$15</c:f>
              <c:strCache>
                <c:ptCount val="14"/>
                <c:pt idx="0">
                  <c:v>2022 Q2</c:v>
                </c:pt>
                <c:pt idx="1">
                  <c:v>2022 Q3</c:v>
                </c:pt>
                <c:pt idx="2">
                  <c:v>2022 Q4</c:v>
                </c:pt>
                <c:pt idx="3">
                  <c:v>2023 Q1</c:v>
                </c:pt>
                <c:pt idx="4">
                  <c:v>2023 Q2</c:v>
                </c:pt>
                <c:pt idx="5">
                  <c:v>2023 Q3</c:v>
                </c:pt>
                <c:pt idx="6">
                  <c:v>2023 Q4</c:v>
                </c:pt>
                <c:pt idx="7">
                  <c:v>2024 Q1</c:v>
                </c:pt>
                <c:pt idx="8">
                  <c:v>2024 Q2</c:v>
                </c:pt>
                <c:pt idx="9">
                  <c:v>2024 Q3</c:v>
                </c:pt>
                <c:pt idx="10">
                  <c:v>2024 Q4</c:v>
                </c:pt>
                <c:pt idx="11">
                  <c:v>2025 Q1</c:v>
                </c:pt>
                <c:pt idx="12">
                  <c:v>2025 Q2</c:v>
                </c:pt>
                <c:pt idx="13">
                  <c:v>2025 Q3</c:v>
                </c:pt>
              </c:strCache>
            </c:strRef>
          </c:cat>
          <c:val>
            <c:numRef>
              <c:f>Data!$B$2:$B$15</c:f>
              <c:numCache>
                <c:formatCode>General</c:formatCode>
                <c:ptCount val="14"/>
                <c:pt idx="0">
                  <c:v>8</c:v>
                </c:pt>
                <c:pt idx="1">
                  <c:v>5</c:v>
                </c:pt>
                <c:pt idx="2">
                  <c:v>3</c:v>
                </c:pt>
                <c:pt idx="3">
                  <c:v>5</c:v>
                </c:pt>
                <c:pt idx="4">
                  <c:v>10</c:v>
                </c:pt>
                <c:pt idx="5">
                  <c:v>22</c:v>
                </c:pt>
                <c:pt idx="6">
                  <c:v>12</c:v>
                </c:pt>
                <c:pt idx="7">
                  <c:v>10</c:v>
                </c:pt>
                <c:pt idx="8">
                  <c:v>13</c:v>
                </c:pt>
                <c:pt idx="9">
                  <c:v>19</c:v>
                </c:pt>
                <c:pt idx="10">
                  <c:v>27</c:v>
                </c:pt>
                <c:pt idx="11">
                  <c:v>22</c:v>
                </c:pt>
                <c:pt idx="12">
                  <c:v>16</c:v>
                </c:pt>
                <c:pt idx="13">
                  <c:v>19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53A4-48DC-A1B6-5AF9737AB147}"/>
            </c:ext>
          </c:extLst>
        </c:ser>
        <c:ser>
          <c:idx val="1"/>
          <c:order val="1"/>
          <c:tx>
            <c:strRef>
              <c:f>Data!$C$1</c:f>
              <c:strCache>
                <c:ptCount val="1"/>
                <c:pt idx="0">
                  <c:v>Mean</c:v>
                </c:pt>
              </c:strCache>
            </c:strRef>
          </c:tx>
          <c:spPr>
            <a:ln/>
          </c:spPr>
          <c:marker>
            <c:symbol val="none"/>
          </c:marker>
          <c:val>
            <c:numRef>
              <c:f>Data!$C$2:$C$15</c:f>
              <c:numCache>
                <c:formatCode>General</c:formatCode>
                <c:ptCount val="14"/>
                <c:pt idx="0">
                  <c:v>13.64</c:v>
                </c:pt>
                <c:pt idx="1">
                  <c:v>13.64</c:v>
                </c:pt>
                <c:pt idx="2">
                  <c:v>13.64</c:v>
                </c:pt>
                <c:pt idx="3">
                  <c:v>13.64</c:v>
                </c:pt>
                <c:pt idx="4">
                  <c:v>13.64</c:v>
                </c:pt>
                <c:pt idx="5">
                  <c:v>13.64</c:v>
                </c:pt>
                <c:pt idx="6">
                  <c:v>13.64</c:v>
                </c:pt>
                <c:pt idx="7">
                  <c:v>13.64</c:v>
                </c:pt>
                <c:pt idx="8">
                  <c:v>13.64</c:v>
                </c:pt>
                <c:pt idx="9">
                  <c:v>13.64</c:v>
                </c:pt>
                <c:pt idx="10">
                  <c:v>13.64</c:v>
                </c:pt>
                <c:pt idx="11">
                  <c:v>13.64</c:v>
                </c:pt>
                <c:pt idx="12">
                  <c:v>13.64</c:v>
                </c:pt>
                <c:pt idx="13">
                  <c:v>13.64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53A4-48DC-A1B6-5AF9737AB147}"/>
            </c:ext>
          </c:extLst>
        </c:ser>
        <c:ser>
          <c:idx val="2"/>
          <c:order val="2"/>
          <c:tx>
            <c:strRef>
              <c:f>Data!$D$1</c:f>
              <c:strCache>
                <c:ptCount val="1"/>
                <c:pt idx="0">
                  <c:v>UCL</c:v>
                </c:pt>
              </c:strCache>
            </c:strRef>
          </c:tx>
          <c:spPr>
            <a:ln/>
          </c:spPr>
          <c:marker>
            <c:symbol val="none"/>
          </c:marker>
          <c:val>
            <c:numRef>
              <c:f>Data!$D$2:$D$15</c:f>
              <c:numCache>
                <c:formatCode>General</c:formatCode>
                <c:ptCount val="14"/>
                <c:pt idx="0">
                  <c:v>27.35</c:v>
                </c:pt>
                <c:pt idx="1">
                  <c:v>27.35</c:v>
                </c:pt>
                <c:pt idx="2">
                  <c:v>27.35</c:v>
                </c:pt>
                <c:pt idx="3">
                  <c:v>27.35</c:v>
                </c:pt>
                <c:pt idx="4">
                  <c:v>27.35</c:v>
                </c:pt>
                <c:pt idx="5">
                  <c:v>27.35</c:v>
                </c:pt>
                <c:pt idx="6">
                  <c:v>27.35</c:v>
                </c:pt>
                <c:pt idx="7">
                  <c:v>27.35</c:v>
                </c:pt>
                <c:pt idx="8">
                  <c:v>27.35</c:v>
                </c:pt>
                <c:pt idx="9">
                  <c:v>27.35</c:v>
                </c:pt>
                <c:pt idx="10">
                  <c:v>27.35</c:v>
                </c:pt>
                <c:pt idx="11">
                  <c:v>27.35</c:v>
                </c:pt>
                <c:pt idx="12">
                  <c:v>27.35</c:v>
                </c:pt>
                <c:pt idx="13">
                  <c:v>27.35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53A4-48DC-A1B6-5AF9737AB147}"/>
            </c:ext>
          </c:extLst>
        </c:ser>
        <c:ser>
          <c:idx val="3"/>
          <c:order val="3"/>
          <c:tx>
            <c:strRef>
              <c:f>Data!$E$1</c:f>
              <c:strCache>
                <c:ptCount val="1"/>
                <c:pt idx="0">
                  <c:v>LCL</c:v>
                </c:pt>
              </c:strCache>
            </c:strRef>
          </c:tx>
          <c:spPr>
            <a:ln/>
          </c:spPr>
          <c:marker>
            <c:symbol val="none"/>
          </c:marker>
          <c:val>
            <c:numRef>
              <c:f>Data!$E$2:$E$15</c:f>
              <c:numCache>
                <c:formatCode>General</c:formatCode>
                <c:ptCount val="14"/>
                <c:pt idx="0">
                  <c:v>-7.0000000000000007E-2</c:v>
                </c:pt>
                <c:pt idx="1">
                  <c:v>-7.0000000000000007E-2</c:v>
                </c:pt>
                <c:pt idx="2">
                  <c:v>-7.0000000000000007E-2</c:v>
                </c:pt>
                <c:pt idx="3">
                  <c:v>-7.0000000000000007E-2</c:v>
                </c:pt>
                <c:pt idx="4">
                  <c:v>-7.0000000000000007E-2</c:v>
                </c:pt>
                <c:pt idx="5">
                  <c:v>-7.0000000000000007E-2</c:v>
                </c:pt>
                <c:pt idx="6">
                  <c:v>-7.0000000000000007E-2</c:v>
                </c:pt>
                <c:pt idx="7">
                  <c:v>-7.0000000000000007E-2</c:v>
                </c:pt>
                <c:pt idx="8">
                  <c:v>-7.0000000000000007E-2</c:v>
                </c:pt>
                <c:pt idx="9">
                  <c:v>-7.0000000000000007E-2</c:v>
                </c:pt>
                <c:pt idx="10">
                  <c:v>-7.0000000000000007E-2</c:v>
                </c:pt>
                <c:pt idx="11">
                  <c:v>-7.0000000000000007E-2</c:v>
                </c:pt>
                <c:pt idx="12">
                  <c:v>-7.0000000000000007E-2</c:v>
                </c:pt>
                <c:pt idx="13">
                  <c:v>-7.0000000000000007E-2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53A4-48DC-A1B6-5AF9737AB14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0438656"/>
        <c:axId val="110444544"/>
      </c:lineChart>
      <c:catAx>
        <c:axId val="11043865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110444544"/>
        <c:crosses val="autoZero"/>
        <c:auto val="1"/>
        <c:lblAlgn val="ctr"/>
        <c:lblOffset val="100"/>
        <c:noMultiLvlLbl val="0"/>
      </c:catAx>
      <c:valAx>
        <c:axId val="110444544"/>
        <c:scaling>
          <c:orientation val="minMax"/>
        </c:scaling>
        <c:delete val="0"/>
        <c:axPos val="l"/>
        <c:majorGridlines>
          <c:spPr>
            <a:ln/>
          </c:spPr>
        </c:majorGridlines>
        <c:numFmt formatCode="General" sourceLinked="1"/>
        <c:majorTickMark val="none"/>
        <c:minorTickMark val="none"/>
        <c:tickLblPos val="nextTo"/>
        <c:spPr>
          <a:ln/>
        </c:spPr>
        <c:crossAx val="110438656"/>
        <c:crosses val="autoZero"/>
        <c:crossBetween val="between"/>
      </c:valAx>
    </c:plotArea>
    <c:legend>
      <c:legendPos val="r"/>
      <c:overlay val="0"/>
      <c:txPr>
        <a:bodyPr/>
        <a:lstStyle/>
        <a:p>
          <a:pPr rtl="0">
            <a:defRPr/>
          </a:pPr>
          <a:endParaRPr lang="en-US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GB"/>
              <a:t>Datix reported </a:t>
            </a:r>
            <a:r>
              <a:rPr lang="en-GB" i="1"/>
              <a:t>C. difficile</a:t>
            </a:r>
            <a:r>
              <a:rPr lang="en-GB" i="1" baseline="0"/>
              <a:t> </a:t>
            </a:r>
            <a:r>
              <a:rPr lang="en-GB" baseline="0"/>
              <a:t>Outbreaks  </a:t>
            </a:r>
          </a:p>
          <a:p>
            <a:pPr>
              <a:defRPr/>
            </a:pPr>
            <a:r>
              <a:rPr lang="en-GB" baseline="0"/>
              <a:t>May 2022 - Sept 2025</a:t>
            </a:r>
            <a:endParaRPr lang="en-GB"/>
          </a:p>
        </c:rich>
      </c:tx>
      <c:overlay val="0"/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Data!$B$1</c:f>
              <c:strCache>
                <c:ptCount val="1"/>
                <c:pt idx="0">
                  <c:v>Data</c:v>
                </c:pt>
              </c:strCache>
            </c:strRef>
          </c:tx>
          <c:spPr>
            <a:ln/>
          </c:spPr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</c:ext>
            </c:extLst>
          </c:dLbls>
          <c:cat>
            <c:strRef>
              <c:f>Data!$A$2:$A$31</c:f>
              <c:strCache>
                <c:ptCount val="30"/>
                <c:pt idx="0">
                  <c:v>May 2022</c:v>
                </c:pt>
                <c:pt idx="1">
                  <c:v>Jul 2022</c:v>
                </c:pt>
                <c:pt idx="2">
                  <c:v>Sep 2022</c:v>
                </c:pt>
                <c:pt idx="3">
                  <c:v>Jan 2023</c:v>
                </c:pt>
                <c:pt idx="4">
                  <c:v>Mar 2023</c:v>
                </c:pt>
                <c:pt idx="5">
                  <c:v>Apr 2023</c:v>
                </c:pt>
                <c:pt idx="6">
                  <c:v>May 2023</c:v>
                </c:pt>
                <c:pt idx="7">
                  <c:v>Jul 2023</c:v>
                </c:pt>
                <c:pt idx="8">
                  <c:v>Aug 2023</c:v>
                </c:pt>
                <c:pt idx="9">
                  <c:v>Sep 2023</c:v>
                </c:pt>
                <c:pt idx="10">
                  <c:v>Nov 2023</c:v>
                </c:pt>
                <c:pt idx="11">
                  <c:v>Dec 2023</c:v>
                </c:pt>
                <c:pt idx="12">
                  <c:v>Feb 2024</c:v>
                </c:pt>
                <c:pt idx="13">
                  <c:v>Mar 2024</c:v>
                </c:pt>
                <c:pt idx="14">
                  <c:v>Apr 2024</c:v>
                </c:pt>
                <c:pt idx="15">
                  <c:v>May 2024</c:v>
                </c:pt>
                <c:pt idx="16">
                  <c:v>Jun 2024</c:v>
                </c:pt>
                <c:pt idx="17">
                  <c:v>Jul 2024</c:v>
                </c:pt>
                <c:pt idx="18">
                  <c:v>Aug 2024</c:v>
                </c:pt>
                <c:pt idx="19">
                  <c:v>Oct 2024</c:v>
                </c:pt>
                <c:pt idx="20">
                  <c:v>Nov 2024</c:v>
                </c:pt>
                <c:pt idx="21">
                  <c:v>Dec 2024</c:v>
                </c:pt>
                <c:pt idx="22">
                  <c:v>Feb 2025</c:v>
                </c:pt>
                <c:pt idx="23">
                  <c:v>Mar 2025</c:v>
                </c:pt>
                <c:pt idx="24">
                  <c:v>Apr 2025</c:v>
                </c:pt>
                <c:pt idx="25">
                  <c:v>May 2025</c:v>
                </c:pt>
                <c:pt idx="26">
                  <c:v>Jun 2025</c:v>
                </c:pt>
                <c:pt idx="27">
                  <c:v>Jul 2025</c:v>
                </c:pt>
                <c:pt idx="28">
                  <c:v>Aug 2025</c:v>
                </c:pt>
                <c:pt idx="29">
                  <c:v>Sep 2025</c:v>
                </c:pt>
              </c:strCache>
            </c:strRef>
          </c:cat>
          <c:val>
            <c:numRef>
              <c:f>Data!$B$2:$B$31</c:f>
              <c:numCache>
                <c:formatCode>General</c:formatCode>
                <c:ptCount val="30"/>
                <c:pt idx="0">
                  <c:v>1</c:v>
                </c:pt>
                <c:pt idx="1">
                  <c:v>1</c:v>
                </c:pt>
                <c:pt idx="2">
                  <c:v>1</c:v>
                </c:pt>
                <c:pt idx="3">
                  <c:v>2</c:v>
                </c:pt>
                <c:pt idx="4">
                  <c:v>2</c:v>
                </c:pt>
                <c:pt idx="5">
                  <c:v>1</c:v>
                </c:pt>
                <c:pt idx="6">
                  <c:v>1</c:v>
                </c:pt>
                <c:pt idx="7">
                  <c:v>1</c:v>
                </c:pt>
                <c:pt idx="8">
                  <c:v>1</c:v>
                </c:pt>
                <c:pt idx="9">
                  <c:v>3</c:v>
                </c:pt>
                <c:pt idx="10">
                  <c:v>3</c:v>
                </c:pt>
                <c:pt idx="11">
                  <c:v>2</c:v>
                </c:pt>
                <c:pt idx="12">
                  <c:v>1</c:v>
                </c:pt>
                <c:pt idx="13">
                  <c:v>6</c:v>
                </c:pt>
                <c:pt idx="14">
                  <c:v>3</c:v>
                </c:pt>
                <c:pt idx="15">
                  <c:v>2</c:v>
                </c:pt>
                <c:pt idx="16">
                  <c:v>1</c:v>
                </c:pt>
                <c:pt idx="17">
                  <c:v>3</c:v>
                </c:pt>
                <c:pt idx="18">
                  <c:v>5</c:v>
                </c:pt>
                <c:pt idx="19">
                  <c:v>4</c:v>
                </c:pt>
                <c:pt idx="20">
                  <c:v>5</c:v>
                </c:pt>
                <c:pt idx="21">
                  <c:v>4</c:v>
                </c:pt>
                <c:pt idx="22">
                  <c:v>2</c:v>
                </c:pt>
                <c:pt idx="23">
                  <c:v>1</c:v>
                </c:pt>
                <c:pt idx="24">
                  <c:v>5</c:v>
                </c:pt>
                <c:pt idx="25">
                  <c:v>1</c:v>
                </c:pt>
                <c:pt idx="26">
                  <c:v>1</c:v>
                </c:pt>
                <c:pt idx="27">
                  <c:v>2</c:v>
                </c:pt>
                <c:pt idx="28">
                  <c:v>1</c:v>
                </c:pt>
                <c:pt idx="29">
                  <c:v>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7D3B-44F4-B86A-E1DEE58EE45D}"/>
            </c:ext>
          </c:extLst>
        </c:ser>
        <c:ser>
          <c:idx val="1"/>
          <c:order val="1"/>
          <c:tx>
            <c:strRef>
              <c:f>Data!$C$1</c:f>
              <c:strCache>
                <c:ptCount val="1"/>
                <c:pt idx="0">
                  <c:v>Mean</c:v>
                </c:pt>
              </c:strCache>
            </c:strRef>
          </c:tx>
          <c:spPr>
            <a:ln/>
          </c:spPr>
          <c:marker>
            <c:symbol val="none"/>
          </c:marker>
          <c:val>
            <c:numRef>
              <c:f>Data!$C$2:$C$31</c:f>
              <c:numCache>
                <c:formatCode>General</c:formatCode>
                <c:ptCount val="30"/>
                <c:pt idx="0">
                  <c:v>2.33</c:v>
                </c:pt>
                <c:pt idx="1">
                  <c:v>2.33</c:v>
                </c:pt>
                <c:pt idx="2">
                  <c:v>2.33</c:v>
                </c:pt>
                <c:pt idx="3">
                  <c:v>2.33</c:v>
                </c:pt>
                <c:pt idx="4">
                  <c:v>2.33</c:v>
                </c:pt>
                <c:pt idx="5">
                  <c:v>2.33</c:v>
                </c:pt>
                <c:pt idx="6">
                  <c:v>2.33</c:v>
                </c:pt>
                <c:pt idx="7">
                  <c:v>2.33</c:v>
                </c:pt>
                <c:pt idx="8">
                  <c:v>2.33</c:v>
                </c:pt>
                <c:pt idx="9">
                  <c:v>2.33</c:v>
                </c:pt>
                <c:pt idx="10">
                  <c:v>2.33</c:v>
                </c:pt>
                <c:pt idx="11">
                  <c:v>2.33</c:v>
                </c:pt>
                <c:pt idx="12">
                  <c:v>2.33</c:v>
                </c:pt>
                <c:pt idx="13">
                  <c:v>2.33</c:v>
                </c:pt>
                <c:pt idx="14">
                  <c:v>2.33</c:v>
                </c:pt>
                <c:pt idx="15">
                  <c:v>2.33</c:v>
                </c:pt>
                <c:pt idx="16">
                  <c:v>2.33</c:v>
                </c:pt>
                <c:pt idx="17">
                  <c:v>2.33</c:v>
                </c:pt>
                <c:pt idx="18">
                  <c:v>2.33</c:v>
                </c:pt>
                <c:pt idx="19">
                  <c:v>2.33</c:v>
                </c:pt>
                <c:pt idx="20">
                  <c:v>2.33</c:v>
                </c:pt>
                <c:pt idx="21">
                  <c:v>2.33</c:v>
                </c:pt>
                <c:pt idx="22">
                  <c:v>2.33</c:v>
                </c:pt>
                <c:pt idx="23">
                  <c:v>2.33</c:v>
                </c:pt>
                <c:pt idx="24">
                  <c:v>2.33</c:v>
                </c:pt>
                <c:pt idx="25">
                  <c:v>2.33</c:v>
                </c:pt>
                <c:pt idx="26">
                  <c:v>2.33</c:v>
                </c:pt>
                <c:pt idx="27">
                  <c:v>2.33</c:v>
                </c:pt>
                <c:pt idx="28">
                  <c:v>2.33</c:v>
                </c:pt>
                <c:pt idx="29">
                  <c:v>2.33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7D3B-44F4-B86A-E1DEE58EE45D}"/>
            </c:ext>
          </c:extLst>
        </c:ser>
        <c:ser>
          <c:idx val="2"/>
          <c:order val="2"/>
          <c:tx>
            <c:strRef>
              <c:f>Data!$D$1</c:f>
              <c:strCache>
                <c:ptCount val="1"/>
                <c:pt idx="0">
                  <c:v>UCL</c:v>
                </c:pt>
              </c:strCache>
            </c:strRef>
          </c:tx>
          <c:spPr>
            <a:ln/>
          </c:spPr>
          <c:marker>
            <c:symbol val="none"/>
          </c:marker>
          <c:val>
            <c:numRef>
              <c:f>Data!$D$2:$D$31</c:f>
              <c:numCache>
                <c:formatCode>General</c:formatCode>
                <c:ptCount val="30"/>
                <c:pt idx="0">
                  <c:v>5.91</c:v>
                </c:pt>
                <c:pt idx="1">
                  <c:v>5.91</c:v>
                </c:pt>
                <c:pt idx="2">
                  <c:v>5.91</c:v>
                </c:pt>
                <c:pt idx="3">
                  <c:v>5.91</c:v>
                </c:pt>
                <c:pt idx="4">
                  <c:v>5.91</c:v>
                </c:pt>
                <c:pt idx="5">
                  <c:v>5.91</c:v>
                </c:pt>
                <c:pt idx="6">
                  <c:v>5.91</c:v>
                </c:pt>
                <c:pt idx="7">
                  <c:v>5.91</c:v>
                </c:pt>
                <c:pt idx="8">
                  <c:v>5.91</c:v>
                </c:pt>
                <c:pt idx="9">
                  <c:v>5.91</c:v>
                </c:pt>
                <c:pt idx="10">
                  <c:v>5.91</c:v>
                </c:pt>
                <c:pt idx="11">
                  <c:v>5.91</c:v>
                </c:pt>
                <c:pt idx="12">
                  <c:v>5.91</c:v>
                </c:pt>
                <c:pt idx="13">
                  <c:v>5.91</c:v>
                </c:pt>
                <c:pt idx="14">
                  <c:v>5.91</c:v>
                </c:pt>
                <c:pt idx="15">
                  <c:v>5.91</c:v>
                </c:pt>
                <c:pt idx="16">
                  <c:v>5.91</c:v>
                </c:pt>
                <c:pt idx="17">
                  <c:v>5.91</c:v>
                </c:pt>
                <c:pt idx="18">
                  <c:v>5.91</c:v>
                </c:pt>
                <c:pt idx="19">
                  <c:v>5.91</c:v>
                </c:pt>
                <c:pt idx="20">
                  <c:v>5.91</c:v>
                </c:pt>
                <c:pt idx="21">
                  <c:v>5.91</c:v>
                </c:pt>
                <c:pt idx="22">
                  <c:v>5.91</c:v>
                </c:pt>
                <c:pt idx="23">
                  <c:v>5.91</c:v>
                </c:pt>
                <c:pt idx="24">
                  <c:v>5.91</c:v>
                </c:pt>
                <c:pt idx="25">
                  <c:v>5.91</c:v>
                </c:pt>
                <c:pt idx="26">
                  <c:v>5.91</c:v>
                </c:pt>
                <c:pt idx="27">
                  <c:v>5.91</c:v>
                </c:pt>
                <c:pt idx="28">
                  <c:v>5.91</c:v>
                </c:pt>
                <c:pt idx="29">
                  <c:v>5.91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7D3B-44F4-B86A-E1DEE58EE45D}"/>
            </c:ext>
          </c:extLst>
        </c:ser>
        <c:ser>
          <c:idx val="3"/>
          <c:order val="3"/>
          <c:tx>
            <c:strRef>
              <c:f>Data!$E$1</c:f>
              <c:strCache>
                <c:ptCount val="1"/>
                <c:pt idx="0">
                  <c:v>LCL</c:v>
                </c:pt>
              </c:strCache>
            </c:strRef>
          </c:tx>
          <c:spPr>
            <a:ln/>
          </c:spPr>
          <c:marker>
            <c:symbol val="none"/>
          </c:marker>
          <c:val>
            <c:numRef>
              <c:f>Data!$E$2:$E$31</c:f>
              <c:numCache>
                <c:formatCode>General</c:formatCode>
                <c:ptCount val="30"/>
                <c:pt idx="0">
                  <c:v>-1.24</c:v>
                </c:pt>
                <c:pt idx="1">
                  <c:v>-1.24</c:v>
                </c:pt>
                <c:pt idx="2">
                  <c:v>-1.24</c:v>
                </c:pt>
                <c:pt idx="3">
                  <c:v>-1.24</c:v>
                </c:pt>
                <c:pt idx="4">
                  <c:v>-1.24</c:v>
                </c:pt>
                <c:pt idx="5">
                  <c:v>-1.24</c:v>
                </c:pt>
                <c:pt idx="6">
                  <c:v>-1.24</c:v>
                </c:pt>
                <c:pt idx="7">
                  <c:v>-1.24</c:v>
                </c:pt>
                <c:pt idx="8">
                  <c:v>-1.24</c:v>
                </c:pt>
                <c:pt idx="9">
                  <c:v>-1.24</c:v>
                </c:pt>
                <c:pt idx="10">
                  <c:v>-1.24</c:v>
                </c:pt>
                <c:pt idx="11">
                  <c:v>-1.24</c:v>
                </c:pt>
                <c:pt idx="12">
                  <c:v>-1.24</c:v>
                </c:pt>
                <c:pt idx="13">
                  <c:v>-1.24</c:v>
                </c:pt>
                <c:pt idx="14">
                  <c:v>-1.24</c:v>
                </c:pt>
                <c:pt idx="15">
                  <c:v>-1.24</c:v>
                </c:pt>
                <c:pt idx="16">
                  <c:v>-1.24</c:v>
                </c:pt>
                <c:pt idx="17">
                  <c:v>-1.24</c:v>
                </c:pt>
                <c:pt idx="18">
                  <c:v>-1.24</c:v>
                </c:pt>
                <c:pt idx="19">
                  <c:v>-1.24</c:v>
                </c:pt>
                <c:pt idx="20">
                  <c:v>-1.24</c:v>
                </c:pt>
                <c:pt idx="21">
                  <c:v>-1.24</c:v>
                </c:pt>
                <c:pt idx="22">
                  <c:v>-1.24</c:v>
                </c:pt>
                <c:pt idx="23">
                  <c:v>-1.24</c:v>
                </c:pt>
                <c:pt idx="24">
                  <c:v>-1.24</c:v>
                </c:pt>
                <c:pt idx="25">
                  <c:v>-1.24</c:v>
                </c:pt>
                <c:pt idx="26">
                  <c:v>-1.24</c:v>
                </c:pt>
                <c:pt idx="27">
                  <c:v>-1.24</c:v>
                </c:pt>
                <c:pt idx="28">
                  <c:v>-1.24</c:v>
                </c:pt>
                <c:pt idx="29">
                  <c:v>-1.24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7D3B-44F4-B86A-E1DEE58EE45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10438656"/>
        <c:axId val="110444544"/>
      </c:lineChart>
      <c:catAx>
        <c:axId val="11043865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110444544"/>
        <c:crosses val="autoZero"/>
        <c:auto val="1"/>
        <c:lblAlgn val="ctr"/>
        <c:lblOffset val="100"/>
        <c:noMultiLvlLbl val="0"/>
      </c:catAx>
      <c:valAx>
        <c:axId val="110444544"/>
        <c:scaling>
          <c:orientation val="minMax"/>
        </c:scaling>
        <c:delete val="0"/>
        <c:axPos val="l"/>
        <c:majorGridlines>
          <c:spPr>
            <a:ln/>
          </c:spPr>
        </c:majorGridlines>
        <c:numFmt formatCode="General" sourceLinked="1"/>
        <c:majorTickMark val="none"/>
        <c:minorTickMark val="none"/>
        <c:tickLblPos val="nextTo"/>
        <c:spPr>
          <a:ln/>
        </c:spPr>
        <c:crossAx val="110438656"/>
        <c:crosses val="autoZero"/>
        <c:crossBetween val="between"/>
      </c:valAx>
    </c:plotArea>
    <c:legend>
      <c:legendPos val="r"/>
      <c:overlay val="0"/>
      <c:txPr>
        <a:bodyPr/>
        <a:lstStyle/>
        <a:p>
          <a:pPr rtl="0">
            <a:defRPr/>
          </a:pPr>
          <a:endParaRPr lang="en-US"/>
        </a:p>
      </c:txPr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2387B74D-9638-4753-951F-A2AD7EA6AAEE}"/>
</file>

<file path=customXml/itemProps2.xml><?xml version="1.0" encoding="utf-8"?>
<ds:datastoreItem xmlns:ds="http://schemas.openxmlformats.org/officeDocument/2006/customXml" ds:itemID="{41296DC0-A2B7-4B7F-99FE-FB19E219B8FA}"/>
</file>

<file path=customXml/itemProps3.xml><?xml version="1.0" encoding="utf-8"?>
<ds:datastoreItem xmlns:ds="http://schemas.openxmlformats.org/officeDocument/2006/customXml" ds:itemID="{A4868310-FE0B-4B61-907A-D492E9C1A5A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25</Words>
  <Characters>146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Swansea Bay Health Board</Company>
  <LinksUpToDate>false</LinksUpToDate>
  <CharactersWithSpaces>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Delyth Davies (Swansea Bay UHB - Infection Control)</dc:creator>
  <cp:keywords/>
  <dc:description/>
  <cp:lastModifiedBy>Joanne Walters (Swansea Bay UHB - Integrated Infection Prevention Control Service)</cp:lastModifiedBy>
  <cp:revision>3</cp:revision>
  <dcterms:created xsi:type="dcterms:W3CDTF">2025-10-15T12:17:00Z</dcterms:created>
  <dcterms:modified xsi:type="dcterms:W3CDTF">2025-10-15T12:45:00Z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