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6200AC" w:rsidRPr="00034194" w:rsidTr="00CE3D9B">
        <w:tc>
          <w:tcPr>
            <w:tcW w:w="2547" w:type="dxa"/>
          </w:tcPr>
          <w:p w:rsidR="006200AC" w:rsidRPr="00FA0CA9" w:rsidRDefault="006200AC" w:rsidP="00CE3D9B">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9F63B63BC0544F76BCEB4D663AEC09D7"/>
            </w:placeholder>
            <w:date w:fullDate="2023-10-17T00:00:00Z">
              <w:dateFormat w:val="dd MMMM yyyy"/>
              <w:lid w:val="en-GB"/>
              <w:storeMappedDataAs w:val="dateTime"/>
              <w:calendar w:val="gregorian"/>
            </w:date>
          </w:sdtPr>
          <w:sdtEndPr/>
          <w:sdtContent>
            <w:tc>
              <w:tcPr>
                <w:tcW w:w="3260" w:type="dxa"/>
                <w:gridSpan w:val="2"/>
              </w:tcPr>
              <w:p w:rsidR="006200AC" w:rsidRPr="00FA0CA9" w:rsidRDefault="00B90770" w:rsidP="00CE3D9B">
                <w:pPr>
                  <w:rPr>
                    <w:rFonts w:ascii="Arial" w:hAnsi="Arial" w:cs="Arial"/>
                    <w:b/>
                    <w:sz w:val="24"/>
                    <w:szCs w:val="24"/>
                  </w:rPr>
                </w:pPr>
                <w:r>
                  <w:rPr>
                    <w:rFonts w:ascii="Arial" w:hAnsi="Arial" w:cs="Arial"/>
                    <w:b/>
                    <w:sz w:val="24"/>
                    <w:szCs w:val="24"/>
                  </w:rPr>
                  <w:t>17 October 2023</w:t>
                </w:r>
              </w:p>
            </w:tc>
          </w:sdtContent>
        </w:sdt>
        <w:tc>
          <w:tcPr>
            <w:tcW w:w="2368" w:type="dxa"/>
            <w:gridSpan w:val="3"/>
          </w:tcPr>
          <w:p w:rsidR="006200AC" w:rsidRPr="00FA0CA9" w:rsidRDefault="006200AC" w:rsidP="00CE3D9B">
            <w:pPr>
              <w:rPr>
                <w:rFonts w:ascii="Arial" w:hAnsi="Arial" w:cs="Arial"/>
                <w:b/>
                <w:sz w:val="24"/>
                <w:szCs w:val="24"/>
              </w:rPr>
            </w:pPr>
            <w:r w:rsidRPr="00FA0CA9">
              <w:rPr>
                <w:rFonts w:ascii="Arial" w:hAnsi="Arial" w:cs="Arial"/>
                <w:b/>
                <w:sz w:val="24"/>
                <w:szCs w:val="24"/>
              </w:rPr>
              <w:t>Agenda Item</w:t>
            </w:r>
          </w:p>
        </w:tc>
        <w:tc>
          <w:tcPr>
            <w:tcW w:w="841" w:type="dxa"/>
          </w:tcPr>
          <w:p w:rsidR="006200AC" w:rsidRPr="00FA0CA9" w:rsidRDefault="006200AC" w:rsidP="00CE3D9B">
            <w:pPr>
              <w:rPr>
                <w:rFonts w:ascii="Arial" w:hAnsi="Arial" w:cs="Arial"/>
                <w:b/>
                <w:sz w:val="24"/>
                <w:szCs w:val="24"/>
              </w:rPr>
            </w:pPr>
          </w:p>
        </w:tc>
      </w:tr>
      <w:tr w:rsidR="006200AC" w:rsidRPr="00034194" w:rsidTr="00CE3D9B">
        <w:tc>
          <w:tcPr>
            <w:tcW w:w="2547" w:type="dxa"/>
          </w:tcPr>
          <w:p w:rsidR="006200AC" w:rsidRPr="00FA0CA9" w:rsidRDefault="006200AC" w:rsidP="00CE3D9B">
            <w:pPr>
              <w:rPr>
                <w:rFonts w:ascii="Arial" w:hAnsi="Arial" w:cs="Arial"/>
                <w:b/>
                <w:sz w:val="24"/>
                <w:szCs w:val="24"/>
              </w:rPr>
            </w:pPr>
            <w:r w:rsidRPr="00FA0CA9">
              <w:rPr>
                <w:rFonts w:ascii="Arial" w:hAnsi="Arial" w:cs="Arial"/>
                <w:b/>
                <w:sz w:val="24"/>
                <w:szCs w:val="24"/>
              </w:rPr>
              <w:t>Report Title</w:t>
            </w:r>
          </w:p>
        </w:tc>
        <w:tc>
          <w:tcPr>
            <w:tcW w:w="6469" w:type="dxa"/>
            <w:gridSpan w:val="6"/>
          </w:tcPr>
          <w:p w:rsidR="006200AC" w:rsidRDefault="006200AC" w:rsidP="00CE3D9B">
            <w:pPr>
              <w:rPr>
                <w:rFonts w:ascii="Arial" w:hAnsi="Arial" w:cs="Arial"/>
                <w:b/>
                <w:sz w:val="24"/>
                <w:szCs w:val="24"/>
              </w:rPr>
            </w:pPr>
            <w:r w:rsidRPr="007F0E1E">
              <w:rPr>
                <w:rFonts w:ascii="Arial" w:hAnsi="Arial" w:cs="Arial"/>
                <w:b/>
                <w:sz w:val="24"/>
                <w:szCs w:val="24"/>
              </w:rPr>
              <w:t>Ophthalmology Gold Command</w:t>
            </w:r>
          </w:p>
          <w:p w:rsidR="00DA3F11" w:rsidRPr="00FA0CA9" w:rsidRDefault="00DA3F11" w:rsidP="00CE3D9B">
            <w:pPr>
              <w:rPr>
                <w:rFonts w:ascii="Arial" w:hAnsi="Arial" w:cs="Arial"/>
                <w:b/>
                <w:sz w:val="24"/>
                <w:szCs w:val="24"/>
              </w:rPr>
            </w:pPr>
          </w:p>
        </w:tc>
      </w:tr>
      <w:tr w:rsidR="006200AC" w:rsidRPr="00034194" w:rsidTr="00CE3D9B">
        <w:tc>
          <w:tcPr>
            <w:tcW w:w="2547" w:type="dxa"/>
          </w:tcPr>
          <w:p w:rsidR="006200AC" w:rsidRPr="00FA0CA9" w:rsidRDefault="006200AC" w:rsidP="00CE3D9B">
            <w:pPr>
              <w:rPr>
                <w:rFonts w:ascii="Arial" w:hAnsi="Arial" w:cs="Arial"/>
                <w:b/>
                <w:sz w:val="24"/>
                <w:szCs w:val="24"/>
              </w:rPr>
            </w:pPr>
            <w:r w:rsidRPr="00FA0CA9">
              <w:rPr>
                <w:rFonts w:ascii="Arial" w:hAnsi="Arial" w:cs="Arial"/>
                <w:b/>
                <w:sz w:val="24"/>
                <w:szCs w:val="24"/>
              </w:rPr>
              <w:t>Report Author</w:t>
            </w:r>
          </w:p>
        </w:tc>
        <w:tc>
          <w:tcPr>
            <w:tcW w:w="6469" w:type="dxa"/>
            <w:gridSpan w:val="6"/>
          </w:tcPr>
          <w:p w:rsidR="006200AC" w:rsidRDefault="00DA3F11" w:rsidP="00CE3D9B">
            <w:pPr>
              <w:jc w:val="both"/>
              <w:rPr>
                <w:rFonts w:ascii="Arial" w:hAnsi="Arial" w:cs="Arial"/>
                <w:sz w:val="24"/>
                <w:szCs w:val="24"/>
              </w:rPr>
            </w:pPr>
            <w:r>
              <w:rPr>
                <w:rFonts w:ascii="Arial" w:hAnsi="Arial" w:cs="Arial"/>
                <w:sz w:val="24"/>
                <w:szCs w:val="24"/>
              </w:rPr>
              <w:t>Craige Wilson, Deputy Chief Operating Officer</w:t>
            </w:r>
          </w:p>
          <w:p w:rsidR="006200AC" w:rsidRPr="00FA0CA9" w:rsidRDefault="006200AC" w:rsidP="00CE3D9B">
            <w:pPr>
              <w:rPr>
                <w:rFonts w:ascii="Arial" w:hAnsi="Arial" w:cs="Arial"/>
                <w:sz w:val="24"/>
                <w:szCs w:val="24"/>
              </w:rPr>
            </w:pPr>
          </w:p>
        </w:tc>
      </w:tr>
      <w:tr w:rsidR="006200AC" w:rsidRPr="00034194" w:rsidTr="00CE3D9B">
        <w:tc>
          <w:tcPr>
            <w:tcW w:w="2547" w:type="dxa"/>
          </w:tcPr>
          <w:p w:rsidR="006200AC" w:rsidRPr="00FA0CA9" w:rsidRDefault="006200AC" w:rsidP="00CE3D9B">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6200AC" w:rsidRPr="007F0E1E" w:rsidRDefault="00DA3F11" w:rsidP="00CE3D9B">
            <w:pPr>
              <w:jc w:val="both"/>
              <w:rPr>
                <w:rFonts w:ascii="Arial" w:hAnsi="Arial" w:cs="Arial"/>
                <w:sz w:val="24"/>
                <w:szCs w:val="24"/>
              </w:rPr>
            </w:pPr>
            <w:r>
              <w:rPr>
                <w:rFonts w:ascii="Arial" w:hAnsi="Arial" w:cs="Arial"/>
                <w:sz w:val="24"/>
                <w:szCs w:val="24"/>
              </w:rPr>
              <w:t>Deb Lewis</w:t>
            </w:r>
            <w:r w:rsidR="006200AC">
              <w:rPr>
                <w:rFonts w:ascii="Arial" w:hAnsi="Arial" w:cs="Arial"/>
                <w:sz w:val="24"/>
                <w:szCs w:val="24"/>
              </w:rPr>
              <w:t>, Chief Operating Officer</w:t>
            </w:r>
          </w:p>
        </w:tc>
      </w:tr>
      <w:tr w:rsidR="006200AC" w:rsidRPr="00034194" w:rsidTr="00CE3D9B">
        <w:tc>
          <w:tcPr>
            <w:tcW w:w="2547" w:type="dxa"/>
          </w:tcPr>
          <w:p w:rsidR="006200AC" w:rsidRPr="00FA0CA9" w:rsidRDefault="006200AC" w:rsidP="00CE3D9B">
            <w:pPr>
              <w:rPr>
                <w:rFonts w:ascii="Arial" w:hAnsi="Arial" w:cs="Arial"/>
                <w:b/>
                <w:sz w:val="24"/>
                <w:szCs w:val="24"/>
              </w:rPr>
            </w:pPr>
            <w:r w:rsidRPr="00FA0CA9">
              <w:rPr>
                <w:rFonts w:ascii="Arial" w:hAnsi="Arial" w:cs="Arial"/>
                <w:b/>
                <w:sz w:val="24"/>
                <w:szCs w:val="24"/>
              </w:rPr>
              <w:t>Presented by</w:t>
            </w:r>
          </w:p>
        </w:tc>
        <w:tc>
          <w:tcPr>
            <w:tcW w:w="6469" w:type="dxa"/>
            <w:gridSpan w:val="6"/>
          </w:tcPr>
          <w:p w:rsidR="006200AC" w:rsidRPr="00FA0CA9" w:rsidRDefault="006200AC" w:rsidP="00CE3D9B">
            <w:pPr>
              <w:rPr>
                <w:rFonts w:ascii="Arial" w:hAnsi="Arial" w:cs="Arial"/>
                <w:sz w:val="24"/>
                <w:szCs w:val="24"/>
              </w:rPr>
            </w:pPr>
            <w:r>
              <w:rPr>
                <w:rFonts w:ascii="Arial" w:hAnsi="Arial" w:cs="Arial"/>
                <w:sz w:val="24"/>
                <w:szCs w:val="24"/>
              </w:rPr>
              <w:t>Craige Wilson, Deputy COO</w:t>
            </w:r>
          </w:p>
        </w:tc>
      </w:tr>
      <w:tr w:rsidR="006200AC" w:rsidRPr="00034194" w:rsidTr="00CE3D9B">
        <w:tc>
          <w:tcPr>
            <w:tcW w:w="2547" w:type="dxa"/>
          </w:tcPr>
          <w:p w:rsidR="006200AC" w:rsidRPr="00FA0CA9" w:rsidRDefault="006200AC" w:rsidP="00CE3D9B">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41115835F0BE445F8CF8266975CC6963"/>
              </w:placeholder>
              <w:comboBox>
                <w:listItem w:value="Choose an item."/>
                <w:listItem w:displayText="Open" w:value="Open"/>
                <w:listItem w:displayText="Closed" w:value="Closed"/>
              </w:comboBox>
            </w:sdtPr>
            <w:sdtEndPr/>
            <w:sdtContent>
              <w:p w:rsidR="006200AC" w:rsidRPr="00FA0CA9" w:rsidRDefault="006200AC" w:rsidP="00CE3D9B">
                <w:pPr>
                  <w:rPr>
                    <w:rFonts w:ascii="Arial" w:hAnsi="Arial" w:cs="Arial"/>
                    <w:sz w:val="24"/>
                    <w:szCs w:val="24"/>
                  </w:rPr>
                </w:pPr>
                <w:r>
                  <w:rPr>
                    <w:rFonts w:ascii="Arial" w:hAnsi="Arial" w:cs="Arial"/>
                    <w:color w:val="FF0000"/>
                    <w:sz w:val="24"/>
                    <w:szCs w:val="24"/>
                  </w:rPr>
                  <w:t>Open</w:t>
                </w:r>
              </w:p>
            </w:sdtContent>
          </w:sdt>
        </w:tc>
      </w:tr>
      <w:tr w:rsidR="006200AC" w:rsidRPr="00034194" w:rsidTr="00CE3D9B">
        <w:tc>
          <w:tcPr>
            <w:tcW w:w="2547" w:type="dxa"/>
          </w:tcPr>
          <w:p w:rsidR="006200AC" w:rsidRPr="00FA0CA9" w:rsidRDefault="006200AC" w:rsidP="00CE3D9B">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200AC" w:rsidRDefault="006200AC" w:rsidP="00CE3D9B">
            <w:pPr>
              <w:ind w:right="96"/>
              <w:jc w:val="both"/>
              <w:rPr>
                <w:rFonts w:ascii="Arial" w:hAnsi="Arial" w:cs="Arial"/>
                <w:sz w:val="24"/>
                <w:szCs w:val="24"/>
              </w:rPr>
            </w:pPr>
            <w:r w:rsidRPr="007F0E1E">
              <w:rPr>
                <w:rFonts w:ascii="Arial" w:hAnsi="Arial" w:cs="Arial"/>
                <w:sz w:val="24"/>
                <w:szCs w:val="24"/>
              </w:rPr>
              <w:t xml:space="preserve">The purpose of this report is to </w:t>
            </w:r>
            <w:r>
              <w:rPr>
                <w:rFonts w:ascii="Arial" w:hAnsi="Arial" w:cs="Arial"/>
                <w:sz w:val="24"/>
                <w:szCs w:val="24"/>
              </w:rPr>
              <w:t xml:space="preserve">update on </w:t>
            </w:r>
            <w:r w:rsidRPr="007F0E1E">
              <w:rPr>
                <w:rFonts w:ascii="Arial" w:hAnsi="Arial" w:cs="Arial"/>
                <w:sz w:val="24"/>
                <w:szCs w:val="24"/>
              </w:rPr>
              <w:t xml:space="preserve">the progress of the Ophthalmology Gold Command which </w:t>
            </w:r>
            <w:r>
              <w:rPr>
                <w:rFonts w:ascii="Arial" w:hAnsi="Arial" w:cs="Arial"/>
                <w:sz w:val="24"/>
                <w:szCs w:val="24"/>
              </w:rPr>
              <w:t>was established</w:t>
            </w:r>
            <w:r w:rsidRPr="007F0E1E">
              <w:rPr>
                <w:rFonts w:ascii="Arial" w:hAnsi="Arial" w:cs="Arial"/>
                <w:sz w:val="24"/>
                <w:szCs w:val="24"/>
              </w:rPr>
              <w:t xml:space="preserve"> to coordinate and expedite the mitigating action and monitoring of risk reduction against the ‘Follow-Up Not Booked’ (FUNB) profile for Ophthalmology.</w:t>
            </w:r>
          </w:p>
          <w:p w:rsidR="006200AC" w:rsidRPr="00021AE9" w:rsidRDefault="006200AC" w:rsidP="00CE3D9B">
            <w:pPr>
              <w:ind w:right="96"/>
              <w:jc w:val="both"/>
              <w:rPr>
                <w:rFonts w:ascii="Arial" w:hAnsi="Arial" w:cs="Arial"/>
                <w:color w:val="FF0000"/>
                <w:sz w:val="24"/>
                <w:szCs w:val="24"/>
              </w:rPr>
            </w:pPr>
          </w:p>
        </w:tc>
      </w:tr>
      <w:tr w:rsidR="006200AC" w:rsidRPr="00034194" w:rsidTr="00CE3D9B">
        <w:tc>
          <w:tcPr>
            <w:tcW w:w="2547" w:type="dxa"/>
          </w:tcPr>
          <w:p w:rsidR="006200AC" w:rsidRPr="00FA0CA9" w:rsidRDefault="006200AC" w:rsidP="00CE3D9B">
            <w:pPr>
              <w:rPr>
                <w:rFonts w:ascii="Arial" w:hAnsi="Arial" w:cs="Arial"/>
                <w:b/>
                <w:sz w:val="24"/>
                <w:szCs w:val="24"/>
              </w:rPr>
            </w:pPr>
            <w:r w:rsidRPr="00FA0CA9">
              <w:rPr>
                <w:rFonts w:ascii="Arial" w:hAnsi="Arial" w:cs="Arial"/>
                <w:b/>
                <w:sz w:val="24"/>
                <w:szCs w:val="24"/>
              </w:rPr>
              <w:t>Key Issues</w:t>
            </w:r>
          </w:p>
          <w:p w:rsidR="006200AC" w:rsidRPr="00FA0CA9" w:rsidRDefault="006200AC" w:rsidP="00CE3D9B">
            <w:pPr>
              <w:rPr>
                <w:rFonts w:ascii="Arial" w:hAnsi="Arial" w:cs="Arial"/>
                <w:b/>
                <w:sz w:val="24"/>
                <w:szCs w:val="24"/>
              </w:rPr>
            </w:pPr>
          </w:p>
          <w:p w:rsidR="006200AC" w:rsidRPr="00FA0CA9" w:rsidRDefault="006200AC" w:rsidP="00CE3D9B">
            <w:pPr>
              <w:rPr>
                <w:rFonts w:ascii="Arial" w:hAnsi="Arial" w:cs="Arial"/>
                <w:b/>
                <w:sz w:val="24"/>
                <w:szCs w:val="24"/>
              </w:rPr>
            </w:pPr>
          </w:p>
          <w:p w:rsidR="006200AC" w:rsidRPr="00FA0CA9" w:rsidRDefault="006200AC" w:rsidP="00CE3D9B">
            <w:pPr>
              <w:rPr>
                <w:rFonts w:ascii="Arial" w:hAnsi="Arial" w:cs="Arial"/>
                <w:b/>
                <w:sz w:val="24"/>
                <w:szCs w:val="24"/>
              </w:rPr>
            </w:pPr>
          </w:p>
        </w:tc>
        <w:tc>
          <w:tcPr>
            <w:tcW w:w="6469" w:type="dxa"/>
            <w:gridSpan w:val="6"/>
          </w:tcPr>
          <w:p w:rsidR="006200AC" w:rsidRDefault="006200AC" w:rsidP="00CE3D9B">
            <w:pPr>
              <w:ind w:right="96"/>
              <w:jc w:val="both"/>
              <w:rPr>
                <w:rFonts w:ascii="Arial" w:hAnsi="Arial" w:cs="Arial"/>
                <w:sz w:val="24"/>
                <w:szCs w:val="24"/>
              </w:rPr>
            </w:pPr>
            <w:r w:rsidRPr="00552240">
              <w:rPr>
                <w:rFonts w:ascii="Arial" w:hAnsi="Arial" w:cs="Arial"/>
                <w:sz w:val="24"/>
                <w:szCs w:val="24"/>
              </w:rPr>
              <w:t xml:space="preserve">The performance of our Ophthalmology outpatient services is a key concern for the Health Board. A key challenging area is that of delayed follow up appointments. An Eye Care Gold Command </w:t>
            </w:r>
            <w:r>
              <w:rPr>
                <w:rFonts w:ascii="Arial" w:hAnsi="Arial" w:cs="Arial"/>
                <w:sz w:val="24"/>
                <w:szCs w:val="24"/>
              </w:rPr>
              <w:t>was</w:t>
            </w:r>
            <w:r w:rsidRPr="00552240">
              <w:rPr>
                <w:rFonts w:ascii="Arial" w:hAnsi="Arial" w:cs="Arial"/>
                <w:sz w:val="24"/>
                <w:szCs w:val="24"/>
              </w:rPr>
              <w:t xml:space="preserve"> set up to oversee an improvement trajectory for Eye Care Services</w:t>
            </w:r>
            <w:r>
              <w:rPr>
                <w:rFonts w:ascii="Arial" w:hAnsi="Arial" w:cs="Arial"/>
                <w:sz w:val="24"/>
                <w:szCs w:val="24"/>
              </w:rPr>
              <w:t>. Whilst good progress had been made in all of the targeted areas through to the end of February 2020, the Covid pandemic resulted in a significant reversal in the trend.</w:t>
            </w:r>
          </w:p>
          <w:p w:rsidR="00611313" w:rsidRDefault="00611313" w:rsidP="00CE3D9B">
            <w:pPr>
              <w:ind w:right="96"/>
              <w:jc w:val="both"/>
              <w:rPr>
                <w:rFonts w:ascii="Arial" w:hAnsi="Arial" w:cs="Arial"/>
                <w:sz w:val="24"/>
                <w:szCs w:val="24"/>
              </w:rPr>
            </w:pPr>
          </w:p>
          <w:p w:rsidR="00611313" w:rsidRPr="00552240" w:rsidRDefault="00611313" w:rsidP="00CE3D9B">
            <w:pPr>
              <w:ind w:right="96"/>
              <w:jc w:val="both"/>
              <w:rPr>
                <w:rFonts w:ascii="Arial" w:hAnsi="Arial" w:cs="Arial"/>
                <w:sz w:val="24"/>
                <w:szCs w:val="24"/>
              </w:rPr>
            </w:pPr>
            <w:r>
              <w:rPr>
                <w:rFonts w:ascii="Arial" w:hAnsi="Arial" w:cs="Arial"/>
                <w:sz w:val="24"/>
                <w:szCs w:val="24"/>
              </w:rPr>
              <w:t xml:space="preserve">Significant improvement has been seen over the </w:t>
            </w:r>
            <w:r w:rsidR="00BA3092">
              <w:rPr>
                <w:rFonts w:ascii="Arial" w:hAnsi="Arial" w:cs="Arial"/>
                <w:sz w:val="24"/>
                <w:szCs w:val="24"/>
              </w:rPr>
              <w:t>last 18 months.</w:t>
            </w:r>
          </w:p>
          <w:p w:rsidR="006200AC" w:rsidRPr="00552240" w:rsidRDefault="006200AC" w:rsidP="00CE3D9B">
            <w:pPr>
              <w:ind w:right="96"/>
              <w:jc w:val="both"/>
              <w:rPr>
                <w:rFonts w:ascii="Arial" w:hAnsi="Arial" w:cs="Arial"/>
                <w:sz w:val="24"/>
                <w:szCs w:val="24"/>
              </w:rPr>
            </w:pPr>
          </w:p>
        </w:tc>
      </w:tr>
      <w:tr w:rsidR="006200AC" w:rsidRPr="00034194" w:rsidTr="00CE3D9B">
        <w:trPr>
          <w:trHeight w:val="97"/>
        </w:trPr>
        <w:tc>
          <w:tcPr>
            <w:tcW w:w="2547" w:type="dxa"/>
            <w:vMerge w:val="restart"/>
          </w:tcPr>
          <w:p w:rsidR="006200AC" w:rsidRPr="00FA0CA9" w:rsidRDefault="006200AC" w:rsidP="00CE3D9B">
            <w:pPr>
              <w:rPr>
                <w:rFonts w:ascii="Arial" w:hAnsi="Arial" w:cs="Arial"/>
                <w:b/>
                <w:sz w:val="24"/>
                <w:szCs w:val="24"/>
              </w:rPr>
            </w:pPr>
            <w:r w:rsidRPr="00FA0CA9">
              <w:rPr>
                <w:rFonts w:ascii="Arial" w:hAnsi="Arial" w:cs="Arial"/>
                <w:b/>
                <w:sz w:val="24"/>
                <w:szCs w:val="24"/>
              </w:rPr>
              <w:t xml:space="preserve">Specific Action Required </w:t>
            </w:r>
          </w:p>
          <w:p w:rsidR="006200AC" w:rsidRPr="00FA0CA9" w:rsidRDefault="006200AC" w:rsidP="00CE3D9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6200AC" w:rsidRPr="00FA0CA9" w:rsidRDefault="006200AC" w:rsidP="00CE3D9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6200AC" w:rsidRPr="00FA0CA9" w:rsidRDefault="006200AC" w:rsidP="00CE3D9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6200AC" w:rsidRPr="00FA0CA9" w:rsidRDefault="006200AC" w:rsidP="00CE3D9B">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6200AC" w:rsidRPr="00FA0CA9" w:rsidRDefault="006200AC" w:rsidP="00CE3D9B">
            <w:pPr>
              <w:rPr>
                <w:rFonts w:ascii="Arial" w:hAnsi="Arial" w:cs="Arial"/>
                <w:b/>
                <w:sz w:val="24"/>
                <w:szCs w:val="24"/>
              </w:rPr>
            </w:pPr>
            <w:r w:rsidRPr="00FA0CA9">
              <w:rPr>
                <w:rFonts w:ascii="Arial" w:hAnsi="Arial" w:cs="Arial"/>
                <w:b/>
                <w:sz w:val="24"/>
                <w:szCs w:val="24"/>
              </w:rPr>
              <w:t>Approval</w:t>
            </w:r>
          </w:p>
        </w:tc>
      </w:tr>
      <w:tr w:rsidR="006200AC" w:rsidRPr="00034194" w:rsidTr="00CE3D9B">
        <w:trPr>
          <w:trHeight w:val="96"/>
        </w:trPr>
        <w:tc>
          <w:tcPr>
            <w:tcW w:w="2547" w:type="dxa"/>
            <w:vMerge/>
          </w:tcPr>
          <w:p w:rsidR="006200AC" w:rsidRPr="00FA0CA9" w:rsidRDefault="006200AC" w:rsidP="00CE3D9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6200AC" w:rsidRPr="00FA0CA9" w:rsidRDefault="006200AC" w:rsidP="00CE3D9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6200AC" w:rsidRPr="00FA0CA9" w:rsidRDefault="00A73034" w:rsidP="00CE3D9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rsidR="006200AC" w:rsidRPr="00FA0CA9" w:rsidRDefault="006200AC" w:rsidP="00CE3D9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rsidR="006200AC" w:rsidRPr="00FA0CA9" w:rsidRDefault="00A73034" w:rsidP="00CE3D9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6200AC" w:rsidRPr="00034194" w:rsidTr="00CE3D9B">
        <w:tc>
          <w:tcPr>
            <w:tcW w:w="2547" w:type="dxa"/>
          </w:tcPr>
          <w:p w:rsidR="006200AC" w:rsidRPr="00FA0CA9" w:rsidRDefault="006200AC" w:rsidP="00CE3D9B">
            <w:pPr>
              <w:rPr>
                <w:rFonts w:ascii="Arial" w:hAnsi="Arial" w:cs="Arial"/>
                <w:b/>
                <w:sz w:val="24"/>
                <w:szCs w:val="24"/>
              </w:rPr>
            </w:pPr>
            <w:r w:rsidRPr="00FA0CA9">
              <w:rPr>
                <w:rFonts w:ascii="Arial" w:hAnsi="Arial" w:cs="Arial"/>
                <w:b/>
                <w:sz w:val="24"/>
                <w:szCs w:val="24"/>
              </w:rPr>
              <w:t>Recommendations</w:t>
            </w:r>
          </w:p>
          <w:p w:rsidR="006200AC" w:rsidRPr="00FA0CA9" w:rsidRDefault="006200AC" w:rsidP="00CE3D9B">
            <w:pPr>
              <w:rPr>
                <w:rFonts w:ascii="Arial" w:hAnsi="Arial" w:cs="Arial"/>
                <w:b/>
                <w:sz w:val="24"/>
                <w:szCs w:val="24"/>
              </w:rPr>
            </w:pPr>
          </w:p>
        </w:tc>
        <w:tc>
          <w:tcPr>
            <w:tcW w:w="6469" w:type="dxa"/>
            <w:gridSpan w:val="6"/>
          </w:tcPr>
          <w:p w:rsidR="006200AC" w:rsidRDefault="006200AC" w:rsidP="00CE3D9B">
            <w:pPr>
              <w:ind w:right="96"/>
              <w:jc w:val="both"/>
              <w:rPr>
                <w:rFonts w:ascii="Arial" w:hAnsi="Arial" w:cs="Arial"/>
                <w:sz w:val="24"/>
                <w:szCs w:val="24"/>
              </w:rPr>
            </w:pPr>
            <w:r w:rsidRPr="007F0E1E">
              <w:rPr>
                <w:rFonts w:ascii="Arial" w:hAnsi="Arial" w:cs="Arial"/>
                <w:sz w:val="24"/>
                <w:szCs w:val="24"/>
              </w:rPr>
              <w:t>Members</w:t>
            </w:r>
            <w:r>
              <w:rPr>
                <w:rFonts w:ascii="Arial" w:hAnsi="Arial" w:cs="Arial"/>
                <w:sz w:val="24"/>
                <w:szCs w:val="24"/>
              </w:rPr>
              <w:t xml:space="preserve"> of the Committee</w:t>
            </w:r>
            <w:r w:rsidRPr="007F0E1E">
              <w:rPr>
                <w:rFonts w:ascii="Arial" w:hAnsi="Arial" w:cs="Arial"/>
                <w:sz w:val="24"/>
                <w:szCs w:val="24"/>
              </w:rPr>
              <w:t xml:space="preserve"> are asked to:</w:t>
            </w:r>
          </w:p>
          <w:p w:rsidR="00A73034" w:rsidRDefault="00A73034" w:rsidP="00A73034">
            <w:pPr>
              <w:pStyle w:val="ListParagraph"/>
              <w:numPr>
                <w:ilvl w:val="0"/>
                <w:numId w:val="28"/>
              </w:numPr>
              <w:ind w:right="96"/>
              <w:jc w:val="both"/>
              <w:rPr>
                <w:rFonts w:ascii="Arial" w:hAnsi="Arial" w:cs="Arial"/>
                <w:sz w:val="24"/>
                <w:szCs w:val="24"/>
              </w:rPr>
            </w:pPr>
            <w:r>
              <w:rPr>
                <w:rFonts w:ascii="Arial" w:hAnsi="Arial" w:cs="Arial"/>
                <w:sz w:val="24"/>
                <w:szCs w:val="24"/>
              </w:rPr>
              <w:t>Note the</w:t>
            </w:r>
            <w:r w:rsidR="00393BCE">
              <w:rPr>
                <w:rFonts w:ascii="Arial" w:hAnsi="Arial" w:cs="Arial"/>
                <w:sz w:val="24"/>
                <w:szCs w:val="24"/>
              </w:rPr>
              <w:t xml:space="preserve"> significant</w:t>
            </w:r>
            <w:r>
              <w:rPr>
                <w:rFonts w:ascii="Arial" w:hAnsi="Arial" w:cs="Arial"/>
                <w:sz w:val="24"/>
                <w:szCs w:val="24"/>
              </w:rPr>
              <w:t xml:space="preserve"> </w:t>
            </w:r>
            <w:r w:rsidR="005C23B3">
              <w:rPr>
                <w:rFonts w:ascii="Arial" w:hAnsi="Arial" w:cs="Arial"/>
                <w:sz w:val="24"/>
                <w:szCs w:val="24"/>
              </w:rPr>
              <w:t>progress</w:t>
            </w:r>
            <w:r w:rsidR="00393BCE">
              <w:rPr>
                <w:rFonts w:ascii="Arial" w:hAnsi="Arial" w:cs="Arial"/>
                <w:sz w:val="24"/>
                <w:szCs w:val="24"/>
              </w:rPr>
              <w:t xml:space="preserve"> made</w:t>
            </w:r>
            <w:r w:rsidR="005C23B3">
              <w:rPr>
                <w:rFonts w:ascii="Arial" w:hAnsi="Arial" w:cs="Arial"/>
                <w:sz w:val="24"/>
                <w:szCs w:val="24"/>
              </w:rPr>
              <w:t xml:space="preserve"> to reduce the follow up backlog in </w:t>
            </w:r>
            <w:r w:rsidR="00716A65">
              <w:rPr>
                <w:rFonts w:ascii="Arial" w:hAnsi="Arial" w:cs="Arial"/>
                <w:sz w:val="24"/>
                <w:szCs w:val="24"/>
              </w:rPr>
              <w:t>ophthalmology.</w:t>
            </w:r>
          </w:p>
          <w:p w:rsidR="005C23B3" w:rsidRPr="00A73034" w:rsidRDefault="005C23B3" w:rsidP="00A73034">
            <w:pPr>
              <w:pStyle w:val="ListParagraph"/>
              <w:numPr>
                <w:ilvl w:val="0"/>
                <w:numId w:val="28"/>
              </w:numPr>
              <w:ind w:right="96"/>
              <w:jc w:val="both"/>
              <w:rPr>
                <w:rFonts w:ascii="Arial" w:hAnsi="Arial" w:cs="Arial"/>
                <w:sz w:val="24"/>
                <w:szCs w:val="24"/>
              </w:rPr>
            </w:pPr>
            <w:r>
              <w:rPr>
                <w:rFonts w:ascii="Arial" w:hAnsi="Arial" w:cs="Arial"/>
                <w:sz w:val="24"/>
                <w:szCs w:val="24"/>
              </w:rPr>
              <w:t xml:space="preserve">Approve </w:t>
            </w:r>
            <w:r w:rsidR="006D39A9">
              <w:rPr>
                <w:rFonts w:ascii="Arial" w:hAnsi="Arial" w:cs="Arial"/>
                <w:sz w:val="24"/>
                <w:szCs w:val="24"/>
              </w:rPr>
              <w:t>the recommendation to stand down Ophthalmology Gold Command</w:t>
            </w:r>
          </w:p>
          <w:p w:rsidR="006200AC" w:rsidRDefault="006200AC" w:rsidP="00CE3D9B">
            <w:pPr>
              <w:ind w:right="96"/>
              <w:rPr>
                <w:rFonts w:ascii="Arial" w:hAnsi="Arial" w:cs="Arial"/>
                <w:sz w:val="24"/>
                <w:szCs w:val="24"/>
              </w:rPr>
            </w:pPr>
          </w:p>
          <w:p w:rsidR="006200AC" w:rsidRDefault="006200AC" w:rsidP="00CE3D9B">
            <w:pPr>
              <w:ind w:right="96"/>
              <w:rPr>
                <w:rFonts w:ascii="Arial" w:hAnsi="Arial" w:cs="Arial"/>
                <w:sz w:val="24"/>
                <w:szCs w:val="24"/>
              </w:rPr>
            </w:pPr>
          </w:p>
          <w:p w:rsidR="006200AC" w:rsidRPr="00FA0CA9" w:rsidRDefault="006200AC" w:rsidP="00CE3D9B">
            <w:pPr>
              <w:ind w:right="96"/>
              <w:rPr>
                <w:rFonts w:ascii="Arial" w:hAnsi="Arial" w:cs="Arial"/>
                <w:sz w:val="24"/>
                <w:szCs w:val="24"/>
              </w:rPr>
            </w:pPr>
          </w:p>
        </w:tc>
      </w:tr>
    </w:tbl>
    <w:p w:rsidR="006200AC" w:rsidRDefault="006200AC" w:rsidP="006200AC">
      <w:pPr>
        <w:jc w:val="center"/>
        <w:rPr>
          <w:rFonts w:ascii="Arial" w:hAnsi="Arial" w:cs="Arial"/>
          <w:b/>
          <w:sz w:val="24"/>
          <w:szCs w:val="24"/>
        </w:rPr>
      </w:pPr>
    </w:p>
    <w:p w:rsidR="006200AC" w:rsidRDefault="006200AC" w:rsidP="006200AC">
      <w:pPr>
        <w:jc w:val="center"/>
        <w:rPr>
          <w:rFonts w:ascii="Arial" w:hAnsi="Arial" w:cs="Arial"/>
          <w:b/>
          <w:sz w:val="24"/>
          <w:szCs w:val="24"/>
        </w:rPr>
      </w:pPr>
    </w:p>
    <w:p w:rsidR="006200AC" w:rsidRDefault="006200AC" w:rsidP="006200AC">
      <w:pPr>
        <w:jc w:val="center"/>
        <w:rPr>
          <w:rFonts w:ascii="Arial" w:hAnsi="Arial" w:cs="Arial"/>
          <w:b/>
          <w:sz w:val="24"/>
          <w:szCs w:val="24"/>
        </w:rPr>
      </w:pPr>
    </w:p>
    <w:p w:rsidR="006200AC" w:rsidRDefault="006200AC" w:rsidP="006200AC">
      <w:pPr>
        <w:jc w:val="center"/>
        <w:rPr>
          <w:rFonts w:ascii="Arial" w:hAnsi="Arial" w:cs="Arial"/>
          <w:b/>
          <w:sz w:val="24"/>
          <w:szCs w:val="24"/>
        </w:rPr>
      </w:pPr>
    </w:p>
    <w:p w:rsidR="006200AC" w:rsidRDefault="006200AC" w:rsidP="00F86CAB">
      <w:pPr>
        <w:rPr>
          <w:rFonts w:ascii="Arial" w:hAnsi="Arial" w:cs="Arial"/>
          <w:b/>
          <w:sz w:val="24"/>
          <w:szCs w:val="24"/>
        </w:rPr>
      </w:pPr>
    </w:p>
    <w:p w:rsidR="006200AC" w:rsidRDefault="006200AC" w:rsidP="006200AC">
      <w:pPr>
        <w:jc w:val="center"/>
        <w:rPr>
          <w:rFonts w:ascii="Arial" w:hAnsi="Arial" w:cs="Arial"/>
          <w:b/>
          <w:sz w:val="24"/>
          <w:szCs w:val="24"/>
        </w:rPr>
      </w:pPr>
    </w:p>
    <w:p w:rsidR="006200AC" w:rsidRPr="007020FE" w:rsidRDefault="006200AC" w:rsidP="006200AC">
      <w:pPr>
        <w:jc w:val="center"/>
      </w:pPr>
      <w:r>
        <w:rPr>
          <w:rFonts w:ascii="Arial" w:hAnsi="Arial" w:cs="Arial"/>
          <w:b/>
          <w:sz w:val="24"/>
          <w:szCs w:val="24"/>
        </w:rPr>
        <w:t>OPHTHALMOLOGY GOLD COMMAND</w:t>
      </w:r>
    </w:p>
    <w:p w:rsidR="006200AC" w:rsidRPr="0072604C" w:rsidRDefault="006200AC" w:rsidP="006200AC">
      <w:pPr>
        <w:spacing w:after="0" w:line="240" w:lineRule="auto"/>
        <w:jc w:val="center"/>
        <w:rPr>
          <w:rFonts w:ascii="Arial" w:hAnsi="Arial" w:cs="Arial"/>
          <w:b/>
          <w:sz w:val="24"/>
          <w:szCs w:val="24"/>
        </w:rPr>
      </w:pPr>
    </w:p>
    <w:p w:rsidR="006200AC" w:rsidRPr="0072604C" w:rsidRDefault="006200AC" w:rsidP="006200A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6200AC" w:rsidRPr="00F02F02" w:rsidRDefault="006200AC" w:rsidP="006200AC">
      <w:pPr>
        <w:tabs>
          <w:tab w:val="left" w:pos="0"/>
        </w:tabs>
        <w:spacing w:after="0" w:line="240" w:lineRule="auto"/>
        <w:ind w:left="360"/>
        <w:jc w:val="both"/>
        <w:rPr>
          <w:rFonts w:ascii="Arial" w:hAnsi="Arial" w:cs="Arial"/>
          <w:sz w:val="24"/>
          <w:szCs w:val="24"/>
        </w:rPr>
      </w:pPr>
      <w:r w:rsidRPr="00F02F02">
        <w:rPr>
          <w:rFonts w:ascii="Arial" w:hAnsi="Arial" w:cs="Arial"/>
          <w:sz w:val="24"/>
          <w:szCs w:val="24"/>
        </w:rPr>
        <w:t xml:space="preserve">The purpose of this report is to update on progress of the Ophthalmology Gold Command, which </w:t>
      </w:r>
      <w:r w:rsidR="006D39A9">
        <w:rPr>
          <w:rFonts w:ascii="Arial" w:hAnsi="Arial" w:cs="Arial"/>
          <w:sz w:val="24"/>
          <w:szCs w:val="24"/>
        </w:rPr>
        <w:t>was established</w:t>
      </w:r>
      <w:r w:rsidRPr="00F02F02">
        <w:rPr>
          <w:rFonts w:ascii="Arial" w:hAnsi="Arial" w:cs="Arial"/>
          <w:sz w:val="24"/>
          <w:szCs w:val="24"/>
        </w:rPr>
        <w:t xml:space="preserve"> to coordinate and exped</w:t>
      </w:r>
      <w:r>
        <w:rPr>
          <w:rFonts w:ascii="Arial" w:hAnsi="Arial" w:cs="Arial"/>
          <w:sz w:val="24"/>
          <w:szCs w:val="24"/>
        </w:rPr>
        <w:t>ite the mitigating action plans</w:t>
      </w:r>
      <w:r w:rsidRPr="00F02F02">
        <w:rPr>
          <w:rFonts w:ascii="Arial" w:hAnsi="Arial" w:cs="Arial"/>
          <w:sz w:val="24"/>
          <w:szCs w:val="24"/>
        </w:rPr>
        <w:t>.</w:t>
      </w:r>
      <w:r>
        <w:rPr>
          <w:rFonts w:ascii="Arial" w:hAnsi="Arial" w:cs="Arial"/>
          <w:sz w:val="24"/>
          <w:szCs w:val="24"/>
        </w:rPr>
        <w:t xml:space="preserve"> </w:t>
      </w:r>
      <w:r w:rsidRPr="00F02F02">
        <w:rPr>
          <w:rFonts w:ascii="Arial" w:hAnsi="Arial" w:cs="Arial"/>
          <w:sz w:val="24"/>
          <w:szCs w:val="24"/>
        </w:rPr>
        <w:t xml:space="preserve">This group </w:t>
      </w:r>
      <w:r w:rsidR="006D39A9">
        <w:rPr>
          <w:rFonts w:ascii="Arial" w:hAnsi="Arial" w:cs="Arial"/>
          <w:sz w:val="24"/>
          <w:szCs w:val="24"/>
        </w:rPr>
        <w:t xml:space="preserve">has been </w:t>
      </w:r>
      <w:r w:rsidRPr="00F02F02">
        <w:rPr>
          <w:rFonts w:ascii="Arial" w:hAnsi="Arial" w:cs="Arial"/>
          <w:sz w:val="24"/>
          <w:szCs w:val="24"/>
        </w:rPr>
        <w:t xml:space="preserve">overseeing and monitoring risk reduction against the Follow Up Not Booked (FUNB) profile for Ophthalmology and </w:t>
      </w:r>
      <w:r w:rsidR="006D39A9">
        <w:rPr>
          <w:rFonts w:ascii="Arial" w:hAnsi="Arial" w:cs="Arial"/>
          <w:sz w:val="24"/>
          <w:szCs w:val="24"/>
        </w:rPr>
        <w:t>also</w:t>
      </w:r>
      <w:r w:rsidRPr="00F02F02">
        <w:rPr>
          <w:rFonts w:ascii="Arial" w:hAnsi="Arial" w:cs="Arial"/>
          <w:sz w:val="24"/>
          <w:szCs w:val="24"/>
        </w:rPr>
        <w:t xml:space="preserve"> extended to look at the R2 category of patients and </w:t>
      </w:r>
      <w:r w:rsidR="00DF4162">
        <w:rPr>
          <w:rFonts w:ascii="Arial" w:hAnsi="Arial" w:cs="Arial"/>
          <w:sz w:val="24"/>
          <w:szCs w:val="24"/>
        </w:rPr>
        <w:t>Referral to Treatment Times (</w:t>
      </w:r>
      <w:r w:rsidRPr="00F02F02">
        <w:rPr>
          <w:rFonts w:ascii="Arial" w:hAnsi="Arial" w:cs="Arial"/>
          <w:sz w:val="24"/>
          <w:szCs w:val="24"/>
        </w:rPr>
        <w:t>RTT</w:t>
      </w:r>
      <w:r w:rsidR="00DF4162">
        <w:rPr>
          <w:rFonts w:ascii="Arial" w:hAnsi="Arial" w:cs="Arial"/>
          <w:sz w:val="24"/>
          <w:szCs w:val="24"/>
        </w:rPr>
        <w:t>)</w:t>
      </w:r>
      <w:r w:rsidRPr="00F02F02">
        <w:rPr>
          <w:rFonts w:ascii="Arial" w:hAnsi="Arial" w:cs="Arial"/>
          <w:sz w:val="24"/>
          <w:szCs w:val="24"/>
        </w:rPr>
        <w:t xml:space="preserve"> for cataract to ensure there is a single approach across Ophthalmology pathways to minimise duplication and consistency of reports.</w:t>
      </w:r>
    </w:p>
    <w:p w:rsidR="006200AC" w:rsidRPr="0072604C" w:rsidRDefault="006200AC" w:rsidP="006200AC">
      <w:pPr>
        <w:pStyle w:val="ListParagraph"/>
        <w:spacing w:after="0" w:line="240" w:lineRule="auto"/>
        <w:rPr>
          <w:rFonts w:ascii="Arial" w:hAnsi="Arial" w:cs="Arial"/>
          <w:b/>
          <w:sz w:val="24"/>
          <w:szCs w:val="24"/>
        </w:rPr>
      </w:pPr>
    </w:p>
    <w:p w:rsidR="006200AC" w:rsidRPr="0072604C" w:rsidRDefault="006200AC" w:rsidP="006200A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6200AC" w:rsidRPr="007F0E1E" w:rsidRDefault="006200AC" w:rsidP="006200AC">
      <w:pPr>
        <w:keepNext/>
        <w:spacing w:after="0" w:line="240" w:lineRule="auto"/>
        <w:ind w:left="360"/>
        <w:jc w:val="both"/>
        <w:rPr>
          <w:rFonts w:ascii="Arial" w:hAnsi="Arial" w:cs="Arial"/>
          <w:sz w:val="24"/>
          <w:szCs w:val="24"/>
        </w:rPr>
      </w:pPr>
      <w:r w:rsidRPr="007F0E1E">
        <w:rPr>
          <w:rFonts w:ascii="Arial" w:hAnsi="Arial" w:cs="Arial"/>
          <w:sz w:val="24"/>
          <w:szCs w:val="24"/>
        </w:rPr>
        <w:t xml:space="preserve">In September 2018 the </w:t>
      </w:r>
      <w:r>
        <w:rPr>
          <w:rFonts w:ascii="Arial" w:hAnsi="Arial" w:cs="Arial"/>
          <w:sz w:val="24"/>
          <w:szCs w:val="24"/>
        </w:rPr>
        <w:t>H</w:t>
      </w:r>
      <w:r w:rsidRPr="007F0E1E">
        <w:rPr>
          <w:rFonts w:ascii="Arial" w:hAnsi="Arial" w:cs="Arial"/>
          <w:sz w:val="24"/>
          <w:szCs w:val="24"/>
        </w:rPr>
        <w:t xml:space="preserve">ealth </w:t>
      </w:r>
      <w:r>
        <w:rPr>
          <w:rFonts w:ascii="Arial" w:hAnsi="Arial" w:cs="Arial"/>
          <w:sz w:val="24"/>
          <w:szCs w:val="24"/>
        </w:rPr>
        <w:t>B</w:t>
      </w:r>
      <w:r w:rsidRPr="007F0E1E">
        <w:rPr>
          <w:rFonts w:ascii="Arial" w:hAnsi="Arial" w:cs="Arial"/>
          <w:sz w:val="24"/>
          <w:szCs w:val="24"/>
        </w:rPr>
        <w:t xml:space="preserve">oard reported that it had a large number of patients (in excess of 10,000) who were beyond their target date waiting for follow up appointments in Ophthalmology. Excessive waits in outpatient ophthalmology </w:t>
      </w:r>
      <w:r w:rsidR="001B3EA9">
        <w:rPr>
          <w:rFonts w:ascii="Arial" w:hAnsi="Arial" w:cs="Arial"/>
          <w:sz w:val="24"/>
          <w:szCs w:val="24"/>
        </w:rPr>
        <w:t xml:space="preserve">are </w:t>
      </w:r>
      <w:r w:rsidRPr="007F0E1E">
        <w:rPr>
          <w:rFonts w:ascii="Arial" w:hAnsi="Arial" w:cs="Arial"/>
          <w:sz w:val="24"/>
          <w:szCs w:val="24"/>
        </w:rPr>
        <w:t xml:space="preserve">common across all health boards in Wales. </w:t>
      </w:r>
    </w:p>
    <w:p w:rsidR="006200AC" w:rsidRPr="007F0E1E" w:rsidRDefault="006200AC" w:rsidP="006200AC">
      <w:pPr>
        <w:keepNext/>
        <w:spacing w:after="0" w:line="240" w:lineRule="auto"/>
        <w:ind w:left="360"/>
        <w:jc w:val="both"/>
        <w:rPr>
          <w:rFonts w:ascii="Arial" w:hAnsi="Arial" w:cs="Arial"/>
          <w:sz w:val="24"/>
          <w:szCs w:val="24"/>
        </w:rPr>
      </w:pPr>
    </w:p>
    <w:p w:rsidR="006200AC" w:rsidRPr="007F0E1E" w:rsidRDefault="006200AC" w:rsidP="006200AC">
      <w:pPr>
        <w:keepNext/>
        <w:spacing w:after="0" w:line="240" w:lineRule="auto"/>
        <w:ind w:left="360"/>
        <w:jc w:val="both"/>
        <w:rPr>
          <w:rFonts w:ascii="Arial" w:hAnsi="Arial" w:cs="Arial"/>
          <w:sz w:val="24"/>
          <w:szCs w:val="24"/>
        </w:rPr>
      </w:pPr>
      <w:r>
        <w:rPr>
          <w:rFonts w:ascii="Arial" w:hAnsi="Arial" w:cs="Arial"/>
          <w:sz w:val="24"/>
          <w:szCs w:val="24"/>
        </w:rPr>
        <w:t xml:space="preserve">Through </w:t>
      </w:r>
      <w:r w:rsidRPr="007F0E1E">
        <w:rPr>
          <w:rFonts w:ascii="Arial" w:hAnsi="Arial" w:cs="Arial"/>
          <w:sz w:val="24"/>
          <w:szCs w:val="24"/>
        </w:rPr>
        <w:t xml:space="preserve">2018, the National Planned Care Programme worked with health boards, NWIS and RNIB to develop processes and systems to introduce individualised target dates for a combined new and follow-up patient list, which is based on the patient’s clinical condition. Three defined categories have been agreed to support the clinical prioritisation: </w:t>
      </w:r>
    </w:p>
    <w:p w:rsidR="006200AC" w:rsidRPr="007F0E1E" w:rsidRDefault="006200AC" w:rsidP="006200AC">
      <w:pPr>
        <w:numPr>
          <w:ilvl w:val="0"/>
          <w:numId w:val="21"/>
        </w:numPr>
        <w:spacing w:after="0" w:line="240" w:lineRule="auto"/>
        <w:ind w:left="1494" w:hanging="283"/>
        <w:jc w:val="both"/>
        <w:rPr>
          <w:rFonts w:ascii="Arial" w:hAnsi="Arial" w:cs="Arial"/>
          <w:sz w:val="24"/>
          <w:szCs w:val="24"/>
        </w:rPr>
      </w:pPr>
      <w:r>
        <w:rPr>
          <w:rFonts w:ascii="Arial" w:hAnsi="Arial" w:cs="Arial"/>
          <w:sz w:val="24"/>
          <w:szCs w:val="24"/>
        </w:rPr>
        <w:t>R</w:t>
      </w:r>
      <w:r w:rsidRPr="007F0E1E">
        <w:rPr>
          <w:rFonts w:ascii="Arial" w:hAnsi="Arial" w:cs="Arial"/>
          <w:sz w:val="24"/>
          <w:szCs w:val="24"/>
        </w:rPr>
        <w:t xml:space="preserve">1: Risk of irreversible harm or significant patient adverse outcome if patient target date is </w:t>
      </w:r>
      <w:r w:rsidR="00716A65" w:rsidRPr="007F0E1E">
        <w:rPr>
          <w:rFonts w:ascii="Arial" w:hAnsi="Arial" w:cs="Arial"/>
          <w:sz w:val="24"/>
          <w:szCs w:val="24"/>
        </w:rPr>
        <w:t>missed.</w:t>
      </w:r>
      <w:r w:rsidRPr="007F0E1E">
        <w:rPr>
          <w:rFonts w:ascii="Arial" w:hAnsi="Arial" w:cs="Arial"/>
          <w:sz w:val="24"/>
          <w:szCs w:val="24"/>
        </w:rPr>
        <w:t xml:space="preserve"> </w:t>
      </w:r>
    </w:p>
    <w:p w:rsidR="006200AC" w:rsidRPr="007F0E1E" w:rsidRDefault="006200AC" w:rsidP="006200AC">
      <w:pPr>
        <w:numPr>
          <w:ilvl w:val="0"/>
          <w:numId w:val="21"/>
        </w:numPr>
        <w:spacing w:after="0" w:line="240" w:lineRule="auto"/>
        <w:ind w:left="1494" w:hanging="283"/>
        <w:jc w:val="both"/>
        <w:rPr>
          <w:rFonts w:ascii="Arial" w:hAnsi="Arial" w:cs="Arial"/>
          <w:sz w:val="24"/>
          <w:szCs w:val="24"/>
        </w:rPr>
      </w:pPr>
      <w:r>
        <w:rPr>
          <w:rFonts w:ascii="Arial" w:hAnsi="Arial" w:cs="Arial"/>
          <w:sz w:val="24"/>
          <w:szCs w:val="24"/>
        </w:rPr>
        <w:t>R</w:t>
      </w:r>
      <w:r w:rsidRPr="007F0E1E">
        <w:rPr>
          <w:rFonts w:ascii="Arial" w:hAnsi="Arial" w:cs="Arial"/>
          <w:sz w:val="24"/>
          <w:szCs w:val="24"/>
        </w:rPr>
        <w:t xml:space="preserve">2: Risk of reversible harm or adverse outcome if patient target date is </w:t>
      </w:r>
      <w:r w:rsidR="00716A65" w:rsidRPr="007F0E1E">
        <w:rPr>
          <w:rFonts w:ascii="Arial" w:hAnsi="Arial" w:cs="Arial"/>
          <w:sz w:val="24"/>
          <w:szCs w:val="24"/>
        </w:rPr>
        <w:t>missed.</w:t>
      </w:r>
      <w:r w:rsidRPr="007F0E1E">
        <w:rPr>
          <w:rFonts w:ascii="Arial" w:hAnsi="Arial" w:cs="Arial"/>
          <w:sz w:val="24"/>
          <w:szCs w:val="24"/>
        </w:rPr>
        <w:t xml:space="preserve"> </w:t>
      </w:r>
    </w:p>
    <w:p w:rsidR="006200AC" w:rsidRPr="007F0E1E" w:rsidRDefault="006200AC" w:rsidP="006200AC">
      <w:pPr>
        <w:numPr>
          <w:ilvl w:val="0"/>
          <w:numId w:val="21"/>
        </w:numPr>
        <w:spacing w:after="0" w:line="240" w:lineRule="auto"/>
        <w:ind w:left="1494" w:hanging="283"/>
        <w:jc w:val="both"/>
        <w:rPr>
          <w:rFonts w:ascii="Arial" w:hAnsi="Arial" w:cs="Arial"/>
          <w:sz w:val="24"/>
          <w:szCs w:val="24"/>
        </w:rPr>
      </w:pPr>
      <w:r>
        <w:rPr>
          <w:rFonts w:ascii="Arial" w:hAnsi="Arial" w:cs="Arial"/>
          <w:sz w:val="24"/>
          <w:szCs w:val="24"/>
        </w:rPr>
        <w:t>R</w:t>
      </w:r>
      <w:r w:rsidRPr="007F0E1E">
        <w:rPr>
          <w:rFonts w:ascii="Arial" w:hAnsi="Arial" w:cs="Arial"/>
          <w:sz w:val="24"/>
          <w:szCs w:val="24"/>
        </w:rPr>
        <w:t xml:space="preserve">3: No risk of significant harm or adverse outcome </w:t>
      </w:r>
    </w:p>
    <w:p w:rsidR="006200AC" w:rsidRPr="007F0E1E" w:rsidRDefault="006200AC" w:rsidP="006200AC">
      <w:pPr>
        <w:spacing w:after="0" w:line="240" w:lineRule="auto"/>
        <w:ind w:left="360"/>
        <w:jc w:val="both"/>
        <w:rPr>
          <w:rFonts w:ascii="Arial" w:hAnsi="Arial" w:cs="Arial"/>
          <w:sz w:val="24"/>
          <w:szCs w:val="24"/>
        </w:rPr>
      </w:pPr>
    </w:p>
    <w:p w:rsidR="006200AC" w:rsidRPr="007F0E1E" w:rsidRDefault="006200AC" w:rsidP="006200AC">
      <w:pPr>
        <w:spacing w:after="0" w:line="240" w:lineRule="auto"/>
        <w:ind w:left="360"/>
        <w:jc w:val="both"/>
        <w:rPr>
          <w:rFonts w:ascii="Arial" w:hAnsi="Arial" w:cs="Arial"/>
          <w:sz w:val="24"/>
          <w:szCs w:val="24"/>
        </w:rPr>
      </w:pPr>
      <w:r w:rsidRPr="007F0E1E">
        <w:rPr>
          <w:rFonts w:ascii="Arial" w:hAnsi="Arial" w:cs="Arial"/>
          <w:sz w:val="24"/>
          <w:szCs w:val="24"/>
        </w:rPr>
        <w:t xml:space="preserve">The prioritisation code is related to the clinical risk, and not the expected time interval required for achievement of a target. Fundamentally, the clinician will not know if harm has occurred until the patient has been seen in clinic again. </w:t>
      </w:r>
      <w:r w:rsidR="00716A65" w:rsidRPr="007F0E1E">
        <w:rPr>
          <w:rFonts w:ascii="Arial" w:hAnsi="Arial" w:cs="Arial"/>
          <w:sz w:val="24"/>
          <w:szCs w:val="24"/>
        </w:rPr>
        <w:t>Therefore,</w:t>
      </w:r>
      <w:r w:rsidRPr="007F0E1E">
        <w:rPr>
          <w:rFonts w:ascii="Arial" w:hAnsi="Arial" w:cs="Arial"/>
          <w:sz w:val="24"/>
          <w:szCs w:val="24"/>
        </w:rPr>
        <w:t xml:space="preserve"> with large numbers of patients waiting longer than their consultant directed, there is likely to be irreversible injury occurring of which we are not yet aware. </w:t>
      </w:r>
    </w:p>
    <w:p w:rsidR="006200AC" w:rsidRPr="007F0E1E" w:rsidRDefault="006200AC" w:rsidP="006200AC">
      <w:pPr>
        <w:spacing w:after="0" w:line="240" w:lineRule="auto"/>
        <w:ind w:left="360"/>
        <w:jc w:val="both"/>
        <w:rPr>
          <w:rFonts w:ascii="Arial" w:hAnsi="Arial" w:cs="Arial"/>
          <w:sz w:val="24"/>
          <w:szCs w:val="24"/>
        </w:rPr>
      </w:pPr>
    </w:p>
    <w:p w:rsidR="006200AC" w:rsidRDefault="006200AC" w:rsidP="006200AC">
      <w:pPr>
        <w:spacing w:after="0" w:line="240" w:lineRule="auto"/>
        <w:ind w:left="360"/>
        <w:jc w:val="both"/>
        <w:rPr>
          <w:rFonts w:ascii="Arial" w:hAnsi="Arial" w:cs="Arial"/>
          <w:sz w:val="24"/>
          <w:szCs w:val="24"/>
        </w:rPr>
      </w:pPr>
      <w:r w:rsidRPr="007F0E1E">
        <w:rPr>
          <w:rFonts w:ascii="Arial" w:hAnsi="Arial" w:cs="Arial"/>
          <w:sz w:val="24"/>
          <w:szCs w:val="24"/>
        </w:rPr>
        <w:t xml:space="preserve">All health boards were required to shadow report against the new eye care measures from 1 September 2018. All patients have been required to have a maximum waiting time following referral and follow-up review based on their condition and risk of harm. The data collection has now been standardised and developed and is in place. Welsh Government commenced reporting via STATS Wales </w:t>
      </w:r>
      <w:r>
        <w:rPr>
          <w:rFonts w:ascii="Arial" w:hAnsi="Arial" w:cs="Arial"/>
          <w:sz w:val="24"/>
          <w:szCs w:val="24"/>
        </w:rPr>
        <w:t>in</w:t>
      </w:r>
      <w:r w:rsidRPr="007F0E1E">
        <w:rPr>
          <w:rFonts w:ascii="Arial" w:hAnsi="Arial" w:cs="Arial"/>
          <w:sz w:val="24"/>
          <w:szCs w:val="24"/>
        </w:rPr>
        <w:t xml:space="preserve"> June 2019. </w:t>
      </w:r>
    </w:p>
    <w:p w:rsidR="006200AC" w:rsidRPr="007F0E1E" w:rsidRDefault="006200AC" w:rsidP="006200AC">
      <w:pPr>
        <w:spacing w:after="0" w:line="240" w:lineRule="auto"/>
        <w:ind w:left="360"/>
        <w:jc w:val="both"/>
        <w:rPr>
          <w:rFonts w:ascii="Arial" w:hAnsi="Arial" w:cs="Arial"/>
          <w:sz w:val="24"/>
          <w:szCs w:val="24"/>
        </w:rPr>
      </w:pPr>
    </w:p>
    <w:p w:rsidR="006200AC" w:rsidRPr="007F0E1E" w:rsidRDefault="006200AC" w:rsidP="006200AC">
      <w:pPr>
        <w:pStyle w:val="Default"/>
        <w:ind w:left="360"/>
        <w:jc w:val="both"/>
        <w:rPr>
          <w:rFonts w:ascii="Arial" w:hAnsi="Arial" w:cs="Arial"/>
        </w:rPr>
      </w:pPr>
      <w:r w:rsidRPr="007F0E1E">
        <w:rPr>
          <w:rFonts w:ascii="Arial" w:hAnsi="Arial" w:cs="Arial"/>
        </w:rPr>
        <w:t xml:space="preserve">The Delivery </w:t>
      </w:r>
      <w:r>
        <w:rPr>
          <w:rFonts w:ascii="Arial" w:hAnsi="Arial" w:cs="Arial"/>
        </w:rPr>
        <w:t>Unit</w:t>
      </w:r>
      <w:r w:rsidRPr="007F0E1E">
        <w:rPr>
          <w:rFonts w:ascii="Arial" w:hAnsi="Arial" w:cs="Arial"/>
        </w:rPr>
        <w:t xml:space="preserve"> </w:t>
      </w:r>
      <w:r>
        <w:rPr>
          <w:rFonts w:ascii="Arial" w:hAnsi="Arial" w:cs="Arial"/>
        </w:rPr>
        <w:t xml:space="preserve">undertook </w:t>
      </w:r>
      <w:r w:rsidRPr="007F0E1E">
        <w:rPr>
          <w:rFonts w:ascii="Arial" w:hAnsi="Arial" w:cs="Arial"/>
        </w:rPr>
        <w:t>a review of the delivery of the New Ophthalmic Measures with a data collection exercise in February</w:t>
      </w:r>
      <w:r>
        <w:rPr>
          <w:rFonts w:ascii="Arial" w:hAnsi="Arial" w:cs="Arial"/>
        </w:rPr>
        <w:t xml:space="preserve"> 2019</w:t>
      </w:r>
      <w:r w:rsidRPr="007F0E1E">
        <w:rPr>
          <w:rFonts w:ascii="Arial" w:hAnsi="Arial" w:cs="Arial"/>
        </w:rPr>
        <w:t xml:space="preserve"> and site visits and interviews in March 2019 </w:t>
      </w:r>
      <w:r>
        <w:rPr>
          <w:rFonts w:ascii="Arial" w:hAnsi="Arial" w:cs="Arial"/>
        </w:rPr>
        <w:t xml:space="preserve">a report with a list of </w:t>
      </w:r>
      <w:r w:rsidRPr="007F0E1E">
        <w:rPr>
          <w:rFonts w:ascii="Arial" w:hAnsi="Arial" w:cs="Arial"/>
        </w:rPr>
        <w:t xml:space="preserve">recommendations </w:t>
      </w:r>
      <w:r>
        <w:rPr>
          <w:rFonts w:ascii="Arial" w:hAnsi="Arial" w:cs="Arial"/>
        </w:rPr>
        <w:t xml:space="preserve">was </w:t>
      </w:r>
      <w:r w:rsidRPr="007F0E1E">
        <w:rPr>
          <w:rFonts w:ascii="Arial" w:hAnsi="Arial" w:cs="Arial"/>
        </w:rPr>
        <w:t xml:space="preserve">published, </w:t>
      </w:r>
      <w:r>
        <w:rPr>
          <w:rFonts w:ascii="Arial" w:hAnsi="Arial" w:cs="Arial"/>
        </w:rPr>
        <w:t xml:space="preserve">and </w:t>
      </w:r>
      <w:r w:rsidRPr="007F0E1E">
        <w:rPr>
          <w:rFonts w:ascii="Arial" w:hAnsi="Arial" w:cs="Arial"/>
        </w:rPr>
        <w:t>these recommendations accepted and</w:t>
      </w:r>
      <w:r>
        <w:rPr>
          <w:rFonts w:ascii="Arial" w:hAnsi="Arial" w:cs="Arial"/>
        </w:rPr>
        <w:t xml:space="preserve"> now</w:t>
      </w:r>
      <w:r w:rsidRPr="007F0E1E">
        <w:rPr>
          <w:rFonts w:ascii="Arial" w:hAnsi="Arial" w:cs="Arial"/>
        </w:rPr>
        <w:t xml:space="preserve"> form part of the action plan</w:t>
      </w:r>
      <w:r>
        <w:rPr>
          <w:rFonts w:ascii="Arial" w:hAnsi="Arial" w:cs="Arial"/>
        </w:rPr>
        <w:t>s for Ophthalmology</w:t>
      </w:r>
      <w:r w:rsidRPr="007F0E1E">
        <w:rPr>
          <w:rFonts w:ascii="Arial" w:hAnsi="Arial" w:cs="Arial"/>
        </w:rPr>
        <w:t>.</w:t>
      </w:r>
    </w:p>
    <w:p w:rsidR="006200AC" w:rsidRPr="007F0E1E" w:rsidRDefault="006200AC" w:rsidP="006200AC">
      <w:pPr>
        <w:spacing w:after="0" w:line="240" w:lineRule="auto"/>
        <w:ind w:left="360"/>
        <w:jc w:val="both"/>
        <w:rPr>
          <w:rFonts w:ascii="Arial" w:hAnsi="Arial" w:cs="Arial"/>
          <w:sz w:val="24"/>
          <w:szCs w:val="24"/>
        </w:rPr>
      </w:pPr>
    </w:p>
    <w:p w:rsidR="006200AC" w:rsidRPr="007F0E1E" w:rsidRDefault="006200AC" w:rsidP="006200AC">
      <w:pPr>
        <w:spacing w:after="0" w:line="240" w:lineRule="auto"/>
        <w:ind w:left="360"/>
        <w:jc w:val="both"/>
        <w:rPr>
          <w:rFonts w:ascii="Arial" w:hAnsi="Arial" w:cs="Arial"/>
          <w:sz w:val="24"/>
          <w:szCs w:val="24"/>
        </w:rPr>
      </w:pPr>
      <w:r>
        <w:rPr>
          <w:rFonts w:ascii="Arial" w:hAnsi="Arial" w:cs="Arial"/>
          <w:sz w:val="24"/>
          <w:szCs w:val="24"/>
        </w:rPr>
        <w:t>The highest risk category, R</w:t>
      </w:r>
      <w:r w:rsidRPr="007F0E1E">
        <w:rPr>
          <w:rFonts w:ascii="Arial" w:hAnsi="Arial" w:cs="Arial"/>
          <w:sz w:val="24"/>
          <w:szCs w:val="24"/>
        </w:rPr>
        <w:t>1, includes all patients with Glaucoma</w:t>
      </w:r>
      <w:r>
        <w:rPr>
          <w:rFonts w:ascii="Arial" w:hAnsi="Arial" w:cs="Arial"/>
          <w:sz w:val="24"/>
          <w:szCs w:val="24"/>
        </w:rPr>
        <w:t xml:space="preserve">, </w:t>
      </w:r>
      <w:r w:rsidRPr="007F0E1E">
        <w:rPr>
          <w:rFonts w:ascii="Arial" w:hAnsi="Arial" w:cs="Arial"/>
          <w:sz w:val="24"/>
          <w:szCs w:val="24"/>
        </w:rPr>
        <w:t xml:space="preserve">Diabetic Retinopathy, Acute Macular Degeneration, and some </w:t>
      </w:r>
      <w:r>
        <w:rPr>
          <w:rFonts w:ascii="Arial" w:hAnsi="Arial" w:cs="Arial"/>
          <w:sz w:val="24"/>
          <w:szCs w:val="24"/>
        </w:rPr>
        <w:t>p</w:t>
      </w:r>
      <w:r w:rsidRPr="007F0E1E">
        <w:rPr>
          <w:rFonts w:ascii="Arial" w:hAnsi="Arial" w:cs="Arial"/>
          <w:sz w:val="24"/>
          <w:szCs w:val="24"/>
        </w:rPr>
        <w:t xml:space="preserve">aediatric </w:t>
      </w:r>
      <w:r>
        <w:rPr>
          <w:rFonts w:ascii="Arial" w:hAnsi="Arial" w:cs="Arial"/>
          <w:sz w:val="24"/>
          <w:szCs w:val="24"/>
        </w:rPr>
        <w:t>p</w:t>
      </w:r>
      <w:r w:rsidRPr="007F0E1E">
        <w:rPr>
          <w:rFonts w:ascii="Arial" w:hAnsi="Arial" w:cs="Arial"/>
          <w:sz w:val="24"/>
          <w:szCs w:val="24"/>
        </w:rPr>
        <w:t>atients. Large numbers of adult patients with other conditions would also fall into this category. One key issue is that patients with Glaucoma and Diabetic Retinopathy are unlikely to recognise evolving sight loss themselves.</w:t>
      </w:r>
    </w:p>
    <w:p w:rsidR="006200AC" w:rsidRPr="007F0E1E" w:rsidRDefault="006200AC" w:rsidP="006200AC">
      <w:pPr>
        <w:spacing w:after="0" w:line="240" w:lineRule="auto"/>
        <w:jc w:val="both"/>
        <w:rPr>
          <w:rFonts w:ascii="Arial" w:hAnsi="Arial" w:cs="Arial"/>
          <w:sz w:val="24"/>
          <w:szCs w:val="24"/>
        </w:rPr>
      </w:pPr>
    </w:p>
    <w:p w:rsidR="006200AC" w:rsidRDefault="006200AC" w:rsidP="006200AC">
      <w:pPr>
        <w:spacing w:after="0" w:line="240" w:lineRule="auto"/>
        <w:ind w:left="360"/>
        <w:jc w:val="both"/>
        <w:rPr>
          <w:rFonts w:ascii="Arial" w:hAnsi="Arial" w:cs="Arial"/>
          <w:sz w:val="24"/>
          <w:szCs w:val="24"/>
        </w:rPr>
      </w:pPr>
      <w:r w:rsidRPr="007F0E1E">
        <w:rPr>
          <w:rFonts w:ascii="Arial" w:hAnsi="Arial" w:cs="Arial"/>
          <w:sz w:val="24"/>
          <w:szCs w:val="24"/>
        </w:rPr>
        <w:t>Patients</w:t>
      </w:r>
      <w:r>
        <w:rPr>
          <w:rFonts w:ascii="Arial" w:hAnsi="Arial" w:cs="Arial"/>
          <w:sz w:val="24"/>
          <w:szCs w:val="24"/>
        </w:rPr>
        <w:t xml:space="preserve"> with cataracts are considered R</w:t>
      </w:r>
      <w:r w:rsidRPr="007F0E1E">
        <w:rPr>
          <w:rFonts w:ascii="Arial" w:hAnsi="Arial" w:cs="Arial"/>
          <w:sz w:val="24"/>
          <w:szCs w:val="24"/>
        </w:rPr>
        <w:t>2 as harm is reversible.</w:t>
      </w:r>
    </w:p>
    <w:p w:rsidR="006200AC" w:rsidRDefault="006200AC" w:rsidP="006200AC">
      <w:pPr>
        <w:spacing w:after="0" w:line="240" w:lineRule="auto"/>
        <w:ind w:left="360"/>
        <w:jc w:val="both"/>
        <w:rPr>
          <w:rFonts w:ascii="Arial" w:hAnsi="Arial" w:cs="Arial"/>
          <w:sz w:val="24"/>
          <w:szCs w:val="24"/>
        </w:rPr>
      </w:pPr>
    </w:p>
    <w:p w:rsidR="006200AC" w:rsidRDefault="006200AC" w:rsidP="006200AC">
      <w:pPr>
        <w:spacing w:after="0" w:line="240" w:lineRule="auto"/>
        <w:ind w:left="360"/>
        <w:jc w:val="both"/>
        <w:rPr>
          <w:rFonts w:ascii="Arial" w:hAnsi="Arial" w:cs="Arial"/>
          <w:sz w:val="24"/>
          <w:szCs w:val="24"/>
        </w:rPr>
      </w:pPr>
      <w:r>
        <w:rPr>
          <w:rFonts w:ascii="Arial" w:hAnsi="Arial" w:cs="Arial"/>
          <w:sz w:val="24"/>
          <w:szCs w:val="24"/>
        </w:rPr>
        <w:t xml:space="preserve">Some of the reason for increases will be due to adjustments related to data separation and a cohort of patients who had been incorrectly attributed to POW and have now been reflected correctly. As patients are seen they will be coded and allocated to correct lists  </w:t>
      </w:r>
    </w:p>
    <w:p w:rsidR="00653AEC" w:rsidRPr="0072604C" w:rsidRDefault="00653AEC" w:rsidP="00B34B7D">
      <w:pPr>
        <w:spacing w:after="0" w:line="240" w:lineRule="auto"/>
        <w:rPr>
          <w:rFonts w:ascii="Arial" w:hAnsi="Arial" w:cs="Arial"/>
          <w:b/>
          <w:sz w:val="24"/>
          <w:szCs w:val="24"/>
        </w:rPr>
      </w:pPr>
    </w:p>
    <w:p w:rsidR="002E5910" w:rsidRPr="006200AC" w:rsidRDefault="002E5910" w:rsidP="006200AC">
      <w:pPr>
        <w:spacing w:after="0" w:line="240" w:lineRule="auto"/>
        <w:rPr>
          <w:rFonts w:ascii="Arial" w:hAnsi="Arial" w:cs="Arial"/>
          <w:b/>
          <w:sz w:val="24"/>
          <w:szCs w:val="24"/>
        </w:rPr>
      </w:pPr>
    </w:p>
    <w:p w:rsidR="000B58BA" w:rsidRDefault="006200AC" w:rsidP="005B5D97">
      <w:pPr>
        <w:pStyle w:val="ListParagraph"/>
        <w:numPr>
          <w:ilvl w:val="0"/>
          <w:numId w:val="1"/>
        </w:numPr>
        <w:spacing w:after="0" w:line="240" w:lineRule="auto"/>
        <w:rPr>
          <w:rFonts w:ascii="Arial" w:hAnsi="Arial" w:cs="Arial"/>
          <w:b/>
          <w:sz w:val="24"/>
          <w:szCs w:val="24"/>
        </w:rPr>
      </w:pPr>
      <w:r>
        <w:rPr>
          <w:rFonts w:ascii="Arial" w:hAnsi="Arial" w:cs="Arial"/>
          <w:b/>
          <w:sz w:val="24"/>
          <w:szCs w:val="24"/>
        </w:rPr>
        <w:t>ASSESSMENT</w:t>
      </w:r>
    </w:p>
    <w:p w:rsidR="00424555" w:rsidRDefault="00424555" w:rsidP="00424555">
      <w:pPr>
        <w:spacing w:after="0" w:line="240" w:lineRule="auto"/>
        <w:rPr>
          <w:rFonts w:ascii="Arial" w:hAnsi="Arial" w:cs="Arial"/>
          <w:b/>
          <w:sz w:val="24"/>
          <w:szCs w:val="24"/>
        </w:rPr>
      </w:pPr>
    </w:p>
    <w:p w:rsidR="00424555" w:rsidRPr="006B3257" w:rsidRDefault="00424555" w:rsidP="00424555">
      <w:pPr>
        <w:ind w:left="360"/>
        <w:jc w:val="both"/>
        <w:rPr>
          <w:rFonts w:ascii="Arial" w:hAnsi="Arial" w:cs="Arial"/>
          <w:sz w:val="24"/>
          <w:szCs w:val="24"/>
        </w:rPr>
      </w:pPr>
      <w:r>
        <w:rPr>
          <w:rFonts w:ascii="Arial" w:hAnsi="Arial" w:cs="Arial"/>
          <w:sz w:val="24"/>
          <w:szCs w:val="24"/>
        </w:rPr>
        <w:t>During the first wave of the Covid 19 pandemic</w:t>
      </w:r>
      <w:r w:rsidRPr="006B3257">
        <w:rPr>
          <w:rFonts w:ascii="Arial" w:hAnsi="Arial" w:cs="Arial"/>
          <w:sz w:val="24"/>
          <w:szCs w:val="24"/>
        </w:rPr>
        <w:t>, only the following essential eye services were maintained:</w:t>
      </w:r>
    </w:p>
    <w:p w:rsidR="00424555" w:rsidRPr="007020FE" w:rsidRDefault="00424555" w:rsidP="00424555">
      <w:pPr>
        <w:numPr>
          <w:ilvl w:val="0"/>
          <w:numId w:val="23"/>
        </w:numPr>
        <w:spacing w:after="0" w:line="240" w:lineRule="auto"/>
        <w:ind w:left="1080"/>
        <w:rPr>
          <w:rFonts w:ascii="Arial" w:hAnsi="Arial" w:cs="Arial"/>
          <w:sz w:val="24"/>
          <w:szCs w:val="24"/>
        </w:rPr>
      </w:pPr>
      <w:r w:rsidRPr="007020FE">
        <w:rPr>
          <w:rFonts w:ascii="Arial" w:hAnsi="Arial" w:cs="Arial"/>
          <w:sz w:val="24"/>
          <w:szCs w:val="24"/>
        </w:rPr>
        <w:t>AMD treatments</w:t>
      </w:r>
    </w:p>
    <w:p w:rsidR="00424555" w:rsidRPr="007020FE" w:rsidRDefault="00424555" w:rsidP="00424555">
      <w:pPr>
        <w:numPr>
          <w:ilvl w:val="0"/>
          <w:numId w:val="23"/>
        </w:numPr>
        <w:spacing w:after="0" w:line="240" w:lineRule="auto"/>
        <w:ind w:left="1080"/>
        <w:rPr>
          <w:rFonts w:ascii="Arial" w:hAnsi="Arial" w:cs="Arial"/>
          <w:sz w:val="24"/>
          <w:szCs w:val="24"/>
        </w:rPr>
      </w:pPr>
      <w:r w:rsidRPr="007020FE">
        <w:rPr>
          <w:rFonts w:ascii="Arial" w:hAnsi="Arial" w:cs="Arial"/>
          <w:sz w:val="24"/>
          <w:szCs w:val="24"/>
        </w:rPr>
        <w:t>Retina services</w:t>
      </w:r>
    </w:p>
    <w:p w:rsidR="00424555" w:rsidRDefault="00424555" w:rsidP="00424555">
      <w:pPr>
        <w:numPr>
          <w:ilvl w:val="0"/>
          <w:numId w:val="23"/>
        </w:numPr>
        <w:spacing w:after="0" w:line="240" w:lineRule="auto"/>
        <w:ind w:left="1080"/>
        <w:rPr>
          <w:rFonts w:ascii="Arial" w:hAnsi="Arial" w:cs="Arial"/>
          <w:sz w:val="24"/>
          <w:szCs w:val="24"/>
        </w:rPr>
      </w:pPr>
      <w:r w:rsidRPr="007020FE">
        <w:rPr>
          <w:rFonts w:ascii="Arial" w:hAnsi="Arial" w:cs="Arial"/>
          <w:sz w:val="24"/>
          <w:szCs w:val="24"/>
        </w:rPr>
        <w:t>Rapid Access Eye clinic (RACE - Eye Casualty)</w:t>
      </w:r>
    </w:p>
    <w:p w:rsidR="00424555" w:rsidRDefault="00424555" w:rsidP="00424555">
      <w:pPr>
        <w:spacing w:after="0" w:line="240" w:lineRule="auto"/>
        <w:rPr>
          <w:rFonts w:ascii="Arial" w:hAnsi="Arial" w:cs="Arial"/>
          <w:sz w:val="24"/>
          <w:szCs w:val="24"/>
        </w:rPr>
      </w:pPr>
    </w:p>
    <w:p w:rsidR="00424555" w:rsidRDefault="00424555" w:rsidP="00424555">
      <w:pPr>
        <w:spacing w:after="0" w:line="240" w:lineRule="auto"/>
        <w:ind w:left="360"/>
        <w:rPr>
          <w:rFonts w:ascii="Arial" w:hAnsi="Arial" w:cs="Arial"/>
          <w:sz w:val="24"/>
          <w:szCs w:val="24"/>
        </w:rPr>
      </w:pPr>
      <w:r>
        <w:rPr>
          <w:rFonts w:ascii="Arial" w:hAnsi="Arial" w:cs="Arial"/>
          <w:sz w:val="24"/>
          <w:szCs w:val="24"/>
        </w:rPr>
        <w:t>As a consequence, the progress made through the previous eye care initiatives through to the March 2020 ha</w:t>
      </w:r>
      <w:r w:rsidR="00577444">
        <w:rPr>
          <w:rFonts w:ascii="Arial" w:hAnsi="Arial" w:cs="Arial"/>
          <w:sz w:val="24"/>
          <w:szCs w:val="24"/>
        </w:rPr>
        <w:t>d</w:t>
      </w:r>
      <w:r>
        <w:rPr>
          <w:rFonts w:ascii="Arial" w:hAnsi="Arial" w:cs="Arial"/>
          <w:sz w:val="24"/>
          <w:szCs w:val="24"/>
        </w:rPr>
        <w:t xml:space="preserve"> reversed and as can be seen below:</w:t>
      </w:r>
    </w:p>
    <w:p w:rsidR="00424555" w:rsidRDefault="00424555" w:rsidP="00424555">
      <w:pPr>
        <w:spacing w:after="0" w:line="240" w:lineRule="auto"/>
        <w:ind w:left="360"/>
        <w:rPr>
          <w:rFonts w:ascii="Arial" w:hAnsi="Arial" w:cs="Arial"/>
          <w:sz w:val="24"/>
          <w:szCs w:val="24"/>
        </w:rPr>
      </w:pPr>
    </w:p>
    <w:p w:rsidR="00424555" w:rsidRPr="007020FE" w:rsidRDefault="00424555" w:rsidP="00424555">
      <w:pPr>
        <w:spacing w:after="0" w:line="240" w:lineRule="auto"/>
        <w:ind w:left="360"/>
        <w:rPr>
          <w:rFonts w:ascii="Arial" w:hAnsi="Arial" w:cs="Arial"/>
          <w:sz w:val="24"/>
          <w:szCs w:val="24"/>
        </w:rPr>
      </w:pPr>
      <w:r>
        <w:rPr>
          <w:noProof/>
          <w:lang w:eastAsia="en-GB"/>
        </w:rPr>
        <w:drawing>
          <wp:inline distT="0" distB="0" distL="0" distR="0" wp14:anchorId="61B94596" wp14:editId="1BAF6F39">
            <wp:extent cx="5467350" cy="2638425"/>
            <wp:effectExtent l="0" t="0" r="0"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24555" w:rsidRPr="007020FE" w:rsidRDefault="00424555" w:rsidP="00424555">
      <w:pPr>
        <w:ind w:left="360"/>
        <w:rPr>
          <w:rFonts w:ascii="Arial" w:hAnsi="Arial" w:cs="Arial"/>
          <w:sz w:val="24"/>
          <w:szCs w:val="24"/>
        </w:rPr>
      </w:pPr>
    </w:p>
    <w:p w:rsidR="00424555" w:rsidRPr="007020FE" w:rsidRDefault="00424555" w:rsidP="00424555">
      <w:pPr>
        <w:ind w:left="360"/>
        <w:rPr>
          <w:rFonts w:ascii="Arial" w:hAnsi="Arial" w:cs="Arial"/>
          <w:sz w:val="24"/>
          <w:szCs w:val="24"/>
        </w:rPr>
      </w:pPr>
      <w:r>
        <w:rPr>
          <w:rFonts w:ascii="Arial" w:hAnsi="Arial" w:cs="Arial"/>
          <w:sz w:val="24"/>
          <w:szCs w:val="24"/>
        </w:rPr>
        <w:t>In terms of the Gold C</w:t>
      </w:r>
      <w:r w:rsidRPr="007020FE">
        <w:rPr>
          <w:rFonts w:ascii="Arial" w:hAnsi="Arial" w:cs="Arial"/>
          <w:sz w:val="24"/>
          <w:szCs w:val="24"/>
        </w:rPr>
        <w:t xml:space="preserve">ommand action plan </w:t>
      </w:r>
      <w:r>
        <w:rPr>
          <w:rFonts w:ascii="Arial" w:hAnsi="Arial" w:cs="Arial"/>
          <w:sz w:val="24"/>
          <w:szCs w:val="24"/>
        </w:rPr>
        <w:t>the following has been achieved</w:t>
      </w:r>
      <w:r w:rsidRPr="007020FE">
        <w:rPr>
          <w:rFonts w:ascii="Arial" w:hAnsi="Arial" w:cs="Arial"/>
          <w:sz w:val="24"/>
          <w:szCs w:val="24"/>
        </w:rPr>
        <w:t>:</w:t>
      </w:r>
    </w:p>
    <w:p w:rsidR="000B58BA" w:rsidRPr="0007205A" w:rsidRDefault="00CA0302" w:rsidP="06A13233">
      <w:pPr>
        <w:pStyle w:val="NoSpacing"/>
        <w:rPr>
          <w:rFonts w:ascii="Arial" w:hAnsi="Arial" w:cs="Arial"/>
          <w:noProof/>
          <w:sz w:val="24"/>
          <w:szCs w:val="24"/>
          <w:lang w:eastAsia="en-GB"/>
        </w:rPr>
      </w:pPr>
      <w:r w:rsidRPr="0007205A">
        <w:rPr>
          <w:rFonts w:ascii="Arial" w:hAnsi="Arial" w:cs="Arial"/>
          <w:noProof/>
          <w:sz w:val="24"/>
          <w:szCs w:val="24"/>
          <w:lang w:eastAsia="en-GB"/>
        </w:rPr>
        <w:t xml:space="preserve">As can be seen below since October </w:t>
      </w:r>
      <w:r w:rsidR="00E9313C" w:rsidRPr="0007205A">
        <w:rPr>
          <w:rFonts w:ascii="Arial" w:hAnsi="Arial" w:cs="Arial"/>
          <w:noProof/>
          <w:sz w:val="24"/>
          <w:szCs w:val="24"/>
          <w:lang w:eastAsia="en-GB"/>
        </w:rPr>
        <w:t>2021 sigficant progress as been made in reducing the ba</w:t>
      </w:r>
      <w:r w:rsidR="0007205A" w:rsidRPr="0007205A">
        <w:rPr>
          <w:rFonts w:ascii="Arial" w:hAnsi="Arial" w:cs="Arial"/>
          <w:noProof/>
          <w:sz w:val="24"/>
          <w:szCs w:val="24"/>
          <w:lang w:eastAsia="en-GB"/>
        </w:rPr>
        <w:t>cklog from 8284 to 6195 at the end of August 2023.</w:t>
      </w:r>
    </w:p>
    <w:p w:rsidR="00CA0302" w:rsidRDefault="00CA0302" w:rsidP="06A13233">
      <w:pPr>
        <w:pStyle w:val="NoSpacing"/>
        <w:rPr>
          <w:noProof/>
          <w:lang w:eastAsia="en-GB"/>
        </w:rPr>
      </w:pPr>
    </w:p>
    <w:p w:rsidR="00FA0EC0" w:rsidRDefault="00C01F7B" w:rsidP="06A13233">
      <w:pPr>
        <w:pStyle w:val="NoSpacing"/>
        <w:rPr>
          <w:noProof/>
          <w:lang w:eastAsia="en-GB"/>
        </w:rPr>
      </w:pPr>
      <w:r>
        <w:rPr>
          <w:noProof/>
          <w:lang w:eastAsia="en-GB"/>
        </w:rPr>
        <w:drawing>
          <wp:inline distT="0" distB="0" distL="0" distR="0" wp14:anchorId="5736B9A6" wp14:editId="5576DE79">
            <wp:extent cx="5731510" cy="2247900"/>
            <wp:effectExtent l="0" t="0" r="2540" b="0"/>
            <wp:docPr id="3" name="Chart 3">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A0EC0" w:rsidRPr="00FA0EC0" w:rsidRDefault="00FA0EC0" w:rsidP="00BA62CC">
      <w:pPr>
        <w:pStyle w:val="NoSpacing"/>
        <w:rPr>
          <w:noProof/>
          <w:lang w:eastAsia="en-GB"/>
        </w:rPr>
      </w:pPr>
    </w:p>
    <w:p w:rsidR="007733E2" w:rsidRPr="003D759A" w:rsidRDefault="003D759A" w:rsidP="005B5D97">
      <w:pPr>
        <w:spacing w:after="0" w:line="240" w:lineRule="auto"/>
        <w:rPr>
          <w:rFonts w:ascii="Arial" w:hAnsi="Arial" w:cs="Arial"/>
          <w:bCs/>
          <w:sz w:val="24"/>
          <w:szCs w:val="24"/>
        </w:rPr>
      </w:pPr>
      <w:r>
        <w:rPr>
          <w:rFonts w:ascii="Arial" w:hAnsi="Arial" w:cs="Arial"/>
          <w:bCs/>
          <w:sz w:val="24"/>
          <w:szCs w:val="24"/>
        </w:rPr>
        <w:t xml:space="preserve">The progress made by sub specialty </w:t>
      </w:r>
      <w:r w:rsidR="00342599">
        <w:rPr>
          <w:rFonts w:ascii="Arial" w:hAnsi="Arial" w:cs="Arial"/>
          <w:bCs/>
          <w:sz w:val="24"/>
          <w:szCs w:val="24"/>
        </w:rPr>
        <w:t>is as follows:</w:t>
      </w:r>
    </w:p>
    <w:p w:rsidR="00342599" w:rsidRDefault="00342599" w:rsidP="00C01F7B">
      <w:pPr>
        <w:jc w:val="both"/>
        <w:rPr>
          <w:rFonts w:ascii="Arial" w:hAnsi="Arial" w:cs="Arial"/>
          <w:b/>
          <w:sz w:val="24"/>
          <w:szCs w:val="24"/>
        </w:rPr>
      </w:pPr>
    </w:p>
    <w:p w:rsidR="00C01F7B" w:rsidRPr="00C01F7B" w:rsidRDefault="00C01F7B" w:rsidP="00C01F7B">
      <w:pPr>
        <w:jc w:val="both"/>
        <w:rPr>
          <w:rFonts w:ascii="Arial" w:hAnsi="Arial" w:cs="Arial"/>
          <w:b/>
          <w:sz w:val="24"/>
          <w:szCs w:val="24"/>
        </w:rPr>
      </w:pPr>
      <w:r w:rsidRPr="00C01F7B">
        <w:rPr>
          <w:rFonts w:ascii="Arial" w:hAnsi="Arial" w:cs="Arial"/>
          <w:b/>
          <w:sz w:val="24"/>
          <w:szCs w:val="24"/>
        </w:rPr>
        <w:t>Paediatrics</w:t>
      </w:r>
    </w:p>
    <w:p w:rsidR="00C01F7B" w:rsidRPr="00F83D83" w:rsidRDefault="00C01F7B" w:rsidP="00C01F7B">
      <w:pPr>
        <w:jc w:val="both"/>
        <w:rPr>
          <w:rFonts w:ascii="Arial" w:hAnsi="Arial" w:cs="Arial"/>
          <w:bCs/>
          <w:sz w:val="24"/>
          <w:szCs w:val="24"/>
        </w:rPr>
      </w:pPr>
      <w:r>
        <w:rPr>
          <w:rFonts w:ascii="Arial" w:hAnsi="Arial" w:cs="Arial"/>
          <w:bCs/>
          <w:sz w:val="24"/>
          <w:szCs w:val="24"/>
        </w:rPr>
        <w:t>There has been a</w:t>
      </w:r>
      <w:r w:rsidR="005622B9">
        <w:rPr>
          <w:rFonts w:ascii="Arial" w:hAnsi="Arial" w:cs="Arial"/>
          <w:bCs/>
          <w:sz w:val="24"/>
          <w:szCs w:val="24"/>
        </w:rPr>
        <w:t xml:space="preserve"> slight</w:t>
      </w:r>
      <w:r>
        <w:rPr>
          <w:rFonts w:ascii="Arial" w:hAnsi="Arial" w:cs="Arial"/>
          <w:bCs/>
          <w:sz w:val="24"/>
          <w:szCs w:val="24"/>
        </w:rPr>
        <w:t xml:space="preserve"> increase</w:t>
      </w:r>
      <w:r w:rsidR="00F103B7">
        <w:rPr>
          <w:rFonts w:ascii="Arial" w:hAnsi="Arial" w:cs="Arial"/>
          <w:bCs/>
          <w:sz w:val="24"/>
          <w:szCs w:val="24"/>
        </w:rPr>
        <w:t xml:space="preserve"> </w:t>
      </w:r>
      <w:r w:rsidR="005622B9">
        <w:rPr>
          <w:rFonts w:ascii="Arial" w:hAnsi="Arial" w:cs="Arial"/>
          <w:bCs/>
          <w:sz w:val="24"/>
          <w:szCs w:val="24"/>
        </w:rPr>
        <w:t>the backlog</w:t>
      </w:r>
      <w:r>
        <w:rPr>
          <w:rFonts w:ascii="Arial" w:hAnsi="Arial" w:cs="Arial"/>
          <w:bCs/>
          <w:sz w:val="24"/>
          <w:szCs w:val="24"/>
        </w:rPr>
        <w:t xml:space="preserve"> following the loss of a registrar and the position will deteriorate further with one of the consultants taking a career break in August 23. There is a plan to recruit a locum to cover this gap and/or establish additional outpatient capacity with the existing team, but this the service with the greatest risk of increasing waiting times at present.</w:t>
      </w:r>
    </w:p>
    <w:p w:rsidR="00C01F7B" w:rsidRDefault="00C01F7B" w:rsidP="00C01F7B">
      <w:pPr>
        <w:rPr>
          <w:rFonts w:ascii="Arial" w:hAnsi="Arial" w:cs="Arial"/>
          <w:b/>
          <w:sz w:val="24"/>
          <w:szCs w:val="24"/>
        </w:rPr>
      </w:pPr>
      <w:r>
        <w:rPr>
          <w:noProof/>
          <w:lang w:eastAsia="en-GB"/>
        </w:rPr>
        <w:drawing>
          <wp:inline distT="0" distB="0" distL="0" distR="0" wp14:anchorId="12DCE774" wp14:editId="6219C9AE">
            <wp:extent cx="5731510" cy="2730500"/>
            <wp:effectExtent l="0" t="0" r="2540" b="12700"/>
            <wp:docPr id="6" name="Chart 6">
              <a:extLst xmlns:a="http://schemas.openxmlformats.org/drawingml/2006/main">
                <a:ext uri="{FF2B5EF4-FFF2-40B4-BE49-F238E27FC236}">
                  <a16:creationId xmlns:a16="http://schemas.microsoft.com/office/drawing/2014/main" id="{00000000-0008-0000-02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42599" w:rsidRDefault="00342599" w:rsidP="00C01F7B">
      <w:pPr>
        <w:rPr>
          <w:rFonts w:ascii="Arial" w:hAnsi="Arial" w:cs="Arial"/>
          <w:b/>
          <w:sz w:val="24"/>
          <w:szCs w:val="24"/>
        </w:rPr>
      </w:pPr>
    </w:p>
    <w:p w:rsidR="00342599" w:rsidRDefault="00342599" w:rsidP="00C01F7B">
      <w:pPr>
        <w:rPr>
          <w:rFonts w:ascii="Arial" w:hAnsi="Arial" w:cs="Arial"/>
          <w:b/>
          <w:sz w:val="24"/>
          <w:szCs w:val="24"/>
        </w:rPr>
      </w:pPr>
    </w:p>
    <w:p w:rsidR="00342599" w:rsidRDefault="00342599" w:rsidP="00C01F7B">
      <w:pPr>
        <w:rPr>
          <w:rFonts w:ascii="Arial" w:hAnsi="Arial" w:cs="Arial"/>
          <w:b/>
          <w:sz w:val="24"/>
          <w:szCs w:val="24"/>
        </w:rPr>
      </w:pPr>
    </w:p>
    <w:p w:rsidR="00C01F7B" w:rsidRDefault="00C01F7B" w:rsidP="00C01F7B">
      <w:pPr>
        <w:rPr>
          <w:rFonts w:ascii="Arial" w:hAnsi="Arial" w:cs="Arial"/>
          <w:b/>
          <w:sz w:val="24"/>
          <w:szCs w:val="24"/>
        </w:rPr>
      </w:pPr>
      <w:r>
        <w:rPr>
          <w:rFonts w:ascii="Arial" w:hAnsi="Arial" w:cs="Arial"/>
          <w:b/>
          <w:sz w:val="24"/>
          <w:szCs w:val="24"/>
        </w:rPr>
        <w:t>Age Related Macular Degeneration (AMD)</w:t>
      </w:r>
    </w:p>
    <w:p w:rsidR="00C01F7B" w:rsidRPr="00DC5CDA" w:rsidRDefault="00C01F7B" w:rsidP="00C01F7B">
      <w:pPr>
        <w:rPr>
          <w:rFonts w:ascii="Arial" w:hAnsi="Arial" w:cs="Arial"/>
          <w:bCs/>
          <w:sz w:val="24"/>
          <w:szCs w:val="24"/>
        </w:rPr>
      </w:pPr>
      <w:r>
        <w:rPr>
          <w:rFonts w:ascii="Arial" w:hAnsi="Arial" w:cs="Arial"/>
          <w:bCs/>
          <w:sz w:val="24"/>
          <w:szCs w:val="24"/>
        </w:rPr>
        <w:t>There is no backlog of patients for the wet AMD service.</w:t>
      </w:r>
    </w:p>
    <w:p w:rsidR="00C01F7B" w:rsidRPr="00F73864" w:rsidRDefault="00C01F7B" w:rsidP="00C01F7B">
      <w:pPr>
        <w:pStyle w:val="ListParagraph"/>
        <w:numPr>
          <w:ilvl w:val="0"/>
          <w:numId w:val="6"/>
        </w:numPr>
        <w:spacing w:after="0" w:line="240" w:lineRule="auto"/>
        <w:jc w:val="both"/>
        <w:rPr>
          <w:rFonts w:ascii="Arial" w:hAnsi="Arial" w:cs="Arial"/>
          <w:bCs/>
          <w:sz w:val="24"/>
          <w:szCs w:val="24"/>
        </w:rPr>
      </w:pPr>
      <w:r>
        <w:rPr>
          <w:rFonts w:ascii="Arial" w:hAnsi="Arial" w:cs="Arial"/>
          <w:bCs/>
          <w:sz w:val="24"/>
          <w:szCs w:val="24"/>
        </w:rPr>
        <w:t>The 2-</w:t>
      </w:r>
      <w:r w:rsidRPr="00F73864">
        <w:rPr>
          <w:rFonts w:ascii="Arial" w:hAnsi="Arial" w:cs="Arial"/>
          <w:bCs/>
          <w:sz w:val="24"/>
          <w:szCs w:val="24"/>
        </w:rPr>
        <w:t>week new referral target and injection regimes</w:t>
      </w:r>
      <w:r>
        <w:rPr>
          <w:rFonts w:ascii="Arial" w:hAnsi="Arial" w:cs="Arial"/>
          <w:bCs/>
          <w:sz w:val="24"/>
          <w:szCs w:val="24"/>
        </w:rPr>
        <w:t xml:space="preserve"> target</w:t>
      </w:r>
      <w:r w:rsidRPr="00F73864">
        <w:rPr>
          <w:rFonts w:ascii="Arial" w:hAnsi="Arial" w:cs="Arial"/>
          <w:bCs/>
          <w:sz w:val="24"/>
          <w:szCs w:val="24"/>
        </w:rPr>
        <w:t xml:space="preserve"> </w:t>
      </w:r>
      <w:r>
        <w:rPr>
          <w:rFonts w:ascii="Arial" w:hAnsi="Arial" w:cs="Arial"/>
          <w:bCs/>
          <w:sz w:val="24"/>
          <w:szCs w:val="24"/>
        </w:rPr>
        <w:t>have been</w:t>
      </w:r>
      <w:r w:rsidRPr="00F73864">
        <w:rPr>
          <w:rFonts w:ascii="Arial" w:hAnsi="Arial" w:cs="Arial"/>
          <w:bCs/>
          <w:sz w:val="24"/>
          <w:szCs w:val="24"/>
        </w:rPr>
        <w:t xml:space="preserve"> maintained.</w:t>
      </w:r>
    </w:p>
    <w:p w:rsidR="00C01F7B" w:rsidRPr="00C01F7B" w:rsidRDefault="00C01F7B" w:rsidP="00C01F7B">
      <w:pPr>
        <w:pStyle w:val="ListParagraph"/>
        <w:numPr>
          <w:ilvl w:val="0"/>
          <w:numId w:val="6"/>
        </w:numPr>
        <w:spacing w:after="0" w:line="256" w:lineRule="auto"/>
        <w:jc w:val="both"/>
        <w:rPr>
          <w:rFonts w:ascii="Arial" w:eastAsia="Calibri" w:hAnsi="Arial" w:cs="Arial"/>
          <w:sz w:val="24"/>
          <w:szCs w:val="24"/>
        </w:rPr>
      </w:pPr>
      <w:r w:rsidRPr="00F73864">
        <w:rPr>
          <w:rFonts w:ascii="Arial" w:eastAsia="Calibri" w:hAnsi="Arial" w:cs="Arial"/>
          <w:sz w:val="24"/>
          <w:szCs w:val="24"/>
        </w:rPr>
        <w:t xml:space="preserve">WG OPD transformation funds </w:t>
      </w:r>
      <w:r>
        <w:rPr>
          <w:rFonts w:ascii="Arial" w:eastAsia="Calibri" w:hAnsi="Arial" w:cs="Arial"/>
          <w:sz w:val="24"/>
          <w:szCs w:val="24"/>
        </w:rPr>
        <w:t xml:space="preserve">are </w:t>
      </w:r>
      <w:r w:rsidRPr="00F73864">
        <w:rPr>
          <w:rFonts w:ascii="Arial" w:eastAsia="Calibri" w:hAnsi="Arial" w:cs="Arial"/>
          <w:sz w:val="24"/>
          <w:szCs w:val="24"/>
        </w:rPr>
        <w:t>ongoing for AMD referral refinement scheme by contracted qualified optometrists</w:t>
      </w:r>
      <w:r>
        <w:rPr>
          <w:rFonts w:ascii="Arial" w:eastAsia="Calibri" w:hAnsi="Arial" w:cs="Arial"/>
          <w:sz w:val="24"/>
          <w:szCs w:val="24"/>
        </w:rPr>
        <w:t xml:space="preserve">, this has resulted in a </w:t>
      </w:r>
      <w:r w:rsidRPr="00F73864">
        <w:rPr>
          <w:rFonts w:ascii="Arial" w:eastAsia="Calibri" w:hAnsi="Arial" w:cs="Arial"/>
          <w:sz w:val="24"/>
          <w:szCs w:val="24"/>
        </w:rPr>
        <w:t xml:space="preserve">40% reduction in referrals </w:t>
      </w:r>
      <w:r>
        <w:rPr>
          <w:rFonts w:ascii="Arial" w:eastAsia="Calibri" w:hAnsi="Arial" w:cs="Arial"/>
          <w:sz w:val="24"/>
          <w:szCs w:val="24"/>
        </w:rPr>
        <w:t xml:space="preserve">requiring wet </w:t>
      </w:r>
      <w:r w:rsidRPr="00F73864">
        <w:rPr>
          <w:rFonts w:ascii="Arial" w:eastAsia="Calibri" w:hAnsi="Arial" w:cs="Arial"/>
          <w:sz w:val="24"/>
          <w:szCs w:val="24"/>
        </w:rPr>
        <w:t xml:space="preserve">AMD new appointments, releasing capacity for time critical follow up treatments. </w:t>
      </w:r>
    </w:p>
    <w:p w:rsidR="00C01F7B" w:rsidRDefault="00C01F7B" w:rsidP="00C01F7B">
      <w:pPr>
        <w:spacing w:after="0" w:line="240" w:lineRule="auto"/>
        <w:rPr>
          <w:rFonts w:ascii="Arial" w:eastAsia="Calibri" w:hAnsi="Arial" w:cs="Arial"/>
          <w:sz w:val="24"/>
          <w:szCs w:val="24"/>
        </w:rPr>
      </w:pPr>
    </w:p>
    <w:p w:rsidR="006200AC" w:rsidRDefault="006200AC" w:rsidP="00C01F7B">
      <w:pPr>
        <w:spacing w:line="256" w:lineRule="auto"/>
        <w:contextualSpacing/>
        <w:rPr>
          <w:rFonts w:ascii="Arial" w:hAnsi="Arial" w:cs="Arial"/>
          <w:b/>
          <w:bCs/>
          <w:sz w:val="24"/>
          <w:szCs w:val="24"/>
        </w:rPr>
      </w:pPr>
    </w:p>
    <w:p w:rsidR="00C01F7B" w:rsidRDefault="00C01F7B" w:rsidP="00C01F7B">
      <w:pPr>
        <w:spacing w:line="256" w:lineRule="auto"/>
        <w:contextualSpacing/>
        <w:rPr>
          <w:rFonts w:ascii="Arial" w:eastAsia="Calibri" w:hAnsi="Arial" w:cs="Arial"/>
          <w:sz w:val="24"/>
          <w:szCs w:val="24"/>
        </w:rPr>
      </w:pPr>
      <w:r w:rsidRPr="00F73864">
        <w:rPr>
          <w:rFonts w:ascii="Arial" w:hAnsi="Arial" w:cs="Arial"/>
          <w:b/>
          <w:bCs/>
          <w:sz w:val="24"/>
          <w:szCs w:val="24"/>
        </w:rPr>
        <w:t>Diabetic Ret</w:t>
      </w:r>
      <w:r>
        <w:rPr>
          <w:rFonts w:ascii="Arial" w:hAnsi="Arial" w:cs="Arial"/>
          <w:b/>
          <w:bCs/>
          <w:sz w:val="24"/>
          <w:szCs w:val="24"/>
        </w:rPr>
        <w:t>inopathy</w:t>
      </w:r>
      <w:r w:rsidRPr="00C27BFF">
        <w:rPr>
          <w:rFonts w:ascii="Arial" w:eastAsia="Calibri" w:hAnsi="Arial" w:cs="Arial"/>
          <w:sz w:val="24"/>
          <w:szCs w:val="24"/>
        </w:rPr>
        <w:t xml:space="preserve"> </w:t>
      </w:r>
    </w:p>
    <w:p w:rsidR="00C01F7B" w:rsidRPr="00665115" w:rsidRDefault="00C01F7B" w:rsidP="00C01F7B">
      <w:pPr>
        <w:spacing w:line="256" w:lineRule="auto"/>
        <w:contextualSpacing/>
        <w:jc w:val="both"/>
        <w:rPr>
          <w:rFonts w:ascii="Arial" w:eastAsia="Calibri" w:hAnsi="Arial" w:cs="Arial"/>
          <w:sz w:val="24"/>
          <w:szCs w:val="24"/>
        </w:rPr>
      </w:pPr>
      <w:r>
        <w:rPr>
          <w:rFonts w:ascii="Arial" w:eastAsia="Calibri" w:hAnsi="Arial" w:cs="Arial"/>
          <w:sz w:val="24"/>
          <w:szCs w:val="24"/>
        </w:rPr>
        <w:t xml:space="preserve">The service has benefited from </w:t>
      </w:r>
      <w:r w:rsidRPr="00665115">
        <w:rPr>
          <w:rFonts w:ascii="Arial" w:eastAsia="Calibri" w:hAnsi="Arial" w:cs="Arial"/>
          <w:sz w:val="24"/>
          <w:szCs w:val="24"/>
        </w:rPr>
        <w:t>WG OPD transformational funding</w:t>
      </w:r>
      <w:r>
        <w:rPr>
          <w:rFonts w:ascii="Arial" w:eastAsia="Calibri" w:hAnsi="Arial" w:cs="Arial"/>
          <w:sz w:val="24"/>
          <w:szCs w:val="24"/>
        </w:rPr>
        <w:t xml:space="preserve"> to reduce their backlog,</w:t>
      </w:r>
      <w:r w:rsidRPr="00665115">
        <w:rPr>
          <w:rFonts w:ascii="Arial" w:eastAsia="Calibri" w:hAnsi="Arial" w:cs="Arial"/>
          <w:sz w:val="24"/>
          <w:szCs w:val="24"/>
        </w:rPr>
        <w:t xml:space="preserve"> </w:t>
      </w:r>
      <w:r>
        <w:rPr>
          <w:rFonts w:ascii="Arial" w:eastAsia="Calibri" w:hAnsi="Arial" w:cs="Arial"/>
          <w:sz w:val="24"/>
          <w:szCs w:val="24"/>
        </w:rPr>
        <w:t>and this has supported</w:t>
      </w:r>
      <w:r w:rsidR="000B35FE">
        <w:rPr>
          <w:rFonts w:ascii="Arial" w:eastAsia="Calibri" w:hAnsi="Arial" w:cs="Arial"/>
          <w:sz w:val="24"/>
          <w:szCs w:val="24"/>
        </w:rPr>
        <w:t>:</w:t>
      </w:r>
      <w:r>
        <w:rPr>
          <w:rFonts w:ascii="Arial" w:eastAsia="Calibri" w:hAnsi="Arial" w:cs="Arial"/>
          <w:sz w:val="24"/>
          <w:szCs w:val="24"/>
        </w:rPr>
        <w:t xml:space="preserve"> </w:t>
      </w:r>
    </w:p>
    <w:p w:rsidR="00C01F7B" w:rsidRPr="00440938" w:rsidRDefault="00C01F7B" w:rsidP="00C01F7B">
      <w:pPr>
        <w:pStyle w:val="ListParagraph"/>
        <w:numPr>
          <w:ilvl w:val="0"/>
          <w:numId w:val="18"/>
        </w:numPr>
        <w:spacing w:after="0" w:line="256" w:lineRule="auto"/>
        <w:jc w:val="both"/>
        <w:rPr>
          <w:rFonts w:ascii="Arial" w:eastAsia="Calibri" w:hAnsi="Arial" w:cs="Arial"/>
          <w:sz w:val="24"/>
          <w:szCs w:val="24"/>
        </w:rPr>
      </w:pPr>
      <w:r w:rsidRPr="00440938">
        <w:rPr>
          <w:rFonts w:ascii="Arial" w:eastAsia="Calibri" w:hAnsi="Arial" w:cs="Arial"/>
          <w:sz w:val="24"/>
          <w:szCs w:val="24"/>
        </w:rPr>
        <w:t xml:space="preserve">Diabetic </w:t>
      </w:r>
      <w:r>
        <w:rPr>
          <w:rFonts w:ascii="Arial" w:eastAsia="Calibri" w:hAnsi="Arial" w:cs="Arial"/>
          <w:sz w:val="24"/>
          <w:szCs w:val="24"/>
        </w:rPr>
        <w:t>r</w:t>
      </w:r>
      <w:r w:rsidRPr="00440938">
        <w:rPr>
          <w:rFonts w:ascii="Arial" w:eastAsia="Calibri" w:hAnsi="Arial" w:cs="Arial"/>
          <w:sz w:val="24"/>
          <w:szCs w:val="24"/>
        </w:rPr>
        <w:t>etina technician scan only clinics with clinician virtual review to de</w:t>
      </w:r>
      <w:r>
        <w:rPr>
          <w:rFonts w:ascii="Arial" w:eastAsia="Calibri" w:hAnsi="Arial" w:cs="Arial"/>
          <w:sz w:val="24"/>
          <w:szCs w:val="24"/>
        </w:rPr>
        <w:t>termine</w:t>
      </w:r>
      <w:r w:rsidRPr="00440938">
        <w:rPr>
          <w:rFonts w:ascii="Arial" w:eastAsia="Calibri" w:hAnsi="Arial" w:cs="Arial"/>
          <w:sz w:val="24"/>
          <w:szCs w:val="24"/>
        </w:rPr>
        <w:t xml:space="preserve"> outcome. </w:t>
      </w:r>
    </w:p>
    <w:p w:rsidR="00C01F7B" w:rsidRDefault="00C01F7B" w:rsidP="00C01F7B">
      <w:pPr>
        <w:pStyle w:val="ListParagraph"/>
        <w:numPr>
          <w:ilvl w:val="0"/>
          <w:numId w:val="18"/>
        </w:numPr>
        <w:spacing w:after="0" w:line="256" w:lineRule="auto"/>
        <w:jc w:val="both"/>
        <w:rPr>
          <w:rFonts w:ascii="Arial" w:eastAsia="Calibri" w:hAnsi="Arial" w:cs="Arial"/>
          <w:sz w:val="24"/>
          <w:szCs w:val="24"/>
        </w:rPr>
      </w:pPr>
      <w:r w:rsidRPr="00440938">
        <w:rPr>
          <w:rFonts w:ascii="Arial" w:eastAsia="Calibri" w:hAnsi="Arial" w:cs="Arial"/>
          <w:sz w:val="24"/>
          <w:szCs w:val="24"/>
        </w:rPr>
        <w:t xml:space="preserve">Diabetic </w:t>
      </w:r>
      <w:r>
        <w:rPr>
          <w:rFonts w:ascii="Arial" w:eastAsia="Calibri" w:hAnsi="Arial" w:cs="Arial"/>
          <w:sz w:val="24"/>
          <w:szCs w:val="24"/>
        </w:rPr>
        <w:t>r</w:t>
      </w:r>
      <w:r w:rsidRPr="00440938">
        <w:rPr>
          <w:rFonts w:ascii="Arial" w:eastAsia="Calibri" w:hAnsi="Arial" w:cs="Arial"/>
          <w:sz w:val="24"/>
          <w:szCs w:val="24"/>
        </w:rPr>
        <w:t>etina referral refinement scheme introduced Feb</w:t>
      </w:r>
      <w:r>
        <w:rPr>
          <w:rFonts w:ascii="Arial" w:eastAsia="Calibri" w:hAnsi="Arial" w:cs="Arial"/>
          <w:sz w:val="24"/>
          <w:szCs w:val="24"/>
        </w:rPr>
        <w:t>ruary</w:t>
      </w:r>
      <w:r w:rsidRPr="00440938">
        <w:rPr>
          <w:rFonts w:ascii="Arial" w:eastAsia="Calibri" w:hAnsi="Arial" w:cs="Arial"/>
          <w:sz w:val="24"/>
          <w:szCs w:val="24"/>
        </w:rPr>
        <w:t xml:space="preserve"> 21 </w:t>
      </w:r>
      <w:r>
        <w:rPr>
          <w:rFonts w:ascii="Arial" w:eastAsia="Calibri" w:hAnsi="Arial" w:cs="Arial"/>
          <w:sz w:val="24"/>
          <w:szCs w:val="24"/>
        </w:rPr>
        <w:t>which has resulted in an</w:t>
      </w:r>
      <w:r w:rsidRPr="00440938">
        <w:rPr>
          <w:rFonts w:ascii="Arial" w:eastAsia="Calibri" w:hAnsi="Arial" w:cs="Arial"/>
          <w:sz w:val="24"/>
          <w:szCs w:val="24"/>
        </w:rPr>
        <w:t xml:space="preserve"> 80% reduction in Diabetic Eye </w:t>
      </w:r>
      <w:r>
        <w:rPr>
          <w:rFonts w:ascii="Arial" w:eastAsia="Calibri" w:hAnsi="Arial" w:cs="Arial"/>
          <w:sz w:val="24"/>
          <w:szCs w:val="24"/>
        </w:rPr>
        <w:t>S</w:t>
      </w:r>
      <w:r w:rsidRPr="00440938">
        <w:rPr>
          <w:rFonts w:ascii="Arial" w:eastAsia="Calibri" w:hAnsi="Arial" w:cs="Arial"/>
          <w:sz w:val="24"/>
          <w:szCs w:val="24"/>
        </w:rPr>
        <w:t>creening Wales (DESW) referrals needing a hospital appointment</w:t>
      </w:r>
      <w:r>
        <w:rPr>
          <w:rFonts w:ascii="Arial" w:eastAsia="Calibri" w:hAnsi="Arial" w:cs="Arial"/>
          <w:sz w:val="24"/>
          <w:szCs w:val="24"/>
        </w:rPr>
        <w:t>,</w:t>
      </w:r>
      <w:r w:rsidRPr="00440938">
        <w:rPr>
          <w:rFonts w:ascii="Arial" w:eastAsia="Calibri" w:hAnsi="Arial" w:cs="Arial"/>
          <w:sz w:val="24"/>
          <w:szCs w:val="24"/>
        </w:rPr>
        <w:t xml:space="preserve"> releasing capacity for time critical follow up patients.</w:t>
      </w:r>
    </w:p>
    <w:p w:rsidR="00C01F7B" w:rsidRDefault="00C01F7B" w:rsidP="00C01F7B">
      <w:pPr>
        <w:spacing w:after="0" w:line="240" w:lineRule="auto"/>
        <w:rPr>
          <w:rFonts w:ascii="Arial" w:eastAsia="Calibri" w:hAnsi="Arial" w:cs="Arial"/>
          <w:sz w:val="24"/>
          <w:szCs w:val="24"/>
        </w:rPr>
      </w:pPr>
      <w:r>
        <w:rPr>
          <w:rFonts w:ascii="Arial" w:eastAsia="Calibri" w:hAnsi="Arial" w:cs="Arial"/>
          <w:sz w:val="24"/>
          <w:szCs w:val="24"/>
        </w:rPr>
        <w:t>The current increase to backlog due to one of the four optometrists withdrawing from this scheme in January 23 and the delay in recruiting a further optometrist May 23</w:t>
      </w:r>
    </w:p>
    <w:p w:rsidR="00C01F7B" w:rsidRDefault="00C01F7B" w:rsidP="00C01F7B">
      <w:pPr>
        <w:spacing w:after="0" w:line="240" w:lineRule="auto"/>
        <w:rPr>
          <w:rFonts w:ascii="Arial" w:eastAsia="Calibri" w:hAnsi="Arial" w:cs="Arial"/>
          <w:sz w:val="24"/>
          <w:szCs w:val="24"/>
        </w:rPr>
      </w:pPr>
    </w:p>
    <w:p w:rsidR="00C01F7B" w:rsidRDefault="00C01F7B" w:rsidP="00C01F7B">
      <w:pPr>
        <w:spacing w:after="0" w:line="240" w:lineRule="auto"/>
        <w:rPr>
          <w:rFonts w:ascii="Arial" w:eastAsia="Calibri" w:hAnsi="Arial" w:cs="Arial"/>
          <w:sz w:val="24"/>
          <w:szCs w:val="24"/>
        </w:rPr>
      </w:pPr>
      <w:r>
        <w:rPr>
          <w:noProof/>
          <w:lang w:eastAsia="en-GB"/>
        </w:rPr>
        <w:drawing>
          <wp:inline distT="0" distB="0" distL="0" distR="0" wp14:anchorId="0B9962F6" wp14:editId="15C2096C">
            <wp:extent cx="5731510" cy="3194050"/>
            <wp:effectExtent l="0" t="0" r="2540" b="6350"/>
            <wp:docPr id="7" name="Chart 7">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01F7B" w:rsidRDefault="00C01F7B" w:rsidP="00C01F7B">
      <w:pPr>
        <w:spacing w:after="0" w:line="240" w:lineRule="auto"/>
        <w:rPr>
          <w:rFonts w:ascii="Arial" w:eastAsia="Calibri" w:hAnsi="Arial" w:cs="Arial"/>
          <w:sz w:val="24"/>
          <w:szCs w:val="24"/>
        </w:rPr>
      </w:pPr>
    </w:p>
    <w:p w:rsidR="00C01F7B" w:rsidRDefault="00C01F7B" w:rsidP="00C01F7B">
      <w:pPr>
        <w:spacing w:after="0" w:line="240" w:lineRule="auto"/>
        <w:rPr>
          <w:rFonts w:ascii="Arial" w:eastAsia="Calibri" w:hAnsi="Arial" w:cs="Arial"/>
          <w:sz w:val="24"/>
          <w:szCs w:val="24"/>
        </w:rPr>
      </w:pPr>
    </w:p>
    <w:p w:rsidR="008C12C7" w:rsidRDefault="008C12C7" w:rsidP="00C01F7B">
      <w:pPr>
        <w:rPr>
          <w:rFonts w:ascii="Arial" w:hAnsi="Arial"/>
          <w:b/>
          <w:sz w:val="24"/>
        </w:rPr>
      </w:pPr>
    </w:p>
    <w:p w:rsidR="008C12C7" w:rsidRDefault="008C12C7" w:rsidP="00C01F7B">
      <w:pPr>
        <w:rPr>
          <w:rFonts w:ascii="Arial" w:hAnsi="Arial"/>
          <w:b/>
          <w:sz w:val="24"/>
        </w:rPr>
      </w:pPr>
    </w:p>
    <w:p w:rsidR="00C01F7B" w:rsidRDefault="00C01F7B" w:rsidP="00C01F7B">
      <w:pPr>
        <w:rPr>
          <w:rFonts w:ascii="Arial" w:hAnsi="Arial"/>
          <w:b/>
          <w:sz w:val="24"/>
        </w:rPr>
      </w:pPr>
      <w:r w:rsidRPr="00665115">
        <w:rPr>
          <w:rFonts w:ascii="Arial" w:hAnsi="Arial"/>
          <w:b/>
          <w:sz w:val="24"/>
        </w:rPr>
        <w:t>Glaucoma</w:t>
      </w:r>
    </w:p>
    <w:p w:rsidR="00C01F7B" w:rsidRPr="00665115" w:rsidRDefault="00C01F7B" w:rsidP="00C01F7B">
      <w:pPr>
        <w:spacing w:line="256" w:lineRule="auto"/>
        <w:contextualSpacing/>
        <w:rPr>
          <w:rFonts w:ascii="Arial" w:eastAsia="Calibri" w:hAnsi="Arial" w:cs="Arial"/>
          <w:sz w:val="24"/>
          <w:szCs w:val="24"/>
        </w:rPr>
      </w:pPr>
      <w:r w:rsidRPr="00665115">
        <w:rPr>
          <w:rFonts w:ascii="Arial" w:eastAsia="Calibri" w:hAnsi="Arial" w:cs="Arial"/>
          <w:sz w:val="24"/>
          <w:szCs w:val="24"/>
        </w:rPr>
        <w:t>WG OPD transformational funding continues to support</w:t>
      </w:r>
      <w:r>
        <w:rPr>
          <w:rFonts w:ascii="Arial" w:eastAsia="Calibri" w:hAnsi="Arial" w:cs="Arial"/>
          <w:sz w:val="24"/>
          <w:szCs w:val="24"/>
        </w:rPr>
        <w:t xml:space="preserve"> a reduction in the backlog through</w:t>
      </w:r>
      <w:r w:rsidRPr="00665115">
        <w:rPr>
          <w:rFonts w:ascii="Arial" w:eastAsia="Calibri" w:hAnsi="Arial" w:cs="Arial"/>
          <w:sz w:val="24"/>
          <w:szCs w:val="24"/>
        </w:rPr>
        <w:t>:</w:t>
      </w:r>
    </w:p>
    <w:p w:rsidR="00C01F7B" w:rsidRPr="00B02C01" w:rsidRDefault="00C01F7B" w:rsidP="00C01F7B">
      <w:pPr>
        <w:pStyle w:val="ListParagraph"/>
        <w:numPr>
          <w:ilvl w:val="0"/>
          <w:numId w:val="19"/>
        </w:numPr>
        <w:spacing w:after="0" w:line="256" w:lineRule="auto"/>
        <w:rPr>
          <w:rFonts w:ascii="Arial" w:eastAsia="Calibri" w:hAnsi="Arial" w:cs="Arial"/>
          <w:sz w:val="24"/>
          <w:szCs w:val="24"/>
        </w:rPr>
      </w:pPr>
      <w:r>
        <w:rPr>
          <w:rFonts w:ascii="Arial" w:eastAsia="Calibri" w:hAnsi="Arial" w:cs="Arial"/>
          <w:sz w:val="24"/>
          <w:szCs w:val="24"/>
        </w:rPr>
        <w:t>Additional g</w:t>
      </w:r>
      <w:r w:rsidRPr="00B02C01">
        <w:rPr>
          <w:rFonts w:ascii="Arial" w:eastAsia="Calibri" w:hAnsi="Arial" w:cs="Arial"/>
          <w:sz w:val="24"/>
          <w:szCs w:val="24"/>
        </w:rPr>
        <w:t xml:space="preserve">laucoma </w:t>
      </w:r>
      <w:r>
        <w:rPr>
          <w:rFonts w:ascii="Arial" w:eastAsia="Calibri" w:hAnsi="Arial" w:cs="Arial"/>
          <w:sz w:val="24"/>
          <w:szCs w:val="24"/>
        </w:rPr>
        <w:t>Ophthalmic Diagnostic and Treatment Centres (</w:t>
      </w:r>
      <w:r w:rsidRPr="00B02C01">
        <w:rPr>
          <w:rFonts w:ascii="Arial" w:eastAsia="Calibri" w:hAnsi="Arial" w:cs="Arial"/>
          <w:sz w:val="24"/>
          <w:szCs w:val="24"/>
        </w:rPr>
        <w:t>ODTC</w:t>
      </w:r>
      <w:r>
        <w:rPr>
          <w:rFonts w:ascii="Arial" w:eastAsia="Calibri" w:hAnsi="Arial" w:cs="Arial"/>
          <w:sz w:val="24"/>
          <w:szCs w:val="24"/>
        </w:rPr>
        <w:t>)</w:t>
      </w:r>
      <w:r w:rsidRPr="00B02C01">
        <w:rPr>
          <w:rFonts w:ascii="Arial" w:eastAsia="Calibri" w:hAnsi="Arial" w:cs="Arial"/>
          <w:sz w:val="24"/>
          <w:szCs w:val="24"/>
        </w:rPr>
        <w:t xml:space="preserve"> in community setting</w:t>
      </w:r>
      <w:r>
        <w:rPr>
          <w:rFonts w:ascii="Arial" w:eastAsia="Calibri" w:hAnsi="Arial" w:cs="Arial"/>
          <w:sz w:val="24"/>
          <w:szCs w:val="24"/>
        </w:rPr>
        <w:t>s.</w:t>
      </w:r>
      <w:r w:rsidRPr="00B02C01">
        <w:rPr>
          <w:rFonts w:ascii="Arial" w:eastAsia="Calibri" w:hAnsi="Arial" w:cs="Arial"/>
          <w:sz w:val="24"/>
          <w:szCs w:val="24"/>
        </w:rPr>
        <w:t xml:space="preserve"> </w:t>
      </w:r>
    </w:p>
    <w:p w:rsidR="00C01F7B" w:rsidRPr="008C12C7" w:rsidRDefault="00C01F7B" w:rsidP="00C01F7B">
      <w:pPr>
        <w:pStyle w:val="ListParagraph"/>
        <w:numPr>
          <w:ilvl w:val="0"/>
          <w:numId w:val="19"/>
        </w:numPr>
        <w:spacing w:after="0" w:line="256" w:lineRule="auto"/>
        <w:rPr>
          <w:rFonts w:ascii="Arial" w:eastAsia="Calibri" w:hAnsi="Arial" w:cs="Arial"/>
          <w:sz w:val="24"/>
          <w:szCs w:val="24"/>
        </w:rPr>
      </w:pPr>
      <w:r w:rsidRPr="00B02C01">
        <w:rPr>
          <w:rFonts w:ascii="Arial" w:eastAsia="Calibri" w:hAnsi="Arial" w:cs="Arial"/>
          <w:sz w:val="24"/>
          <w:szCs w:val="24"/>
        </w:rPr>
        <w:t xml:space="preserve">25 community Optometrists supporting </w:t>
      </w:r>
      <w:r w:rsidRPr="00B02C01">
        <w:rPr>
          <w:rFonts w:ascii="Arial" w:hAnsi="Arial"/>
          <w:sz w:val="24"/>
        </w:rPr>
        <w:t>data gathering of Glaucoma follow up patients.</w:t>
      </w:r>
    </w:p>
    <w:p w:rsidR="008C12C7" w:rsidRPr="00B02C01" w:rsidRDefault="008C12C7" w:rsidP="008C12C7">
      <w:pPr>
        <w:pStyle w:val="ListParagraph"/>
        <w:spacing w:after="0" w:line="256" w:lineRule="auto"/>
        <w:ind w:left="1080"/>
        <w:rPr>
          <w:rFonts w:ascii="Arial" w:eastAsia="Calibri" w:hAnsi="Arial" w:cs="Arial"/>
          <w:sz w:val="24"/>
          <w:szCs w:val="24"/>
        </w:rPr>
      </w:pPr>
    </w:p>
    <w:p w:rsidR="00C01F7B" w:rsidRDefault="00C01F7B" w:rsidP="00C01F7B">
      <w:pPr>
        <w:rPr>
          <w:rFonts w:ascii="Arial" w:hAnsi="Arial" w:cs="Arial"/>
          <w:sz w:val="24"/>
          <w:szCs w:val="24"/>
        </w:rPr>
      </w:pPr>
      <w:r>
        <w:rPr>
          <w:rFonts w:ascii="Arial" w:hAnsi="Arial" w:cs="Arial"/>
          <w:sz w:val="24"/>
          <w:szCs w:val="24"/>
        </w:rPr>
        <w:t>The result of these initiatives has been to reduce the backlog from 4839 (Jan 22) to 2867 (Jul 23). Additional outpatient space has been secured in Singleton Hospital to support the additional staff and this will result in a further significant reduction in the backlog from Sept</w:t>
      </w:r>
      <w:r w:rsidR="00D73FB8">
        <w:rPr>
          <w:rFonts w:ascii="Arial" w:hAnsi="Arial" w:cs="Arial"/>
          <w:sz w:val="24"/>
          <w:szCs w:val="24"/>
        </w:rPr>
        <w:t>ember</w:t>
      </w:r>
      <w:r>
        <w:rPr>
          <w:rFonts w:ascii="Arial" w:hAnsi="Arial" w:cs="Arial"/>
          <w:sz w:val="24"/>
          <w:szCs w:val="24"/>
        </w:rPr>
        <w:t xml:space="preserve"> 23.</w:t>
      </w:r>
    </w:p>
    <w:p w:rsidR="00C01F7B" w:rsidRDefault="00C01F7B" w:rsidP="00C01F7B">
      <w:pPr>
        <w:spacing w:after="0" w:line="240" w:lineRule="auto"/>
        <w:rPr>
          <w:rFonts w:ascii="Arial" w:eastAsia="Calibri" w:hAnsi="Arial" w:cs="Arial"/>
          <w:sz w:val="24"/>
          <w:szCs w:val="24"/>
        </w:rPr>
      </w:pPr>
      <w:r>
        <w:rPr>
          <w:noProof/>
          <w:lang w:eastAsia="en-GB"/>
        </w:rPr>
        <w:drawing>
          <wp:inline distT="0" distB="0" distL="0" distR="0" wp14:anchorId="5290DCCB" wp14:editId="3CC4FEAD">
            <wp:extent cx="5731510" cy="2914650"/>
            <wp:effectExtent l="0" t="0" r="2540" b="0"/>
            <wp:docPr id="8" name="Chart 8">
              <a:extLst xmlns:a="http://schemas.openxmlformats.org/drawingml/2006/main">
                <a:ext uri="{FF2B5EF4-FFF2-40B4-BE49-F238E27FC236}">
                  <a16:creationId xmlns:a16="http://schemas.microsoft.com/office/drawing/2014/main" id="{00000000-0008-0000-04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B7D24" w:rsidRPr="007149B1" w:rsidRDefault="002B7D24" w:rsidP="007149B1">
      <w:pPr>
        <w:tabs>
          <w:tab w:val="left" w:pos="1870"/>
        </w:tabs>
        <w:rPr>
          <w:rFonts w:ascii="Arial" w:hAnsi="Arial" w:cs="Arial"/>
          <w:b/>
          <w:bCs/>
          <w:sz w:val="24"/>
          <w:szCs w:val="24"/>
        </w:rPr>
      </w:pPr>
    </w:p>
    <w:p w:rsidR="00EB7B2C" w:rsidRPr="008207BE" w:rsidRDefault="00F86CAB" w:rsidP="008207BE">
      <w:pPr>
        <w:pStyle w:val="ListParagraph"/>
        <w:numPr>
          <w:ilvl w:val="0"/>
          <w:numId w:val="1"/>
        </w:numPr>
        <w:ind w:left="426"/>
        <w:rPr>
          <w:rFonts w:ascii="Arial" w:hAnsi="Arial" w:cs="Arial"/>
          <w:b/>
          <w:bCs/>
          <w:sz w:val="24"/>
          <w:szCs w:val="24"/>
        </w:rPr>
      </w:pPr>
      <w:r>
        <w:rPr>
          <w:rFonts w:ascii="Arial" w:hAnsi="Arial" w:cs="Arial"/>
          <w:b/>
          <w:bCs/>
          <w:sz w:val="24"/>
          <w:szCs w:val="24"/>
        </w:rPr>
        <w:t>RISKS/GOVERANCE</w:t>
      </w:r>
    </w:p>
    <w:p w:rsidR="006D6FDE" w:rsidRDefault="00393BCE" w:rsidP="006D6FDE">
      <w:pPr>
        <w:spacing w:after="0" w:line="240" w:lineRule="auto"/>
        <w:jc w:val="both"/>
        <w:rPr>
          <w:rFonts w:ascii="Arial" w:hAnsi="Arial" w:cs="Arial"/>
          <w:b/>
          <w:sz w:val="24"/>
          <w:szCs w:val="24"/>
        </w:rPr>
      </w:pPr>
      <w:r>
        <w:rPr>
          <w:rFonts w:ascii="Arial" w:hAnsi="Arial" w:cs="Arial"/>
          <w:b/>
          <w:sz w:val="24"/>
          <w:szCs w:val="24"/>
        </w:rPr>
        <w:t>Serious Incident Report</w:t>
      </w:r>
    </w:p>
    <w:p w:rsidR="008207BE" w:rsidRDefault="008207BE" w:rsidP="006D6FDE">
      <w:pPr>
        <w:spacing w:after="0" w:line="240" w:lineRule="auto"/>
        <w:jc w:val="both"/>
        <w:rPr>
          <w:rFonts w:ascii="Arial" w:hAnsi="Arial" w:cs="Arial"/>
          <w:b/>
          <w:sz w:val="24"/>
          <w:szCs w:val="24"/>
        </w:rPr>
      </w:pPr>
    </w:p>
    <w:p w:rsidR="008207BE" w:rsidRDefault="008207BE" w:rsidP="006D6FDE">
      <w:pPr>
        <w:spacing w:after="0" w:line="240" w:lineRule="auto"/>
        <w:jc w:val="both"/>
        <w:rPr>
          <w:rFonts w:ascii="Arial" w:hAnsi="Arial" w:cs="Arial"/>
          <w:bCs/>
          <w:sz w:val="24"/>
          <w:szCs w:val="24"/>
        </w:rPr>
      </w:pPr>
      <w:r>
        <w:rPr>
          <w:rFonts w:ascii="Arial" w:hAnsi="Arial" w:cs="Arial"/>
          <w:bCs/>
          <w:sz w:val="24"/>
          <w:szCs w:val="24"/>
        </w:rPr>
        <w:t xml:space="preserve">One of the factors that prompted the establishment of Gold Command was the number of Serious Incidents that </w:t>
      </w:r>
      <w:r w:rsidR="00A170CC">
        <w:rPr>
          <w:rFonts w:ascii="Arial" w:hAnsi="Arial" w:cs="Arial"/>
          <w:bCs/>
          <w:sz w:val="24"/>
          <w:szCs w:val="24"/>
        </w:rPr>
        <w:t>had occurred as a result of the loss of lines of sight.</w:t>
      </w:r>
    </w:p>
    <w:p w:rsidR="00B82009" w:rsidRDefault="00B82009" w:rsidP="006D6FDE">
      <w:pPr>
        <w:spacing w:after="0" w:line="240" w:lineRule="auto"/>
        <w:jc w:val="both"/>
        <w:rPr>
          <w:rFonts w:ascii="Arial" w:hAnsi="Arial" w:cs="Arial"/>
          <w:bCs/>
          <w:sz w:val="24"/>
          <w:szCs w:val="24"/>
        </w:rPr>
      </w:pPr>
      <w:r>
        <w:rPr>
          <w:rFonts w:ascii="Arial" w:hAnsi="Arial" w:cs="Arial"/>
          <w:bCs/>
          <w:sz w:val="24"/>
          <w:szCs w:val="24"/>
        </w:rPr>
        <w:t xml:space="preserve"> </w:t>
      </w:r>
    </w:p>
    <w:p w:rsidR="00B82009" w:rsidRPr="008207BE" w:rsidRDefault="00B82009" w:rsidP="006D6FDE">
      <w:pPr>
        <w:spacing w:after="0" w:line="240" w:lineRule="auto"/>
        <w:jc w:val="both"/>
        <w:rPr>
          <w:rFonts w:ascii="Arial" w:hAnsi="Arial" w:cs="Arial"/>
          <w:bCs/>
          <w:sz w:val="24"/>
          <w:szCs w:val="24"/>
        </w:rPr>
      </w:pPr>
      <w:r>
        <w:rPr>
          <w:rFonts w:ascii="Arial" w:hAnsi="Arial" w:cs="Arial"/>
          <w:bCs/>
          <w:sz w:val="24"/>
          <w:szCs w:val="24"/>
        </w:rPr>
        <w:t xml:space="preserve">As can be seen from the table below there has only been one SI reported </w:t>
      </w:r>
      <w:r w:rsidR="00B20E9A">
        <w:rPr>
          <w:rFonts w:ascii="Arial" w:hAnsi="Arial" w:cs="Arial"/>
          <w:bCs/>
          <w:sz w:val="24"/>
          <w:szCs w:val="24"/>
        </w:rPr>
        <w:t xml:space="preserve">over the last </w:t>
      </w:r>
      <w:r w:rsidR="008C787B">
        <w:rPr>
          <w:rFonts w:ascii="Arial" w:hAnsi="Arial" w:cs="Arial"/>
          <w:bCs/>
          <w:sz w:val="24"/>
          <w:szCs w:val="24"/>
        </w:rPr>
        <w:t>two and half</w:t>
      </w:r>
      <w:r w:rsidR="00B20E9A">
        <w:rPr>
          <w:rFonts w:ascii="Arial" w:hAnsi="Arial" w:cs="Arial"/>
          <w:bCs/>
          <w:sz w:val="24"/>
          <w:szCs w:val="24"/>
        </w:rPr>
        <w:t xml:space="preserve"> </w:t>
      </w:r>
      <w:r w:rsidR="00BD18D3">
        <w:rPr>
          <w:rFonts w:ascii="Arial" w:hAnsi="Arial" w:cs="Arial"/>
          <w:bCs/>
          <w:sz w:val="24"/>
          <w:szCs w:val="24"/>
        </w:rPr>
        <w:t>years:</w:t>
      </w:r>
      <w:r w:rsidR="00B20E9A">
        <w:rPr>
          <w:rFonts w:ascii="Arial" w:hAnsi="Arial" w:cs="Arial"/>
          <w:bCs/>
          <w:sz w:val="24"/>
          <w:szCs w:val="24"/>
        </w:rPr>
        <w:t xml:space="preserve"> in February 2023</w:t>
      </w:r>
      <w:r w:rsidR="008C787B">
        <w:rPr>
          <w:rFonts w:ascii="Arial" w:hAnsi="Arial" w:cs="Arial"/>
          <w:bCs/>
          <w:sz w:val="24"/>
          <w:szCs w:val="24"/>
        </w:rPr>
        <w:t>. The</w:t>
      </w:r>
      <w:r w:rsidR="00FA6D96">
        <w:rPr>
          <w:rFonts w:ascii="Arial" w:hAnsi="Arial" w:cs="Arial"/>
          <w:bCs/>
          <w:sz w:val="24"/>
          <w:szCs w:val="24"/>
        </w:rPr>
        <w:t xml:space="preserve"> number of open </w:t>
      </w:r>
      <w:r w:rsidR="00BD18D3">
        <w:rPr>
          <w:rFonts w:ascii="Arial" w:hAnsi="Arial" w:cs="Arial"/>
          <w:bCs/>
          <w:sz w:val="24"/>
          <w:szCs w:val="24"/>
        </w:rPr>
        <w:t>incidents</w:t>
      </w:r>
      <w:r w:rsidR="00FA6D96">
        <w:rPr>
          <w:rFonts w:ascii="Arial" w:hAnsi="Arial" w:cs="Arial"/>
          <w:bCs/>
          <w:sz w:val="24"/>
          <w:szCs w:val="24"/>
        </w:rPr>
        <w:t xml:space="preserve"> of severe harm has </w:t>
      </w:r>
      <w:r w:rsidR="009B07DD">
        <w:rPr>
          <w:rFonts w:ascii="Arial" w:hAnsi="Arial" w:cs="Arial"/>
          <w:bCs/>
          <w:sz w:val="24"/>
          <w:szCs w:val="24"/>
        </w:rPr>
        <w:t>dropped from 12 to 2 over the same period.</w:t>
      </w:r>
    </w:p>
    <w:p w:rsidR="00B82009" w:rsidRDefault="00B82009" w:rsidP="006D6FDE">
      <w:pPr>
        <w:spacing w:after="0" w:line="240" w:lineRule="auto"/>
        <w:jc w:val="both"/>
        <w:rPr>
          <w:rFonts w:ascii="Arial" w:hAnsi="Arial" w:cs="Arial"/>
          <w:b/>
          <w:sz w:val="24"/>
          <w:szCs w:val="24"/>
        </w:rPr>
      </w:pPr>
    </w:p>
    <w:p w:rsidR="00B82009" w:rsidRDefault="00B82009" w:rsidP="006D6FDE">
      <w:pPr>
        <w:spacing w:after="0" w:line="240" w:lineRule="auto"/>
        <w:jc w:val="both"/>
        <w:rPr>
          <w:rFonts w:ascii="Arial" w:hAnsi="Arial" w:cs="Arial"/>
          <w:b/>
          <w:sz w:val="24"/>
          <w:szCs w:val="24"/>
        </w:rPr>
      </w:pPr>
    </w:p>
    <w:p w:rsidR="00F81078" w:rsidRPr="006D6FDE" w:rsidRDefault="00EB7B2C" w:rsidP="006D6FDE">
      <w:pPr>
        <w:spacing w:after="0" w:line="240" w:lineRule="auto"/>
        <w:jc w:val="both"/>
        <w:rPr>
          <w:rFonts w:ascii="Arial" w:hAnsi="Arial" w:cs="Arial"/>
          <w:b/>
          <w:sz w:val="24"/>
          <w:szCs w:val="24"/>
        </w:rPr>
      </w:pPr>
      <w:r w:rsidRPr="00EB7B2C">
        <w:rPr>
          <w:noProof/>
          <w:lang w:eastAsia="en-GB"/>
        </w:rPr>
        <w:drawing>
          <wp:inline distT="0" distB="0" distL="0" distR="0" wp14:anchorId="13C3C731" wp14:editId="369B3A72">
            <wp:extent cx="5731510" cy="1639570"/>
            <wp:effectExtent l="0" t="0" r="2540" b="0"/>
            <wp:docPr id="2805176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1639570"/>
                    </a:xfrm>
                    <a:prstGeom prst="rect">
                      <a:avLst/>
                    </a:prstGeom>
                    <a:noFill/>
                    <a:ln>
                      <a:noFill/>
                    </a:ln>
                  </pic:spPr>
                </pic:pic>
              </a:graphicData>
            </a:graphic>
          </wp:inline>
        </w:drawing>
      </w:r>
    </w:p>
    <w:p w:rsidR="006D6FDE" w:rsidRPr="006D6FDE" w:rsidRDefault="006D6FDE" w:rsidP="006D6FDE">
      <w:pPr>
        <w:spacing w:after="0" w:line="240" w:lineRule="auto"/>
        <w:jc w:val="both"/>
        <w:rPr>
          <w:rFonts w:ascii="Arial" w:hAnsi="Arial" w:cs="Arial"/>
          <w:b/>
          <w:sz w:val="24"/>
          <w:szCs w:val="24"/>
        </w:rPr>
      </w:pPr>
    </w:p>
    <w:p w:rsidR="006D6FDE" w:rsidRDefault="000F289D" w:rsidP="006D6FDE">
      <w:pPr>
        <w:spacing w:after="0" w:line="240" w:lineRule="auto"/>
        <w:rPr>
          <w:rFonts w:ascii="Arial" w:hAnsi="Arial" w:cs="Arial"/>
          <w:b/>
          <w:sz w:val="24"/>
          <w:szCs w:val="24"/>
        </w:rPr>
      </w:pPr>
      <w:r>
        <w:rPr>
          <w:rFonts w:ascii="Arial" w:hAnsi="Arial" w:cs="Arial"/>
          <w:b/>
          <w:sz w:val="24"/>
          <w:szCs w:val="24"/>
        </w:rPr>
        <w:t>Continued Oversight</w:t>
      </w:r>
    </w:p>
    <w:p w:rsidR="008C787B" w:rsidRPr="00440658" w:rsidRDefault="000F289D" w:rsidP="006D6FDE">
      <w:pPr>
        <w:spacing w:after="0" w:line="240" w:lineRule="auto"/>
        <w:rPr>
          <w:rFonts w:ascii="Arial" w:hAnsi="Arial" w:cs="Arial"/>
          <w:bCs/>
          <w:sz w:val="24"/>
          <w:szCs w:val="24"/>
        </w:rPr>
      </w:pPr>
      <w:r>
        <w:rPr>
          <w:rFonts w:ascii="Arial" w:hAnsi="Arial" w:cs="Arial"/>
          <w:bCs/>
          <w:sz w:val="24"/>
          <w:szCs w:val="24"/>
        </w:rPr>
        <w:t>Whilst the recommendation of this report is to stand down Gold Command due to the improvement in follow backlog and serious incidents, a pe</w:t>
      </w:r>
      <w:r w:rsidR="001F5322">
        <w:rPr>
          <w:rFonts w:ascii="Arial" w:hAnsi="Arial" w:cs="Arial"/>
          <w:bCs/>
          <w:sz w:val="24"/>
          <w:szCs w:val="24"/>
        </w:rPr>
        <w:t xml:space="preserve">rformance report including the information provided above will be presented to the Eye Care </w:t>
      </w:r>
      <w:r w:rsidR="00440658">
        <w:rPr>
          <w:rFonts w:ascii="Arial" w:hAnsi="Arial" w:cs="Arial"/>
          <w:bCs/>
          <w:sz w:val="24"/>
          <w:szCs w:val="24"/>
        </w:rPr>
        <w:t>Collaborative Group every two months.</w:t>
      </w:r>
    </w:p>
    <w:p w:rsidR="008C787B" w:rsidRPr="006D6FDE" w:rsidRDefault="008C787B" w:rsidP="006D6FDE">
      <w:pPr>
        <w:spacing w:after="0" w:line="240" w:lineRule="auto"/>
        <w:rPr>
          <w:rFonts w:ascii="Arial" w:hAnsi="Arial" w:cs="Arial"/>
          <w:b/>
          <w:sz w:val="24"/>
          <w:szCs w:val="24"/>
        </w:rPr>
      </w:pPr>
    </w:p>
    <w:p w:rsidR="006D6FDE" w:rsidRPr="006D6FDE" w:rsidRDefault="006D6FDE" w:rsidP="006D6FDE">
      <w:pPr>
        <w:numPr>
          <w:ilvl w:val="0"/>
          <w:numId w:val="1"/>
        </w:numPr>
        <w:spacing w:after="0" w:line="240" w:lineRule="auto"/>
        <w:ind w:left="426"/>
        <w:contextualSpacing/>
        <w:rPr>
          <w:rFonts w:ascii="Arial" w:hAnsi="Arial" w:cs="Arial"/>
          <w:b/>
          <w:sz w:val="24"/>
          <w:szCs w:val="24"/>
        </w:rPr>
      </w:pPr>
      <w:r w:rsidRPr="006D6FDE">
        <w:rPr>
          <w:rFonts w:ascii="Arial" w:hAnsi="Arial" w:cs="Arial"/>
          <w:b/>
          <w:sz w:val="24"/>
          <w:szCs w:val="24"/>
        </w:rPr>
        <w:t>RECOMMENDATION</w:t>
      </w:r>
    </w:p>
    <w:p w:rsidR="006D6FDE" w:rsidRDefault="006D6FDE" w:rsidP="006D6FDE">
      <w:pPr>
        <w:tabs>
          <w:tab w:val="left" w:pos="851"/>
        </w:tabs>
        <w:spacing w:after="0" w:line="240" w:lineRule="auto"/>
        <w:ind w:left="426"/>
        <w:contextualSpacing/>
        <w:jc w:val="both"/>
        <w:rPr>
          <w:rFonts w:ascii="Arial" w:hAnsi="Arial" w:cs="Arial"/>
          <w:sz w:val="24"/>
          <w:szCs w:val="24"/>
        </w:rPr>
      </w:pPr>
    </w:p>
    <w:p w:rsidR="004552EE" w:rsidRDefault="004552EE" w:rsidP="004552EE">
      <w:pPr>
        <w:ind w:right="96"/>
        <w:jc w:val="both"/>
        <w:rPr>
          <w:rFonts w:ascii="Arial" w:hAnsi="Arial" w:cs="Arial"/>
          <w:sz w:val="24"/>
          <w:szCs w:val="24"/>
        </w:rPr>
      </w:pPr>
      <w:r w:rsidRPr="007F0E1E">
        <w:rPr>
          <w:rFonts w:ascii="Arial" w:hAnsi="Arial" w:cs="Arial"/>
          <w:sz w:val="24"/>
          <w:szCs w:val="24"/>
        </w:rPr>
        <w:t>Members</w:t>
      </w:r>
      <w:r>
        <w:rPr>
          <w:rFonts w:ascii="Arial" w:hAnsi="Arial" w:cs="Arial"/>
          <w:sz w:val="24"/>
          <w:szCs w:val="24"/>
        </w:rPr>
        <w:t xml:space="preserve"> of the Committee</w:t>
      </w:r>
      <w:r w:rsidRPr="007F0E1E">
        <w:rPr>
          <w:rFonts w:ascii="Arial" w:hAnsi="Arial" w:cs="Arial"/>
          <w:sz w:val="24"/>
          <w:szCs w:val="24"/>
        </w:rPr>
        <w:t xml:space="preserve"> are asked to:</w:t>
      </w:r>
    </w:p>
    <w:p w:rsidR="004552EE" w:rsidRDefault="004552EE" w:rsidP="004552EE">
      <w:pPr>
        <w:pStyle w:val="ListParagraph"/>
        <w:numPr>
          <w:ilvl w:val="0"/>
          <w:numId w:val="28"/>
        </w:numPr>
        <w:ind w:right="96"/>
        <w:jc w:val="both"/>
        <w:rPr>
          <w:rFonts w:ascii="Arial" w:hAnsi="Arial" w:cs="Arial"/>
          <w:sz w:val="24"/>
          <w:szCs w:val="24"/>
        </w:rPr>
      </w:pPr>
      <w:r>
        <w:rPr>
          <w:rFonts w:ascii="Arial" w:hAnsi="Arial" w:cs="Arial"/>
          <w:sz w:val="24"/>
          <w:szCs w:val="24"/>
        </w:rPr>
        <w:t xml:space="preserve">Note the significant progress made to reduce the follow up backlog in </w:t>
      </w:r>
      <w:r w:rsidR="00BD18D3">
        <w:rPr>
          <w:rFonts w:ascii="Arial" w:hAnsi="Arial" w:cs="Arial"/>
          <w:sz w:val="24"/>
          <w:szCs w:val="24"/>
        </w:rPr>
        <w:t>ophthalmology.</w:t>
      </w:r>
    </w:p>
    <w:p w:rsidR="004552EE" w:rsidRPr="00A73034" w:rsidRDefault="004552EE" w:rsidP="004552EE">
      <w:pPr>
        <w:pStyle w:val="ListParagraph"/>
        <w:numPr>
          <w:ilvl w:val="0"/>
          <w:numId w:val="28"/>
        </w:numPr>
        <w:ind w:right="96"/>
        <w:jc w:val="both"/>
        <w:rPr>
          <w:rFonts w:ascii="Arial" w:hAnsi="Arial" w:cs="Arial"/>
          <w:sz w:val="24"/>
          <w:szCs w:val="24"/>
        </w:rPr>
      </w:pPr>
      <w:r>
        <w:rPr>
          <w:rFonts w:ascii="Arial" w:hAnsi="Arial" w:cs="Arial"/>
          <w:sz w:val="24"/>
          <w:szCs w:val="24"/>
        </w:rPr>
        <w:t>Approve the recommendation to stand down Ophthalmology Gold Command</w:t>
      </w:r>
    </w:p>
    <w:p w:rsidR="004552EE" w:rsidRDefault="004552EE" w:rsidP="004552EE">
      <w:pPr>
        <w:ind w:right="96"/>
        <w:jc w:val="both"/>
        <w:rPr>
          <w:rFonts w:ascii="Arial" w:hAnsi="Arial" w:cs="Arial"/>
          <w:sz w:val="24"/>
          <w:szCs w:val="24"/>
        </w:rPr>
      </w:pPr>
    </w:p>
    <w:p w:rsidR="004552EE" w:rsidRDefault="004552EE" w:rsidP="004552EE">
      <w:pPr>
        <w:ind w:right="96"/>
        <w:jc w:val="both"/>
        <w:rPr>
          <w:rFonts w:ascii="Arial" w:hAnsi="Arial" w:cs="Arial"/>
          <w:sz w:val="24"/>
          <w:szCs w:val="24"/>
        </w:rPr>
      </w:pPr>
    </w:p>
    <w:p w:rsidR="004552EE" w:rsidRDefault="004552EE" w:rsidP="004552EE">
      <w:pPr>
        <w:tabs>
          <w:tab w:val="left" w:pos="851"/>
        </w:tabs>
        <w:spacing w:after="0" w:line="240" w:lineRule="auto"/>
        <w:ind w:left="66"/>
        <w:contextualSpacing/>
        <w:jc w:val="both"/>
        <w:rPr>
          <w:rFonts w:ascii="Arial" w:hAnsi="Arial" w:cs="Arial"/>
          <w:sz w:val="24"/>
          <w:szCs w:val="24"/>
        </w:rPr>
      </w:pPr>
    </w:p>
    <w:p w:rsidR="00B626C3" w:rsidRDefault="00B626C3" w:rsidP="006D6FDE">
      <w:pPr>
        <w:tabs>
          <w:tab w:val="left" w:pos="851"/>
        </w:tabs>
        <w:spacing w:after="0" w:line="240" w:lineRule="auto"/>
        <w:ind w:left="426"/>
        <w:contextualSpacing/>
        <w:jc w:val="both"/>
        <w:rPr>
          <w:rFonts w:ascii="Arial" w:hAnsi="Arial" w:cs="Arial"/>
          <w:sz w:val="24"/>
          <w:szCs w:val="24"/>
        </w:rPr>
      </w:pPr>
    </w:p>
    <w:p w:rsidR="00B626C3" w:rsidRDefault="00B626C3" w:rsidP="006D6FDE">
      <w:pPr>
        <w:tabs>
          <w:tab w:val="left" w:pos="851"/>
        </w:tabs>
        <w:spacing w:after="0" w:line="240" w:lineRule="auto"/>
        <w:ind w:left="426"/>
        <w:contextualSpacing/>
        <w:jc w:val="both"/>
        <w:rPr>
          <w:rFonts w:ascii="Arial" w:hAnsi="Arial" w:cs="Arial"/>
          <w:sz w:val="24"/>
          <w:szCs w:val="24"/>
        </w:rPr>
      </w:pPr>
    </w:p>
    <w:p w:rsidR="00B626C3" w:rsidRDefault="00B626C3"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440658" w:rsidRDefault="00440658" w:rsidP="006D6FDE">
      <w:pPr>
        <w:tabs>
          <w:tab w:val="left" w:pos="851"/>
        </w:tabs>
        <w:spacing w:after="0" w:line="240" w:lineRule="auto"/>
        <w:ind w:left="426"/>
        <w:contextualSpacing/>
        <w:jc w:val="both"/>
        <w:rPr>
          <w:rFonts w:ascii="Arial" w:hAnsi="Arial" w:cs="Arial"/>
          <w:sz w:val="24"/>
          <w:szCs w:val="24"/>
        </w:rPr>
      </w:pPr>
    </w:p>
    <w:p w:rsidR="00B626C3" w:rsidRDefault="00B626C3" w:rsidP="004552EE">
      <w:pPr>
        <w:tabs>
          <w:tab w:val="left" w:pos="851"/>
        </w:tabs>
        <w:spacing w:after="0" w:line="240" w:lineRule="auto"/>
        <w:contextualSpacing/>
        <w:jc w:val="both"/>
        <w:rPr>
          <w:rFonts w:ascii="Arial" w:hAnsi="Arial" w:cs="Arial"/>
          <w:sz w:val="24"/>
          <w:szCs w:val="24"/>
        </w:rPr>
      </w:pPr>
    </w:p>
    <w:p w:rsidR="00B626C3" w:rsidRPr="006D6FDE" w:rsidRDefault="00B626C3" w:rsidP="006D6FDE">
      <w:pPr>
        <w:tabs>
          <w:tab w:val="left" w:pos="851"/>
        </w:tabs>
        <w:spacing w:after="0" w:line="240" w:lineRule="auto"/>
        <w:ind w:left="426"/>
        <w:contextualSpacing/>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2470"/>
        <w:gridCol w:w="3342"/>
        <w:gridCol w:w="1624"/>
        <w:gridCol w:w="1809"/>
      </w:tblGrid>
      <w:tr w:rsidR="00B626C3" w:rsidRPr="00034194" w:rsidTr="00CE3D9B">
        <w:tc>
          <w:tcPr>
            <w:tcW w:w="9245" w:type="dxa"/>
            <w:gridSpan w:val="4"/>
            <w:shd w:val="clear" w:color="auto" w:fill="D5DCE4" w:themeFill="text2" w:themeFillTint="33"/>
          </w:tcPr>
          <w:p w:rsidR="00B626C3" w:rsidRDefault="00B626C3" w:rsidP="00CE3D9B">
            <w:r>
              <w:br w:type="page"/>
            </w:r>
          </w:p>
          <w:p w:rsidR="00B626C3" w:rsidRPr="00034194" w:rsidRDefault="00B626C3" w:rsidP="00CE3D9B">
            <w:pPr>
              <w:rPr>
                <w:rFonts w:ascii="Arial" w:hAnsi="Arial" w:cs="Arial"/>
                <w:b/>
                <w:sz w:val="24"/>
                <w:szCs w:val="24"/>
              </w:rPr>
            </w:pPr>
            <w:r>
              <w:rPr>
                <w:rFonts w:ascii="Arial" w:hAnsi="Arial" w:cs="Arial"/>
                <w:b/>
                <w:sz w:val="24"/>
                <w:szCs w:val="24"/>
              </w:rPr>
              <w:t>Governance and Assurance</w:t>
            </w:r>
          </w:p>
          <w:p w:rsidR="00B626C3" w:rsidRPr="00034194" w:rsidRDefault="00B626C3" w:rsidP="00CE3D9B">
            <w:pPr>
              <w:rPr>
                <w:rFonts w:ascii="Arial" w:hAnsi="Arial" w:cs="Arial"/>
                <w:sz w:val="24"/>
                <w:szCs w:val="24"/>
              </w:rPr>
            </w:pPr>
          </w:p>
        </w:tc>
      </w:tr>
      <w:tr w:rsidR="00B626C3" w:rsidRPr="00F5324A" w:rsidTr="00CE3D9B">
        <w:trPr>
          <w:gridAfter w:val="1"/>
          <w:wAfter w:w="1809" w:type="dxa"/>
        </w:trPr>
        <w:tc>
          <w:tcPr>
            <w:tcW w:w="7436" w:type="dxa"/>
            <w:gridSpan w:val="3"/>
            <w:shd w:val="clear" w:color="auto" w:fill="BDD6EE" w:themeFill="accent1" w:themeFillTint="66"/>
          </w:tcPr>
          <w:p w:rsidR="00B626C3" w:rsidRPr="00F5324A" w:rsidRDefault="00B626C3" w:rsidP="00CE3D9B">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B626C3" w:rsidRPr="00F5324A" w:rsidTr="00CE3D9B">
        <w:trPr>
          <w:gridAfter w:val="1"/>
          <w:wAfter w:w="1809" w:type="dxa"/>
        </w:trPr>
        <w:tc>
          <w:tcPr>
            <w:tcW w:w="5812" w:type="dxa"/>
            <w:gridSpan w:val="2"/>
          </w:tcPr>
          <w:p w:rsidR="00B626C3" w:rsidRPr="00F5324A" w:rsidRDefault="00B626C3" w:rsidP="00CE3D9B">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rsidR="00B626C3" w:rsidRPr="00F5324A" w:rsidRDefault="00B626C3" w:rsidP="00CE3D9B">
                <w:pPr>
                  <w:jc w:val="center"/>
                  <w:rPr>
                    <w:rFonts w:ascii="Arial" w:hAnsi="Arial" w:cs="Arial"/>
                    <w:sz w:val="20"/>
                    <w:szCs w:val="20"/>
                  </w:rPr>
                </w:pPr>
                <w:r>
                  <w:rPr>
                    <w:rFonts w:ascii="MS Gothic" w:eastAsia="MS Gothic" w:hAnsi="MS Gothic" w:cs="Arial" w:hint="eastAsia"/>
                    <w:sz w:val="20"/>
                    <w:szCs w:val="20"/>
                  </w:rPr>
                  <w:t>☒</w:t>
                </w:r>
              </w:p>
            </w:tc>
          </w:sdtContent>
        </w:sdt>
      </w:tr>
      <w:tr w:rsidR="00B626C3" w:rsidRPr="00F5324A" w:rsidTr="00CE3D9B">
        <w:trPr>
          <w:gridAfter w:val="1"/>
          <w:wAfter w:w="1809" w:type="dxa"/>
        </w:trPr>
        <w:tc>
          <w:tcPr>
            <w:tcW w:w="5812" w:type="dxa"/>
            <w:gridSpan w:val="2"/>
          </w:tcPr>
          <w:p w:rsidR="00B626C3" w:rsidRPr="00F5324A" w:rsidRDefault="00B626C3" w:rsidP="00CE3D9B">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B626C3" w:rsidRPr="00F5324A" w:rsidRDefault="00B626C3" w:rsidP="00CE3D9B">
                <w:pPr>
                  <w:jc w:val="center"/>
                  <w:rPr>
                    <w:rFonts w:ascii="Arial" w:hAnsi="Arial" w:cs="Arial"/>
                    <w:sz w:val="20"/>
                    <w:szCs w:val="20"/>
                  </w:rPr>
                </w:pPr>
                <w:r>
                  <w:rPr>
                    <w:rFonts w:ascii="MS Gothic" w:eastAsia="MS Gothic" w:hAnsi="MS Gothic" w:cs="Arial" w:hint="eastAsia"/>
                    <w:sz w:val="20"/>
                    <w:szCs w:val="20"/>
                  </w:rPr>
                  <w:t>☐</w:t>
                </w:r>
              </w:p>
            </w:tc>
          </w:sdtContent>
        </w:sdt>
      </w:tr>
      <w:tr w:rsidR="00B626C3" w:rsidRPr="00F5324A" w:rsidTr="00CE3D9B">
        <w:trPr>
          <w:gridAfter w:val="1"/>
          <w:wAfter w:w="1809" w:type="dxa"/>
        </w:trPr>
        <w:tc>
          <w:tcPr>
            <w:tcW w:w="5812" w:type="dxa"/>
            <w:gridSpan w:val="2"/>
          </w:tcPr>
          <w:p w:rsidR="00B626C3" w:rsidRPr="00F5324A" w:rsidRDefault="00B626C3" w:rsidP="00CE3D9B">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00B626C3" w:rsidRPr="00F5324A" w:rsidRDefault="00B626C3" w:rsidP="00CE3D9B">
                <w:pPr>
                  <w:jc w:val="center"/>
                  <w:rPr>
                    <w:rFonts w:ascii="Arial" w:hAnsi="Arial" w:cs="Arial"/>
                    <w:sz w:val="20"/>
                    <w:szCs w:val="20"/>
                  </w:rPr>
                </w:pPr>
                <w:r>
                  <w:rPr>
                    <w:rFonts w:ascii="MS Gothic" w:eastAsia="MS Gothic" w:hAnsi="MS Gothic" w:cs="Arial" w:hint="eastAsia"/>
                    <w:sz w:val="20"/>
                    <w:szCs w:val="20"/>
                  </w:rPr>
                  <w:t>☒</w:t>
                </w:r>
              </w:p>
            </w:tc>
          </w:sdtContent>
        </w:sdt>
      </w:tr>
      <w:tr w:rsidR="00B626C3" w:rsidRPr="00F5324A" w:rsidTr="00CE3D9B">
        <w:trPr>
          <w:gridAfter w:val="1"/>
          <w:wAfter w:w="1809" w:type="dxa"/>
        </w:trPr>
        <w:tc>
          <w:tcPr>
            <w:tcW w:w="7436" w:type="dxa"/>
            <w:gridSpan w:val="3"/>
            <w:shd w:val="clear" w:color="auto" w:fill="BDD6EE" w:themeFill="accent1" w:themeFillTint="66"/>
          </w:tcPr>
          <w:p w:rsidR="00B626C3" w:rsidRPr="00F5324A" w:rsidRDefault="00B626C3" w:rsidP="00CE3D9B">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B626C3" w:rsidRPr="00F5324A" w:rsidTr="00CE3D9B">
        <w:trPr>
          <w:gridAfter w:val="1"/>
          <w:wAfter w:w="1809" w:type="dxa"/>
        </w:trPr>
        <w:tc>
          <w:tcPr>
            <w:tcW w:w="5812" w:type="dxa"/>
            <w:gridSpan w:val="2"/>
          </w:tcPr>
          <w:p w:rsidR="00B626C3" w:rsidRPr="00F5324A" w:rsidRDefault="00B626C3" w:rsidP="00CE3D9B">
            <w:pPr>
              <w:rPr>
                <w:rFonts w:ascii="Arial" w:hAnsi="Arial" w:cs="Arial"/>
                <w:sz w:val="20"/>
                <w:szCs w:val="20"/>
              </w:rPr>
            </w:pPr>
            <w:r w:rsidRPr="00F5324A">
              <w:rPr>
                <w:rFonts w:ascii="Arial" w:hAnsi="Arial" w:cs="Arial"/>
                <w:sz w:val="20"/>
                <w:szCs w:val="20"/>
              </w:rPr>
              <w:t xml:space="preserve">Best Value Outcomes and </w:t>
            </w:r>
            <w:r w:rsidR="00BD18D3" w:rsidRPr="00F5324A">
              <w:rPr>
                <w:rFonts w:ascii="Arial" w:hAnsi="Arial" w:cs="Arial"/>
                <w:sz w:val="20"/>
                <w:szCs w:val="20"/>
              </w:rPr>
              <w:t>High-Quality</w:t>
            </w:r>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B626C3" w:rsidRPr="00F5324A" w:rsidRDefault="00B626C3" w:rsidP="00CE3D9B">
                <w:pPr>
                  <w:jc w:val="center"/>
                  <w:rPr>
                    <w:rFonts w:ascii="Arial" w:hAnsi="Arial" w:cs="Arial"/>
                    <w:sz w:val="20"/>
                    <w:szCs w:val="20"/>
                  </w:rPr>
                </w:pPr>
                <w:r>
                  <w:rPr>
                    <w:rFonts w:ascii="MS Gothic" w:eastAsia="MS Gothic" w:hAnsi="MS Gothic" w:cs="Arial" w:hint="eastAsia"/>
                    <w:sz w:val="20"/>
                    <w:szCs w:val="20"/>
                  </w:rPr>
                  <w:t>☒</w:t>
                </w:r>
              </w:p>
            </w:tc>
          </w:sdtContent>
        </w:sdt>
      </w:tr>
      <w:tr w:rsidR="00B626C3" w:rsidRPr="00F5324A" w:rsidTr="00CE3D9B">
        <w:trPr>
          <w:gridAfter w:val="1"/>
          <w:wAfter w:w="1809" w:type="dxa"/>
        </w:trPr>
        <w:tc>
          <w:tcPr>
            <w:tcW w:w="5812" w:type="dxa"/>
            <w:gridSpan w:val="2"/>
          </w:tcPr>
          <w:p w:rsidR="00B626C3" w:rsidRPr="00F5324A" w:rsidRDefault="00B626C3" w:rsidP="00CE3D9B">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B626C3" w:rsidRPr="00F5324A" w:rsidRDefault="00B626C3" w:rsidP="00CE3D9B">
                <w:pPr>
                  <w:jc w:val="center"/>
                  <w:rPr>
                    <w:rFonts w:ascii="Arial" w:hAnsi="Arial" w:cs="Arial"/>
                    <w:sz w:val="20"/>
                    <w:szCs w:val="20"/>
                  </w:rPr>
                </w:pPr>
                <w:r>
                  <w:rPr>
                    <w:rFonts w:ascii="MS Gothic" w:eastAsia="MS Gothic" w:hAnsi="MS Gothic" w:cs="Arial" w:hint="eastAsia"/>
                    <w:sz w:val="20"/>
                    <w:szCs w:val="20"/>
                  </w:rPr>
                  <w:t>☒</w:t>
                </w:r>
              </w:p>
            </w:tc>
          </w:sdtContent>
        </w:sdt>
      </w:tr>
      <w:tr w:rsidR="00B626C3" w:rsidRPr="00F5324A" w:rsidTr="00CE3D9B">
        <w:trPr>
          <w:gridAfter w:val="1"/>
          <w:wAfter w:w="1809" w:type="dxa"/>
        </w:trPr>
        <w:tc>
          <w:tcPr>
            <w:tcW w:w="5812" w:type="dxa"/>
            <w:gridSpan w:val="2"/>
          </w:tcPr>
          <w:p w:rsidR="00B626C3" w:rsidRPr="00F5324A" w:rsidRDefault="00B626C3" w:rsidP="00CE3D9B">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B626C3" w:rsidRPr="00F5324A" w:rsidRDefault="00B626C3" w:rsidP="00CE3D9B">
                <w:pPr>
                  <w:jc w:val="center"/>
                  <w:rPr>
                    <w:rFonts w:ascii="Arial" w:hAnsi="Arial" w:cs="Arial"/>
                    <w:b/>
                    <w:sz w:val="20"/>
                    <w:szCs w:val="20"/>
                  </w:rPr>
                </w:pPr>
                <w:r>
                  <w:rPr>
                    <w:rFonts w:ascii="MS Gothic" w:eastAsia="MS Gothic" w:hAnsi="MS Gothic" w:cs="Arial" w:hint="eastAsia"/>
                    <w:sz w:val="20"/>
                    <w:szCs w:val="20"/>
                  </w:rPr>
                  <w:t>☒</w:t>
                </w:r>
              </w:p>
            </w:tc>
          </w:sdtContent>
        </w:sdt>
      </w:tr>
      <w:tr w:rsidR="00B626C3" w:rsidRPr="00F5324A" w:rsidTr="00CE3D9B">
        <w:trPr>
          <w:gridAfter w:val="1"/>
          <w:wAfter w:w="1809" w:type="dxa"/>
        </w:trPr>
        <w:tc>
          <w:tcPr>
            <w:tcW w:w="5812" w:type="dxa"/>
            <w:gridSpan w:val="2"/>
          </w:tcPr>
          <w:p w:rsidR="00B626C3" w:rsidRPr="00F5324A" w:rsidRDefault="00B626C3" w:rsidP="00CE3D9B">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00B626C3" w:rsidRPr="00F5324A" w:rsidRDefault="00B626C3" w:rsidP="00CE3D9B">
                <w:pPr>
                  <w:jc w:val="center"/>
                  <w:rPr>
                    <w:rFonts w:ascii="Arial" w:hAnsi="Arial" w:cs="Arial"/>
                    <w:b/>
                    <w:sz w:val="20"/>
                    <w:szCs w:val="20"/>
                  </w:rPr>
                </w:pPr>
                <w:r>
                  <w:rPr>
                    <w:rFonts w:ascii="MS Gothic" w:eastAsia="MS Gothic" w:hAnsi="MS Gothic" w:cs="Arial" w:hint="eastAsia"/>
                    <w:sz w:val="20"/>
                    <w:szCs w:val="20"/>
                  </w:rPr>
                  <w:t>☒</w:t>
                </w:r>
              </w:p>
            </w:tc>
          </w:sdtContent>
        </w:sdt>
      </w:tr>
      <w:tr w:rsidR="00B626C3" w:rsidRPr="00F5324A" w:rsidTr="00CE3D9B">
        <w:trPr>
          <w:gridAfter w:val="1"/>
          <w:wAfter w:w="1809" w:type="dxa"/>
        </w:trPr>
        <w:tc>
          <w:tcPr>
            <w:tcW w:w="5812" w:type="dxa"/>
            <w:gridSpan w:val="2"/>
          </w:tcPr>
          <w:p w:rsidR="00B626C3" w:rsidRPr="00F5324A" w:rsidRDefault="00B626C3" w:rsidP="00CE3D9B">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B626C3" w:rsidRPr="00F5324A" w:rsidRDefault="00B626C3" w:rsidP="00CE3D9B">
                <w:pPr>
                  <w:jc w:val="center"/>
                  <w:rPr>
                    <w:rFonts w:ascii="Arial" w:hAnsi="Arial" w:cs="Arial"/>
                    <w:b/>
                    <w:sz w:val="20"/>
                    <w:szCs w:val="20"/>
                  </w:rPr>
                </w:pPr>
                <w:r>
                  <w:rPr>
                    <w:rFonts w:ascii="MS Gothic" w:eastAsia="MS Gothic" w:hAnsi="MS Gothic" w:cs="Arial" w:hint="eastAsia"/>
                    <w:sz w:val="20"/>
                    <w:szCs w:val="20"/>
                  </w:rPr>
                  <w:t>☐</w:t>
                </w:r>
              </w:p>
            </w:tc>
          </w:sdtContent>
        </w:sdt>
      </w:tr>
      <w:tr w:rsidR="00B626C3" w:rsidRPr="00F5324A" w:rsidTr="00CE3D9B">
        <w:tc>
          <w:tcPr>
            <w:tcW w:w="9245" w:type="dxa"/>
            <w:gridSpan w:val="4"/>
            <w:shd w:val="clear" w:color="auto" w:fill="D5DCE4" w:themeFill="text2" w:themeFillTint="33"/>
          </w:tcPr>
          <w:p w:rsidR="00B626C3" w:rsidRPr="00F5324A" w:rsidRDefault="00B626C3" w:rsidP="00CE3D9B">
            <w:pPr>
              <w:rPr>
                <w:rFonts w:ascii="Arial" w:hAnsi="Arial" w:cs="Arial"/>
                <w:b/>
                <w:sz w:val="24"/>
                <w:szCs w:val="24"/>
              </w:rPr>
            </w:pPr>
            <w:r w:rsidRPr="00C95B3C">
              <w:rPr>
                <w:rFonts w:ascii="Arial" w:hAnsi="Arial" w:cs="Arial"/>
                <w:b/>
                <w:sz w:val="24"/>
                <w:szCs w:val="24"/>
              </w:rPr>
              <w:t>Health and Care Standards</w:t>
            </w:r>
          </w:p>
        </w:tc>
      </w:tr>
      <w:tr w:rsidR="00B626C3" w:rsidRPr="00C95B3C" w:rsidTr="00CE3D9B">
        <w:trPr>
          <w:gridAfter w:val="1"/>
          <w:wAfter w:w="1809" w:type="dxa"/>
        </w:trPr>
        <w:tc>
          <w:tcPr>
            <w:tcW w:w="5812" w:type="dxa"/>
            <w:gridSpan w:val="2"/>
          </w:tcPr>
          <w:p w:rsidR="00B626C3" w:rsidRPr="00F5324A" w:rsidRDefault="00B626C3" w:rsidP="00CE3D9B">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B626C3" w:rsidRPr="00C95B3C" w:rsidRDefault="00B626C3" w:rsidP="00CE3D9B">
                <w:pPr>
                  <w:jc w:val="center"/>
                  <w:rPr>
                    <w:rFonts w:ascii="Arial" w:hAnsi="Arial" w:cs="Arial"/>
                    <w:sz w:val="18"/>
                    <w:szCs w:val="18"/>
                  </w:rPr>
                </w:pPr>
                <w:r>
                  <w:rPr>
                    <w:rFonts w:ascii="MS Gothic" w:eastAsia="MS Gothic" w:hAnsi="MS Gothic" w:cs="Arial" w:hint="eastAsia"/>
                    <w:sz w:val="20"/>
                    <w:szCs w:val="20"/>
                  </w:rPr>
                  <w:t>☒</w:t>
                </w:r>
              </w:p>
            </w:tc>
          </w:sdtContent>
        </w:sdt>
      </w:tr>
      <w:tr w:rsidR="00B626C3" w:rsidRPr="00FA0CA9" w:rsidTr="00CE3D9B">
        <w:trPr>
          <w:gridAfter w:val="1"/>
          <w:wAfter w:w="1809" w:type="dxa"/>
        </w:trPr>
        <w:tc>
          <w:tcPr>
            <w:tcW w:w="5812" w:type="dxa"/>
            <w:gridSpan w:val="2"/>
          </w:tcPr>
          <w:p w:rsidR="00B626C3" w:rsidRPr="00F5324A" w:rsidRDefault="00B626C3" w:rsidP="00CE3D9B">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B626C3" w:rsidRPr="00FA0CA9" w:rsidRDefault="00B626C3" w:rsidP="00CE3D9B">
                <w:pPr>
                  <w:jc w:val="center"/>
                  <w:rPr>
                    <w:rFonts w:ascii="Arial" w:hAnsi="Arial" w:cs="Arial"/>
                    <w:b/>
                    <w:sz w:val="24"/>
                    <w:szCs w:val="24"/>
                  </w:rPr>
                </w:pPr>
                <w:r>
                  <w:rPr>
                    <w:rFonts w:ascii="MS Gothic" w:eastAsia="MS Gothic" w:hAnsi="MS Gothic" w:cs="Arial" w:hint="eastAsia"/>
                    <w:sz w:val="20"/>
                    <w:szCs w:val="20"/>
                  </w:rPr>
                  <w:t>☒</w:t>
                </w:r>
              </w:p>
            </w:tc>
          </w:sdtContent>
        </w:sdt>
      </w:tr>
      <w:tr w:rsidR="00B626C3" w:rsidRPr="00FA0CA9" w:rsidTr="00CE3D9B">
        <w:trPr>
          <w:gridAfter w:val="1"/>
          <w:wAfter w:w="1809" w:type="dxa"/>
        </w:trPr>
        <w:tc>
          <w:tcPr>
            <w:tcW w:w="5812" w:type="dxa"/>
            <w:gridSpan w:val="2"/>
          </w:tcPr>
          <w:p w:rsidR="00B626C3" w:rsidRPr="00F5324A" w:rsidRDefault="00BD18D3" w:rsidP="00CE3D9B">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B626C3" w:rsidRPr="00FA0CA9" w:rsidRDefault="00B626C3" w:rsidP="00CE3D9B">
                <w:pPr>
                  <w:jc w:val="center"/>
                  <w:rPr>
                    <w:rFonts w:ascii="Arial" w:hAnsi="Arial" w:cs="Arial"/>
                    <w:b/>
                    <w:sz w:val="24"/>
                    <w:szCs w:val="24"/>
                  </w:rPr>
                </w:pPr>
                <w:r>
                  <w:rPr>
                    <w:rFonts w:ascii="MS Gothic" w:eastAsia="MS Gothic" w:hAnsi="MS Gothic" w:cs="Arial" w:hint="eastAsia"/>
                    <w:sz w:val="20"/>
                    <w:szCs w:val="20"/>
                  </w:rPr>
                  <w:t>☒</w:t>
                </w:r>
              </w:p>
            </w:tc>
          </w:sdtContent>
        </w:sdt>
      </w:tr>
      <w:tr w:rsidR="00B626C3" w:rsidRPr="00FA0CA9" w:rsidTr="00CE3D9B">
        <w:trPr>
          <w:gridAfter w:val="1"/>
          <w:wAfter w:w="1809" w:type="dxa"/>
        </w:trPr>
        <w:tc>
          <w:tcPr>
            <w:tcW w:w="5812" w:type="dxa"/>
            <w:gridSpan w:val="2"/>
          </w:tcPr>
          <w:p w:rsidR="00B626C3" w:rsidRPr="00F5324A" w:rsidRDefault="00B626C3" w:rsidP="00CE3D9B">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B626C3" w:rsidRPr="00FA0CA9" w:rsidRDefault="00B626C3" w:rsidP="00CE3D9B">
                <w:pPr>
                  <w:jc w:val="center"/>
                  <w:rPr>
                    <w:rFonts w:ascii="Arial" w:hAnsi="Arial" w:cs="Arial"/>
                    <w:b/>
                    <w:sz w:val="24"/>
                    <w:szCs w:val="24"/>
                  </w:rPr>
                </w:pPr>
                <w:r>
                  <w:rPr>
                    <w:rFonts w:ascii="MS Gothic" w:eastAsia="MS Gothic" w:hAnsi="MS Gothic" w:cs="Arial" w:hint="eastAsia"/>
                    <w:sz w:val="20"/>
                    <w:szCs w:val="20"/>
                  </w:rPr>
                  <w:t>☒</w:t>
                </w:r>
              </w:p>
            </w:tc>
          </w:sdtContent>
        </w:sdt>
      </w:tr>
      <w:tr w:rsidR="00B626C3" w:rsidRPr="00FA0CA9" w:rsidTr="00CE3D9B">
        <w:trPr>
          <w:gridAfter w:val="1"/>
          <w:wAfter w:w="1809" w:type="dxa"/>
        </w:trPr>
        <w:tc>
          <w:tcPr>
            <w:tcW w:w="5812" w:type="dxa"/>
            <w:gridSpan w:val="2"/>
          </w:tcPr>
          <w:p w:rsidR="00B626C3" w:rsidRPr="00F5324A" w:rsidRDefault="00B626C3" w:rsidP="00CE3D9B">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B626C3" w:rsidRPr="00FA0CA9" w:rsidRDefault="00B626C3" w:rsidP="00CE3D9B">
                <w:pPr>
                  <w:jc w:val="center"/>
                  <w:rPr>
                    <w:rFonts w:ascii="Arial" w:hAnsi="Arial" w:cs="Arial"/>
                    <w:b/>
                    <w:sz w:val="24"/>
                    <w:szCs w:val="24"/>
                  </w:rPr>
                </w:pPr>
                <w:r>
                  <w:rPr>
                    <w:rFonts w:ascii="MS Gothic" w:eastAsia="MS Gothic" w:hAnsi="MS Gothic" w:cs="Arial" w:hint="eastAsia"/>
                    <w:sz w:val="20"/>
                    <w:szCs w:val="20"/>
                  </w:rPr>
                  <w:t>☒</w:t>
                </w:r>
              </w:p>
            </w:tc>
          </w:sdtContent>
        </w:sdt>
      </w:tr>
      <w:tr w:rsidR="00B626C3" w:rsidRPr="00FA0CA9" w:rsidTr="00CE3D9B">
        <w:trPr>
          <w:gridAfter w:val="1"/>
          <w:wAfter w:w="1809" w:type="dxa"/>
        </w:trPr>
        <w:tc>
          <w:tcPr>
            <w:tcW w:w="5812" w:type="dxa"/>
            <w:gridSpan w:val="2"/>
          </w:tcPr>
          <w:p w:rsidR="00B626C3" w:rsidRPr="00F5324A" w:rsidRDefault="00B626C3" w:rsidP="00CE3D9B">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B626C3" w:rsidRPr="00FA0CA9" w:rsidRDefault="00B626C3" w:rsidP="00CE3D9B">
                <w:pPr>
                  <w:jc w:val="center"/>
                  <w:rPr>
                    <w:rFonts w:ascii="Arial" w:hAnsi="Arial" w:cs="Arial"/>
                    <w:b/>
                    <w:sz w:val="24"/>
                    <w:szCs w:val="24"/>
                  </w:rPr>
                </w:pPr>
                <w:r>
                  <w:rPr>
                    <w:rFonts w:ascii="MS Gothic" w:eastAsia="MS Gothic" w:hAnsi="MS Gothic" w:cs="Arial" w:hint="eastAsia"/>
                    <w:sz w:val="20"/>
                    <w:szCs w:val="20"/>
                  </w:rPr>
                  <w:t>☒</w:t>
                </w:r>
              </w:p>
            </w:tc>
          </w:sdtContent>
        </w:sdt>
      </w:tr>
      <w:tr w:rsidR="00B626C3" w:rsidRPr="00FA0CA9" w:rsidTr="00CE3D9B">
        <w:trPr>
          <w:gridAfter w:val="1"/>
          <w:wAfter w:w="1809" w:type="dxa"/>
        </w:trPr>
        <w:tc>
          <w:tcPr>
            <w:tcW w:w="5812" w:type="dxa"/>
            <w:gridSpan w:val="2"/>
          </w:tcPr>
          <w:p w:rsidR="00B626C3" w:rsidRPr="00F5324A" w:rsidRDefault="00B626C3" w:rsidP="00CE3D9B">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B626C3" w:rsidRPr="00FA0CA9" w:rsidRDefault="00B626C3" w:rsidP="00CE3D9B">
                <w:pPr>
                  <w:jc w:val="center"/>
                  <w:rPr>
                    <w:rFonts w:ascii="Arial" w:hAnsi="Arial" w:cs="Arial"/>
                    <w:b/>
                    <w:sz w:val="24"/>
                    <w:szCs w:val="24"/>
                  </w:rPr>
                </w:pPr>
                <w:r>
                  <w:rPr>
                    <w:rFonts w:ascii="MS Gothic" w:eastAsia="MS Gothic" w:hAnsi="MS Gothic" w:cs="Arial" w:hint="eastAsia"/>
                    <w:sz w:val="20"/>
                    <w:szCs w:val="20"/>
                  </w:rPr>
                  <w:t>☒</w:t>
                </w:r>
              </w:p>
            </w:tc>
          </w:sdtContent>
        </w:sdt>
      </w:tr>
      <w:tr w:rsidR="00B626C3" w:rsidRPr="00FA0CA9" w:rsidTr="00CE3D9B">
        <w:tc>
          <w:tcPr>
            <w:tcW w:w="9245" w:type="dxa"/>
            <w:gridSpan w:val="4"/>
            <w:shd w:val="clear" w:color="auto" w:fill="D5DCE4" w:themeFill="text2" w:themeFillTint="33"/>
          </w:tcPr>
          <w:p w:rsidR="00B626C3" w:rsidRPr="00FA0CA9" w:rsidRDefault="00B626C3" w:rsidP="00CE3D9B">
            <w:pPr>
              <w:rPr>
                <w:rFonts w:ascii="Arial" w:hAnsi="Arial" w:cs="Arial"/>
                <w:b/>
                <w:sz w:val="24"/>
                <w:szCs w:val="24"/>
              </w:rPr>
            </w:pPr>
            <w:r w:rsidRPr="00FA0CA9">
              <w:rPr>
                <w:rFonts w:ascii="Arial" w:hAnsi="Arial" w:cs="Arial"/>
                <w:b/>
                <w:sz w:val="24"/>
                <w:szCs w:val="24"/>
              </w:rPr>
              <w:t>Quality, Safety and Patient Experience</w:t>
            </w:r>
          </w:p>
        </w:tc>
      </w:tr>
      <w:tr w:rsidR="00B626C3" w:rsidRPr="00981083" w:rsidTr="00CE3D9B">
        <w:tc>
          <w:tcPr>
            <w:tcW w:w="9245" w:type="dxa"/>
            <w:gridSpan w:val="4"/>
          </w:tcPr>
          <w:p w:rsidR="00B626C3" w:rsidRPr="00981083" w:rsidRDefault="00B626C3" w:rsidP="00CE3D9B">
            <w:pPr>
              <w:spacing w:after="160" w:line="259" w:lineRule="auto"/>
              <w:jc w:val="both"/>
              <w:rPr>
                <w:rFonts w:ascii="Arial" w:hAnsi="Arial" w:cs="Arial"/>
                <w:sz w:val="24"/>
                <w:szCs w:val="24"/>
              </w:rPr>
            </w:pPr>
            <w:r w:rsidRPr="00981083">
              <w:rPr>
                <w:rFonts w:ascii="Arial" w:hAnsi="Arial" w:cs="Arial"/>
                <w:sz w:val="24"/>
                <w:szCs w:val="24"/>
              </w:rPr>
              <w:t>For our population we want:</w:t>
            </w:r>
          </w:p>
          <w:p w:rsidR="00B626C3" w:rsidRPr="00981083" w:rsidRDefault="00B626C3" w:rsidP="00CE3D9B">
            <w:pPr>
              <w:numPr>
                <w:ilvl w:val="0"/>
                <w:numId w:val="27"/>
              </w:numPr>
              <w:spacing w:after="160" w:line="259" w:lineRule="auto"/>
              <w:ind w:left="459" w:hanging="425"/>
              <w:contextualSpacing/>
              <w:jc w:val="both"/>
              <w:rPr>
                <w:rFonts w:ascii="Arial" w:hAnsi="Arial" w:cs="Arial"/>
                <w:sz w:val="24"/>
                <w:szCs w:val="24"/>
              </w:rPr>
            </w:pPr>
            <w:r w:rsidRPr="00981083">
              <w:rPr>
                <w:rFonts w:ascii="Arial" w:hAnsi="Arial" w:cs="Arial"/>
                <w:sz w:val="24"/>
                <w:szCs w:val="24"/>
              </w:rPr>
              <w:t>Improved population health and wellbeing</w:t>
            </w:r>
          </w:p>
          <w:p w:rsidR="00B626C3" w:rsidRPr="00981083" w:rsidRDefault="00B626C3" w:rsidP="00CE3D9B">
            <w:pPr>
              <w:numPr>
                <w:ilvl w:val="0"/>
                <w:numId w:val="27"/>
              </w:numPr>
              <w:spacing w:after="160" w:line="259" w:lineRule="auto"/>
              <w:ind w:left="459" w:hanging="425"/>
              <w:contextualSpacing/>
              <w:jc w:val="both"/>
              <w:rPr>
                <w:rFonts w:ascii="Arial" w:hAnsi="Arial" w:cs="Arial"/>
                <w:sz w:val="24"/>
                <w:szCs w:val="24"/>
              </w:rPr>
            </w:pPr>
            <w:r w:rsidRPr="00981083">
              <w:rPr>
                <w:rFonts w:ascii="Arial" w:hAnsi="Arial" w:cs="Arial"/>
                <w:sz w:val="24"/>
                <w:szCs w:val="24"/>
              </w:rPr>
              <w:t>Better quality and more accessible health and social care services</w:t>
            </w:r>
          </w:p>
          <w:p w:rsidR="00B626C3" w:rsidRPr="00981083" w:rsidRDefault="00B626C3" w:rsidP="00CE3D9B">
            <w:pPr>
              <w:numPr>
                <w:ilvl w:val="0"/>
                <w:numId w:val="27"/>
              </w:numPr>
              <w:spacing w:after="160" w:line="259" w:lineRule="auto"/>
              <w:ind w:left="459" w:hanging="425"/>
              <w:contextualSpacing/>
              <w:jc w:val="both"/>
              <w:rPr>
                <w:rFonts w:ascii="Arial" w:hAnsi="Arial" w:cs="Arial"/>
                <w:sz w:val="24"/>
                <w:szCs w:val="24"/>
              </w:rPr>
            </w:pPr>
            <w:r w:rsidRPr="00981083">
              <w:rPr>
                <w:rFonts w:ascii="Arial" w:hAnsi="Arial" w:cs="Arial"/>
                <w:sz w:val="24"/>
                <w:szCs w:val="24"/>
              </w:rPr>
              <w:t xml:space="preserve">Achieve better outcomes and experience for patients at reduced </w:t>
            </w:r>
            <w:r w:rsidR="00BD18D3" w:rsidRPr="00981083">
              <w:rPr>
                <w:rFonts w:ascii="Arial" w:hAnsi="Arial" w:cs="Arial"/>
                <w:sz w:val="24"/>
                <w:szCs w:val="24"/>
              </w:rPr>
              <w:t>cost.</w:t>
            </w:r>
          </w:p>
          <w:p w:rsidR="00B626C3" w:rsidRPr="00981083" w:rsidRDefault="00B626C3" w:rsidP="00CE3D9B">
            <w:pPr>
              <w:numPr>
                <w:ilvl w:val="0"/>
                <w:numId w:val="27"/>
              </w:numPr>
              <w:spacing w:after="160" w:line="259" w:lineRule="auto"/>
              <w:ind w:left="459" w:hanging="425"/>
              <w:contextualSpacing/>
              <w:jc w:val="both"/>
              <w:rPr>
                <w:rFonts w:ascii="Arial" w:hAnsi="Arial" w:cs="Arial"/>
                <w:sz w:val="24"/>
                <w:szCs w:val="24"/>
              </w:rPr>
            </w:pPr>
            <w:r w:rsidRPr="00981083">
              <w:rPr>
                <w:rFonts w:ascii="Arial" w:hAnsi="Arial" w:cs="Arial"/>
                <w:sz w:val="24"/>
                <w:szCs w:val="24"/>
              </w:rPr>
              <w:t xml:space="preserve">Enable the maximised utilisation of outpatient capacity to see patients in a timely </w:t>
            </w:r>
            <w:r w:rsidR="00BD18D3" w:rsidRPr="00981083">
              <w:rPr>
                <w:rFonts w:ascii="Arial" w:hAnsi="Arial" w:cs="Arial"/>
                <w:sz w:val="24"/>
                <w:szCs w:val="24"/>
              </w:rPr>
              <w:t>fashion.</w:t>
            </w:r>
          </w:p>
          <w:p w:rsidR="00B626C3" w:rsidRDefault="00B626C3" w:rsidP="00CE3D9B">
            <w:pPr>
              <w:numPr>
                <w:ilvl w:val="0"/>
                <w:numId w:val="27"/>
              </w:numPr>
              <w:spacing w:after="160" w:line="259" w:lineRule="auto"/>
              <w:ind w:left="459" w:hanging="425"/>
              <w:contextualSpacing/>
              <w:jc w:val="both"/>
              <w:rPr>
                <w:rFonts w:ascii="Arial" w:hAnsi="Arial" w:cs="Arial"/>
                <w:sz w:val="24"/>
                <w:szCs w:val="24"/>
              </w:rPr>
            </w:pPr>
            <w:r w:rsidRPr="00981083">
              <w:rPr>
                <w:rFonts w:ascii="Arial" w:hAnsi="Arial" w:cs="Arial"/>
                <w:sz w:val="24"/>
                <w:szCs w:val="24"/>
              </w:rPr>
              <w:t>To deliver a sustainable service whilst providing improved performance to the overall clinical pathway with reduced waiting time / delays in individual patient treatment plans</w:t>
            </w:r>
          </w:p>
          <w:p w:rsidR="00B626C3" w:rsidRDefault="00B626C3" w:rsidP="00CE3D9B">
            <w:pPr>
              <w:numPr>
                <w:ilvl w:val="0"/>
                <w:numId w:val="27"/>
              </w:numPr>
              <w:spacing w:after="160" w:line="259" w:lineRule="auto"/>
              <w:ind w:left="459" w:hanging="425"/>
              <w:contextualSpacing/>
              <w:jc w:val="both"/>
              <w:rPr>
                <w:rFonts w:ascii="Arial" w:hAnsi="Arial" w:cs="Arial"/>
                <w:sz w:val="24"/>
                <w:szCs w:val="24"/>
              </w:rPr>
            </w:pPr>
            <w:r w:rsidRPr="00981083">
              <w:rPr>
                <w:rFonts w:ascii="Arial" w:hAnsi="Arial" w:cs="Arial"/>
                <w:sz w:val="24"/>
                <w:szCs w:val="24"/>
              </w:rPr>
              <w:t xml:space="preserve">Minimise harm to </w:t>
            </w:r>
            <w:r w:rsidR="00BD18D3" w:rsidRPr="00981083">
              <w:rPr>
                <w:rFonts w:ascii="Arial" w:hAnsi="Arial" w:cs="Arial"/>
                <w:sz w:val="24"/>
                <w:szCs w:val="24"/>
              </w:rPr>
              <w:t>patients.</w:t>
            </w:r>
          </w:p>
          <w:p w:rsidR="00B626C3" w:rsidRDefault="00B626C3" w:rsidP="00CE3D9B">
            <w:pPr>
              <w:numPr>
                <w:ilvl w:val="0"/>
                <w:numId w:val="27"/>
              </w:numPr>
              <w:spacing w:after="160" w:line="259" w:lineRule="auto"/>
              <w:ind w:left="459" w:hanging="425"/>
              <w:contextualSpacing/>
              <w:jc w:val="both"/>
              <w:rPr>
                <w:rFonts w:ascii="Arial" w:hAnsi="Arial" w:cs="Arial"/>
                <w:sz w:val="24"/>
                <w:szCs w:val="24"/>
              </w:rPr>
            </w:pPr>
            <w:r>
              <w:rPr>
                <w:rFonts w:ascii="Arial" w:hAnsi="Arial" w:cs="Arial"/>
                <w:sz w:val="24"/>
                <w:szCs w:val="24"/>
              </w:rPr>
              <w:t xml:space="preserve">Electronic Patient Records </w:t>
            </w:r>
          </w:p>
          <w:p w:rsidR="00B626C3" w:rsidRDefault="00B626C3" w:rsidP="00CE3D9B">
            <w:pPr>
              <w:spacing w:after="160" w:line="259" w:lineRule="auto"/>
              <w:contextualSpacing/>
              <w:jc w:val="both"/>
              <w:rPr>
                <w:rFonts w:ascii="Arial" w:hAnsi="Arial" w:cs="Arial"/>
                <w:sz w:val="24"/>
                <w:szCs w:val="24"/>
              </w:rPr>
            </w:pPr>
          </w:p>
          <w:p w:rsidR="00B626C3" w:rsidRPr="00981083" w:rsidRDefault="00B626C3" w:rsidP="00CE3D9B">
            <w:pPr>
              <w:spacing w:after="160" w:line="259" w:lineRule="auto"/>
              <w:contextualSpacing/>
              <w:jc w:val="both"/>
              <w:rPr>
                <w:rFonts w:ascii="Arial" w:hAnsi="Arial" w:cs="Arial"/>
                <w:sz w:val="24"/>
                <w:szCs w:val="24"/>
              </w:rPr>
            </w:pPr>
          </w:p>
        </w:tc>
      </w:tr>
      <w:tr w:rsidR="00B626C3" w:rsidRPr="00FA0CA9" w:rsidTr="00CE3D9B">
        <w:tc>
          <w:tcPr>
            <w:tcW w:w="9245" w:type="dxa"/>
            <w:gridSpan w:val="4"/>
            <w:shd w:val="clear" w:color="auto" w:fill="D5DCE4" w:themeFill="text2" w:themeFillTint="33"/>
          </w:tcPr>
          <w:p w:rsidR="00B626C3" w:rsidRPr="00FA0CA9" w:rsidRDefault="00B626C3" w:rsidP="00CE3D9B">
            <w:pPr>
              <w:rPr>
                <w:rFonts w:ascii="Arial" w:hAnsi="Arial" w:cs="Arial"/>
                <w:b/>
                <w:sz w:val="24"/>
                <w:szCs w:val="24"/>
              </w:rPr>
            </w:pPr>
            <w:r w:rsidRPr="00FA0CA9">
              <w:rPr>
                <w:rFonts w:ascii="Arial" w:hAnsi="Arial" w:cs="Arial"/>
                <w:b/>
                <w:sz w:val="24"/>
                <w:szCs w:val="24"/>
              </w:rPr>
              <w:t>Financial Implications</w:t>
            </w:r>
          </w:p>
        </w:tc>
      </w:tr>
      <w:tr w:rsidR="00B626C3" w:rsidRPr="006B3257" w:rsidTr="00CE3D9B">
        <w:tc>
          <w:tcPr>
            <w:tcW w:w="9245" w:type="dxa"/>
            <w:gridSpan w:val="4"/>
          </w:tcPr>
          <w:p w:rsidR="00B626C3" w:rsidRDefault="00B626C3" w:rsidP="00CE3D9B">
            <w:pPr>
              <w:ind w:right="96"/>
              <w:rPr>
                <w:rFonts w:ascii="Arial" w:hAnsi="Arial" w:cs="Arial"/>
                <w:sz w:val="24"/>
                <w:szCs w:val="24"/>
              </w:rPr>
            </w:pPr>
            <w:r>
              <w:rPr>
                <w:rFonts w:ascii="Arial" w:hAnsi="Arial" w:cs="Arial"/>
                <w:sz w:val="24"/>
                <w:szCs w:val="24"/>
              </w:rPr>
              <w:t xml:space="preserve">There are financial implications and failure </w:t>
            </w:r>
            <w:r w:rsidRPr="007F0E1E">
              <w:rPr>
                <w:rFonts w:ascii="Arial" w:hAnsi="Arial" w:cs="Arial"/>
                <w:sz w:val="24"/>
                <w:szCs w:val="24"/>
              </w:rPr>
              <w:t>to act result</w:t>
            </w:r>
            <w:r>
              <w:rPr>
                <w:rFonts w:ascii="Arial" w:hAnsi="Arial" w:cs="Arial"/>
                <w:sz w:val="24"/>
                <w:szCs w:val="24"/>
              </w:rPr>
              <w:t>s in patient harm and</w:t>
            </w:r>
            <w:r w:rsidRPr="007F0E1E">
              <w:rPr>
                <w:rFonts w:ascii="Arial" w:hAnsi="Arial" w:cs="Arial"/>
                <w:sz w:val="24"/>
                <w:szCs w:val="24"/>
              </w:rPr>
              <w:t xml:space="preserve"> in large compensation claims </w:t>
            </w:r>
            <w:r>
              <w:rPr>
                <w:rFonts w:ascii="Arial" w:hAnsi="Arial" w:cs="Arial"/>
                <w:sz w:val="24"/>
                <w:szCs w:val="24"/>
              </w:rPr>
              <w:t>for breach of duty. Resource has been provided both from Health Board and Welsh Government funding.</w:t>
            </w:r>
          </w:p>
          <w:p w:rsidR="00B626C3" w:rsidRPr="006B3257" w:rsidRDefault="00B626C3" w:rsidP="00CE3D9B">
            <w:pPr>
              <w:ind w:right="96"/>
              <w:rPr>
                <w:rFonts w:ascii="Arial" w:hAnsi="Arial" w:cs="Arial"/>
                <w:sz w:val="24"/>
                <w:szCs w:val="24"/>
              </w:rPr>
            </w:pPr>
            <w:r>
              <w:rPr>
                <w:rFonts w:ascii="Arial" w:hAnsi="Arial" w:cs="Arial"/>
                <w:sz w:val="24"/>
                <w:szCs w:val="24"/>
              </w:rPr>
              <w:t xml:space="preserve"> </w:t>
            </w:r>
            <w:r w:rsidRPr="007F0E1E">
              <w:rPr>
                <w:rFonts w:ascii="Arial" w:hAnsi="Arial" w:cs="Arial"/>
                <w:color w:val="FF0000"/>
                <w:sz w:val="24"/>
                <w:szCs w:val="24"/>
              </w:rPr>
              <w:t xml:space="preserve"> </w:t>
            </w:r>
          </w:p>
        </w:tc>
      </w:tr>
      <w:tr w:rsidR="00B626C3" w:rsidRPr="00FA0CA9" w:rsidTr="00CE3D9B">
        <w:tc>
          <w:tcPr>
            <w:tcW w:w="9245" w:type="dxa"/>
            <w:gridSpan w:val="4"/>
            <w:shd w:val="clear" w:color="auto" w:fill="D5DCE4" w:themeFill="text2" w:themeFillTint="33"/>
          </w:tcPr>
          <w:p w:rsidR="00B626C3" w:rsidRPr="00FA0CA9" w:rsidRDefault="00B626C3" w:rsidP="00CE3D9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B626C3" w:rsidRPr="00FA0CA9" w:rsidTr="00CE3D9B">
        <w:tc>
          <w:tcPr>
            <w:tcW w:w="9245" w:type="dxa"/>
            <w:gridSpan w:val="4"/>
          </w:tcPr>
          <w:p w:rsidR="00B626C3" w:rsidRDefault="00B626C3" w:rsidP="00CE3D9B">
            <w:pPr>
              <w:ind w:right="96"/>
              <w:rPr>
                <w:rFonts w:ascii="Arial" w:hAnsi="Arial" w:cs="Arial"/>
                <w:sz w:val="24"/>
                <w:szCs w:val="24"/>
              </w:rPr>
            </w:pPr>
            <w:r w:rsidRPr="007F0E1E">
              <w:rPr>
                <w:rFonts w:ascii="Arial" w:hAnsi="Arial" w:cs="Arial"/>
                <w:sz w:val="24"/>
                <w:szCs w:val="24"/>
              </w:rPr>
              <w:t xml:space="preserve">The Health Board is responsible for planning and delivering primary, community and secondary care health services for its resident population. Ensuring that the </w:t>
            </w:r>
            <w:r>
              <w:rPr>
                <w:rFonts w:ascii="Arial" w:hAnsi="Arial" w:cs="Arial"/>
                <w:sz w:val="24"/>
                <w:szCs w:val="24"/>
              </w:rPr>
              <w:t>Committee</w:t>
            </w:r>
            <w:r w:rsidRPr="007F0E1E">
              <w:rPr>
                <w:rFonts w:ascii="Arial" w:hAnsi="Arial" w:cs="Arial"/>
                <w:sz w:val="24"/>
                <w:szCs w:val="24"/>
              </w:rPr>
              <w:t xml:space="preserve"> is fully sighted on this area of business is essential to positive assurance processes and related risk management.</w:t>
            </w:r>
          </w:p>
          <w:p w:rsidR="00B626C3" w:rsidRPr="00FA0CA9" w:rsidRDefault="00B626C3" w:rsidP="00CE3D9B">
            <w:pPr>
              <w:ind w:right="96"/>
              <w:rPr>
                <w:rFonts w:ascii="Arial" w:hAnsi="Arial" w:cs="Arial"/>
                <w:color w:val="FF0000"/>
                <w:sz w:val="24"/>
                <w:szCs w:val="24"/>
              </w:rPr>
            </w:pPr>
          </w:p>
        </w:tc>
      </w:tr>
      <w:tr w:rsidR="00B626C3" w:rsidRPr="00FA0CA9" w:rsidTr="00CE3D9B">
        <w:tc>
          <w:tcPr>
            <w:tcW w:w="9245" w:type="dxa"/>
            <w:gridSpan w:val="4"/>
            <w:shd w:val="clear" w:color="auto" w:fill="D5DCE4" w:themeFill="text2" w:themeFillTint="33"/>
          </w:tcPr>
          <w:p w:rsidR="00B626C3" w:rsidRPr="00FA0CA9" w:rsidRDefault="00B626C3" w:rsidP="00CE3D9B">
            <w:pPr>
              <w:ind w:right="96"/>
              <w:rPr>
                <w:rFonts w:ascii="Arial" w:hAnsi="Arial" w:cs="Arial"/>
                <w:b/>
                <w:color w:val="FF0000"/>
                <w:sz w:val="24"/>
                <w:szCs w:val="24"/>
              </w:rPr>
            </w:pPr>
            <w:r w:rsidRPr="00FA0CA9">
              <w:rPr>
                <w:rFonts w:ascii="Arial" w:hAnsi="Arial" w:cs="Arial"/>
                <w:b/>
                <w:sz w:val="24"/>
                <w:szCs w:val="24"/>
              </w:rPr>
              <w:t>Staffing Implications</w:t>
            </w:r>
          </w:p>
        </w:tc>
      </w:tr>
      <w:tr w:rsidR="00B626C3" w:rsidRPr="00FA0CA9" w:rsidTr="00CE3D9B">
        <w:tc>
          <w:tcPr>
            <w:tcW w:w="9245" w:type="dxa"/>
            <w:gridSpan w:val="4"/>
          </w:tcPr>
          <w:p w:rsidR="00B626C3" w:rsidRDefault="00B626C3" w:rsidP="00CE3D9B">
            <w:pPr>
              <w:ind w:right="96"/>
              <w:rPr>
                <w:rFonts w:ascii="Arial" w:hAnsi="Arial" w:cs="Arial"/>
                <w:sz w:val="24"/>
                <w:szCs w:val="24"/>
              </w:rPr>
            </w:pPr>
            <w:r w:rsidRPr="007F0E1E">
              <w:rPr>
                <w:rFonts w:ascii="Arial" w:hAnsi="Arial" w:cs="Arial"/>
                <w:sz w:val="24"/>
                <w:szCs w:val="24"/>
              </w:rPr>
              <w:t>The</w:t>
            </w:r>
            <w:r>
              <w:rPr>
                <w:rFonts w:ascii="Arial" w:hAnsi="Arial" w:cs="Arial"/>
                <w:sz w:val="24"/>
                <w:szCs w:val="24"/>
              </w:rPr>
              <w:t>re are several</w:t>
            </w:r>
            <w:r w:rsidRPr="007F0E1E">
              <w:rPr>
                <w:rFonts w:ascii="Arial" w:hAnsi="Arial" w:cs="Arial"/>
                <w:sz w:val="24"/>
                <w:szCs w:val="24"/>
              </w:rPr>
              <w:t xml:space="preserve"> proposal</w:t>
            </w:r>
            <w:r>
              <w:rPr>
                <w:rFonts w:ascii="Arial" w:hAnsi="Arial" w:cs="Arial"/>
                <w:sz w:val="24"/>
                <w:szCs w:val="24"/>
              </w:rPr>
              <w:t>s and plans to develop and employ staff in different ways.</w:t>
            </w:r>
            <w:r w:rsidRPr="007F0E1E">
              <w:rPr>
                <w:rFonts w:ascii="Arial" w:hAnsi="Arial" w:cs="Arial"/>
                <w:sz w:val="24"/>
                <w:szCs w:val="24"/>
              </w:rPr>
              <w:t xml:space="preserve"> There is a requirement to undertake a programme of training for non-medical staff and in particular nurses and support workers. This will require an identification of training resource.</w:t>
            </w:r>
            <w:r>
              <w:rPr>
                <w:rFonts w:ascii="Arial" w:hAnsi="Arial" w:cs="Arial"/>
                <w:sz w:val="24"/>
                <w:szCs w:val="24"/>
              </w:rPr>
              <w:t xml:space="preserve"> Optometrists will be working within this service as part of a tendering process, appropriate arrangements will need to be put in to support new ways of working with private contractors. Advice has been sought.</w:t>
            </w:r>
          </w:p>
          <w:p w:rsidR="00B626C3" w:rsidRPr="00FA0CA9" w:rsidRDefault="00B626C3" w:rsidP="00CE3D9B">
            <w:pPr>
              <w:ind w:right="96"/>
              <w:rPr>
                <w:rFonts w:ascii="Arial" w:hAnsi="Arial" w:cs="Arial"/>
                <w:color w:val="FF0000"/>
                <w:sz w:val="24"/>
                <w:szCs w:val="24"/>
              </w:rPr>
            </w:pPr>
          </w:p>
        </w:tc>
      </w:tr>
      <w:tr w:rsidR="00B626C3" w:rsidRPr="00FA0CA9" w:rsidTr="00CE3D9B">
        <w:tc>
          <w:tcPr>
            <w:tcW w:w="9245" w:type="dxa"/>
            <w:gridSpan w:val="4"/>
            <w:shd w:val="clear" w:color="auto" w:fill="D5DCE4" w:themeFill="text2" w:themeFillTint="33"/>
          </w:tcPr>
          <w:p w:rsidR="00B626C3" w:rsidRPr="00FA0CA9" w:rsidRDefault="00B626C3" w:rsidP="00CE3D9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B626C3" w:rsidRPr="00FA0CA9" w:rsidTr="00CE3D9B">
        <w:tc>
          <w:tcPr>
            <w:tcW w:w="9245" w:type="dxa"/>
            <w:gridSpan w:val="4"/>
          </w:tcPr>
          <w:p w:rsidR="00B626C3" w:rsidRPr="000E664D" w:rsidRDefault="00B626C3" w:rsidP="00CE3D9B">
            <w:pPr>
              <w:ind w:right="96"/>
              <w:rPr>
                <w:rFonts w:ascii="Arial" w:hAnsi="Arial" w:cs="Arial"/>
                <w:sz w:val="24"/>
                <w:szCs w:val="24"/>
              </w:rPr>
            </w:pPr>
            <w:r w:rsidRPr="000E664D">
              <w:rPr>
                <w:rFonts w:ascii="Arial" w:hAnsi="Arial" w:cs="Arial"/>
                <w:sz w:val="24"/>
                <w:szCs w:val="24"/>
              </w:rPr>
              <w:t>Briefly identify how the paper will have an impact of the “The Well-being of Future Generations (Wales) Act 2015, 5 ways of working.</w:t>
            </w:r>
          </w:p>
          <w:p w:rsidR="00B626C3" w:rsidRPr="000E664D" w:rsidRDefault="00B626C3" w:rsidP="00CE3D9B">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0E664D">
              <w:rPr>
                <w:rFonts w:ascii="Arial" w:eastAsia="Times New Roman" w:hAnsi="Arial" w:cs="Arial"/>
                <w:b/>
                <w:bCs/>
                <w:sz w:val="24"/>
                <w:szCs w:val="24"/>
                <w:lang w:val="en" w:eastAsia="en-GB"/>
              </w:rPr>
              <w:t xml:space="preserve">Long Term </w:t>
            </w:r>
            <w:r w:rsidRPr="000E664D">
              <w:rPr>
                <w:rFonts w:ascii="Arial" w:eastAsia="Times New Roman" w:hAnsi="Arial" w:cs="Arial"/>
                <w:sz w:val="24"/>
                <w:szCs w:val="24"/>
                <w:lang w:val="en" w:eastAsia="en-GB"/>
              </w:rPr>
              <w:t xml:space="preserve">– Plans are required to be supported on a </w:t>
            </w:r>
            <w:r w:rsidR="00BD18D3" w:rsidRPr="000E664D">
              <w:rPr>
                <w:rFonts w:ascii="Arial" w:eastAsia="Times New Roman" w:hAnsi="Arial" w:cs="Arial"/>
                <w:sz w:val="24"/>
                <w:szCs w:val="24"/>
                <w:lang w:val="en" w:eastAsia="en-GB"/>
              </w:rPr>
              <w:t>long-term</w:t>
            </w:r>
            <w:r w:rsidRPr="000E664D">
              <w:rPr>
                <w:rFonts w:ascii="Arial" w:eastAsia="Times New Roman" w:hAnsi="Arial" w:cs="Arial"/>
                <w:sz w:val="24"/>
                <w:szCs w:val="24"/>
                <w:lang w:val="en" w:eastAsia="en-GB"/>
              </w:rPr>
              <w:t xml:space="preserve"> basis in order to provide a sustainable Op</w:t>
            </w:r>
            <w:r>
              <w:rPr>
                <w:rFonts w:ascii="Arial" w:eastAsia="Times New Roman" w:hAnsi="Arial" w:cs="Arial"/>
                <w:sz w:val="24"/>
                <w:szCs w:val="24"/>
                <w:lang w:val="en" w:eastAsia="en-GB"/>
              </w:rPr>
              <w:t>h</w:t>
            </w:r>
            <w:r w:rsidRPr="000E664D">
              <w:rPr>
                <w:rFonts w:ascii="Arial" w:eastAsia="Times New Roman" w:hAnsi="Arial" w:cs="Arial"/>
                <w:sz w:val="24"/>
                <w:szCs w:val="24"/>
                <w:lang w:val="en" w:eastAsia="en-GB"/>
              </w:rPr>
              <w:t>thalmology Service where all patients are seen within their target date.</w:t>
            </w:r>
          </w:p>
          <w:p w:rsidR="00B626C3" w:rsidRPr="000E664D" w:rsidRDefault="00B626C3" w:rsidP="00CE3D9B">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0E664D">
              <w:rPr>
                <w:rFonts w:ascii="Arial" w:eastAsia="Times New Roman" w:hAnsi="Arial" w:cs="Arial"/>
                <w:b/>
                <w:bCs/>
                <w:sz w:val="24"/>
                <w:szCs w:val="24"/>
                <w:lang w:val="en" w:eastAsia="en-GB"/>
              </w:rPr>
              <w:t>Prevention</w:t>
            </w:r>
            <w:r w:rsidRPr="000E664D">
              <w:rPr>
                <w:rFonts w:ascii="Arial" w:eastAsia="Times New Roman" w:hAnsi="Arial" w:cs="Arial"/>
                <w:sz w:val="24"/>
                <w:szCs w:val="24"/>
                <w:lang w:val="en" w:eastAsia="en-GB"/>
              </w:rPr>
              <w:t xml:space="preserve"> – Prevention will avoid irreversible sight loss in our patients.</w:t>
            </w:r>
          </w:p>
          <w:p w:rsidR="00B626C3" w:rsidRPr="00A9332D" w:rsidRDefault="00B626C3" w:rsidP="00CE3D9B">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A9332D">
              <w:rPr>
                <w:rFonts w:ascii="Arial" w:eastAsia="Times New Roman" w:hAnsi="Arial" w:cs="Arial"/>
                <w:b/>
                <w:bCs/>
                <w:sz w:val="24"/>
                <w:szCs w:val="24"/>
                <w:lang w:val="en" w:eastAsia="en-GB"/>
              </w:rPr>
              <w:t>Integration -</w:t>
            </w:r>
            <w:r w:rsidRPr="00A9332D">
              <w:rPr>
                <w:rFonts w:ascii="Arial" w:eastAsia="Times New Roman" w:hAnsi="Arial" w:cs="Arial"/>
                <w:sz w:val="24"/>
                <w:szCs w:val="24"/>
                <w:lang w:val="en" w:eastAsia="en-GB"/>
              </w:rPr>
              <w:t xml:space="preserve"> Considering how the public body’s well-being objectives may impact upon each of the well-being goals, on their other objectives, or on the objectives of other public bodies.</w:t>
            </w:r>
          </w:p>
          <w:p w:rsidR="00B626C3" w:rsidRPr="00A9332D" w:rsidRDefault="00B626C3" w:rsidP="00CE3D9B">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A9332D">
              <w:rPr>
                <w:rFonts w:ascii="Arial" w:eastAsia="Times New Roman" w:hAnsi="Arial" w:cs="Arial"/>
                <w:b/>
                <w:bCs/>
                <w:sz w:val="24"/>
                <w:szCs w:val="24"/>
                <w:lang w:val="en" w:eastAsia="en-GB"/>
              </w:rPr>
              <w:t>Collaboration –</w:t>
            </w:r>
            <w:r w:rsidRPr="00A9332D">
              <w:rPr>
                <w:rFonts w:ascii="Arial" w:eastAsia="Times New Roman" w:hAnsi="Arial" w:cs="Arial"/>
                <w:sz w:val="24"/>
                <w:szCs w:val="24"/>
                <w:lang w:val="en" w:eastAsia="en-GB"/>
              </w:rPr>
              <w:t xml:space="preserve"> all Op</w:t>
            </w:r>
            <w:r>
              <w:rPr>
                <w:rFonts w:ascii="Arial" w:eastAsia="Times New Roman" w:hAnsi="Arial" w:cs="Arial"/>
                <w:sz w:val="24"/>
                <w:szCs w:val="24"/>
                <w:lang w:val="en" w:eastAsia="en-GB"/>
              </w:rPr>
              <w:t>h</w:t>
            </w:r>
            <w:r w:rsidRPr="00A9332D">
              <w:rPr>
                <w:rFonts w:ascii="Arial" w:eastAsia="Times New Roman" w:hAnsi="Arial" w:cs="Arial"/>
                <w:sz w:val="24"/>
                <w:szCs w:val="24"/>
                <w:lang w:val="en" w:eastAsia="en-GB"/>
              </w:rPr>
              <w:t xml:space="preserve">thalmology recovery and sustainability plans work in collaboration with Consultants, Doctors, Nurses, Community Optometrists, Orthoptists and our patients to provide the right care, in the right place, at the right time. </w:t>
            </w:r>
          </w:p>
          <w:p w:rsidR="00B626C3" w:rsidRPr="00A9332D" w:rsidRDefault="00B626C3" w:rsidP="00CE3D9B">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A9332D">
              <w:rPr>
                <w:rFonts w:ascii="Arial" w:eastAsia="Times New Roman" w:hAnsi="Arial" w:cs="Arial"/>
                <w:b/>
                <w:bCs/>
                <w:sz w:val="24"/>
                <w:szCs w:val="24"/>
                <w:lang w:val="en" w:eastAsia="en-GB"/>
              </w:rPr>
              <w:t>Involvement -</w:t>
            </w:r>
            <w:r w:rsidRPr="00A9332D">
              <w:rPr>
                <w:rFonts w:ascii="Arial" w:eastAsia="Times New Roman" w:hAnsi="Arial" w:cs="Arial"/>
                <w:sz w:val="24"/>
                <w:szCs w:val="24"/>
                <w:lang w:val="en" w:eastAsia="en-GB"/>
              </w:rPr>
              <w:t xml:space="preserve"> The importance of involving people with an interest in achieving the well-being </w:t>
            </w:r>
            <w:r w:rsidR="00BD18D3" w:rsidRPr="00A9332D">
              <w:rPr>
                <w:rFonts w:ascii="Arial" w:eastAsia="Times New Roman" w:hAnsi="Arial" w:cs="Arial"/>
                <w:sz w:val="24"/>
                <w:szCs w:val="24"/>
                <w:lang w:val="en" w:eastAsia="en-GB"/>
              </w:rPr>
              <w:t>goals and</w:t>
            </w:r>
            <w:r w:rsidRPr="00A9332D">
              <w:rPr>
                <w:rFonts w:ascii="Arial" w:eastAsia="Times New Roman" w:hAnsi="Arial" w:cs="Arial"/>
                <w:sz w:val="24"/>
                <w:szCs w:val="24"/>
                <w:lang w:val="en" w:eastAsia="en-GB"/>
              </w:rPr>
              <w:t xml:space="preserve"> ensuring that those people reflect the diversity of the area which the body serves.</w:t>
            </w:r>
          </w:p>
          <w:p w:rsidR="00B626C3" w:rsidRPr="00FA0CA9" w:rsidRDefault="00B626C3" w:rsidP="00CE3D9B">
            <w:pPr>
              <w:ind w:right="96"/>
              <w:rPr>
                <w:rFonts w:ascii="Arial" w:hAnsi="Arial" w:cs="Arial"/>
                <w:color w:val="FF0000"/>
                <w:sz w:val="24"/>
                <w:szCs w:val="24"/>
              </w:rPr>
            </w:pPr>
          </w:p>
        </w:tc>
      </w:tr>
      <w:tr w:rsidR="00B626C3" w:rsidRPr="00FA0CA9" w:rsidTr="00CE3D9B">
        <w:tc>
          <w:tcPr>
            <w:tcW w:w="2470" w:type="dxa"/>
          </w:tcPr>
          <w:p w:rsidR="00B626C3" w:rsidRPr="00FA0CA9" w:rsidRDefault="00B626C3" w:rsidP="00CE3D9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Pr>
          <w:p w:rsidR="00B626C3" w:rsidRPr="00FA0CA9" w:rsidRDefault="00B626C3" w:rsidP="00CE3D9B">
            <w:pPr>
              <w:ind w:right="96"/>
              <w:rPr>
                <w:rFonts w:ascii="Arial" w:hAnsi="Arial" w:cs="Arial"/>
                <w:color w:val="FF0000"/>
                <w:sz w:val="24"/>
                <w:szCs w:val="24"/>
              </w:rPr>
            </w:pPr>
            <w:r w:rsidRPr="007F0E1E">
              <w:rPr>
                <w:rFonts w:ascii="Arial" w:hAnsi="Arial" w:cs="Arial"/>
                <w:sz w:val="24"/>
                <w:szCs w:val="24"/>
              </w:rPr>
              <w:t>Previous report</w:t>
            </w:r>
            <w:r>
              <w:rPr>
                <w:rFonts w:ascii="Arial" w:hAnsi="Arial" w:cs="Arial"/>
                <w:sz w:val="24"/>
                <w:szCs w:val="24"/>
              </w:rPr>
              <w:t>s</w:t>
            </w:r>
            <w:r w:rsidRPr="007F0E1E">
              <w:rPr>
                <w:rFonts w:ascii="Arial" w:hAnsi="Arial" w:cs="Arial"/>
                <w:sz w:val="24"/>
                <w:szCs w:val="24"/>
              </w:rPr>
              <w:t xml:space="preserve"> provided to</w:t>
            </w:r>
            <w:r w:rsidR="00CE0FA8">
              <w:rPr>
                <w:rFonts w:ascii="Arial" w:hAnsi="Arial" w:cs="Arial"/>
                <w:sz w:val="24"/>
                <w:szCs w:val="24"/>
              </w:rPr>
              <w:t xml:space="preserve"> </w:t>
            </w:r>
            <w:r>
              <w:rPr>
                <w:rFonts w:ascii="Arial" w:hAnsi="Arial" w:cs="Arial"/>
                <w:sz w:val="24"/>
                <w:szCs w:val="24"/>
              </w:rPr>
              <w:t xml:space="preserve">Quality and Safety Committee </w:t>
            </w:r>
            <w:r w:rsidRPr="007F0E1E">
              <w:rPr>
                <w:rFonts w:ascii="Arial" w:hAnsi="Arial" w:cs="Arial"/>
                <w:sz w:val="24"/>
                <w:szCs w:val="24"/>
              </w:rPr>
              <w:t xml:space="preserve"> </w:t>
            </w:r>
          </w:p>
        </w:tc>
      </w:tr>
      <w:tr w:rsidR="00B626C3" w:rsidRPr="00FA0CA9" w:rsidTr="00CE3D9B">
        <w:tc>
          <w:tcPr>
            <w:tcW w:w="2470" w:type="dxa"/>
          </w:tcPr>
          <w:p w:rsidR="00B626C3" w:rsidRPr="00FA0CA9" w:rsidRDefault="00B626C3" w:rsidP="00CE3D9B">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3"/>
          </w:tcPr>
          <w:p w:rsidR="00B626C3" w:rsidRPr="00FA0CA9" w:rsidRDefault="00B626C3" w:rsidP="00CE3D9B">
            <w:pPr>
              <w:ind w:right="96"/>
              <w:rPr>
                <w:rFonts w:ascii="Arial" w:hAnsi="Arial" w:cs="Arial"/>
                <w:color w:val="FF0000"/>
                <w:sz w:val="24"/>
                <w:szCs w:val="24"/>
              </w:rPr>
            </w:pPr>
          </w:p>
        </w:tc>
      </w:tr>
    </w:tbl>
    <w:p w:rsidR="006D6FDE" w:rsidRPr="00405721" w:rsidRDefault="006D6FDE" w:rsidP="00405721">
      <w:pPr>
        <w:spacing w:after="0" w:line="240" w:lineRule="auto"/>
        <w:rPr>
          <w:rFonts w:ascii="Arial" w:hAnsi="Arial" w:cs="Arial"/>
          <w:b/>
          <w:sz w:val="24"/>
          <w:szCs w:val="24"/>
        </w:rPr>
      </w:pPr>
    </w:p>
    <w:sectPr w:rsidR="006D6FDE" w:rsidRPr="00405721" w:rsidSect="00021C60">
      <w:head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61E6" w:rsidRDefault="00F261E6" w:rsidP="00C107F2">
      <w:pPr>
        <w:spacing w:after="0" w:line="240" w:lineRule="auto"/>
      </w:pPr>
      <w:r>
        <w:separator/>
      </w:r>
    </w:p>
  </w:endnote>
  <w:endnote w:type="continuationSeparator" w:id="0">
    <w:p w:rsidR="00F261E6" w:rsidRDefault="00F261E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61E6" w:rsidRDefault="00F261E6" w:rsidP="00C107F2">
      <w:pPr>
        <w:spacing w:after="0" w:line="240" w:lineRule="auto"/>
      </w:pPr>
      <w:r>
        <w:separator/>
      </w:r>
    </w:p>
  </w:footnote>
  <w:footnote w:type="continuationSeparator" w:id="0">
    <w:p w:rsidR="00F261E6" w:rsidRDefault="00F261E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4AFB" w:rsidRDefault="00534AFB">
    <w:pPr>
      <w:pStyle w:val="Header"/>
    </w:pPr>
    <w:r>
      <w:rPr>
        <w:noProof/>
        <w:lang w:eastAsia="en-GB"/>
      </w:rPr>
      <w:drawing>
        <wp:inline distT="0" distB="0" distL="0" distR="0" wp14:anchorId="02A7530D" wp14:editId="6829D60A">
          <wp:extent cx="894435" cy="876300"/>
          <wp:effectExtent l="19050" t="0" r="915" b="0"/>
          <wp:docPr id="481114828" name="Picture 481114828"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 cstate="print"/>
                  <a:stretch>
                    <a:fillRect/>
                  </a:stretch>
                </pic:blipFill>
                <pic:spPr>
                  <a:xfrm>
                    <a:off x="0" y="0"/>
                    <a:ext cx="894435" cy="876300"/>
                  </a:xfrm>
                  <a:prstGeom prst="rect">
                    <a:avLst/>
                  </a:prstGeom>
                </pic:spPr>
              </pic:pic>
            </a:graphicData>
          </a:graphic>
        </wp:inline>
      </w:drawing>
    </w:r>
    <w:r w:rsidR="007A0EC0">
      <w:rPr>
        <w:noProof/>
        <w:lang w:eastAsia="en-GB"/>
      </w:rPr>
      <w:drawing>
        <wp:inline distT="0" distB="0" distL="0" distR="0" wp14:anchorId="0C1DA19A" wp14:editId="05E3CE10">
          <wp:extent cx="2974975" cy="749935"/>
          <wp:effectExtent l="0" t="0" r="0" b="0"/>
          <wp:docPr id="1624123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974975" cy="749935"/>
                  </a:xfrm>
                  <a:prstGeom prst="rect">
                    <a:avLst/>
                  </a:prstGeom>
                  <a:noFill/>
                </pic:spPr>
              </pic:pic>
            </a:graphicData>
          </a:graphic>
        </wp:inline>
      </w:drawing>
    </w:r>
    <w:r w:rsidR="009534EE" w:rsidRPr="0072604C">
      <w:rPr>
        <w:noProof/>
        <w:lang w:eastAsia="en-GB"/>
      </w:rPr>
      <w:drawing>
        <wp:inline distT="0" distB="0" distL="0" distR="0" wp14:anchorId="74C55CF2" wp14:editId="528BA7B9">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3" cstate="print"/>
                  <a:stretch>
                    <a:fillRect/>
                  </a:stretch>
                </pic:blipFill>
                <pic:spPr>
                  <a:xfrm>
                    <a:off x="0" y="0"/>
                    <a:ext cx="898295" cy="8763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A46B9"/>
    <w:multiLevelType w:val="hybridMultilevel"/>
    <w:tmpl w:val="E416B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CF7188"/>
    <w:multiLevelType w:val="hybridMultilevel"/>
    <w:tmpl w:val="7DB4D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9E3F79"/>
    <w:multiLevelType w:val="multilevel"/>
    <w:tmpl w:val="77DE1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BFF446A"/>
    <w:multiLevelType w:val="hybridMultilevel"/>
    <w:tmpl w:val="C2D062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C9C38A8"/>
    <w:multiLevelType w:val="hybridMultilevel"/>
    <w:tmpl w:val="FE049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A9F5322"/>
    <w:multiLevelType w:val="hybridMultilevel"/>
    <w:tmpl w:val="2A626A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2EDC650E"/>
    <w:multiLevelType w:val="hybridMultilevel"/>
    <w:tmpl w:val="3E5EF47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5B64795"/>
    <w:multiLevelType w:val="multilevel"/>
    <w:tmpl w:val="BD829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E004143"/>
    <w:multiLevelType w:val="hybridMultilevel"/>
    <w:tmpl w:val="F1DAB9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69132C"/>
    <w:multiLevelType w:val="hybridMultilevel"/>
    <w:tmpl w:val="61904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DC2D8F"/>
    <w:multiLevelType w:val="hybridMultilevel"/>
    <w:tmpl w:val="51209D6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F9E4688"/>
    <w:multiLevelType w:val="hybridMultilevel"/>
    <w:tmpl w:val="2DC8BAA2"/>
    <w:styleLink w:val="ImportedStyle5"/>
    <w:lvl w:ilvl="0" w:tplc="4A260180">
      <w:start w:val="1"/>
      <w:numFmt w:val="bullet"/>
      <w:lvlText w:val="·"/>
      <w:lvlJc w:val="left"/>
      <w:pPr>
        <w:ind w:left="360" w:hanging="360"/>
      </w:pPr>
      <w:rPr>
        <w:rFonts w:ascii="Symbol" w:eastAsia="Symbol" w:hAnsi="Symbol" w:cs="Symbol"/>
        <w:b w:val="0"/>
        <w:bCs w:val="0"/>
        <w:i w:val="0"/>
        <w:iCs w:val="0"/>
        <w:caps w:val="0"/>
        <w:smallCaps w:val="0"/>
        <w:strike w:val="0"/>
        <w:dstrike w:val="0"/>
        <w:spacing w:val="0"/>
        <w:w w:val="100"/>
        <w:kern w:val="0"/>
        <w:position w:val="0"/>
        <w:highlight w:val="none"/>
        <w:u w:val="none"/>
        <w:effect w:val="none"/>
        <w:vertAlign w:val="baseline"/>
      </w:rPr>
    </w:lvl>
    <w:lvl w:ilvl="1" w:tplc="FACE350E">
      <w:start w:val="1"/>
      <w:numFmt w:val="bullet"/>
      <w:lvlText w:val="o"/>
      <w:lvlJc w:val="left"/>
      <w:pPr>
        <w:ind w:left="108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u w:val="none"/>
        <w:effect w:val="none"/>
        <w:vertAlign w:val="baseline"/>
      </w:rPr>
    </w:lvl>
    <w:lvl w:ilvl="2" w:tplc="E5F0B4B8">
      <w:start w:val="1"/>
      <w:numFmt w:val="bullet"/>
      <w:lvlText w:val="▪"/>
      <w:lvlJc w:val="left"/>
      <w:pPr>
        <w:ind w:left="18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u w:val="none"/>
        <w:effect w:val="none"/>
        <w:vertAlign w:val="baseline"/>
      </w:rPr>
    </w:lvl>
    <w:lvl w:ilvl="3" w:tplc="AB0ECB6A">
      <w:start w:val="1"/>
      <w:numFmt w:val="bullet"/>
      <w:lvlText w:val="·"/>
      <w:lvlJc w:val="left"/>
      <w:pPr>
        <w:ind w:left="2520" w:hanging="360"/>
      </w:pPr>
      <w:rPr>
        <w:rFonts w:ascii="Symbol" w:eastAsia="Symbol" w:hAnsi="Symbol" w:cs="Symbol"/>
        <w:b w:val="0"/>
        <w:bCs w:val="0"/>
        <w:i w:val="0"/>
        <w:iCs w:val="0"/>
        <w:caps w:val="0"/>
        <w:smallCaps w:val="0"/>
        <w:strike w:val="0"/>
        <w:dstrike w:val="0"/>
        <w:spacing w:val="0"/>
        <w:w w:val="100"/>
        <w:kern w:val="0"/>
        <w:position w:val="0"/>
        <w:highlight w:val="none"/>
        <w:u w:val="none"/>
        <w:effect w:val="none"/>
        <w:vertAlign w:val="baseline"/>
      </w:rPr>
    </w:lvl>
    <w:lvl w:ilvl="4" w:tplc="4AA02CF4">
      <w:start w:val="1"/>
      <w:numFmt w:val="bullet"/>
      <w:lvlText w:val="o"/>
      <w:lvlJc w:val="left"/>
      <w:pPr>
        <w:ind w:left="324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u w:val="none"/>
        <w:effect w:val="none"/>
        <w:vertAlign w:val="baseline"/>
      </w:rPr>
    </w:lvl>
    <w:lvl w:ilvl="5" w:tplc="F54278C8">
      <w:start w:val="1"/>
      <w:numFmt w:val="bullet"/>
      <w:lvlText w:val="▪"/>
      <w:lvlJc w:val="left"/>
      <w:pPr>
        <w:ind w:left="396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u w:val="none"/>
        <w:effect w:val="none"/>
        <w:vertAlign w:val="baseline"/>
      </w:rPr>
    </w:lvl>
    <w:lvl w:ilvl="6" w:tplc="FDEC0F56">
      <w:start w:val="1"/>
      <w:numFmt w:val="bullet"/>
      <w:lvlText w:val="·"/>
      <w:lvlJc w:val="left"/>
      <w:pPr>
        <w:ind w:left="4680" w:hanging="360"/>
      </w:pPr>
      <w:rPr>
        <w:rFonts w:ascii="Symbol" w:eastAsia="Symbol" w:hAnsi="Symbol" w:cs="Symbol"/>
        <w:b w:val="0"/>
        <w:bCs w:val="0"/>
        <w:i w:val="0"/>
        <w:iCs w:val="0"/>
        <w:caps w:val="0"/>
        <w:smallCaps w:val="0"/>
        <w:strike w:val="0"/>
        <w:dstrike w:val="0"/>
        <w:spacing w:val="0"/>
        <w:w w:val="100"/>
        <w:kern w:val="0"/>
        <w:position w:val="0"/>
        <w:highlight w:val="none"/>
        <w:u w:val="none"/>
        <w:effect w:val="none"/>
        <w:vertAlign w:val="baseline"/>
      </w:rPr>
    </w:lvl>
    <w:lvl w:ilvl="7" w:tplc="9146C172">
      <w:start w:val="1"/>
      <w:numFmt w:val="bullet"/>
      <w:lvlText w:val="o"/>
      <w:lvlJc w:val="left"/>
      <w:pPr>
        <w:ind w:left="540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u w:val="none"/>
        <w:effect w:val="none"/>
        <w:vertAlign w:val="baseline"/>
      </w:rPr>
    </w:lvl>
    <w:lvl w:ilvl="8" w:tplc="A828A2FC">
      <w:start w:val="1"/>
      <w:numFmt w:val="bullet"/>
      <w:lvlText w:val="▪"/>
      <w:lvlJc w:val="left"/>
      <w:pPr>
        <w:ind w:left="6120" w:hanging="36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u w:val="none"/>
        <w:effect w:val="none"/>
        <w:vertAlign w:val="baseline"/>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7650847"/>
    <w:multiLevelType w:val="hybridMultilevel"/>
    <w:tmpl w:val="97621C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8A44B58"/>
    <w:multiLevelType w:val="hybridMultilevel"/>
    <w:tmpl w:val="778A61F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16A7D1A"/>
    <w:multiLevelType w:val="hybridMultilevel"/>
    <w:tmpl w:val="4DBA7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D74FD3"/>
    <w:multiLevelType w:val="hybridMultilevel"/>
    <w:tmpl w:val="57DAD914"/>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7C81FC5"/>
    <w:multiLevelType w:val="hybridMultilevel"/>
    <w:tmpl w:val="BEA66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6C5C5CC8"/>
    <w:multiLevelType w:val="hybridMultilevel"/>
    <w:tmpl w:val="2DC8BAA2"/>
    <w:numStyleLink w:val="ImportedStyle5"/>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6"/>
  </w:num>
  <w:num w:numId="3">
    <w:abstractNumId w:val="15"/>
  </w:num>
  <w:num w:numId="4">
    <w:abstractNumId w:val="10"/>
  </w:num>
  <w:num w:numId="5">
    <w:abstractNumId w:val="6"/>
  </w:num>
  <w:num w:numId="6">
    <w:abstractNumId w:val="26"/>
  </w:num>
  <w:num w:numId="7">
    <w:abstractNumId w:val="27"/>
  </w:num>
  <w:num w:numId="8">
    <w:abstractNumId w:val="21"/>
  </w:num>
  <w:num w:numId="9">
    <w:abstractNumId w:val="23"/>
  </w:num>
  <w:num w:numId="10">
    <w:abstractNumId w:val="25"/>
  </w:num>
  <w:num w:numId="11">
    <w:abstractNumId w:val="5"/>
  </w:num>
  <w:num w:numId="12">
    <w:abstractNumId w:val="13"/>
  </w:num>
  <w:num w:numId="13">
    <w:abstractNumId w:val="8"/>
  </w:num>
  <w:num w:numId="14">
    <w:abstractNumId w:val="3"/>
  </w:num>
  <w:num w:numId="15">
    <w:abstractNumId w:val="9"/>
  </w:num>
  <w:num w:numId="16">
    <w:abstractNumId w:val="0"/>
  </w:num>
  <w:num w:numId="17">
    <w:abstractNumId w:val="11"/>
  </w:num>
  <w:num w:numId="18">
    <w:abstractNumId w:val="22"/>
  </w:num>
  <w:num w:numId="19">
    <w:abstractNumId w:val="18"/>
  </w:num>
  <w:num w:numId="20">
    <w:abstractNumId w:val="12"/>
  </w:num>
  <w:num w:numId="21">
    <w:abstractNumId w:val="24"/>
  </w:num>
  <w:num w:numId="22">
    <w:abstractNumId w:val="14"/>
  </w:num>
  <w:num w:numId="23">
    <w:abstractNumId w:val="17"/>
  </w:num>
  <w:num w:numId="24">
    <w:abstractNumId w:val="4"/>
  </w:num>
  <w:num w:numId="25">
    <w:abstractNumId w:val="7"/>
  </w:num>
  <w:num w:numId="26">
    <w:abstractNumId w:val="19"/>
  </w:num>
  <w:num w:numId="27">
    <w:abstractNumId w:val="20"/>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464D"/>
    <w:rsid w:val="00006670"/>
    <w:rsid w:val="00021C60"/>
    <w:rsid w:val="00034194"/>
    <w:rsid w:val="0007200C"/>
    <w:rsid w:val="0007205A"/>
    <w:rsid w:val="00080D32"/>
    <w:rsid w:val="00083FC0"/>
    <w:rsid w:val="000A47A9"/>
    <w:rsid w:val="000B35FE"/>
    <w:rsid w:val="000B58BA"/>
    <w:rsid w:val="000F289D"/>
    <w:rsid w:val="000F361B"/>
    <w:rsid w:val="00133EA1"/>
    <w:rsid w:val="001344BA"/>
    <w:rsid w:val="0016096B"/>
    <w:rsid w:val="00182FB4"/>
    <w:rsid w:val="001A274D"/>
    <w:rsid w:val="001B3EA9"/>
    <w:rsid w:val="001F5322"/>
    <w:rsid w:val="00205247"/>
    <w:rsid w:val="0020539A"/>
    <w:rsid w:val="0022731C"/>
    <w:rsid w:val="00233330"/>
    <w:rsid w:val="00241662"/>
    <w:rsid w:val="00285EB6"/>
    <w:rsid w:val="00296CD9"/>
    <w:rsid w:val="002B7D24"/>
    <w:rsid w:val="002C3DD6"/>
    <w:rsid w:val="002D5524"/>
    <w:rsid w:val="002E5910"/>
    <w:rsid w:val="002E5A9A"/>
    <w:rsid w:val="003324CB"/>
    <w:rsid w:val="0033717C"/>
    <w:rsid w:val="00342599"/>
    <w:rsid w:val="00353B31"/>
    <w:rsid w:val="003804AA"/>
    <w:rsid w:val="00393BCE"/>
    <w:rsid w:val="003B75A4"/>
    <w:rsid w:val="003C0FF8"/>
    <w:rsid w:val="003D759A"/>
    <w:rsid w:val="003F4050"/>
    <w:rsid w:val="00405721"/>
    <w:rsid w:val="0041163A"/>
    <w:rsid w:val="00414894"/>
    <w:rsid w:val="00424555"/>
    <w:rsid w:val="00440658"/>
    <w:rsid w:val="004552EE"/>
    <w:rsid w:val="00461835"/>
    <w:rsid w:val="0052297E"/>
    <w:rsid w:val="00534AFB"/>
    <w:rsid w:val="005622B9"/>
    <w:rsid w:val="00577444"/>
    <w:rsid w:val="00584698"/>
    <w:rsid w:val="00585277"/>
    <w:rsid w:val="005B1746"/>
    <w:rsid w:val="005B5D97"/>
    <w:rsid w:val="005C23B3"/>
    <w:rsid w:val="005D1652"/>
    <w:rsid w:val="00611313"/>
    <w:rsid w:val="006200AC"/>
    <w:rsid w:val="00624F0F"/>
    <w:rsid w:val="00643A98"/>
    <w:rsid w:val="00653AEC"/>
    <w:rsid w:val="00655190"/>
    <w:rsid w:val="00662218"/>
    <w:rsid w:val="006633DE"/>
    <w:rsid w:val="00685AE0"/>
    <w:rsid w:val="006D1998"/>
    <w:rsid w:val="006D39A9"/>
    <w:rsid w:val="006D6FDE"/>
    <w:rsid w:val="006E2BA1"/>
    <w:rsid w:val="00711095"/>
    <w:rsid w:val="007149B1"/>
    <w:rsid w:val="00716A65"/>
    <w:rsid w:val="00720F7F"/>
    <w:rsid w:val="0072604C"/>
    <w:rsid w:val="00735363"/>
    <w:rsid w:val="00762BBE"/>
    <w:rsid w:val="0076491E"/>
    <w:rsid w:val="007733E2"/>
    <w:rsid w:val="00787829"/>
    <w:rsid w:val="007A0EC0"/>
    <w:rsid w:val="007E54EC"/>
    <w:rsid w:val="008207BE"/>
    <w:rsid w:val="00840F11"/>
    <w:rsid w:val="008A4C83"/>
    <w:rsid w:val="008B08A8"/>
    <w:rsid w:val="008B48A6"/>
    <w:rsid w:val="008C12C7"/>
    <w:rsid w:val="008C15D9"/>
    <w:rsid w:val="008C5D93"/>
    <w:rsid w:val="008C787B"/>
    <w:rsid w:val="008D0747"/>
    <w:rsid w:val="009112DC"/>
    <w:rsid w:val="009534EE"/>
    <w:rsid w:val="00971DF4"/>
    <w:rsid w:val="00997553"/>
    <w:rsid w:val="009B07DD"/>
    <w:rsid w:val="009C41A5"/>
    <w:rsid w:val="009E7AF7"/>
    <w:rsid w:val="00A170CC"/>
    <w:rsid w:val="00A73034"/>
    <w:rsid w:val="00AA0AFC"/>
    <w:rsid w:val="00AD064D"/>
    <w:rsid w:val="00AD536D"/>
    <w:rsid w:val="00AE65FB"/>
    <w:rsid w:val="00B20649"/>
    <w:rsid w:val="00B20E9A"/>
    <w:rsid w:val="00B34B7D"/>
    <w:rsid w:val="00B35ECC"/>
    <w:rsid w:val="00B452C9"/>
    <w:rsid w:val="00B626C3"/>
    <w:rsid w:val="00B82009"/>
    <w:rsid w:val="00B90770"/>
    <w:rsid w:val="00BA3092"/>
    <w:rsid w:val="00BA62CC"/>
    <w:rsid w:val="00BC241D"/>
    <w:rsid w:val="00BD18D3"/>
    <w:rsid w:val="00C01F7B"/>
    <w:rsid w:val="00C107F2"/>
    <w:rsid w:val="00C33A04"/>
    <w:rsid w:val="00C500A8"/>
    <w:rsid w:val="00C558DB"/>
    <w:rsid w:val="00C62579"/>
    <w:rsid w:val="00C95B3C"/>
    <w:rsid w:val="00CA0302"/>
    <w:rsid w:val="00CD7AA5"/>
    <w:rsid w:val="00CE0FA8"/>
    <w:rsid w:val="00D069A0"/>
    <w:rsid w:val="00D201EC"/>
    <w:rsid w:val="00D25AF1"/>
    <w:rsid w:val="00D27D48"/>
    <w:rsid w:val="00D53CC7"/>
    <w:rsid w:val="00D561D4"/>
    <w:rsid w:val="00D73FB8"/>
    <w:rsid w:val="00DA3F11"/>
    <w:rsid w:val="00DA76AD"/>
    <w:rsid w:val="00DF4162"/>
    <w:rsid w:val="00E061CF"/>
    <w:rsid w:val="00E242E5"/>
    <w:rsid w:val="00E31FDE"/>
    <w:rsid w:val="00E9313C"/>
    <w:rsid w:val="00EB7B2C"/>
    <w:rsid w:val="00F06D6F"/>
    <w:rsid w:val="00F103B7"/>
    <w:rsid w:val="00F11CD2"/>
    <w:rsid w:val="00F261E6"/>
    <w:rsid w:val="00F338C7"/>
    <w:rsid w:val="00F5082D"/>
    <w:rsid w:val="00F531BD"/>
    <w:rsid w:val="00F5324A"/>
    <w:rsid w:val="00F57042"/>
    <w:rsid w:val="00F57C68"/>
    <w:rsid w:val="00F81078"/>
    <w:rsid w:val="00F84B2F"/>
    <w:rsid w:val="00F86CAB"/>
    <w:rsid w:val="00FA0CA9"/>
    <w:rsid w:val="00FA0EC0"/>
    <w:rsid w:val="00FA6D96"/>
    <w:rsid w:val="00FF0C7E"/>
    <w:rsid w:val="019A54F2"/>
    <w:rsid w:val="06A13233"/>
    <w:rsid w:val="0AB720F3"/>
    <w:rsid w:val="0C249E4A"/>
    <w:rsid w:val="12821BF5"/>
    <w:rsid w:val="21E8CDCD"/>
    <w:rsid w:val="4F3E6A66"/>
    <w:rsid w:val="5963DA6E"/>
    <w:rsid w:val="6A6DC1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7E54EC"/>
    <w:pPr>
      <w:spacing w:after="0" w:line="240" w:lineRule="auto"/>
    </w:p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8B48A6"/>
  </w:style>
  <w:style w:type="paragraph" w:customStyle="1" w:styleId="paragraph">
    <w:name w:val="paragraph"/>
    <w:basedOn w:val="Normal"/>
    <w:rsid w:val="000A47A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0A47A9"/>
  </w:style>
  <w:style w:type="character" w:customStyle="1" w:styleId="eop">
    <w:name w:val="eop"/>
    <w:basedOn w:val="DefaultParagraphFont"/>
    <w:rsid w:val="000A47A9"/>
  </w:style>
  <w:style w:type="numbering" w:customStyle="1" w:styleId="ImportedStyle5">
    <w:name w:val="Imported Style 5"/>
    <w:rsid w:val="006200AC"/>
    <w:pPr>
      <w:numPr>
        <w:numId w:val="2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17407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67366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chart" Target="charts/chart5.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s>
</file>

<file path=word/_rels/header1.xml.rels><?xml version="1.0" encoding="UTF-8" standalone="yes"?>
<Relationships xmlns="http://schemas.openxmlformats.org/package/2006/relationships"><Relationship Id="rId3" Type="http://schemas.openxmlformats.org/officeDocument/2006/relationships/image" Target="media/image4.jpeg"/><Relationship Id="rId2" Type="http://schemas.openxmlformats.org/officeDocument/2006/relationships/image" Target="media/image3.png"/><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embeddings/oleObject3.bin"/><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r>
              <a:rPr lang="en-GB"/>
              <a:t>FUNB Backlog</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'C19 performance impact'!$A$13</c:f>
              <c:strCache>
                <c:ptCount val="1"/>
                <c:pt idx="0">
                  <c:v>R1</c:v>
                </c:pt>
              </c:strCache>
            </c:strRef>
          </c:tx>
          <c:spPr>
            <a:ln w="28575" cap="rnd">
              <a:solidFill>
                <a:schemeClr val="accent1"/>
              </a:solidFill>
              <a:round/>
            </a:ln>
            <a:effectLst/>
          </c:spPr>
          <c:marker>
            <c:symbol val="none"/>
          </c:marker>
          <c:cat>
            <c:numRef>
              <c:f>'C19 performance impact'!$C$12:$V$12</c:f>
              <c:numCache>
                <c:formatCode>mmm\-yy</c:formatCode>
                <c:ptCount val="20"/>
                <c:pt idx="0">
                  <c:v>43891</c:v>
                </c:pt>
                <c:pt idx="1">
                  <c:v>43922</c:v>
                </c:pt>
                <c:pt idx="2">
                  <c:v>43952</c:v>
                </c:pt>
                <c:pt idx="3">
                  <c:v>43983</c:v>
                </c:pt>
                <c:pt idx="4">
                  <c:v>44013</c:v>
                </c:pt>
                <c:pt idx="5">
                  <c:v>44044</c:v>
                </c:pt>
                <c:pt idx="6">
                  <c:v>44075</c:v>
                </c:pt>
                <c:pt idx="7">
                  <c:v>44105</c:v>
                </c:pt>
                <c:pt idx="8">
                  <c:v>44136</c:v>
                </c:pt>
                <c:pt idx="9">
                  <c:v>44166</c:v>
                </c:pt>
                <c:pt idx="10">
                  <c:v>44197</c:v>
                </c:pt>
                <c:pt idx="11">
                  <c:v>44228</c:v>
                </c:pt>
                <c:pt idx="12">
                  <c:v>44256</c:v>
                </c:pt>
                <c:pt idx="13">
                  <c:v>44287</c:v>
                </c:pt>
                <c:pt idx="14">
                  <c:v>44317</c:v>
                </c:pt>
                <c:pt idx="15">
                  <c:v>44348</c:v>
                </c:pt>
                <c:pt idx="16">
                  <c:v>44378</c:v>
                </c:pt>
                <c:pt idx="17">
                  <c:v>44409</c:v>
                </c:pt>
                <c:pt idx="18">
                  <c:v>44440</c:v>
                </c:pt>
                <c:pt idx="19">
                  <c:v>44470</c:v>
                </c:pt>
              </c:numCache>
            </c:numRef>
          </c:cat>
          <c:val>
            <c:numRef>
              <c:f>'C19 performance impact'!$B$13:$V$13</c:f>
              <c:numCache>
                <c:formatCode>General</c:formatCode>
                <c:ptCount val="20"/>
                <c:pt idx="0">
                  <c:v>4265</c:v>
                </c:pt>
                <c:pt idx="1">
                  <c:v>5823</c:v>
                </c:pt>
                <c:pt idx="2">
                  <c:v>6454</c:v>
                </c:pt>
                <c:pt idx="3">
                  <c:v>6301</c:v>
                </c:pt>
                <c:pt idx="4">
                  <c:v>7266</c:v>
                </c:pt>
                <c:pt idx="5">
                  <c:v>7563</c:v>
                </c:pt>
                <c:pt idx="6">
                  <c:v>7933</c:v>
                </c:pt>
                <c:pt idx="7">
                  <c:v>7965</c:v>
                </c:pt>
                <c:pt idx="8">
                  <c:v>8172</c:v>
                </c:pt>
                <c:pt idx="9">
                  <c:v>8261</c:v>
                </c:pt>
                <c:pt idx="10">
                  <c:v>8255</c:v>
                </c:pt>
                <c:pt idx="11">
                  <c:v>8385</c:v>
                </c:pt>
                <c:pt idx="12">
                  <c:v>8136</c:v>
                </c:pt>
                <c:pt idx="13">
                  <c:v>8027</c:v>
                </c:pt>
                <c:pt idx="14">
                  <c:v>8213</c:v>
                </c:pt>
                <c:pt idx="15">
                  <c:v>8194</c:v>
                </c:pt>
                <c:pt idx="16">
                  <c:v>8344</c:v>
                </c:pt>
                <c:pt idx="17">
                  <c:v>8473</c:v>
                </c:pt>
                <c:pt idx="18">
                  <c:v>8281</c:v>
                </c:pt>
                <c:pt idx="19">
                  <c:v>8103</c:v>
                </c:pt>
              </c:numCache>
            </c:numRef>
          </c:val>
          <c:smooth val="0"/>
          <c:extLst>
            <c:ext xmlns:c16="http://schemas.microsoft.com/office/drawing/2014/chart" uri="{C3380CC4-5D6E-409C-BE32-E72D297353CC}">
              <c16:uniqueId val="{00000000-FC51-469A-96B2-3EB2A6C2BCA9}"/>
            </c:ext>
          </c:extLst>
        </c:ser>
        <c:ser>
          <c:idx val="1"/>
          <c:order val="1"/>
          <c:tx>
            <c:strRef>
              <c:f>'C19 performance impact'!$A$14</c:f>
              <c:strCache>
                <c:ptCount val="1"/>
                <c:pt idx="0">
                  <c:v>R2 </c:v>
                </c:pt>
              </c:strCache>
            </c:strRef>
          </c:tx>
          <c:spPr>
            <a:ln w="28575" cap="rnd">
              <a:solidFill>
                <a:schemeClr val="accent2"/>
              </a:solidFill>
              <a:round/>
            </a:ln>
            <a:effectLst/>
          </c:spPr>
          <c:marker>
            <c:symbol val="none"/>
          </c:marker>
          <c:cat>
            <c:numRef>
              <c:f>'C19 performance impact'!$C$12:$V$12</c:f>
              <c:numCache>
                <c:formatCode>mmm\-yy</c:formatCode>
                <c:ptCount val="20"/>
                <c:pt idx="0">
                  <c:v>43891</c:v>
                </c:pt>
                <c:pt idx="1">
                  <c:v>43922</c:v>
                </c:pt>
                <c:pt idx="2">
                  <c:v>43952</c:v>
                </c:pt>
                <c:pt idx="3">
                  <c:v>43983</c:v>
                </c:pt>
                <c:pt idx="4">
                  <c:v>44013</c:v>
                </c:pt>
                <c:pt idx="5">
                  <c:v>44044</c:v>
                </c:pt>
                <c:pt idx="6">
                  <c:v>44075</c:v>
                </c:pt>
                <c:pt idx="7">
                  <c:v>44105</c:v>
                </c:pt>
                <c:pt idx="8">
                  <c:v>44136</c:v>
                </c:pt>
                <c:pt idx="9">
                  <c:v>44166</c:v>
                </c:pt>
                <c:pt idx="10">
                  <c:v>44197</c:v>
                </c:pt>
                <c:pt idx="11">
                  <c:v>44228</c:v>
                </c:pt>
                <c:pt idx="12">
                  <c:v>44256</c:v>
                </c:pt>
                <c:pt idx="13">
                  <c:v>44287</c:v>
                </c:pt>
                <c:pt idx="14">
                  <c:v>44317</c:v>
                </c:pt>
                <c:pt idx="15">
                  <c:v>44348</c:v>
                </c:pt>
                <c:pt idx="16">
                  <c:v>44378</c:v>
                </c:pt>
                <c:pt idx="17">
                  <c:v>44409</c:v>
                </c:pt>
                <c:pt idx="18">
                  <c:v>44440</c:v>
                </c:pt>
                <c:pt idx="19">
                  <c:v>44470</c:v>
                </c:pt>
              </c:numCache>
            </c:numRef>
          </c:cat>
          <c:val>
            <c:numRef>
              <c:f>'C19 performance impact'!$B$14:$V$14</c:f>
              <c:numCache>
                <c:formatCode>General</c:formatCode>
                <c:ptCount val="20"/>
                <c:pt idx="0">
                  <c:v>201</c:v>
                </c:pt>
                <c:pt idx="1">
                  <c:v>219</c:v>
                </c:pt>
                <c:pt idx="2">
                  <c:v>263</c:v>
                </c:pt>
                <c:pt idx="3">
                  <c:v>245</c:v>
                </c:pt>
                <c:pt idx="4">
                  <c:v>271</c:v>
                </c:pt>
                <c:pt idx="5">
                  <c:v>296</c:v>
                </c:pt>
                <c:pt idx="6">
                  <c:v>319</c:v>
                </c:pt>
                <c:pt idx="7">
                  <c:v>315</c:v>
                </c:pt>
                <c:pt idx="8">
                  <c:v>319</c:v>
                </c:pt>
                <c:pt idx="9">
                  <c:v>328</c:v>
                </c:pt>
                <c:pt idx="10">
                  <c:v>327</c:v>
                </c:pt>
                <c:pt idx="11">
                  <c:v>338</c:v>
                </c:pt>
                <c:pt idx="12">
                  <c:v>336</c:v>
                </c:pt>
                <c:pt idx="13">
                  <c:v>330</c:v>
                </c:pt>
                <c:pt idx="14">
                  <c:v>332</c:v>
                </c:pt>
                <c:pt idx="15">
                  <c:v>331</c:v>
                </c:pt>
                <c:pt idx="16">
                  <c:v>330</c:v>
                </c:pt>
                <c:pt idx="17">
                  <c:v>329</c:v>
                </c:pt>
                <c:pt idx="18">
                  <c:v>316</c:v>
                </c:pt>
                <c:pt idx="19">
                  <c:v>317</c:v>
                </c:pt>
              </c:numCache>
            </c:numRef>
          </c:val>
          <c:smooth val="0"/>
          <c:extLst>
            <c:ext xmlns:c16="http://schemas.microsoft.com/office/drawing/2014/chart" uri="{C3380CC4-5D6E-409C-BE32-E72D297353CC}">
              <c16:uniqueId val="{00000001-FC51-469A-96B2-3EB2A6C2BCA9}"/>
            </c:ext>
          </c:extLst>
        </c:ser>
        <c:ser>
          <c:idx val="2"/>
          <c:order val="2"/>
          <c:tx>
            <c:strRef>
              <c:f>'C19 performance impact'!$A$15</c:f>
              <c:strCache>
                <c:ptCount val="1"/>
                <c:pt idx="0">
                  <c:v>R3 </c:v>
                </c:pt>
              </c:strCache>
            </c:strRef>
          </c:tx>
          <c:spPr>
            <a:ln w="28575" cap="rnd">
              <a:solidFill>
                <a:schemeClr val="accent3"/>
              </a:solidFill>
              <a:round/>
            </a:ln>
            <a:effectLst/>
          </c:spPr>
          <c:marker>
            <c:symbol val="none"/>
          </c:marker>
          <c:cat>
            <c:numRef>
              <c:f>'C19 performance impact'!$C$12:$V$12</c:f>
              <c:numCache>
                <c:formatCode>mmm\-yy</c:formatCode>
                <c:ptCount val="20"/>
                <c:pt idx="0">
                  <c:v>43891</c:v>
                </c:pt>
                <c:pt idx="1">
                  <c:v>43922</c:v>
                </c:pt>
                <c:pt idx="2">
                  <c:v>43952</c:v>
                </c:pt>
                <c:pt idx="3">
                  <c:v>43983</c:v>
                </c:pt>
                <c:pt idx="4">
                  <c:v>44013</c:v>
                </c:pt>
                <c:pt idx="5">
                  <c:v>44044</c:v>
                </c:pt>
                <c:pt idx="6">
                  <c:v>44075</c:v>
                </c:pt>
                <c:pt idx="7">
                  <c:v>44105</c:v>
                </c:pt>
                <c:pt idx="8">
                  <c:v>44136</c:v>
                </c:pt>
                <c:pt idx="9">
                  <c:v>44166</c:v>
                </c:pt>
                <c:pt idx="10">
                  <c:v>44197</c:v>
                </c:pt>
                <c:pt idx="11">
                  <c:v>44228</c:v>
                </c:pt>
                <c:pt idx="12">
                  <c:v>44256</c:v>
                </c:pt>
                <c:pt idx="13">
                  <c:v>44287</c:v>
                </c:pt>
                <c:pt idx="14">
                  <c:v>44317</c:v>
                </c:pt>
                <c:pt idx="15">
                  <c:v>44348</c:v>
                </c:pt>
                <c:pt idx="16">
                  <c:v>44378</c:v>
                </c:pt>
                <c:pt idx="17">
                  <c:v>44409</c:v>
                </c:pt>
                <c:pt idx="18">
                  <c:v>44440</c:v>
                </c:pt>
                <c:pt idx="19">
                  <c:v>44470</c:v>
                </c:pt>
              </c:numCache>
            </c:numRef>
          </c:cat>
          <c:val>
            <c:numRef>
              <c:f>'C19 performance impact'!$B$15:$V$15</c:f>
              <c:numCache>
                <c:formatCode>General</c:formatCode>
                <c:ptCount val="20"/>
                <c:pt idx="0">
                  <c:v>30</c:v>
                </c:pt>
                <c:pt idx="1">
                  <c:v>40</c:v>
                </c:pt>
                <c:pt idx="2">
                  <c:v>43</c:v>
                </c:pt>
                <c:pt idx="3">
                  <c:v>46</c:v>
                </c:pt>
                <c:pt idx="4">
                  <c:v>45</c:v>
                </c:pt>
                <c:pt idx="5">
                  <c:v>45</c:v>
                </c:pt>
                <c:pt idx="6">
                  <c:v>38</c:v>
                </c:pt>
                <c:pt idx="7">
                  <c:v>33</c:v>
                </c:pt>
                <c:pt idx="8">
                  <c:v>34</c:v>
                </c:pt>
                <c:pt idx="9">
                  <c:v>36</c:v>
                </c:pt>
                <c:pt idx="10">
                  <c:v>39</c:v>
                </c:pt>
                <c:pt idx="11">
                  <c:v>41</c:v>
                </c:pt>
                <c:pt idx="12">
                  <c:v>44</c:v>
                </c:pt>
                <c:pt idx="13">
                  <c:v>46</c:v>
                </c:pt>
                <c:pt idx="14">
                  <c:v>49</c:v>
                </c:pt>
                <c:pt idx="15">
                  <c:v>45</c:v>
                </c:pt>
                <c:pt idx="16">
                  <c:v>46</c:v>
                </c:pt>
                <c:pt idx="17">
                  <c:v>45</c:v>
                </c:pt>
                <c:pt idx="18">
                  <c:v>44</c:v>
                </c:pt>
                <c:pt idx="19">
                  <c:v>46</c:v>
                </c:pt>
              </c:numCache>
            </c:numRef>
          </c:val>
          <c:smooth val="0"/>
          <c:extLst>
            <c:ext xmlns:c16="http://schemas.microsoft.com/office/drawing/2014/chart" uri="{C3380CC4-5D6E-409C-BE32-E72D297353CC}">
              <c16:uniqueId val="{00000002-FC51-469A-96B2-3EB2A6C2BCA9}"/>
            </c:ext>
          </c:extLst>
        </c:ser>
        <c:ser>
          <c:idx val="3"/>
          <c:order val="3"/>
          <c:tx>
            <c:strRef>
              <c:f>'C19 performance impact'!$A$16</c:f>
              <c:strCache>
                <c:ptCount val="1"/>
                <c:pt idx="0">
                  <c:v>total follow ups over clinical target</c:v>
                </c:pt>
              </c:strCache>
            </c:strRef>
          </c:tx>
          <c:spPr>
            <a:ln w="28575" cap="rnd">
              <a:solidFill>
                <a:schemeClr val="accent4"/>
              </a:solidFill>
              <a:round/>
            </a:ln>
            <a:effectLst/>
          </c:spPr>
          <c:marker>
            <c:symbol val="none"/>
          </c:marker>
          <c:dLbls>
            <c:dLbl>
              <c:idx val="19"/>
              <c:layout>
                <c:manualLayout>
                  <c:x val="-1.1814167006872274E-2"/>
                  <c:y val="-7.116593873712755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C51-469A-96B2-3EB2A6C2BCA9}"/>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'C19 performance impact'!$C$12:$V$12</c:f>
              <c:numCache>
                <c:formatCode>mmm\-yy</c:formatCode>
                <c:ptCount val="20"/>
                <c:pt idx="0">
                  <c:v>43891</c:v>
                </c:pt>
                <c:pt idx="1">
                  <c:v>43922</c:v>
                </c:pt>
                <c:pt idx="2">
                  <c:v>43952</c:v>
                </c:pt>
                <c:pt idx="3">
                  <c:v>43983</c:v>
                </c:pt>
                <c:pt idx="4">
                  <c:v>44013</c:v>
                </c:pt>
                <c:pt idx="5">
                  <c:v>44044</c:v>
                </c:pt>
                <c:pt idx="6">
                  <c:v>44075</c:v>
                </c:pt>
                <c:pt idx="7">
                  <c:v>44105</c:v>
                </c:pt>
                <c:pt idx="8">
                  <c:v>44136</c:v>
                </c:pt>
                <c:pt idx="9">
                  <c:v>44166</c:v>
                </c:pt>
                <c:pt idx="10">
                  <c:v>44197</c:v>
                </c:pt>
                <c:pt idx="11">
                  <c:v>44228</c:v>
                </c:pt>
                <c:pt idx="12">
                  <c:v>44256</c:v>
                </c:pt>
                <c:pt idx="13">
                  <c:v>44287</c:v>
                </c:pt>
                <c:pt idx="14">
                  <c:v>44317</c:v>
                </c:pt>
                <c:pt idx="15">
                  <c:v>44348</c:v>
                </c:pt>
                <c:pt idx="16">
                  <c:v>44378</c:v>
                </c:pt>
                <c:pt idx="17">
                  <c:v>44409</c:v>
                </c:pt>
                <c:pt idx="18">
                  <c:v>44440</c:v>
                </c:pt>
                <c:pt idx="19">
                  <c:v>44470</c:v>
                </c:pt>
              </c:numCache>
            </c:numRef>
          </c:cat>
          <c:val>
            <c:numRef>
              <c:f>'C19 performance impact'!$B$16:$V$16</c:f>
              <c:numCache>
                <c:formatCode>General</c:formatCode>
                <c:ptCount val="20"/>
                <c:pt idx="0">
                  <c:v>4496</c:v>
                </c:pt>
                <c:pt idx="1">
                  <c:v>6082</c:v>
                </c:pt>
                <c:pt idx="2">
                  <c:v>6760</c:v>
                </c:pt>
                <c:pt idx="3">
                  <c:v>6592</c:v>
                </c:pt>
                <c:pt idx="4">
                  <c:v>7582</c:v>
                </c:pt>
                <c:pt idx="5">
                  <c:v>7904</c:v>
                </c:pt>
                <c:pt idx="6">
                  <c:v>8290</c:v>
                </c:pt>
                <c:pt idx="7">
                  <c:v>8313</c:v>
                </c:pt>
                <c:pt idx="8">
                  <c:v>8525</c:v>
                </c:pt>
                <c:pt idx="9">
                  <c:v>8625</c:v>
                </c:pt>
                <c:pt idx="10">
                  <c:v>8621</c:v>
                </c:pt>
                <c:pt idx="11">
                  <c:v>8764</c:v>
                </c:pt>
                <c:pt idx="12">
                  <c:v>8516</c:v>
                </c:pt>
                <c:pt idx="13">
                  <c:v>8403</c:v>
                </c:pt>
                <c:pt idx="14">
                  <c:v>8594</c:v>
                </c:pt>
                <c:pt idx="15">
                  <c:v>8570</c:v>
                </c:pt>
                <c:pt idx="16">
                  <c:v>8720</c:v>
                </c:pt>
                <c:pt idx="17">
                  <c:v>8847</c:v>
                </c:pt>
                <c:pt idx="18">
                  <c:v>8641</c:v>
                </c:pt>
                <c:pt idx="19">
                  <c:v>8466</c:v>
                </c:pt>
              </c:numCache>
            </c:numRef>
          </c:val>
          <c:smooth val="0"/>
          <c:extLst>
            <c:ext xmlns:c16="http://schemas.microsoft.com/office/drawing/2014/chart" uri="{C3380CC4-5D6E-409C-BE32-E72D297353CC}">
              <c16:uniqueId val="{00000004-FC51-469A-96B2-3EB2A6C2BCA9}"/>
            </c:ext>
          </c:extLst>
        </c:ser>
        <c:dLbls>
          <c:showLegendKey val="0"/>
          <c:showVal val="0"/>
          <c:showCatName val="0"/>
          <c:showSerName val="0"/>
          <c:showPercent val="0"/>
          <c:showBubbleSize val="0"/>
        </c:dLbls>
        <c:smooth val="0"/>
        <c:axId val="785291680"/>
        <c:axId val="785296600"/>
      </c:lineChart>
      <c:dateAx>
        <c:axId val="78529168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785296600"/>
        <c:crosses val="autoZero"/>
        <c:auto val="1"/>
        <c:lblOffset val="100"/>
        <c:baseTimeUnit val="months"/>
      </c:dateAx>
      <c:valAx>
        <c:axId val="785296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785291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200"/>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20" b="0" i="0" u="none" strike="noStrike" kern="1200" spc="0" baseline="0">
                <a:solidFill>
                  <a:schemeClr val="tx1">
                    <a:lumMod val="65000"/>
                    <a:lumOff val="35000"/>
                  </a:schemeClr>
                </a:solidFill>
                <a:latin typeface="+mn-lt"/>
                <a:ea typeface="+mn-ea"/>
                <a:cs typeface="+mn-cs"/>
              </a:defRPr>
            </a:pPr>
            <a:r>
              <a:rPr lang="en-GB"/>
              <a:t>FUNB Backlog</a:t>
            </a:r>
          </a:p>
        </c:rich>
      </c:tx>
      <c:overlay val="0"/>
      <c:spPr>
        <a:noFill/>
        <a:ln>
          <a:noFill/>
        </a:ln>
        <a:effectLst/>
      </c:spPr>
      <c:txPr>
        <a:bodyPr rot="0" spcFirstLastPara="1" vertOverflow="ellipsis" vert="horz" wrap="square" anchor="ctr" anchorCtr="1"/>
        <a:lstStyle/>
        <a:p>
          <a:pPr>
            <a:defRPr sz="132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0206299682646761"/>
          <c:y val="0.15319434199819681"/>
          <c:w val="0.87456382333690708"/>
          <c:h val="0.45651802124243068"/>
        </c:manualLayout>
      </c:layout>
      <c:barChart>
        <c:barDir val="col"/>
        <c:grouping val="clustered"/>
        <c:varyColors val="0"/>
        <c:ser>
          <c:idx val="0"/>
          <c:order val="0"/>
          <c:tx>
            <c:strRef>
              <c:f>'C19 performance impact'!$A$13</c:f>
              <c:strCache>
                <c:ptCount val="1"/>
                <c:pt idx="0">
                  <c:v>R1</c:v>
                </c:pt>
              </c:strCache>
            </c:strRef>
          </c:tx>
          <c:spPr>
            <a:solidFill>
              <a:schemeClr val="accent1"/>
            </a:solidFill>
            <a:ln>
              <a:noFill/>
            </a:ln>
            <a:effectLst/>
          </c:spPr>
          <c:invertIfNegative val="0"/>
          <c:cat>
            <c:numRef>
              <c:f>'C19 performance impact'!$Y$12:$AR$12</c:f>
              <c:numCache>
                <c:formatCode>mmm\-yy</c:formatCode>
                <c:ptCount val="20"/>
                <c:pt idx="0">
                  <c:v>44562</c:v>
                </c:pt>
                <c:pt idx="1">
                  <c:v>44593</c:v>
                </c:pt>
                <c:pt idx="2">
                  <c:v>44621</c:v>
                </c:pt>
                <c:pt idx="3">
                  <c:v>44652</c:v>
                </c:pt>
                <c:pt idx="4">
                  <c:v>44682</c:v>
                </c:pt>
                <c:pt idx="5">
                  <c:v>44713</c:v>
                </c:pt>
                <c:pt idx="6">
                  <c:v>44743</c:v>
                </c:pt>
                <c:pt idx="7">
                  <c:v>44774</c:v>
                </c:pt>
                <c:pt idx="8">
                  <c:v>44805</c:v>
                </c:pt>
                <c:pt idx="9">
                  <c:v>44835</c:v>
                </c:pt>
                <c:pt idx="10">
                  <c:v>44866</c:v>
                </c:pt>
                <c:pt idx="11">
                  <c:v>44896</c:v>
                </c:pt>
                <c:pt idx="12">
                  <c:v>44927</c:v>
                </c:pt>
                <c:pt idx="13">
                  <c:v>44958</c:v>
                </c:pt>
                <c:pt idx="14">
                  <c:v>44986</c:v>
                </c:pt>
                <c:pt idx="15">
                  <c:v>45017</c:v>
                </c:pt>
                <c:pt idx="16">
                  <c:v>45047</c:v>
                </c:pt>
                <c:pt idx="17">
                  <c:v>45078</c:v>
                </c:pt>
                <c:pt idx="18">
                  <c:v>45108</c:v>
                </c:pt>
                <c:pt idx="19">
                  <c:v>45139</c:v>
                </c:pt>
              </c:numCache>
            </c:numRef>
          </c:cat>
          <c:val>
            <c:numRef>
              <c:f>'C19 performance impact'!$B$13:$AR$13</c:f>
              <c:numCache>
                <c:formatCode>General</c:formatCode>
                <c:ptCount val="20"/>
                <c:pt idx="0">
                  <c:v>7937</c:v>
                </c:pt>
                <c:pt idx="1">
                  <c:v>7845</c:v>
                </c:pt>
                <c:pt idx="2">
                  <c:v>7746</c:v>
                </c:pt>
                <c:pt idx="3">
                  <c:v>7488</c:v>
                </c:pt>
                <c:pt idx="4">
                  <c:v>7334</c:v>
                </c:pt>
                <c:pt idx="5">
                  <c:v>7552</c:v>
                </c:pt>
                <c:pt idx="6">
                  <c:v>7371</c:v>
                </c:pt>
                <c:pt idx="7">
                  <c:v>7049</c:v>
                </c:pt>
                <c:pt idx="8">
                  <c:v>6894</c:v>
                </c:pt>
                <c:pt idx="9">
                  <c:v>6755</c:v>
                </c:pt>
                <c:pt idx="10">
                  <c:v>7025</c:v>
                </c:pt>
                <c:pt idx="11">
                  <c:v>7318</c:v>
                </c:pt>
                <c:pt idx="12">
                  <c:v>7142</c:v>
                </c:pt>
                <c:pt idx="13">
                  <c:v>6959</c:v>
                </c:pt>
                <c:pt idx="14">
                  <c:v>7042</c:v>
                </c:pt>
                <c:pt idx="15">
                  <c:v>7303</c:v>
                </c:pt>
                <c:pt idx="16">
                  <c:v>7240</c:v>
                </c:pt>
                <c:pt idx="17">
                  <c:v>6958</c:v>
                </c:pt>
                <c:pt idx="18">
                  <c:v>6496</c:v>
                </c:pt>
                <c:pt idx="19">
                  <c:v>5963</c:v>
                </c:pt>
              </c:numCache>
            </c:numRef>
          </c:val>
          <c:extLst>
            <c:ext xmlns:c16="http://schemas.microsoft.com/office/drawing/2014/chart" uri="{C3380CC4-5D6E-409C-BE32-E72D297353CC}">
              <c16:uniqueId val="{00000000-F07B-4BA7-BEF9-99B75453C965}"/>
            </c:ext>
          </c:extLst>
        </c:ser>
        <c:ser>
          <c:idx val="1"/>
          <c:order val="1"/>
          <c:tx>
            <c:strRef>
              <c:f>'C19 performance impact'!$A$14</c:f>
              <c:strCache>
                <c:ptCount val="1"/>
                <c:pt idx="0">
                  <c:v>R2 </c:v>
                </c:pt>
              </c:strCache>
            </c:strRef>
          </c:tx>
          <c:spPr>
            <a:solidFill>
              <a:schemeClr val="accent2"/>
            </a:solidFill>
            <a:ln>
              <a:noFill/>
            </a:ln>
            <a:effectLst/>
          </c:spPr>
          <c:invertIfNegative val="0"/>
          <c:cat>
            <c:numRef>
              <c:f>'C19 performance impact'!$Y$12:$AR$12</c:f>
              <c:numCache>
                <c:formatCode>mmm\-yy</c:formatCode>
                <c:ptCount val="20"/>
                <c:pt idx="0">
                  <c:v>44562</c:v>
                </c:pt>
                <c:pt idx="1">
                  <c:v>44593</c:v>
                </c:pt>
                <c:pt idx="2">
                  <c:v>44621</c:v>
                </c:pt>
                <c:pt idx="3">
                  <c:v>44652</c:v>
                </c:pt>
                <c:pt idx="4">
                  <c:v>44682</c:v>
                </c:pt>
                <c:pt idx="5">
                  <c:v>44713</c:v>
                </c:pt>
                <c:pt idx="6">
                  <c:v>44743</c:v>
                </c:pt>
                <c:pt idx="7">
                  <c:v>44774</c:v>
                </c:pt>
                <c:pt idx="8">
                  <c:v>44805</c:v>
                </c:pt>
                <c:pt idx="9">
                  <c:v>44835</c:v>
                </c:pt>
                <c:pt idx="10">
                  <c:v>44866</c:v>
                </c:pt>
                <c:pt idx="11">
                  <c:v>44896</c:v>
                </c:pt>
                <c:pt idx="12">
                  <c:v>44927</c:v>
                </c:pt>
                <c:pt idx="13">
                  <c:v>44958</c:v>
                </c:pt>
                <c:pt idx="14">
                  <c:v>44986</c:v>
                </c:pt>
                <c:pt idx="15">
                  <c:v>45017</c:v>
                </c:pt>
                <c:pt idx="16">
                  <c:v>45047</c:v>
                </c:pt>
                <c:pt idx="17">
                  <c:v>45078</c:v>
                </c:pt>
                <c:pt idx="18">
                  <c:v>45108</c:v>
                </c:pt>
                <c:pt idx="19">
                  <c:v>45139</c:v>
                </c:pt>
              </c:numCache>
            </c:numRef>
          </c:cat>
          <c:val>
            <c:numRef>
              <c:f>'C19 performance impact'!$B$14:$AR$14</c:f>
              <c:numCache>
                <c:formatCode>General</c:formatCode>
                <c:ptCount val="20"/>
                <c:pt idx="0">
                  <c:v>306</c:v>
                </c:pt>
                <c:pt idx="1">
                  <c:v>295</c:v>
                </c:pt>
                <c:pt idx="2">
                  <c:v>291</c:v>
                </c:pt>
                <c:pt idx="3">
                  <c:v>282</c:v>
                </c:pt>
                <c:pt idx="4">
                  <c:v>288</c:v>
                </c:pt>
                <c:pt idx="5">
                  <c:v>278</c:v>
                </c:pt>
                <c:pt idx="6">
                  <c:v>272</c:v>
                </c:pt>
                <c:pt idx="7">
                  <c:v>278</c:v>
                </c:pt>
                <c:pt idx="8">
                  <c:v>258</c:v>
                </c:pt>
                <c:pt idx="9">
                  <c:v>256</c:v>
                </c:pt>
                <c:pt idx="10">
                  <c:v>251</c:v>
                </c:pt>
                <c:pt idx="11">
                  <c:v>253</c:v>
                </c:pt>
                <c:pt idx="12">
                  <c:v>238</c:v>
                </c:pt>
                <c:pt idx="13">
                  <c:v>224</c:v>
                </c:pt>
                <c:pt idx="14">
                  <c:v>212</c:v>
                </c:pt>
                <c:pt idx="15">
                  <c:v>214</c:v>
                </c:pt>
                <c:pt idx="16">
                  <c:v>219</c:v>
                </c:pt>
                <c:pt idx="17">
                  <c:v>215</c:v>
                </c:pt>
                <c:pt idx="18">
                  <c:v>215</c:v>
                </c:pt>
                <c:pt idx="19">
                  <c:v>206</c:v>
                </c:pt>
              </c:numCache>
            </c:numRef>
          </c:val>
          <c:extLst>
            <c:ext xmlns:c16="http://schemas.microsoft.com/office/drawing/2014/chart" uri="{C3380CC4-5D6E-409C-BE32-E72D297353CC}">
              <c16:uniqueId val="{00000001-F07B-4BA7-BEF9-99B75453C965}"/>
            </c:ext>
          </c:extLst>
        </c:ser>
        <c:dLbls>
          <c:showLegendKey val="0"/>
          <c:showVal val="0"/>
          <c:showCatName val="0"/>
          <c:showSerName val="0"/>
          <c:showPercent val="0"/>
          <c:showBubbleSize val="0"/>
        </c:dLbls>
        <c:gapWidth val="150"/>
        <c:axId val="785291680"/>
        <c:axId val="785296600"/>
      </c:barChart>
      <c:lineChart>
        <c:grouping val="standard"/>
        <c:varyColors val="0"/>
        <c:ser>
          <c:idx val="2"/>
          <c:order val="2"/>
          <c:tx>
            <c:strRef>
              <c:f>'C19 performance impact'!$A$15</c:f>
              <c:strCache>
                <c:ptCount val="1"/>
                <c:pt idx="0">
                  <c:v>R3 </c:v>
                </c:pt>
              </c:strCache>
            </c:strRef>
          </c:tx>
          <c:spPr>
            <a:ln w="28575" cap="rnd">
              <a:solidFill>
                <a:schemeClr val="accent3"/>
              </a:solidFill>
              <a:round/>
            </a:ln>
            <a:effectLst/>
          </c:spPr>
          <c:marker>
            <c:symbol val="none"/>
          </c:marker>
          <c:cat>
            <c:multiLvlStrRef>
              <c:f>'C19 performance impact'!$C$13:$AQ$16</c:f>
              <c:multiLvlStrCache>
                <c:ptCount val="19"/>
                <c:lvl>
                  <c:pt idx="0">
                    <c:v>8284</c:v>
                  </c:pt>
                  <c:pt idx="1">
                    <c:v>8183</c:v>
                  </c:pt>
                  <c:pt idx="2">
                    <c:v>8077</c:v>
                  </c:pt>
                  <c:pt idx="3">
                    <c:v>7815</c:v>
                  </c:pt>
                  <c:pt idx="4">
                    <c:v>7654</c:v>
                  </c:pt>
                  <c:pt idx="5">
                    <c:v>7858</c:v>
                  </c:pt>
                  <c:pt idx="6">
                    <c:v>7670</c:v>
                  </c:pt>
                  <c:pt idx="7">
                    <c:v>7354</c:v>
                  </c:pt>
                  <c:pt idx="8">
                    <c:v>7181</c:v>
                  </c:pt>
                  <c:pt idx="9">
                    <c:v>7038</c:v>
                  </c:pt>
                  <c:pt idx="10">
                    <c:v>7311</c:v>
                  </c:pt>
                  <c:pt idx="11">
                    <c:v>7615</c:v>
                  </c:pt>
                  <c:pt idx="12">
                    <c:v>7421</c:v>
                  </c:pt>
                  <c:pt idx="13">
                    <c:v>7225</c:v>
                  </c:pt>
                  <c:pt idx="14">
                    <c:v>7301</c:v>
                  </c:pt>
                  <c:pt idx="15">
                    <c:v>7554</c:v>
                  </c:pt>
                  <c:pt idx="16">
                    <c:v>7700</c:v>
                  </c:pt>
                  <c:pt idx="17">
                    <c:v>7210</c:v>
                  </c:pt>
                  <c:pt idx="18">
                    <c:v>6746</c:v>
                  </c:pt>
                </c:lvl>
                <c:lvl>
                  <c:pt idx="0">
                    <c:v>41</c:v>
                  </c:pt>
                  <c:pt idx="1">
                    <c:v>43</c:v>
                  </c:pt>
                  <c:pt idx="2">
                    <c:v>40</c:v>
                  </c:pt>
                  <c:pt idx="3">
                    <c:v>45</c:v>
                  </c:pt>
                  <c:pt idx="4">
                    <c:v>32</c:v>
                  </c:pt>
                  <c:pt idx="5">
                    <c:v>28</c:v>
                  </c:pt>
                  <c:pt idx="6">
                    <c:v>27</c:v>
                  </c:pt>
                  <c:pt idx="7">
                    <c:v>27</c:v>
                  </c:pt>
                  <c:pt idx="8">
                    <c:v>29</c:v>
                  </c:pt>
                  <c:pt idx="9">
                    <c:v>27</c:v>
                  </c:pt>
                  <c:pt idx="10">
                    <c:v>35</c:v>
                  </c:pt>
                  <c:pt idx="11">
                    <c:v>44</c:v>
                  </c:pt>
                  <c:pt idx="12">
                    <c:v>41</c:v>
                  </c:pt>
                  <c:pt idx="13">
                    <c:v>42</c:v>
                  </c:pt>
                  <c:pt idx="14">
                    <c:v>47</c:v>
                  </c:pt>
                  <c:pt idx="15">
                    <c:v>37</c:v>
                  </c:pt>
                  <c:pt idx="16">
                    <c:v>41</c:v>
                  </c:pt>
                  <c:pt idx="17">
                    <c:v>31</c:v>
                  </c:pt>
                  <c:pt idx="18">
                    <c:v>35</c:v>
                  </c:pt>
                </c:lvl>
                <c:lvl>
                  <c:pt idx="0">
                    <c:v>306</c:v>
                  </c:pt>
                  <c:pt idx="1">
                    <c:v>295</c:v>
                  </c:pt>
                  <c:pt idx="2">
                    <c:v>291</c:v>
                  </c:pt>
                  <c:pt idx="3">
                    <c:v>282</c:v>
                  </c:pt>
                  <c:pt idx="4">
                    <c:v>288</c:v>
                  </c:pt>
                  <c:pt idx="5">
                    <c:v>278</c:v>
                  </c:pt>
                  <c:pt idx="6">
                    <c:v>272</c:v>
                  </c:pt>
                  <c:pt idx="7">
                    <c:v>278</c:v>
                  </c:pt>
                  <c:pt idx="8">
                    <c:v>258</c:v>
                  </c:pt>
                  <c:pt idx="9">
                    <c:v>256</c:v>
                  </c:pt>
                  <c:pt idx="10">
                    <c:v>251</c:v>
                  </c:pt>
                  <c:pt idx="11">
                    <c:v>253</c:v>
                  </c:pt>
                  <c:pt idx="12">
                    <c:v>238</c:v>
                  </c:pt>
                  <c:pt idx="13">
                    <c:v>224</c:v>
                  </c:pt>
                  <c:pt idx="14">
                    <c:v>212</c:v>
                  </c:pt>
                  <c:pt idx="15">
                    <c:v>214</c:v>
                  </c:pt>
                  <c:pt idx="16">
                    <c:v>219</c:v>
                  </c:pt>
                  <c:pt idx="17">
                    <c:v>215</c:v>
                  </c:pt>
                  <c:pt idx="18">
                    <c:v>215</c:v>
                  </c:pt>
                </c:lvl>
                <c:lvl>
                  <c:pt idx="0">
                    <c:v>7937</c:v>
                  </c:pt>
                  <c:pt idx="1">
                    <c:v>7845</c:v>
                  </c:pt>
                  <c:pt idx="2">
                    <c:v>7746</c:v>
                  </c:pt>
                  <c:pt idx="3">
                    <c:v>7488</c:v>
                  </c:pt>
                  <c:pt idx="4">
                    <c:v>7334</c:v>
                  </c:pt>
                  <c:pt idx="5">
                    <c:v>7552</c:v>
                  </c:pt>
                  <c:pt idx="6">
                    <c:v>7371</c:v>
                  </c:pt>
                  <c:pt idx="7">
                    <c:v>7049</c:v>
                  </c:pt>
                  <c:pt idx="8">
                    <c:v>6894</c:v>
                  </c:pt>
                  <c:pt idx="9">
                    <c:v>6755</c:v>
                  </c:pt>
                  <c:pt idx="10">
                    <c:v>7025</c:v>
                  </c:pt>
                  <c:pt idx="11">
                    <c:v>7318</c:v>
                  </c:pt>
                  <c:pt idx="12">
                    <c:v>7142</c:v>
                  </c:pt>
                  <c:pt idx="13">
                    <c:v>6959</c:v>
                  </c:pt>
                  <c:pt idx="14">
                    <c:v>7042</c:v>
                  </c:pt>
                  <c:pt idx="15">
                    <c:v>7303</c:v>
                  </c:pt>
                  <c:pt idx="16">
                    <c:v>7240</c:v>
                  </c:pt>
                  <c:pt idx="17">
                    <c:v>6958</c:v>
                  </c:pt>
                  <c:pt idx="18">
                    <c:v>6496</c:v>
                  </c:pt>
                </c:lvl>
              </c:multiLvlStrCache>
            </c:multiLvlStrRef>
          </c:cat>
          <c:val>
            <c:numRef>
              <c:f>'C19 performance impact'!$B$15:$AR$15</c:f>
              <c:numCache>
                <c:formatCode>General</c:formatCode>
                <c:ptCount val="20"/>
                <c:pt idx="0">
                  <c:v>41</c:v>
                </c:pt>
                <c:pt idx="1">
                  <c:v>43</c:v>
                </c:pt>
                <c:pt idx="2">
                  <c:v>40</c:v>
                </c:pt>
                <c:pt idx="3">
                  <c:v>45</c:v>
                </c:pt>
                <c:pt idx="4">
                  <c:v>32</c:v>
                </c:pt>
                <c:pt idx="5">
                  <c:v>28</c:v>
                </c:pt>
                <c:pt idx="6">
                  <c:v>27</c:v>
                </c:pt>
                <c:pt idx="7">
                  <c:v>27</c:v>
                </c:pt>
                <c:pt idx="8">
                  <c:v>29</c:v>
                </c:pt>
                <c:pt idx="9">
                  <c:v>27</c:v>
                </c:pt>
                <c:pt idx="10">
                  <c:v>35</c:v>
                </c:pt>
                <c:pt idx="11">
                  <c:v>44</c:v>
                </c:pt>
                <c:pt idx="12">
                  <c:v>41</c:v>
                </c:pt>
                <c:pt idx="13">
                  <c:v>42</c:v>
                </c:pt>
                <c:pt idx="14">
                  <c:v>47</c:v>
                </c:pt>
                <c:pt idx="15">
                  <c:v>37</c:v>
                </c:pt>
                <c:pt idx="16">
                  <c:v>41</c:v>
                </c:pt>
                <c:pt idx="17">
                  <c:v>31</c:v>
                </c:pt>
                <c:pt idx="18">
                  <c:v>35</c:v>
                </c:pt>
                <c:pt idx="19">
                  <c:v>26</c:v>
                </c:pt>
              </c:numCache>
            </c:numRef>
          </c:val>
          <c:smooth val="0"/>
          <c:extLst>
            <c:ext xmlns:c16="http://schemas.microsoft.com/office/drawing/2014/chart" uri="{C3380CC4-5D6E-409C-BE32-E72D297353CC}">
              <c16:uniqueId val="{00000002-F07B-4BA7-BEF9-99B75453C965}"/>
            </c:ext>
          </c:extLst>
        </c:ser>
        <c:ser>
          <c:idx val="3"/>
          <c:order val="3"/>
          <c:tx>
            <c:strRef>
              <c:f>'C19 performance impact'!$A$16</c:f>
              <c:strCache>
                <c:ptCount val="1"/>
                <c:pt idx="0">
                  <c:v>total follow ups over clinical target</c:v>
                </c:pt>
              </c:strCache>
            </c:strRef>
          </c:tx>
          <c:spPr>
            <a:ln w="28575" cap="rnd">
              <a:solidFill>
                <a:schemeClr val="accent4"/>
              </a:solidFill>
              <a:round/>
            </a:ln>
            <a:effectLst/>
          </c:spPr>
          <c:marker>
            <c:symbol val="none"/>
          </c:marker>
          <c:dLbls>
            <c:dLbl>
              <c:idx val="0"/>
              <c:layout>
                <c:manualLayout>
                  <c:x val="-3.0668127053669222E-2"/>
                  <c:y val="-4.46247464503042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07B-4BA7-BEF9-99B75453C965}"/>
                </c:ext>
              </c:extLst>
            </c:dLbl>
            <c:dLbl>
              <c:idx val="19"/>
              <c:layout>
                <c:manualLayout>
                  <c:x val="0"/>
                  <c:y val="-4.96551647096443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07B-4BA7-BEF9-99B75453C965}"/>
                </c:ext>
              </c:extLst>
            </c:dLbl>
            <c:spPr>
              <a:noFill/>
              <a:ln>
                <a:noFill/>
              </a:ln>
              <a:effectLst/>
            </c:spPr>
            <c:txPr>
              <a:bodyPr rot="0" spcFirstLastPara="1" vertOverflow="ellipsis" vert="horz" wrap="square" anchor="ctr" anchorCtr="1"/>
              <a:lstStyle/>
              <a:p>
                <a:pPr>
                  <a:defRPr sz="11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'C19 performance impact'!$C$13:$AQ$16</c:f>
              <c:multiLvlStrCache>
                <c:ptCount val="19"/>
                <c:lvl>
                  <c:pt idx="0">
                    <c:v>8284</c:v>
                  </c:pt>
                  <c:pt idx="1">
                    <c:v>8183</c:v>
                  </c:pt>
                  <c:pt idx="2">
                    <c:v>8077</c:v>
                  </c:pt>
                  <c:pt idx="3">
                    <c:v>7815</c:v>
                  </c:pt>
                  <c:pt idx="4">
                    <c:v>7654</c:v>
                  </c:pt>
                  <c:pt idx="5">
                    <c:v>7858</c:v>
                  </c:pt>
                  <c:pt idx="6">
                    <c:v>7670</c:v>
                  </c:pt>
                  <c:pt idx="7">
                    <c:v>7354</c:v>
                  </c:pt>
                  <c:pt idx="8">
                    <c:v>7181</c:v>
                  </c:pt>
                  <c:pt idx="9">
                    <c:v>7038</c:v>
                  </c:pt>
                  <c:pt idx="10">
                    <c:v>7311</c:v>
                  </c:pt>
                  <c:pt idx="11">
                    <c:v>7615</c:v>
                  </c:pt>
                  <c:pt idx="12">
                    <c:v>7421</c:v>
                  </c:pt>
                  <c:pt idx="13">
                    <c:v>7225</c:v>
                  </c:pt>
                  <c:pt idx="14">
                    <c:v>7301</c:v>
                  </c:pt>
                  <c:pt idx="15">
                    <c:v>7554</c:v>
                  </c:pt>
                  <c:pt idx="16">
                    <c:v>7700</c:v>
                  </c:pt>
                  <c:pt idx="17">
                    <c:v>7210</c:v>
                  </c:pt>
                  <c:pt idx="18">
                    <c:v>6746</c:v>
                  </c:pt>
                </c:lvl>
                <c:lvl>
                  <c:pt idx="0">
                    <c:v>41</c:v>
                  </c:pt>
                  <c:pt idx="1">
                    <c:v>43</c:v>
                  </c:pt>
                  <c:pt idx="2">
                    <c:v>40</c:v>
                  </c:pt>
                  <c:pt idx="3">
                    <c:v>45</c:v>
                  </c:pt>
                  <c:pt idx="4">
                    <c:v>32</c:v>
                  </c:pt>
                  <c:pt idx="5">
                    <c:v>28</c:v>
                  </c:pt>
                  <c:pt idx="6">
                    <c:v>27</c:v>
                  </c:pt>
                  <c:pt idx="7">
                    <c:v>27</c:v>
                  </c:pt>
                  <c:pt idx="8">
                    <c:v>29</c:v>
                  </c:pt>
                  <c:pt idx="9">
                    <c:v>27</c:v>
                  </c:pt>
                  <c:pt idx="10">
                    <c:v>35</c:v>
                  </c:pt>
                  <c:pt idx="11">
                    <c:v>44</c:v>
                  </c:pt>
                  <c:pt idx="12">
                    <c:v>41</c:v>
                  </c:pt>
                  <c:pt idx="13">
                    <c:v>42</c:v>
                  </c:pt>
                  <c:pt idx="14">
                    <c:v>47</c:v>
                  </c:pt>
                  <c:pt idx="15">
                    <c:v>37</c:v>
                  </c:pt>
                  <c:pt idx="16">
                    <c:v>41</c:v>
                  </c:pt>
                  <c:pt idx="17">
                    <c:v>31</c:v>
                  </c:pt>
                  <c:pt idx="18">
                    <c:v>35</c:v>
                  </c:pt>
                </c:lvl>
                <c:lvl>
                  <c:pt idx="0">
                    <c:v>306</c:v>
                  </c:pt>
                  <c:pt idx="1">
                    <c:v>295</c:v>
                  </c:pt>
                  <c:pt idx="2">
                    <c:v>291</c:v>
                  </c:pt>
                  <c:pt idx="3">
                    <c:v>282</c:v>
                  </c:pt>
                  <c:pt idx="4">
                    <c:v>288</c:v>
                  </c:pt>
                  <c:pt idx="5">
                    <c:v>278</c:v>
                  </c:pt>
                  <c:pt idx="6">
                    <c:v>272</c:v>
                  </c:pt>
                  <c:pt idx="7">
                    <c:v>278</c:v>
                  </c:pt>
                  <c:pt idx="8">
                    <c:v>258</c:v>
                  </c:pt>
                  <c:pt idx="9">
                    <c:v>256</c:v>
                  </c:pt>
                  <c:pt idx="10">
                    <c:v>251</c:v>
                  </c:pt>
                  <c:pt idx="11">
                    <c:v>253</c:v>
                  </c:pt>
                  <c:pt idx="12">
                    <c:v>238</c:v>
                  </c:pt>
                  <c:pt idx="13">
                    <c:v>224</c:v>
                  </c:pt>
                  <c:pt idx="14">
                    <c:v>212</c:v>
                  </c:pt>
                  <c:pt idx="15">
                    <c:v>214</c:v>
                  </c:pt>
                  <c:pt idx="16">
                    <c:v>219</c:v>
                  </c:pt>
                  <c:pt idx="17">
                    <c:v>215</c:v>
                  </c:pt>
                  <c:pt idx="18">
                    <c:v>215</c:v>
                  </c:pt>
                </c:lvl>
                <c:lvl>
                  <c:pt idx="0">
                    <c:v>7937</c:v>
                  </c:pt>
                  <c:pt idx="1">
                    <c:v>7845</c:v>
                  </c:pt>
                  <c:pt idx="2">
                    <c:v>7746</c:v>
                  </c:pt>
                  <c:pt idx="3">
                    <c:v>7488</c:v>
                  </c:pt>
                  <c:pt idx="4">
                    <c:v>7334</c:v>
                  </c:pt>
                  <c:pt idx="5">
                    <c:v>7552</c:v>
                  </c:pt>
                  <c:pt idx="6">
                    <c:v>7371</c:v>
                  </c:pt>
                  <c:pt idx="7">
                    <c:v>7049</c:v>
                  </c:pt>
                  <c:pt idx="8">
                    <c:v>6894</c:v>
                  </c:pt>
                  <c:pt idx="9">
                    <c:v>6755</c:v>
                  </c:pt>
                  <c:pt idx="10">
                    <c:v>7025</c:v>
                  </c:pt>
                  <c:pt idx="11">
                    <c:v>7318</c:v>
                  </c:pt>
                  <c:pt idx="12">
                    <c:v>7142</c:v>
                  </c:pt>
                  <c:pt idx="13">
                    <c:v>6959</c:v>
                  </c:pt>
                  <c:pt idx="14">
                    <c:v>7042</c:v>
                  </c:pt>
                  <c:pt idx="15">
                    <c:v>7303</c:v>
                  </c:pt>
                  <c:pt idx="16">
                    <c:v>7240</c:v>
                  </c:pt>
                  <c:pt idx="17">
                    <c:v>6958</c:v>
                  </c:pt>
                  <c:pt idx="18">
                    <c:v>6496</c:v>
                  </c:pt>
                </c:lvl>
              </c:multiLvlStrCache>
            </c:multiLvlStrRef>
          </c:cat>
          <c:val>
            <c:numRef>
              <c:f>'C19 performance impact'!$B$16:$AR$16</c:f>
              <c:numCache>
                <c:formatCode>General</c:formatCode>
                <c:ptCount val="20"/>
                <c:pt idx="0">
                  <c:v>8284</c:v>
                </c:pt>
                <c:pt idx="1">
                  <c:v>8183</c:v>
                </c:pt>
                <c:pt idx="2">
                  <c:v>8077</c:v>
                </c:pt>
                <c:pt idx="3">
                  <c:v>7815</c:v>
                </c:pt>
                <c:pt idx="4">
                  <c:v>7654</c:v>
                </c:pt>
                <c:pt idx="5">
                  <c:v>7858</c:v>
                </c:pt>
                <c:pt idx="6">
                  <c:v>7670</c:v>
                </c:pt>
                <c:pt idx="7">
                  <c:v>7354</c:v>
                </c:pt>
                <c:pt idx="8">
                  <c:v>7181</c:v>
                </c:pt>
                <c:pt idx="9">
                  <c:v>7038</c:v>
                </c:pt>
                <c:pt idx="10">
                  <c:v>7311</c:v>
                </c:pt>
                <c:pt idx="11">
                  <c:v>7615</c:v>
                </c:pt>
                <c:pt idx="12">
                  <c:v>7421</c:v>
                </c:pt>
                <c:pt idx="13">
                  <c:v>7225</c:v>
                </c:pt>
                <c:pt idx="14">
                  <c:v>7301</c:v>
                </c:pt>
                <c:pt idx="15">
                  <c:v>7554</c:v>
                </c:pt>
                <c:pt idx="16">
                  <c:v>7700</c:v>
                </c:pt>
                <c:pt idx="17">
                  <c:v>7210</c:v>
                </c:pt>
                <c:pt idx="18">
                  <c:v>6746</c:v>
                </c:pt>
                <c:pt idx="19">
                  <c:v>6195</c:v>
                </c:pt>
              </c:numCache>
            </c:numRef>
          </c:val>
          <c:smooth val="0"/>
          <c:extLst>
            <c:ext xmlns:c16="http://schemas.microsoft.com/office/drawing/2014/chart" uri="{C3380CC4-5D6E-409C-BE32-E72D297353CC}">
              <c16:uniqueId val="{00000005-F07B-4BA7-BEF9-99B75453C965}"/>
            </c:ext>
          </c:extLst>
        </c:ser>
        <c:dLbls>
          <c:showLegendKey val="0"/>
          <c:showVal val="0"/>
          <c:showCatName val="0"/>
          <c:showSerName val="0"/>
          <c:showPercent val="0"/>
          <c:showBubbleSize val="0"/>
        </c:dLbls>
        <c:marker val="1"/>
        <c:smooth val="0"/>
        <c:axId val="785291680"/>
        <c:axId val="785296600"/>
      </c:lineChart>
      <c:dateAx>
        <c:axId val="785291680"/>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785296600"/>
        <c:crosses val="autoZero"/>
        <c:auto val="1"/>
        <c:lblOffset val="100"/>
        <c:baseTimeUnit val="months"/>
      </c:dateAx>
      <c:valAx>
        <c:axId val="785296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crossAx val="785291680"/>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100"/>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r>
              <a:rPr lang="en-US"/>
              <a:t>Paediatric ECM backlog = 66% </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5563651840817189E-2"/>
          <c:y val="0.19867855100543058"/>
          <c:w val="0.87916068170035089"/>
          <c:h val="0.47941405862249897"/>
        </c:manualLayout>
      </c:layout>
      <c:lineChart>
        <c:grouping val="standard"/>
        <c:varyColors val="0"/>
        <c:ser>
          <c:idx val="5"/>
          <c:order val="4"/>
          <c:tx>
            <c:strRef>
              <c:f>'Paediatric plan'!$A$19</c:f>
              <c:strCache>
                <c:ptCount val="1"/>
                <c:pt idx="0">
                  <c:v>increase in clinic numbers </c:v>
                </c:pt>
              </c:strCache>
              <c:extLst xmlns:c15="http://schemas.microsoft.com/office/drawing/2012/chart"/>
            </c:strRef>
          </c:tx>
          <c:spPr>
            <a:ln w="28575" cap="rnd">
              <a:solidFill>
                <a:schemeClr val="accent6"/>
              </a:solidFill>
              <a:round/>
            </a:ln>
            <a:effectLst/>
          </c:spPr>
          <c:marker>
            <c:symbol val="none"/>
          </c:marker>
          <c:cat>
            <c:strRef>
              <c:f>('Paediatric plan'!$B$11,'Paediatric plan'!$U$11:$AT$11)</c:f>
              <c:strCache>
                <c:ptCount val="27"/>
                <c:pt idx="0">
                  <c:v>pre covid</c:v>
                </c:pt>
                <c:pt idx="1">
                  <c:v>Feb-22</c:v>
                </c:pt>
                <c:pt idx="2">
                  <c:v>Mar-22</c:v>
                </c:pt>
                <c:pt idx="3">
                  <c:v>Apr-22</c:v>
                </c:pt>
                <c:pt idx="4">
                  <c:v>May-22</c:v>
                </c:pt>
                <c:pt idx="5">
                  <c:v>Jun-22</c:v>
                </c:pt>
                <c:pt idx="6">
                  <c:v>Jul-22</c:v>
                </c:pt>
                <c:pt idx="7">
                  <c:v>Aug-22</c:v>
                </c:pt>
                <c:pt idx="8">
                  <c:v>Sep-22</c:v>
                </c:pt>
                <c:pt idx="9">
                  <c:v>Oct-22</c:v>
                </c:pt>
                <c:pt idx="10">
                  <c:v>Nov-22</c:v>
                </c:pt>
                <c:pt idx="11">
                  <c:v>Dec-22</c:v>
                </c:pt>
                <c:pt idx="12">
                  <c:v>Jan-23</c:v>
                </c:pt>
                <c:pt idx="13">
                  <c:v>Feb-23</c:v>
                </c:pt>
                <c:pt idx="14">
                  <c:v>Mar-23</c:v>
                </c:pt>
                <c:pt idx="15">
                  <c:v>Apr-23</c:v>
                </c:pt>
                <c:pt idx="16">
                  <c:v>May-23</c:v>
                </c:pt>
                <c:pt idx="17">
                  <c:v>Jun-23</c:v>
                </c:pt>
                <c:pt idx="18">
                  <c:v>Jul-23</c:v>
                </c:pt>
                <c:pt idx="19">
                  <c:v>Aug-23</c:v>
                </c:pt>
                <c:pt idx="20">
                  <c:v>Sep-23</c:v>
                </c:pt>
                <c:pt idx="21">
                  <c:v>Oct-23</c:v>
                </c:pt>
                <c:pt idx="22">
                  <c:v>Nov-23</c:v>
                </c:pt>
                <c:pt idx="23">
                  <c:v>Dec-23</c:v>
                </c:pt>
                <c:pt idx="24">
                  <c:v>Jan-24</c:v>
                </c:pt>
                <c:pt idx="25">
                  <c:v>Feb-24</c:v>
                </c:pt>
                <c:pt idx="26">
                  <c:v>Mar-24</c:v>
                </c:pt>
              </c:strCache>
              <c:extLst/>
            </c:strRef>
          </c:cat>
          <c:val>
            <c:numRef>
              <c:f>('Paediatric plan'!$B$19,'Paediatric plan'!$U$19:$AM$19)</c:f>
              <c:numCache>
                <c:formatCode>0</c:formatCode>
                <c:ptCount val="20"/>
                <c:pt idx="0" formatCode="General">
                  <c:v>98</c:v>
                </c:pt>
                <c:pt idx="1">
                  <c:v>346</c:v>
                </c:pt>
                <c:pt idx="2">
                  <c:v>334</c:v>
                </c:pt>
                <c:pt idx="3">
                  <c:v>300</c:v>
                </c:pt>
                <c:pt idx="4">
                  <c:v>266</c:v>
                </c:pt>
                <c:pt idx="5">
                  <c:v>232</c:v>
                </c:pt>
                <c:pt idx="6">
                  <c:v>198</c:v>
                </c:pt>
                <c:pt idx="7">
                  <c:v>164</c:v>
                </c:pt>
                <c:pt idx="8">
                  <c:v>130</c:v>
                </c:pt>
                <c:pt idx="9">
                  <c:v>118</c:v>
                </c:pt>
                <c:pt idx="10">
                  <c:v>128</c:v>
                </c:pt>
                <c:pt idx="11">
                  <c:v>116</c:v>
                </c:pt>
                <c:pt idx="12">
                  <c:v>104</c:v>
                </c:pt>
                <c:pt idx="13">
                  <c:v>92</c:v>
                </c:pt>
                <c:pt idx="14">
                  <c:v>80</c:v>
                </c:pt>
                <c:pt idx="15">
                  <c:v>68</c:v>
                </c:pt>
                <c:pt idx="16">
                  <c:v>56</c:v>
                </c:pt>
                <c:pt idx="17">
                  <c:v>44</c:v>
                </c:pt>
                <c:pt idx="18">
                  <c:v>32</c:v>
                </c:pt>
                <c:pt idx="19">
                  <c:v>20</c:v>
                </c:pt>
              </c:numCache>
              <c:extLst/>
            </c:numRef>
          </c:val>
          <c:smooth val="0"/>
          <c:extLst xmlns:c15="http://schemas.microsoft.com/office/drawing/2012/chart">
            <c:ext xmlns:c16="http://schemas.microsoft.com/office/drawing/2014/chart" uri="{C3380CC4-5D6E-409C-BE32-E72D297353CC}">
              <c16:uniqueId val="{00000000-AAC9-4E47-85C3-D77EA0C3A1FC}"/>
            </c:ext>
          </c:extLst>
        </c:ser>
        <c:ser>
          <c:idx val="6"/>
          <c:order val="5"/>
          <c:tx>
            <c:strRef>
              <c:f>'Paediatric plan'!$A$20</c:f>
              <c:strCache>
                <c:ptCount val="1"/>
                <c:pt idx="0">
                  <c:v>Actual</c:v>
                </c:pt>
              </c:strCache>
              <c:extLst xmlns:c15="http://schemas.microsoft.com/office/drawing/2012/chart"/>
            </c:strRef>
          </c:tx>
          <c:spPr>
            <a:ln w="28575" cap="rnd">
              <a:solidFill>
                <a:sysClr val="windowText" lastClr="000000"/>
              </a:solidFill>
              <a:prstDash val="dash"/>
              <a:round/>
            </a:ln>
            <a:effectLst/>
          </c:spPr>
          <c:marker>
            <c:symbol val="none"/>
          </c:marker>
          <c:dLbls>
            <c:dLbl>
              <c:idx val="19"/>
              <c:layout>
                <c:manualLayout>
                  <c:x val="-2.0511565992921841E-2"/>
                  <c:y val="6.525330184276358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AC9-4E47-85C3-D77EA0C3A1FC}"/>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('Paediatric plan'!$B$11,'Paediatric plan'!$U$11:$AT$11)</c:f>
              <c:strCache>
                <c:ptCount val="27"/>
                <c:pt idx="0">
                  <c:v>pre covid</c:v>
                </c:pt>
                <c:pt idx="1">
                  <c:v>Feb-22</c:v>
                </c:pt>
                <c:pt idx="2">
                  <c:v>Mar-22</c:v>
                </c:pt>
                <c:pt idx="3">
                  <c:v>Apr-22</c:v>
                </c:pt>
                <c:pt idx="4">
                  <c:v>May-22</c:v>
                </c:pt>
                <c:pt idx="5">
                  <c:v>Jun-22</c:v>
                </c:pt>
                <c:pt idx="6">
                  <c:v>Jul-22</c:v>
                </c:pt>
                <c:pt idx="7">
                  <c:v>Aug-22</c:v>
                </c:pt>
                <c:pt idx="8">
                  <c:v>Sep-22</c:v>
                </c:pt>
                <c:pt idx="9">
                  <c:v>Oct-22</c:v>
                </c:pt>
                <c:pt idx="10">
                  <c:v>Nov-22</c:v>
                </c:pt>
                <c:pt idx="11">
                  <c:v>Dec-22</c:v>
                </c:pt>
                <c:pt idx="12">
                  <c:v>Jan-23</c:v>
                </c:pt>
                <c:pt idx="13">
                  <c:v>Feb-23</c:v>
                </c:pt>
                <c:pt idx="14">
                  <c:v>Mar-23</c:v>
                </c:pt>
                <c:pt idx="15">
                  <c:v>Apr-23</c:v>
                </c:pt>
                <c:pt idx="16">
                  <c:v>May-23</c:v>
                </c:pt>
                <c:pt idx="17">
                  <c:v>Jun-23</c:v>
                </c:pt>
                <c:pt idx="18">
                  <c:v>Jul-23</c:v>
                </c:pt>
                <c:pt idx="19">
                  <c:v>Aug-23</c:v>
                </c:pt>
                <c:pt idx="20">
                  <c:v>Sep-23</c:v>
                </c:pt>
                <c:pt idx="21">
                  <c:v>Oct-23</c:v>
                </c:pt>
                <c:pt idx="22">
                  <c:v>Nov-23</c:v>
                </c:pt>
                <c:pt idx="23">
                  <c:v>Dec-23</c:v>
                </c:pt>
                <c:pt idx="24">
                  <c:v>Jan-24</c:v>
                </c:pt>
                <c:pt idx="25">
                  <c:v>Feb-24</c:v>
                </c:pt>
                <c:pt idx="26">
                  <c:v>Mar-24</c:v>
                </c:pt>
              </c:strCache>
              <c:extLst/>
            </c:strRef>
          </c:cat>
          <c:val>
            <c:numRef>
              <c:f>('Paediatric plan'!$B$20,'Paediatric plan'!$U$20:$AM$20)</c:f>
              <c:numCache>
                <c:formatCode>General</c:formatCode>
                <c:ptCount val="20"/>
                <c:pt idx="0">
                  <c:v>98</c:v>
                </c:pt>
                <c:pt idx="1">
                  <c:v>349</c:v>
                </c:pt>
                <c:pt idx="2">
                  <c:v>324</c:v>
                </c:pt>
                <c:pt idx="3">
                  <c:v>300</c:v>
                </c:pt>
                <c:pt idx="4">
                  <c:v>263</c:v>
                </c:pt>
                <c:pt idx="5">
                  <c:v>224</c:v>
                </c:pt>
                <c:pt idx="6">
                  <c:v>249</c:v>
                </c:pt>
                <c:pt idx="7">
                  <c:v>127</c:v>
                </c:pt>
                <c:pt idx="8">
                  <c:v>121</c:v>
                </c:pt>
                <c:pt idx="9">
                  <c:v>124</c:v>
                </c:pt>
                <c:pt idx="10">
                  <c:v>128</c:v>
                </c:pt>
                <c:pt idx="11">
                  <c:v>112</c:v>
                </c:pt>
                <c:pt idx="12">
                  <c:v>103</c:v>
                </c:pt>
                <c:pt idx="13">
                  <c:v>97</c:v>
                </c:pt>
                <c:pt idx="14">
                  <c:v>118</c:v>
                </c:pt>
                <c:pt idx="15">
                  <c:v>134</c:v>
                </c:pt>
                <c:pt idx="16">
                  <c:v>191</c:v>
                </c:pt>
                <c:pt idx="17">
                  <c:v>199</c:v>
                </c:pt>
                <c:pt idx="18">
                  <c:v>214</c:v>
                </c:pt>
                <c:pt idx="19">
                  <c:v>196</c:v>
                </c:pt>
              </c:numCache>
              <c:extLst/>
            </c:numRef>
          </c:val>
          <c:smooth val="0"/>
          <c:extLst xmlns:c15="http://schemas.microsoft.com/office/drawing/2012/chart">
            <c:ext xmlns:c16="http://schemas.microsoft.com/office/drawing/2014/chart" uri="{C3380CC4-5D6E-409C-BE32-E72D297353CC}">
              <c16:uniqueId val="{00000002-AAC9-4E47-85C3-D77EA0C3A1FC}"/>
            </c:ext>
          </c:extLst>
        </c:ser>
        <c:dLbls>
          <c:showLegendKey val="0"/>
          <c:showVal val="0"/>
          <c:showCatName val="0"/>
          <c:showSerName val="0"/>
          <c:showPercent val="0"/>
          <c:showBubbleSize val="0"/>
        </c:dLbls>
        <c:smooth val="0"/>
        <c:axId val="605061360"/>
        <c:axId val="605061688"/>
        <c:extLst>
          <c:ext xmlns:c15="http://schemas.microsoft.com/office/drawing/2012/chart" uri="{02D57815-91ED-43cb-92C2-25804820EDAC}">
            <c15:filteredLineSeries>
              <c15:ser>
                <c:idx val="0"/>
                <c:order val="0"/>
                <c:tx>
                  <c:strRef>
                    <c:extLst>
                      <c:ext uri="{02D57815-91ED-43cb-92C2-25804820EDAC}">
                        <c15:formulaRef>
                          <c15:sqref>'Paediatric plan'!$A$12</c15:sqref>
                        </c15:formulaRef>
                      </c:ext>
                    </c:extLst>
                    <c:strCache>
                      <c:ptCount val="1"/>
                      <c:pt idx="0">
                        <c:v>Average Demand (New + F/up)</c:v>
                      </c:pt>
                    </c:strCache>
                  </c:strRef>
                </c:tx>
                <c:spPr>
                  <a:ln w="28575" cap="rnd">
                    <a:solidFill>
                      <a:schemeClr val="accent1"/>
                    </a:solidFill>
                    <a:round/>
                  </a:ln>
                  <a:effectLst/>
                </c:spPr>
                <c:marker>
                  <c:symbol val="none"/>
                </c:marker>
                <c:cat>
                  <c:strRef>
                    <c:extLst>
                      <c:ext uri="{02D57815-91ED-43cb-92C2-25804820EDAC}">
                        <c15:formulaRef>
                          <c15:sqref>('Paediatric plan'!$B$11,'Paediatric plan'!$U$11:$AT$11)</c15:sqref>
                        </c15:formulaRef>
                      </c:ext>
                    </c:extLst>
                    <c:strCache>
                      <c:ptCount val="27"/>
                      <c:pt idx="0">
                        <c:v>pre covid</c:v>
                      </c:pt>
                      <c:pt idx="1">
                        <c:v>Feb-22</c:v>
                      </c:pt>
                      <c:pt idx="2">
                        <c:v>Mar-22</c:v>
                      </c:pt>
                      <c:pt idx="3">
                        <c:v>Apr-22</c:v>
                      </c:pt>
                      <c:pt idx="4">
                        <c:v>May-22</c:v>
                      </c:pt>
                      <c:pt idx="5">
                        <c:v>Jun-22</c:v>
                      </c:pt>
                      <c:pt idx="6">
                        <c:v>Jul-22</c:v>
                      </c:pt>
                      <c:pt idx="7">
                        <c:v>Aug-22</c:v>
                      </c:pt>
                      <c:pt idx="8">
                        <c:v>Sep-22</c:v>
                      </c:pt>
                      <c:pt idx="9">
                        <c:v>Oct-22</c:v>
                      </c:pt>
                      <c:pt idx="10">
                        <c:v>Nov-22</c:v>
                      </c:pt>
                      <c:pt idx="11">
                        <c:v>Dec-22</c:v>
                      </c:pt>
                      <c:pt idx="12">
                        <c:v>Jan-23</c:v>
                      </c:pt>
                      <c:pt idx="13">
                        <c:v>Feb-23</c:v>
                      </c:pt>
                      <c:pt idx="14">
                        <c:v>Mar-23</c:v>
                      </c:pt>
                      <c:pt idx="15">
                        <c:v>Apr-23</c:v>
                      </c:pt>
                      <c:pt idx="16">
                        <c:v>May-23</c:v>
                      </c:pt>
                      <c:pt idx="17">
                        <c:v>Jun-23</c:v>
                      </c:pt>
                      <c:pt idx="18">
                        <c:v>Jul-23</c:v>
                      </c:pt>
                      <c:pt idx="19">
                        <c:v>Aug-23</c:v>
                      </c:pt>
                      <c:pt idx="20">
                        <c:v>Sep-23</c:v>
                      </c:pt>
                      <c:pt idx="21">
                        <c:v>Oct-23</c:v>
                      </c:pt>
                      <c:pt idx="22">
                        <c:v>Nov-23</c:v>
                      </c:pt>
                      <c:pt idx="23">
                        <c:v>Dec-23</c:v>
                      </c:pt>
                      <c:pt idx="24">
                        <c:v>Jan-24</c:v>
                      </c:pt>
                      <c:pt idx="25">
                        <c:v>Feb-24</c:v>
                      </c:pt>
                      <c:pt idx="26">
                        <c:v>Mar-24</c:v>
                      </c:pt>
                    </c:strCache>
                  </c:strRef>
                </c:cat>
                <c:val>
                  <c:numRef>
                    <c:extLst>
                      <c:ext uri="{02D57815-91ED-43cb-92C2-25804820EDAC}">
                        <c15:formulaRef>
                          <c15:sqref>'Paediatric plan'!$B$12</c15:sqref>
                        </c15:formulaRef>
                      </c:ext>
                    </c:extLst>
                    <c:numCache>
                      <c:formatCode>General</c:formatCode>
                      <c:ptCount val="1"/>
                      <c:pt idx="0">
                        <c:v>115</c:v>
                      </c:pt>
                    </c:numCache>
                  </c:numRef>
                </c:val>
                <c:smooth val="0"/>
                <c:extLst>
                  <c:ext xmlns:c16="http://schemas.microsoft.com/office/drawing/2014/chart" uri="{C3380CC4-5D6E-409C-BE32-E72D297353CC}">
                    <c16:uniqueId val="{00000003-AAC9-4E47-85C3-D77EA0C3A1FC}"/>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'Paediatric plan'!$A$13</c15:sqref>
                        </c15:formulaRef>
                      </c:ext>
                    </c:extLst>
                    <c:strCache>
                      <c:ptCount val="1"/>
                      <c:pt idx="0">
                        <c:v>Average Activity (Phase 2 recovery)</c:v>
                      </c:pt>
                    </c:strCache>
                  </c:strRef>
                </c:tx>
                <c:spPr>
                  <a:ln w="28575" cap="rnd">
                    <a:solidFill>
                      <a:schemeClr val="accent2"/>
                    </a:solidFill>
                    <a:round/>
                  </a:ln>
                  <a:effectLst/>
                </c:spPr>
                <c:marker>
                  <c:symbol val="none"/>
                </c:marker>
                <c:cat>
                  <c:strRef>
                    <c:extLst xmlns:c15="http://schemas.microsoft.com/office/drawing/2012/chart">
                      <c:ext xmlns:c15="http://schemas.microsoft.com/office/drawing/2012/chart" uri="{02D57815-91ED-43cb-92C2-25804820EDAC}">
                        <c15:formulaRef>
                          <c15:sqref>('Paediatric plan'!$B$11,'Paediatric plan'!$U$11:$AT$11)</c15:sqref>
                        </c15:formulaRef>
                      </c:ext>
                    </c:extLst>
                    <c:strCache>
                      <c:ptCount val="27"/>
                      <c:pt idx="0">
                        <c:v>pre covid</c:v>
                      </c:pt>
                      <c:pt idx="1">
                        <c:v>Feb-22</c:v>
                      </c:pt>
                      <c:pt idx="2">
                        <c:v>Mar-22</c:v>
                      </c:pt>
                      <c:pt idx="3">
                        <c:v>Apr-22</c:v>
                      </c:pt>
                      <c:pt idx="4">
                        <c:v>May-22</c:v>
                      </c:pt>
                      <c:pt idx="5">
                        <c:v>Jun-22</c:v>
                      </c:pt>
                      <c:pt idx="6">
                        <c:v>Jul-22</c:v>
                      </c:pt>
                      <c:pt idx="7">
                        <c:v>Aug-22</c:v>
                      </c:pt>
                      <c:pt idx="8">
                        <c:v>Sep-22</c:v>
                      </c:pt>
                      <c:pt idx="9">
                        <c:v>Oct-22</c:v>
                      </c:pt>
                      <c:pt idx="10">
                        <c:v>Nov-22</c:v>
                      </c:pt>
                      <c:pt idx="11">
                        <c:v>Dec-22</c:v>
                      </c:pt>
                      <c:pt idx="12">
                        <c:v>Jan-23</c:v>
                      </c:pt>
                      <c:pt idx="13">
                        <c:v>Feb-23</c:v>
                      </c:pt>
                      <c:pt idx="14">
                        <c:v>Mar-23</c:v>
                      </c:pt>
                      <c:pt idx="15">
                        <c:v>Apr-23</c:v>
                      </c:pt>
                      <c:pt idx="16">
                        <c:v>May-23</c:v>
                      </c:pt>
                      <c:pt idx="17">
                        <c:v>Jun-23</c:v>
                      </c:pt>
                      <c:pt idx="18">
                        <c:v>Jul-23</c:v>
                      </c:pt>
                      <c:pt idx="19">
                        <c:v>Aug-23</c:v>
                      </c:pt>
                      <c:pt idx="20">
                        <c:v>Sep-23</c:v>
                      </c:pt>
                      <c:pt idx="21">
                        <c:v>Oct-23</c:v>
                      </c:pt>
                      <c:pt idx="22">
                        <c:v>Nov-23</c:v>
                      </c:pt>
                      <c:pt idx="23">
                        <c:v>Dec-23</c:v>
                      </c:pt>
                      <c:pt idx="24">
                        <c:v>Jan-24</c:v>
                      </c:pt>
                      <c:pt idx="25">
                        <c:v>Feb-24</c:v>
                      </c:pt>
                      <c:pt idx="26">
                        <c:v>Mar-24</c:v>
                      </c:pt>
                    </c:strCache>
                  </c:strRef>
                </c:cat>
                <c:val>
                  <c:numRef>
                    <c:extLst xmlns:c15="http://schemas.microsoft.com/office/drawing/2012/chart">
                      <c:ext xmlns:c15="http://schemas.microsoft.com/office/drawing/2012/chart" uri="{02D57815-91ED-43cb-92C2-25804820EDAC}">
                        <c15:formulaRef>
                          <c15:sqref>'Paediatric plan'!$B$13</c15:sqref>
                        </c15:formulaRef>
                      </c:ext>
                    </c:extLst>
                    <c:numCache>
                      <c:formatCode>General</c:formatCode>
                      <c:ptCount val="1"/>
                      <c:pt idx="0">
                        <c:v>110</c:v>
                      </c:pt>
                    </c:numCache>
                  </c:numRef>
                </c:val>
                <c:smooth val="0"/>
                <c:extLst xmlns:c15="http://schemas.microsoft.com/office/drawing/2012/chart">
                  <c:ext xmlns:c16="http://schemas.microsoft.com/office/drawing/2014/chart" uri="{C3380CC4-5D6E-409C-BE32-E72D297353CC}">
                    <c16:uniqueId val="{00000004-AAC9-4E47-85C3-D77EA0C3A1FC}"/>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'Paediatric plan'!$A$14</c15:sqref>
                        </c15:formulaRef>
                      </c:ext>
                    </c:extLst>
                    <c:strCache>
                      <c:ptCount val="1"/>
                      <c:pt idx="0">
                        <c:v>Gap</c:v>
                      </c:pt>
                    </c:strCache>
                  </c:strRef>
                </c:tx>
                <c:spPr>
                  <a:ln w="28575" cap="rnd">
                    <a:solidFill>
                      <a:schemeClr val="accent3"/>
                    </a:solidFill>
                    <a:round/>
                  </a:ln>
                  <a:effectLst/>
                </c:spPr>
                <c:marker>
                  <c:symbol val="none"/>
                </c:marker>
                <c:cat>
                  <c:strRef>
                    <c:extLst xmlns:c15="http://schemas.microsoft.com/office/drawing/2012/chart">
                      <c:ext xmlns:c15="http://schemas.microsoft.com/office/drawing/2012/chart" uri="{02D57815-91ED-43cb-92C2-25804820EDAC}">
                        <c15:formulaRef>
                          <c15:sqref>('Paediatric plan'!$B$11,'Paediatric plan'!$U$11:$AT$11)</c15:sqref>
                        </c15:formulaRef>
                      </c:ext>
                    </c:extLst>
                    <c:strCache>
                      <c:ptCount val="27"/>
                      <c:pt idx="0">
                        <c:v>pre covid</c:v>
                      </c:pt>
                      <c:pt idx="1">
                        <c:v>Feb-22</c:v>
                      </c:pt>
                      <c:pt idx="2">
                        <c:v>Mar-22</c:v>
                      </c:pt>
                      <c:pt idx="3">
                        <c:v>Apr-22</c:v>
                      </c:pt>
                      <c:pt idx="4">
                        <c:v>May-22</c:v>
                      </c:pt>
                      <c:pt idx="5">
                        <c:v>Jun-22</c:v>
                      </c:pt>
                      <c:pt idx="6">
                        <c:v>Jul-22</c:v>
                      </c:pt>
                      <c:pt idx="7">
                        <c:v>Aug-22</c:v>
                      </c:pt>
                      <c:pt idx="8">
                        <c:v>Sep-22</c:v>
                      </c:pt>
                      <c:pt idx="9">
                        <c:v>Oct-22</c:v>
                      </c:pt>
                      <c:pt idx="10">
                        <c:v>Nov-22</c:v>
                      </c:pt>
                      <c:pt idx="11">
                        <c:v>Dec-22</c:v>
                      </c:pt>
                      <c:pt idx="12">
                        <c:v>Jan-23</c:v>
                      </c:pt>
                      <c:pt idx="13">
                        <c:v>Feb-23</c:v>
                      </c:pt>
                      <c:pt idx="14">
                        <c:v>Mar-23</c:v>
                      </c:pt>
                      <c:pt idx="15">
                        <c:v>Apr-23</c:v>
                      </c:pt>
                      <c:pt idx="16">
                        <c:v>May-23</c:v>
                      </c:pt>
                      <c:pt idx="17">
                        <c:v>Jun-23</c:v>
                      </c:pt>
                      <c:pt idx="18">
                        <c:v>Jul-23</c:v>
                      </c:pt>
                      <c:pt idx="19">
                        <c:v>Aug-23</c:v>
                      </c:pt>
                      <c:pt idx="20">
                        <c:v>Sep-23</c:v>
                      </c:pt>
                      <c:pt idx="21">
                        <c:v>Oct-23</c:v>
                      </c:pt>
                      <c:pt idx="22">
                        <c:v>Nov-23</c:v>
                      </c:pt>
                      <c:pt idx="23">
                        <c:v>Dec-23</c:v>
                      </c:pt>
                      <c:pt idx="24">
                        <c:v>Jan-24</c:v>
                      </c:pt>
                      <c:pt idx="25">
                        <c:v>Feb-24</c:v>
                      </c:pt>
                      <c:pt idx="26">
                        <c:v>Mar-24</c:v>
                      </c:pt>
                    </c:strCache>
                  </c:strRef>
                </c:cat>
                <c:val>
                  <c:numRef>
                    <c:extLst xmlns:c15="http://schemas.microsoft.com/office/drawing/2012/chart">
                      <c:ext xmlns:c15="http://schemas.microsoft.com/office/drawing/2012/chart" uri="{02D57815-91ED-43cb-92C2-25804820EDAC}">
                        <c15:formulaRef>
                          <c15:sqref>'Paediatric plan'!$B$14</c15:sqref>
                        </c15:formulaRef>
                      </c:ext>
                    </c:extLst>
                    <c:numCache>
                      <c:formatCode>General</c:formatCode>
                      <c:ptCount val="1"/>
                      <c:pt idx="0">
                        <c:v>5</c:v>
                      </c:pt>
                    </c:numCache>
                  </c:numRef>
                </c:val>
                <c:smooth val="0"/>
                <c:extLst xmlns:c15="http://schemas.microsoft.com/office/drawing/2012/chart">
                  <c:ext xmlns:c16="http://schemas.microsoft.com/office/drawing/2014/chart" uri="{C3380CC4-5D6E-409C-BE32-E72D297353CC}">
                    <c16:uniqueId val="{00000005-AAC9-4E47-85C3-D77EA0C3A1FC}"/>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'Paediatric plan'!$A$17</c15:sqref>
                        </c15:formulaRef>
                      </c:ext>
                    </c:extLst>
                    <c:strCache>
                      <c:ptCount val="1"/>
                      <c:pt idx="0">
                        <c:v>additional patient per clinic</c:v>
                      </c:pt>
                    </c:strCache>
                  </c:strRef>
                </c:tx>
                <c:spPr>
                  <a:ln w="28575" cap="rnd">
                    <a:solidFill>
                      <a:schemeClr val="accent4"/>
                    </a:solidFill>
                    <a:round/>
                  </a:ln>
                  <a:effectLst/>
                </c:spPr>
                <c:marker>
                  <c:symbol val="none"/>
                </c:marker>
                <c:cat>
                  <c:strRef>
                    <c:extLst xmlns:c15="http://schemas.microsoft.com/office/drawing/2012/chart">
                      <c:ext xmlns:c15="http://schemas.microsoft.com/office/drawing/2012/chart" uri="{02D57815-91ED-43cb-92C2-25804820EDAC}">
                        <c15:formulaRef>
                          <c15:sqref>('Paediatric plan'!$B$11,'Paediatric plan'!$U$11:$AT$11)</c15:sqref>
                        </c15:formulaRef>
                      </c:ext>
                    </c:extLst>
                    <c:strCache>
                      <c:ptCount val="27"/>
                      <c:pt idx="0">
                        <c:v>pre covid</c:v>
                      </c:pt>
                      <c:pt idx="1">
                        <c:v>Feb-22</c:v>
                      </c:pt>
                      <c:pt idx="2">
                        <c:v>Mar-22</c:v>
                      </c:pt>
                      <c:pt idx="3">
                        <c:v>Apr-22</c:v>
                      </c:pt>
                      <c:pt idx="4">
                        <c:v>May-22</c:v>
                      </c:pt>
                      <c:pt idx="5">
                        <c:v>Jun-22</c:v>
                      </c:pt>
                      <c:pt idx="6">
                        <c:v>Jul-22</c:v>
                      </c:pt>
                      <c:pt idx="7">
                        <c:v>Aug-22</c:v>
                      </c:pt>
                      <c:pt idx="8">
                        <c:v>Sep-22</c:v>
                      </c:pt>
                      <c:pt idx="9">
                        <c:v>Oct-22</c:v>
                      </c:pt>
                      <c:pt idx="10">
                        <c:v>Nov-22</c:v>
                      </c:pt>
                      <c:pt idx="11">
                        <c:v>Dec-22</c:v>
                      </c:pt>
                      <c:pt idx="12">
                        <c:v>Jan-23</c:v>
                      </c:pt>
                      <c:pt idx="13">
                        <c:v>Feb-23</c:v>
                      </c:pt>
                      <c:pt idx="14">
                        <c:v>Mar-23</c:v>
                      </c:pt>
                      <c:pt idx="15">
                        <c:v>Apr-23</c:v>
                      </c:pt>
                      <c:pt idx="16">
                        <c:v>May-23</c:v>
                      </c:pt>
                      <c:pt idx="17">
                        <c:v>Jun-23</c:v>
                      </c:pt>
                      <c:pt idx="18">
                        <c:v>Jul-23</c:v>
                      </c:pt>
                      <c:pt idx="19">
                        <c:v>Aug-23</c:v>
                      </c:pt>
                      <c:pt idx="20">
                        <c:v>Sep-23</c:v>
                      </c:pt>
                      <c:pt idx="21">
                        <c:v>Oct-23</c:v>
                      </c:pt>
                      <c:pt idx="22">
                        <c:v>Nov-23</c:v>
                      </c:pt>
                      <c:pt idx="23">
                        <c:v>Dec-23</c:v>
                      </c:pt>
                      <c:pt idx="24">
                        <c:v>Jan-24</c:v>
                      </c:pt>
                      <c:pt idx="25">
                        <c:v>Feb-24</c:v>
                      </c:pt>
                      <c:pt idx="26">
                        <c:v>Mar-24</c:v>
                      </c:pt>
                    </c:strCache>
                  </c:strRef>
                </c:cat>
                <c:val>
                  <c:numRef>
                    <c:extLst xmlns:c15="http://schemas.microsoft.com/office/drawing/2012/chart">
                      <c:ext xmlns:c15="http://schemas.microsoft.com/office/drawing/2012/chart" uri="{02D57815-91ED-43cb-92C2-25804820EDAC}">
                        <c15:formulaRef>
                          <c15:sqref>'Paediatric plan'!$B$17</c15:sqref>
                        </c15:formulaRef>
                      </c:ext>
                    </c:extLst>
                    <c:numCache>
                      <c:formatCode>0</c:formatCode>
                      <c:ptCount val="1"/>
                      <c:pt idx="0">
                        <c:v>0</c:v>
                      </c:pt>
                    </c:numCache>
                  </c:numRef>
                </c:val>
                <c:smooth val="0"/>
                <c:extLst xmlns:c15="http://schemas.microsoft.com/office/drawing/2012/chart">
                  <c:ext xmlns:c16="http://schemas.microsoft.com/office/drawing/2014/chart" uri="{C3380CC4-5D6E-409C-BE32-E72D297353CC}">
                    <c16:uniqueId val="{00000006-AAC9-4E47-85C3-D77EA0C3A1FC}"/>
                  </c:ext>
                </c:extLst>
              </c15:ser>
            </c15:filteredLineSeries>
          </c:ext>
        </c:extLst>
      </c:lineChart>
      <c:catAx>
        <c:axId val="605061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605061688"/>
        <c:crosses val="autoZero"/>
        <c:auto val="1"/>
        <c:lblAlgn val="ctr"/>
        <c:lblOffset val="100"/>
        <c:noMultiLvlLbl val="1"/>
      </c:catAx>
      <c:valAx>
        <c:axId val="605061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605061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200"/>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r>
              <a:rPr lang="en-US"/>
              <a:t>Diabetic Retina ECM Backlog = 93% </a:t>
            </a:r>
          </a:p>
        </c:rich>
      </c:tx>
      <c:layout>
        <c:manualLayout>
          <c:xMode val="edge"/>
          <c:yMode val="edge"/>
          <c:x val="0.34432944717471642"/>
          <c:y val="2.1280859760139575E-2"/>
        </c:manualLayout>
      </c:layout>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0037378881359028E-2"/>
          <c:y val="0.15558154702779192"/>
          <c:w val="0.92842463035426614"/>
          <c:h val="0.53846469722024137"/>
        </c:manualLayout>
      </c:layout>
      <c:lineChart>
        <c:grouping val="standard"/>
        <c:varyColors val="0"/>
        <c:ser>
          <c:idx val="6"/>
          <c:order val="5"/>
          <c:tx>
            <c:strRef>
              <c:f>'Diabetic Retina plan'!$A$22</c:f>
              <c:strCache>
                <c:ptCount val="1"/>
                <c:pt idx="0">
                  <c:v>no WLI from Apr 22</c:v>
                </c:pt>
              </c:strCache>
              <c:extLst xmlns:c15="http://schemas.microsoft.com/office/drawing/2012/chart"/>
            </c:strRef>
          </c:tx>
          <c:spPr>
            <a:ln w="28575" cap="rnd">
              <a:solidFill>
                <a:schemeClr val="accent1">
                  <a:lumMod val="60000"/>
                </a:schemeClr>
              </a:solidFill>
              <a:round/>
            </a:ln>
            <a:effectLst/>
          </c:spPr>
          <c:marker>
            <c:symbol val="none"/>
          </c:marker>
          <c:cat>
            <c:strRef>
              <c:f>('Diabetic Retina plan'!$B$11,'Diabetic Retina plan'!$H$11,'Diabetic Retina plan'!$T$11:$AL$11)</c:f>
              <c:strCache>
                <c:ptCount val="21"/>
                <c:pt idx="0">
                  <c:v>per covid</c:v>
                </c:pt>
                <c:pt idx="1">
                  <c:v>Jan-21</c:v>
                </c:pt>
                <c:pt idx="2">
                  <c:v>Jan-22</c:v>
                </c:pt>
                <c:pt idx="3">
                  <c:v>Feb-22</c:v>
                </c:pt>
                <c:pt idx="4">
                  <c:v>Mar-22</c:v>
                </c:pt>
                <c:pt idx="5">
                  <c:v>Apr-22</c:v>
                </c:pt>
                <c:pt idx="6">
                  <c:v>May-22</c:v>
                </c:pt>
                <c:pt idx="7">
                  <c:v>Jun-22</c:v>
                </c:pt>
                <c:pt idx="8">
                  <c:v>Jul-22</c:v>
                </c:pt>
                <c:pt idx="9">
                  <c:v>Aug-22</c:v>
                </c:pt>
                <c:pt idx="10">
                  <c:v>Sep-22</c:v>
                </c:pt>
                <c:pt idx="11">
                  <c:v>Oct-22</c:v>
                </c:pt>
                <c:pt idx="12">
                  <c:v>Nov-22</c:v>
                </c:pt>
                <c:pt idx="13">
                  <c:v>Dec-22</c:v>
                </c:pt>
                <c:pt idx="14">
                  <c:v>Jan-23</c:v>
                </c:pt>
                <c:pt idx="15">
                  <c:v>Feb-23</c:v>
                </c:pt>
                <c:pt idx="16">
                  <c:v>Mar-23</c:v>
                </c:pt>
                <c:pt idx="17">
                  <c:v>Apr-23</c:v>
                </c:pt>
                <c:pt idx="18">
                  <c:v>May-23</c:v>
                </c:pt>
                <c:pt idx="19">
                  <c:v>Jun-23</c:v>
                </c:pt>
                <c:pt idx="20">
                  <c:v>Jul-23</c:v>
                </c:pt>
              </c:strCache>
              <c:extLst/>
            </c:strRef>
          </c:cat>
          <c:val>
            <c:numRef>
              <c:f>('Diabetic Retina plan'!$B$22,'Diabetic Retina plan'!$H$22)</c:f>
              <c:extLst/>
            </c:numRef>
          </c:val>
          <c:smooth val="0"/>
          <c:extLst xmlns:c15="http://schemas.microsoft.com/office/drawing/2012/chart">
            <c:ext xmlns:c16="http://schemas.microsoft.com/office/drawing/2014/chart" uri="{C3380CC4-5D6E-409C-BE32-E72D297353CC}">
              <c16:uniqueId val="{00000000-0509-47D8-9854-139B29FFBAD8}"/>
            </c:ext>
          </c:extLst>
        </c:ser>
        <c:ser>
          <c:idx val="5"/>
          <c:order val="6"/>
          <c:tx>
            <c:strRef>
              <c:f>'Diabetic Retina plan'!$A$21</c:f>
              <c:strCache>
                <c:ptCount val="1"/>
                <c:pt idx="0">
                  <c:v>with referral refinement / WLI clinics</c:v>
                </c:pt>
              </c:strCache>
            </c:strRef>
          </c:tx>
          <c:spPr>
            <a:ln w="28575" cap="rnd">
              <a:solidFill>
                <a:schemeClr val="accent6"/>
              </a:solidFill>
              <a:round/>
            </a:ln>
            <a:effectLst/>
          </c:spPr>
          <c:marker>
            <c:symbol val="none"/>
          </c:marker>
          <c:cat>
            <c:strRef>
              <c:f>('Diabetic Retina plan'!$B$11,'Diabetic Retina plan'!$H$11,'Diabetic Retina plan'!$T$11:$AL$11)</c:f>
              <c:strCache>
                <c:ptCount val="21"/>
                <c:pt idx="0">
                  <c:v>per covid</c:v>
                </c:pt>
                <c:pt idx="1">
                  <c:v>Jan-21</c:v>
                </c:pt>
                <c:pt idx="2">
                  <c:v>Jan-22</c:v>
                </c:pt>
                <c:pt idx="3">
                  <c:v>Feb-22</c:v>
                </c:pt>
                <c:pt idx="4">
                  <c:v>Mar-22</c:v>
                </c:pt>
                <c:pt idx="5">
                  <c:v>Apr-22</c:v>
                </c:pt>
                <c:pt idx="6">
                  <c:v>May-22</c:v>
                </c:pt>
                <c:pt idx="7">
                  <c:v>Jun-22</c:v>
                </c:pt>
                <c:pt idx="8">
                  <c:v>Jul-22</c:v>
                </c:pt>
                <c:pt idx="9">
                  <c:v>Aug-22</c:v>
                </c:pt>
                <c:pt idx="10">
                  <c:v>Sep-22</c:v>
                </c:pt>
                <c:pt idx="11">
                  <c:v>Oct-22</c:v>
                </c:pt>
                <c:pt idx="12">
                  <c:v>Nov-22</c:v>
                </c:pt>
                <c:pt idx="13">
                  <c:v>Dec-22</c:v>
                </c:pt>
                <c:pt idx="14">
                  <c:v>Jan-23</c:v>
                </c:pt>
                <c:pt idx="15">
                  <c:v>Feb-23</c:v>
                </c:pt>
                <c:pt idx="16">
                  <c:v>Mar-23</c:v>
                </c:pt>
                <c:pt idx="17">
                  <c:v>Apr-23</c:v>
                </c:pt>
                <c:pt idx="18">
                  <c:v>May-23</c:v>
                </c:pt>
                <c:pt idx="19">
                  <c:v>Jun-23</c:v>
                </c:pt>
                <c:pt idx="20">
                  <c:v>Jul-23</c:v>
                </c:pt>
              </c:strCache>
              <c:extLst/>
            </c:strRef>
          </c:cat>
          <c:val>
            <c:numRef>
              <c:f>('Diabetic Retina plan'!$B$21,'Diabetic Retina plan'!$H$21,'Diabetic Retina plan'!$T$21:$AM$21)</c:f>
              <c:numCache>
                <c:formatCode>0</c:formatCode>
                <c:ptCount val="22"/>
                <c:pt idx="0" formatCode="General">
                  <c:v>144</c:v>
                </c:pt>
                <c:pt idx="1">
                  <c:v>548</c:v>
                </c:pt>
                <c:pt idx="2">
                  <c:v>339</c:v>
                </c:pt>
                <c:pt idx="3">
                  <c:v>307</c:v>
                </c:pt>
                <c:pt idx="4">
                  <c:v>235</c:v>
                </c:pt>
                <c:pt idx="5">
                  <c:v>133</c:v>
                </c:pt>
                <c:pt idx="6">
                  <c:v>126</c:v>
                </c:pt>
                <c:pt idx="7">
                  <c:v>119</c:v>
                </c:pt>
                <c:pt idx="8">
                  <c:v>107</c:v>
                </c:pt>
                <c:pt idx="9">
                  <c:v>35</c:v>
                </c:pt>
                <c:pt idx="10">
                  <c:v>3</c:v>
                </c:pt>
                <c:pt idx="11">
                  <c:v>-29</c:v>
                </c:pt>
                <c:pt idx="12">
                  <c:v>-1</c:v>
                </c:pt>
                <c:pt idx="13">
                  <c:v>27</c:v>
                </c:pt>
                <c:pt idx="14">
                  <c:v>40</c:v>
                </c:pt>
                <c:pt idx="15">
                  <c:v>43</c:v>
                </c:pt>
                <c:pt idx="16">
                  <c:v>46</c:v>
                </c:pt>
                <c:pt idx="17">
                  <c:v>49</c:v>
                </c:pt>
                <c:pt idx="18">
                  <c:v>52</c:v>
                </c:pt>
                <c:pt idx="19">
                  <c:v>55</c:v>
                </c:pt>
                <c:pt idx="20">
                  <c:v>58</c:v>
                </c:pt>
                <c:pt idx="21">
                  <c:v>61</c:v>
                </c:pt>
              </c:numCache>
              <c:extLst/>
            </c:numRef>
          </c:val>
          <c:smooth val="0"/>
          <c:extLst>
            <c:ext xmlns:c16="http://schemas.microsoft.com/office/drawing/2014/chart" uri="{C3380CC4-5D6E-409C-BE32-E72D297353CC}">
              <c16:uniqueId val="{00000001-0509-47D8-9854-139B29FFBAD8}"/>
            </c:ext>
          </c:extLst>
        </c:ser>
        <c:ser>
          <c:idx val="8"/>
          <c:order val="7"/>
          <c:tx>
            <c:strRef>
              <c:f>'Diabetic Retina plan'!$A$23</c:f>
              <c:strCache>
                <c:ptCount val="1"/>
                <c:pt idx="0">
                  <c:v>actual</c:v>
                </c:pt>
              </c:strCache>
            </c:strRef>
          </c:tx>
          <c:spPr>
            <a:ln w="28575" cap="rnd">
              <a:solidFill>
                <a:sysClr val="windowText" lastClr="000000"/>
              </a:solidFill>
              <a:prstDash val="dash"/>
              <a:round/>
            </a:ln>
            <a:effectLst/>
          </c:spPr>
          <c:marker>
            <c:symbol val="none"/>
          </c:marker>
          <c:dLbls>
            <c:dLbl>
              <c:idx val="9"/>
              <c:layout>
                <c:manualLayout>
                  <c:x val="1.1662247715507152E-3"/>
                  <c:y val="-5.2684586186313533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509-47D8-9854-139B29FFBAD8}"/>
                </c:ext>
              </c:extLst>
            </c:dLbl>
            <c:dLbl>
              <c:idx val="17"/>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6="http://schemas.microsoft.com/office/drawing/2014/chart" uri="{C3380CC4-5D6E-409C-BE32-E72D297353CC}">
                  <c16:uniqueId val="{00000003-0509-47D8-9854-139B29FFBAD8}"/>
                </c:ext>
              </c:extLst>
            </c:dLbl>
            <c:dLbl>
              <c:idx val="18"/>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6="http://schemas.microsoft.com/office/drawing/2014/chart" uri="{C3380CC4-5D6E-409C-BE32-E72D297353CC}">
                  <c16:uniqueId val="{00000004-0509-47D8-9854-139B29FFBAD8}"/>
                </c:ext>
              </c:extLst>
            </c:dLbl>
            <c:dLbl>
              <c:idx val="20"/>
              <c:layout>
                <c:manualLayout>
                  <c:x val="-1.5160922030160409E-2"/>
                  <c:y val="-5.2684586186313637E-2"/>
                </c:manualLayout>
              </c:layout>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509-47D8-9854-139B29FFBAD8}"/>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12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pPr xmlns:c15="http://schemas.microsoft.com/office/drawing/2012/chart">
                  <a:prstGeom prst="wedgeRectCallou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('Diabetic Retina plan'!$B$11,'Diabetic Retina plan'!$H$11,'Diabetic Retina plan'!$T$11:$AL$11)</c:f>
              <c:strCache>
                <c:ptCount val="21"/>
                <c:pt idx="0">
                  <c:v>per covid</c:v>
                </c:pt>
                <c:pt idx="1">
                  <c:v>Jan-21</c:v>
                </c:pt>
                <c:pt idx="2">
                  <c:v>Jan-22</c:v>
                </c:pt>
                <c:pt idx="3">
                  <c:v>Feb-22</c:v>
                </c:pt>
                <c:pt idx="4">
                  <c:v>Mar-22</c:v>
                </c:pt>
                <c:pt idx="5">
                  <c:v>Apr-22</c:v>
                </c:pt>
                <c:pt idx="6">
                  <c:v>May-22</c:v>
                </c:pt>
                <c:pt idx="7">
                  <c:v>Jun-22</c:v>
                </c:pt>
                <c:pt idx="8">
                  <c:v>Jul-22</c:v>
                </c:pt>
                <c:pt idx="9">
                  <c:v>Aug-22</c:v>
                </c:pt>
                <c:pt idx="10">
                  <c:v>Sep-22</c:v>
                </c:pt>
                <c:pt idx="11">
                  <c:v>Oct-22</c:v>
                </c:pt>
                <c:pt idx="12">
                  <c:v>Nov-22</c:v>
                </c:pt>
                <c:pt idx="13">
                  <c:v>Dec-22</c:v>
                </c:pt>
                <c:pt idx="14">
                  <c:v>Jan-23</c:v>
                </c:pt>
                <c:pt idx="15">
                  <c:v>Feb-23</c:v>
                </c:pt>
                <c:pt idx="16">
                  <c:v>Mar-23</c:v>
                </c:pt>
                <c:pt idx="17">
                  <c:v>Apr-23</c:v>
                </c:pt>
                <c:pt idx="18">
                  <c:v>May-23</c:v>
                </c:pt>
                <c:pt idx="19">
                  <c:v>Jun-23</c:v>
                </c:pt>
                <c:pt idx="20">
                  <c:v>Jul-23</c:v>
                </c:pt>
              </c:strCache>
              <c:extLst/>
            </c:strRef>
          </c:cat>
          <c:val>
            <c:numRef>
              <c:f>('Diabetic Retina plan'!$B$23,'Diabetic Retina plan'!$H$23,'Diabetic Retina plan'!$T$23:$AM$23)</c:f>
              <c:numCache>
                <c:formatCode>General</c:formatCode>
                <c:ptCount val="22"/>
                <c:pt idx="0">
                  <c:v>144</c:v>
                </c:pt>
                <c:pt idx="1">
                  <c:v>535</c:v>
                </c:pt>
                <c:pt idx="2">
                  <c:v>330</c:v>
                </c:pt>
                <c:pt idx="3">
                  <c:v>302</c:v>
                </c:pt>
                <c:pt idx="4">
                  <c:v>221</c:v>
                </c:pt>
                <c:pt idx="5">
                  <c:v>133</c:v>
                </c:pt>
                <c:pt idx="6">
                  <c:v>156</c:v>
                </c:pt>
                <c:pt idx="7">
                  <c:v>122</c:v>
                </c:pt>
                <c:pt idx="8">
                  <c:v>92</c:v>
                </c:pt>
                <c:pt idx="9" formatCode="0">
                  <c:v>35</c:v>
                </c:pt>
                <c:pt idx="10" formatCode="0">
                  <c:v>24</c:v>
                </c:pt>
                <c:pt idx="11" formatCode="0">
                  <c:v>34</c:v>
                </c:pt>
                <c:pt idx="12" formatCode="0">
                  <c:v>57</c:v>
                </c:pt>
                <c:pt idx="13" formatCode="0">
                  <c:v>74</c:v>
                </c:pt>
                <c:pt idx="14" formatCode="0">
                  <c:v>44</c:v>
                </c:pt>
                <c:pt idx="15" formatCode="0">
                  <c:v>76</c:v>
                </c:pt>
                <c:pt idx="16" formatCode="0">
                  <c:v>147</c:v>
                </c:pt>
                <c:pt idx="17" formatCode="0">
                  <c:v>233</c:v>
                </c:pt>
                <c:pt idx="18" formatCode="0">
                  <c:v>165</c:v>
                </c:pt>
                <c:pt idx="19" formatCode="0">
                  <c:v>156</c:v>
                </c:pt>
                <c:pt idx="20" formatCode="0">
                  <c:v>112</c:v>
                </c:pt>
                <c:pt idx="21" formatCode="0">
                  <c:v>115</c:v>
                </c:pt>
              </c:numCache>
              <c:extLst/>
            </c:numRef>
          </c:val>
          <c:smooth val="0"/>
          <c:extLst>
            <c:ext xmlns:c16="http://schemas.microsoft.com/office/drawing/2014/chart" uri="{C3380CC4-5D6E-409C-BE32-E72D297353CC}">
              <c16:uniqueId val="{00000006-0509-47D8-9854-139B29FFBAD8}"/>
            </c:ext>
          </c:extLst>
        </c:ser>
        <c:ser>
          <c:idx val="9"/>
          <c:order val="8"/>
          <c:tx>
            <c:strRef>
              <c:f>'Diabetic Retina plan'!$A$22</c:f>
              <c:strCache>
                <c:ptCount val="1"/>
                <c:pt idx="0">
                  <c:v>no WLI from Apr 22</c:v>
                </c:pt>
              </c:strCache>
              <c:extLst xmlns:c15="http://schemas.microsoft.com/office/drawing/2012/chart"/>
            </c:strRef>
          </c:tx>
          <c:spPr>
            <a:ln w="28575" cap="rnd">
              <a:solidFill>
                <a:schemeClr val="accent4">
                  <a:lumMod val="60000"/>
                </a:schemeClr>
              </a:solidFill>
              <a:round/>
            </a:ln>
            <a:effectLst/>
          </c:spPr>
          <c:marker>
            <c:symbol val="none"/>
          </c:marker>
          <c:cat>
            <c:strRef>
              <c:f>('Diabetic Retina plan'!$B$11,'Diabetic Retina plan'!$H$11,'Diabetic Retina plan'!$T$11:$AL$11)</c:f>
              <c:strCache>
                <c:ptCount val="21"/>
                <c:pt idx="0">
                  <c:v>per covid</c:v>
                </c:pt>
                <c:pt idx="1">
                  <c:v>Jan-21</c:v>
                </c:pt>
                <c:pt idx="2">
                  <c:v>Jan-22</c:v>
                </c:pt>
                <c:pt idx="3">
                  <c:v>Feb-22</c:v>
                </c:pt>
                <c:pt idx="4">
                  <c:v>Mar-22</c:v>
                </c:pt>
                <c:pt idx="5">
                  <c:v>Apr-22</c:v>
                </c:pt>
                <c:pt idx="6">
                  <c:v>May-22</c:v>
                </c:pt>
                <c:pt idx="7">
                  <c:v>Jun-22</c:v>
                </c:pt>
                <c:pt idx="8">
                  <c:v>Jul-22</c:v>
                </c:pt>
                <c:pt idx="9">
                  <c:v>Aug-22</c:v>
                </c:pt>
                <c:pt idx="10">
                  <c:v>Sep-22</c:v>
                </c:pt>
                <c:pt idx="11">
                  <c:v>Oct-22</c:v>
                </c:pt>
                <c:pt idx="12">
                  <c:v>Nov-22</c:v>
                </c:pt>
                <c:pt idx="13">
                  <c:v>Dec-22</c:v>
                </c:pt>
                <c:pt idx="14">
                  <c:v>Jan-23</c:v>
                </c:pt>
                <c:pt idx="15">
                  <c:v>Feb-23</c:v>
                </c:pt>
                <c:pt idx="16">
                  <c:v>Mar-23</c:v>
                </c:pt>
                <c:pt idx="17">
                  <c:v>Apr-23</c:v>
                </c:pt>
                <c:pt idx="18">
                  <c:v>May-23</c:v>
                </c:pt>
                <c:pt idx="19">
                  <c:v>Jun-23</c:v>
                </c:pt>
                <c:pt idx="20">
                  <c:v>Jul-23</c:v>
                </c:pt>
              </c:strCache>
              <c:extLst/>
            </c:strRef>
          </c:cat>
          <c:val>
            <c:numRef>
              <c:f>('Diabetic Retina plan'!$B$22,'Diabetic Retina plan'!$H$22,'Diabetic Retina plan'!$T$22:$AE$22)</c:f>
              <c:extLst/>
            </c:numRef>
          </c:val>
          <c:smooth val="0"/>
          <c:extLst xmlns:c15="http://schemas.microsoft.com/office/drawing/2012/chart">
            <c:ext xmlns:c16="http://schemas.microsoft.com/office/drawing/2014/chart" uri="{C3380CC4-5D6E-409C-BE32-E72D297353CC}">
              <c16:uniqueId val="{00000009-0509-47D8-9854-139B29FFBAD8}"/>
            </c:ext>
          </c:extLst>
        </c:ser>
        <c:dLbls>
          <c:showLegendKey val="0"/>
          <c:showVal val="0"/>
          <c:showCatName val="0"/>
          <c:showSerName val="0"/>
          <c:showPercent val="0"/>
          <c:showBubbleSize val="0"/>
        </c:dLbls>
        <c:smooth val="0"/>
        <c:axId val="663145264"/>
        <c:axId val="663150184"/>
        <c:extLst>
          <c:ext xmlns:c15="http://schemas.microsoft.com/office/drawing/2012/chart" uri="{02D57815-91ED-43cb-92C2-25804820EDAC}">
            <c15:filteredLineSeries>
              <c15:ser>
                <c:idx val="0"/>
                <c:order val="0"/>
                <c:tx>
                  <c:strRef>
                    <c:extLst>
                      <c:ext uri="{02D57815-91ED-43cb-92C2-25804820EDAC}">
                        <c15:formulaRef>
                          <c15:sqref>'Diabetic Retina plan'!$A$12</c15:sqref>
                        </c15:formulaRef>
                      </c:ext>
                    </c:extLst>
                    <c:strCache>
                      <c:ptCount val="1"/>
                      <c:pt idx="0">
                        <c:v>Average Demand (New + F/up)</c:v>
                      </c:pt>
                    </c:strCache>
                  </c:strRef>
                </c:tx>
                <c:spPr>
                  <a:ln w="28575" cap="rnd">
                    <a:solidFill>
                      <a:schemeClr val="accent1"/>
                    </a:solidFill>
                    <a:round/>
                  </a:ln>
                  <a:effectLst/>
                </c:spPr>
                <c:marker>
                  <c:symbol val="none"/>
                </c:marker>
                <c:cat>
                  <c:strRef>
                    <c:extLst>
                      <c:ext uri="{02D57815-91ED-43cb-92C2-25804820EDAC}">
                        <c15:formulaRef>
                          <c15:sqref>('Diabetic Retina plan'!$B$11,'Diabetic Retina plan'!$H$11,'Diabetic Retina plan'!$T$11:$AL$11)</c15:sqref>
                        </c15:formulaRef>
                      </c:ext>
                    </c:extLst>
                    <c:strCache>
                      <c:ptCount val="21"/>
                      <c:pt idx="0">
                        <c:v>per covid</c:v>
                      </c:pt>
                      <c:pt idx="1">
                        <c:v>Jan-21</c:v>
                      </c:pt>
                      <c:pt idx="2">
                        <c:v>Jan-22</c:v>
                      </c:pt>
                      <c:pt idx="3">
                        <c:v>Feb-22</c:v>
                      </c:pt>
                      <c:pt idx="4">
                        <c:v>Mar-22</c:v>
                      </c:pt>
                      <c:pt idx="5">
                        <c:v>Apr-22</c:v>
                      </c:pt>
                      <c:pt idx="6">
                        <c:v>May-22</c:v>
                      </c:pt>
                      <c:pt idx="7">
                        <c:v>Jun-22</c:v>
                      </c:pt>
                      <c:pt idx="8">
                        <c:v>Jul-22</c:v>
                      </c:pt>
                      <c:pt idx="9">
                        <c:v>Aug-22</c:v>
                      </c:pt>
                      <c:pt idx="10">
                        <c:v>Sep-22</c:v>
                      </c:pt>
                      <c:pt idx="11">
                        <c:v>Oct-22</c:v>
                      </c:pt>
                      <c:pt idx="12">
                        <c:v>Nov-22</c:v>
                      </c:pt>
                      <c:pt idx="13">
                        <c:v>Dec-22</c:v>
                      </c:pt>
                      <c:pt idx="14">
                        <c:v>Jan-23</c:v>
                      </c:pt>
                      <c:pt idx="15">
                        <c:v>Feb-23</c:v>
                      </c:pt>
                      <c:pt idx="16">
                        <c:v>Mar-23</c:v>
                      </c:pt>
                      <c:pt idx="17">
                        <c:v>Apr-23</c:v>
                      </c:pt>
                      <c:pt idx="18">
                        <c:v>May-23</c:v>
                      </c:pt>
                      <c:pt idx="19">
                        <c:v>Jun-23</c:v>
                      </c:pt>
                      <c:pt idx="20">
                        <c:v>Jul-23</c:v>
                      </c:pt>
                    </c:strCache>
                  </c:strRef>
                </c:cat>
                <c:val>
                  <c:numRef>
                    <c:extLst>
                      <c:ext uri="{02D57815-91ED-43cb-92C2-25804820EDAC}">
                        <c15:formulaRef>
                          <c15:sqref>('Diabetic Retina plan'!$D$12,'Diabetic Retina plan'!$J$12)</c15:sqref>
                        </c15:formulaRef>
                      </c:ext>
                    </c:extLst>
                    <c:numCache>
                      <c:formatCode>General</c:formatCode>
                      <c:ptCount val="2"/>
                      <c:pt idx="0">
                        <c:v>303</c:v>
                      </c:pt>
                      <c:pt idx="1">
                        <c:v>330</c:v>
                      </c:pt>
                    </c:numCache>
                  </c:numRef>
                </c:val>
                <c:smooth val="0"/>
                <c:extLst>
                  <c:ext xmlns:c16="http://schemas.microsoft.com/office/drawing/2014/chart" uri="{C3380CC4-5D6E-409C-BE32-E72D297353CC}">
                    <c16:uniqueId val="{0000000A-0509-47D8-9854-139B29FFBAD8}"/>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'Diabetic Retina plan'!$A$13</c15:sqref>
                        </c15:formulaRef>
                      </c:ext>
                    </c:extLst>
                    <c:strCache>
                      <c:ptCount val="1"/>
                      <c:pt idx="0">
                        <c:v>Average F2F Activity (Phase 2 recovery)</c:v>
                      </c:pt>
                    </c:strCache>
                  </c:strRef>
                </c:tx>
                <c:spPr>
                  <a:ln w="28575" cap="rnd">
                    <a:solidFill>
                      <a:schemeClr val="accent2"/>
                    </a:solidFill>
                    <a:round/>
                  </a:ln>
                  <a:effectLst/>
                </c:spPr>
                <c:marker>
                  <c:symbol val="none"/>
                </c:marker>
                <c:cat>
                  <c:strRef>
                    <c:extLst xmlns:c15="http://schemas.microsoft.com/office/drawing/2012/chart">
                      <c:ext xmlns:c15="http://schemas.microsoft.com/office/drawing/2012/chart" uri="{02D57815-91ED-43cb-92C2-25804820EDAC}">
                        <c15:formulaRef>
                          <c15:sqref>('Diabetic Retina plan'!$B$11,'Diabetic Retina plan'!$H$11,'Diabetic Retina plan'!$T$11:$AL$11)</c15:sqref>
                        </c15:formulaRef>
                      </c:ext>
                    </c:extLst>
                    <c:strCache>
                      <c:ptCount val="21"/>
                      <c:pt idx="0">
                        <c:v>per covid</c:v>
                      </c:pt>
                      <c:pt idx="1">
                        <c:v>Jan-21</c:v>
                      </c:pt>
                      <c:pt idx="2">
                        <c:v>Jan-22</c:v>
                      </c:pt>
                      <c:pt idx="3">
                        <c:v>Feb-22</c:v>
                      </c:pt>
                      <c:pt idx="4">
                        <c:v>Mar-22</c:v>
                      </c:pt>
                      <c:pt idx="5">
                        <c:v>Apr-22</c:v>
                      </c:pt>
                      <c:pt idx="6">
                        <c:v>May-22</c:v>
                      </c:pt>
                      <c:pt idx="7">
                        <c:v>Jun-22</c:v>
                      </c:pt>
                      <c:pt idx="8">
                        <c:v>Jul-22</c:v>
                      </c:pt>
                      <c:pt idx="9">
                        <c:v>Aug-22</c:v>
                      </c:pt>
                      <c:pt idx="10">
                        <c:v>Sep-22</c:v>
                      </c:pt>
                      <c:pt idx="11">
                        <c:v>Oct-22</c:v>
                      </c:pt>
                      <c:pt idx="12">
                        <c:v>Nov-22</c:v>
                      </c:pt>
                      <c:pt idx="13">
                        <c:v>Dec-22</c:v>
                      </c:pt>
                      <c:pt idx="14">
                        <c:v>Jan-23</c:v>
                      </c:pt>
                      <c:pt idx="15">
                        <c:v>Feb-23</c:v>
                      </c:pt>
                      <c:pt idx="16">
                        <c:v>Mar-23</c:v>
                      </c:pt>
                      <c:pt idx="17">
                        <c:v>Apr-23</c:v>
                      </c:pt>
                      <c:pt idx="18">
                        <c:v>May-23</c:v>
                      </c:pt>
                      <c:pt idx="19">
                        <c:v>Jun-23</c:v>
                      </c:pt>
                      <c:pt idx="20">
                        <c:v>Jul-23</c:v>
                      </c:pt>
                    </c:strCache>
                  </c:strRef>
                </c:cat>
                <c:val>
                  <c:numRef>
                    <c:extLst xmlns:c15="http://schemas.microsoft.com/office/drawing/2012/chart">
                      <c:ext xmlns:c15="http://schemas.microsoft.com/office/drawing/2012/chart" uri="{02D57815-91ED-43cb-92C2-25804820EDAC}">
                        <c15:formulaRef>
                          <c15:sqref>('Diabetic Retina plan'!$D$13,'Diabetic Retina plan'!$J$13)</c15:sqref>
                        </c15:formulaRef>
                      </c:ext>
                    </c:extLst>
                    <c:numCache>
                      <c:formatCode>General</c:formatCode>
                      <c:ptCount val="2"/>
                      <c:pt idx="0">
                        <c:v>184</c:v>
                      </c:pt>
                      <c:pt idx="1">
                        <c:v>227</c:v>
                      </c:pt>
                    </c:numCache>
                  </c:numRef>
                </c:val>
                <c:smooth val="0"/>
                <c:extLst xmlns:c15="http://schemas.microsoft.com/office/drawing/2012/chart">
                  <c:ext xmlns:c16="http://schemas.microsoft.com/office/drawing/2014/chart" uri="{C3380CC4-5D6E-409C-BE32-E72D297353CC}">
                    <c16:uniqueId val="{0000000B-0509-47D8-9854-139B29FFBAD8}"/>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'Diabetic Retina plan'!$A$15</c15:sqref>
                        </c15:formulaRef>
                      </c:ext>
                    </c:extLst>
                    <c:strCache>
                      <c:ptCount val="1"/>
                      <c:pt idx="0">
                        <c:v>Gap</c:v>
                      </c:pt>
                    </c:strCache>
                  </c:strRef>
                </c:tx>
                <c:spPr>
                  <a:ln w="28575" cap="rnd">
                    <a:solidFill>
                      <a:schemeClr val="accent3"/>
                    </a:solidFill>
                    <a:round/>
                  </a:ln>
                  <a:effectLst/>
                </c:spPr>
                <c:marker>
                  <c:symbol val="none"/>
                </c:marker>
                <c:cat>
                  <c:strRef>
                    <c:extLst xmlns:c15="http://schemas.microsoft.com/office/drawing/2012/chart">
                      <c:ext xmlns:c15="http://schemas.microsoft.com/office/drawing/2012/chart" uri="{02D57815-91ED-43cb-92C2-25804820EDAC}">
                        <c15:formulaRef>
                          <c15:sqref>('Diabetic Retina plan'!$B$11,'Diabetic Retina plan'!$H$11,'Diabetic Retina plan'!$T$11:$AL$11)</c15:sqref>
                        </c15:formulaRef>
                      </c:ext>
                    </c:extLst>
                    <c:strCache>
                      <c:ptCount val="21"/>
                      <c:pt idx="0">
                        <c:v>per covid</c:v>
                      </c:pt>
                      <c:pt idx="1">
                        <c:v>Jan-21</c:v>
                      </c:pt>
                      <c:pt idx="2">
                        <c:v>Jan-22</c:v>
                      </c:pt>
                      <c:pt idx="3">
                        <c:v>Feb-22</c:v>
                      </c:pt>
                      <c:pt idx="4">
                        <c:v>Mar-22</c:v>
                      </c:pt>
                      <c:pt idx="5">
                        <c:v>Apr-22</c:v>
                      </c:pt>
                      <c:pt idx="6">
                        <c:v>May-22</c:v>
                      </c:pt>
                      <c:pt idx="7">
                        <c:v>Jun-22</c:v>
                      </c:pt>
                      <c:pt idx="8">
                        <c:v>Jul-22</c:v>
                      </c:pt>
                      <c:pt idx="9">
                        <c:v>Aug-22</c:v>
                      </c:pt>
                      <c:pt idx="10">
                        <c:v>Sep-22</c:v>
                      </c:pt>
                      <c:pt idx="11">
                        <c:v>Oct-22</c:v>
                      </c:pt>
                      <c:pt idx="12">
                        <c:v>Nov-22</c:v>
                      </c:pt>
                      <c:pt idx="13">
                        <c:v>Dec-22</c:v>
                      </c:pt>
                      <c:pt idx="14">
                        <c:v>Jan-23</c:v>
                      </c:pt>
                      <c:pt idx="15">
                        <c:v>Feb-23</c:v>
                      </c:pt>
                      <c:pt idx="16">
                        <c:v>Mar-23</c:v>
                      </c:pt>
                      <c:pt idx="17">
                        <c:v>Apr-23</c:v>
                      </c:pt>
                      <c:pt idx="18">
                        <c:v>May-23</c:v>
                      </c:pt>
                      <c:pt idx="19">
                        <c:v>Jun-23</c:v>
                      </c:pt>
                      <c:pt idx="20">
                        <c:v>Jul-23</c:v>
                      </c:pt>
                    </c:strCache>
                  </c:strRef>
                </c:cat>
                <c:val>
                  <c:numRef>
                    <c:extLst xmlns:c15="http://schemas.microsoft.com/office/drawing/2012/chart">
                      <c:ext xmlns:c15="http://schemas.microsoft.com/office/drawing/2012/chart" uri="{02D57815-91ED-43cb-92C2-25804820EDAC}">
                        <c15:formulaRef>
                          <c15:sqref>('Diabetic Retina plan'!$D$15,'Diabetic Retina plan'!$J$15)</c15:sqref>
                        </c15:formulaRef>
                      </c:ext>
                    </c:extLst>
                    <c:numCache>
                      <c:formatCode>General</c:formatCode>
                      <c:ptCount val="2"/>
                      <c:pt idx="0">
                        <c:v>39</c:v>
                      </c:pt>
                      <c:pt idx="1">
                        <c:v>13</c:v>
                      </c:pt>
                    </c:numCache>
                  </c:numRef>
                </c:val>
                <c:smooth val="0"/>
                <c:extLst xmlns:c15="http://schemas.microsoft.com/office/drawing/2012/chart">
                  <c:ext xmlns:c16="http://schemas.microsoft.com/office/drawing/2014/chart" uri="{C3380CC4-5D6E-409C-BE32-E72D297353CC}">
                    <c16:uniqueId val="{0000000C-0509-47D8-9854-139B29FFBAD8}"/>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'Diabetic Retina plan'!$A$16</c15:sqref>
                        </c15:formulaRef>
                      </c:ext>
                    </c:extLst>
                    <c:strCache>
                      <c:ptCount val="1"/>
                      <c:pt idx="0">
                        <c:v>DMO practitioner </c:v>
                      </c:pt>
                    </c:strCache>
                  </c:strRef>
                </c:tx>
                <c:spPr>
                  <a:ln w="28575" cap="rnd">
                    <a:solidFill>
                      <a:schemeClr val="accent4"/>
                    </a:solidFill>
                    <a:round/>
                  </a:ln>
                  <a:effectLst/>
                </c:spPr>
                <c:marker>
                  <c:symbol val="none"/>
                </c:marker>
                <c:cat>
                  <c:strRef>
                    <c:extLst xmlns:c15="http://schemas.microsoft.com/office/drawing/2012/chart">
                      <c:ext xmlns:c15="http://schemas.microsoft.com/office/drawing/2012/chart" uri="{02D57815-91ED-43cb-92C2-25804820EDAC}">
                        <c15:formulaRef>
                          <c15:sqref>('Diabetic Retina plan'!$B$11,'Diabetic Retina plan'!$H$11,'Diabetic Retina plan'!$T$11:$AL$11)</c15:sqref>
                        </c15:formulaRef>
                      </c:ext>
                    </c:extLst>
                    <c:strCache>
                      <c:ptCount val="21"/>
                      <c:pt idx="0">
                        <c:v>per covid</c:v>
                      </c:pt>
                      <c:pt idx="1">
                        <c:v>Jan-21</c:v>
                      </c:pt>
                      <c:pt idx="2">
                        <c:v>Jan-22</c:v>
                      </c:pt>
                      <c:pt idx="3">
                        <c:v>Feb-22</c:v>
                      </c:pt>
                      <c:pt idx="4">
                        <c:v>Mar-22</c:v>
                      </c:pt>
                      <c:pt idx="5">
                        <c:v>Apr-22</c:v>
                      </c:pt>
                      <c:pt idx="6">
                        <c:v>May-22</c:v>
                      </c:pt>
                      <c:pt idx="7">
                        <c:v>Jun-22</c:v>
                      </c:pt>
                      <c:pt idx="8">
                        <c:v>Jul-22</c:v>
                      </c:pt>
                      <c:pt idx="9">
                        <c:v>Aug-22</c:v>
                      </c:pt>
                      <c:pt idx="10">
                        <c:v>Sep-22</c:v>
                      </c:pt>
                      <c:pt idx="11">
                        <c:v>Oct-22</c:v>
                      </c:pt>
                      <c:pt idx="12">
                        <c:v>Nov-22</c:v>
                      </c:pt>
                      <c:pt idx="13">
                        <c:v>Dec-22</c:v>
                      </c:pt>
                      <c:pt idx="14">
                        <c:v>Jan-23</c:v>
                      </c:pt>
                      <c:pt idx="15">
                        <c:v>Feb-23</c:v>
                      </c:pt>
                      <c:pt idx="16">
                        <c:v>Mar-23</c:v>
                      </c:pt>
                      <c:pt idx="17">
                        <c:v>Apr-23</c:v>
                      </c:pt>
                      <c:pt idx="18">
                        <c:v>May-23</c:v>
                      </c:pt>
                      <c:pt idx="19">
                        <c:v>Jun-23</c:v>
                      </c:pt>
                      <c:pt idx="20">
                        <c:v>Jul-23</c:v>
                      </c:pt>
                    </c:strCache>
                  </c:strRef>
                </c:cat>
                <c:val>
                  <c:numRef>
                    <c:extLst xmlns:c15="http://schemas.microsoft.com/office/drawing/2012/chart">
                      <c:ext xmlns:c15="http://schemas.microsoft.com/office/drawing/2012/chart" uri="{02D57815-91ED-43cb-92C2-25804820EDAC}">
                        <c15:formulaRef>
                          <c15:sqref>('Diabetic Retina plan'!$D$16,'Diabetic Retina plan'!$J$16)</c15:sqref>
                        </c15:formulaRef>
                      </c:ext>
                    </c:extLst>
                    <c:numCache>
                      <c:formatCode>General</c:formatCode>
                      <c:ptCount val="2"/>
                      <c:pt idx="0">
                        <c:v>40</c:v>
                      </c:pt>
                      <c:pt idx="1">
                        <c:v>0</c:v>
                      </c:pt>
                    </c:numCache>
                  </c:numRef>
                </c:val>
                <c:smooth val="0"/>
                <c:extLst xmlns:c15="http://schemas.microsoft.com/office/drawing/2012/chart">
                  <c:ext xmlns:c16="http://schemas.microsoft.com/office/drawing/2014/chart" uri="{C3380CC4-5D6E-409C-BE32-E72D297353CC}">
                    <c16:uniqueId val="{0000000D-0509-47D8-9854-139B29FFBAD8}"/>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'Diabetic Retina plan'!$A$21</c15:sqref>
                        </c15:formulaRef>
                      </c:ext>
                    </c:extLst>
                    <c:strCache>
                      <c:ptCount val="1"/>
                      <c:pt idx="0">
                        <c:v>with referral refinement / WLI clinics</c:v>
                      </c:pt>
                    </c:strCache>
                  </c:strRef>
                </c:tx>
                <c:spPr>
                  <a:ln w="28575" cap="rnd">
                    <a:solidFill>
                      <a:schemeClr val="accent5"/>
                    </a:solidFill>
                    <a:round/>
                  </a:ln>
                  <a:effectLst/>
                </c:spPr>
                <c:marker>
                  <c:symbol val="none"/>
                </c:marker>
                <c:cat>
                  <c:strRef>
                    <c:extLst xmlns:c15="http://schemas.microsoft.com/office/drawing/2012/chart">
                      <c:ext xmlns:c15="http://schemas.microsoft.com/office/drawing/2012/chart" uri="{02D57815-91ED-43cb-92C2-25804820EDAC}">
                        <c15:formulaRef>
                          <c15:sqref>('Diabetic Retina plan'!$B$11,'Diabetic Retina plan'!$H$11,'Diabetic Retina plan'!$T$11:$AL$11)</c15:sqref>
                        </c15:formulaRef>
                      </c:ext>
                    </c:extLst>
                    <c:strCache>
                      <c:ptCount val="21"/>
                      <c:pt idx="0">
                        <c:v>per covid</c:v>
                      </c:pt>
                      <c:pt idx="1">
                        <c:v>Jan-21</c:v>
                      </c:pt>
                      <c:pt idx="2">
                        <c:v>Jan-22</c:v>
                      </c:pt>
                      <c:pt idx="3">
                        <c:v>Feb-22</c:v>
                      </c:pt>
                      <c:pt idx="4">
                        <c:v>Mar-22</c:v>
                      </c:pt>
                      <c:pt idx="5">
                        <c:v>Apr-22</c:v>
                      </c:pt>
                      <c:pt idx="6">
                        <c:v>May-22</c:v>
                      </c:pt>
                      <c:pt idx="7">
                        <c:v>Jun-22</c:v>
                      </c:pt>
                      <c:pt idx="8">
                        <c:v>Jul-22</c:v>
                      </c:pt>
                      <c:pt idx="9">
                        <c:v>Aug-22</c:v>
                      </c:pt>
                      <c:pt idx="10">
                        <c:v>Sep-22</c:v>
                      </c:pt>
                      <c:pt idx="11">
                        <c:v>Oct-22</c:v>
                      </c:pt>
                      <c:pt idx="12">
                        <c:v>Nov-22</c:v>
                      </c:pt>
                      <c:pt idx="13">
                        <c:v>Dec-22</c:v>
                      </c:pt>
                      <c:pt idx="14">
                        <c:v>Jan-23</c:v>
                      </c:pt>
                      <c:pt idx="15">
                        <c:v>Feb-23</c:v>
                      </c:pt>
                      <c:pt idx="16">
                        <c:v>Mar-23</c:v>
                      </c:pt>
                      <c:pt idx="17">
                        <c:v>Apr-23</c:v>
                      </c:pt>
                      <c:pt idx="18">
                        <c:v>May-23</c:v>
                      </c:pt>
                      <c:pt idx="19">
                        <c:v>Jun-23</c:v>
                      </c:pt>
                      <c:pt idx="20">
                        <c:v>Jul-23</c:v>
                      </c:pt>
                    </c:strCache>
                  </c:strRef>
                </c:cat>
                <c:val>
                  <c:numRef>
                    <c:extLst xmlns:c15="http://schemas.microsoft.com/office/drawing/2012/chart">
                      <c:ext xmlns:c15="http://schemas.microsoft.com/office/drawing/2012/chart" uri="{02D57815-91ED-43cb-92C2-25804820EDAC}">
                        <c15:formulaRef>
                          <c15:sqref>('Diabetic Retina plan'!$D$21,'Diabetic Retina plan'!$J$21)</c15:sqref>
                        </c15:formulaRef>
                      </c:ext>
                    </c:extLst>
                    <c:numCache>
                      <c:formatCode>0</c:formatCode>
                      <c:ptCount val="2"/>
                      <c:pt idx="0">
                        <c:v>693</c:v>
                      </c:pt>
                      <c:pt idx="1">
                        <c:v>444</c:v>
                      </c:pt>
                    </c:numCache>
                  </c:numRef>
                </c:val>
                <c:smooth val="0"/>
                <c:extLst xmlns:c15="http://schemas.microsoft.com/office/drawing/2012/chart">
                  <c:ext xmlns:c16="http://schemas.microsoft.com/office/drawing/2014/chart" uri="{C3380CC4-5D6E-409C-BE32-E72D297353CC}">
                    <c16:uniqueId val="{0000000E-0509-47D8-9854-139B29FFBAD8}"/>
                  </c:ext>
                </c:extLst>
              </c15:ser>
            </c15:filteredLineSeries>
          </c:ext>
        </c:extLst>
      </c:lineChart>
      <c:catAx>
        <c:axId val="663145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663150184"/>
        <c:crosses val="autoZero"/>
        <c:auto val="1"/>
        <c:lblAlgn val="ctr"/>
        <c:lblOffset val="100"/>
        <c:noMultiLvlLbl val="1"/>
      </c:catAx>
      <c:valAx>
        <c:axId val="6631501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663145264"/>
        <c:crosses val="autoZero"/>
        <c:crossBetween val="between"/>
      </c:valAx>
      <c:spPr>
        <a:noFill/>
        <a:ln>
          <a:noFill/>
        </a:ln>
        <a:effectLst/>
      </c:spPr>
    </c:plotArea>
    <c:legend>
      <c:legendPos val="b"/>
      <c:layout>
        <c:manualLayout>
          <c:xMode val="edge"/>
          <c:yMode val="edge"/>
          <c:x val="3.1446861298331498E-2"/>
          <c:y val="0.83295972198306245"/>
          <c:w val="0.95261702413500104"/>
          <c:h val="0.1431834191700192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12700" cap="flat" cmpd="sng" algn="ctr">
      <a:solidFill>
        <a:sysClr val="windowText" lastClr="000000"/>
      </a:solidFill>
      <a:round/>
    </a:ln>
    <a:effectLst/>
  </c:spPr>
  <c:txPr>
    <a:bodyPr/>
    <a:lstStyle/>
    <a:p>
      <a:pPr>
        <a:defRPr sz="1200"/>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r>
              <a:rPr lang="en-US"/>
              <a:t>Glaucoma ECM backlog = 64%</a:t>
            </a:r>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9229187345494295E-2"/>
          <c:y val="0.12077182304051073"/>
          <c:w val="0.90698843427860598"/>
          <c:h val="0.57321085709305486"/>
        </c:manualLayout>
      </c:layout>
      <c:lineChart>
        <c:grouping val="standard"/>
        <c:varyColors val="0"/>
        <c:ser>
          <c:idx val="1"/>
          <c:order val="0"/>
          <c:tx>
            <c:strRef>
              <c:f>'Glaucoma plan'!$A$47</c:f>
              <c:strCache>
                <c:ptCount val="1"/>
                <c:pt idx="0">
                  <c:v>Data review sessions and additional medical and non medical workforce</c:v>
                </c:pt>
              </c:strCache>
            </c:strRef>
          </c:tx>
          <c:spPr>
            <a:ln w="28575" cap="rnd">
              <a:solidFill>
                <a:schemeClr val="accent2"/>
              </a:solidFill>
              <a:round/>
            </a:ln>
            <a:effectLst/>
          </c:spPr>
          <c:marker>
            <c:symbol val="none"/>
          </c:marker>
          <c:dLbls>
            <c:dLbl>
              <c:idx val="13"/>
              <c:layout>
                <c:manualLayout>
                  <c:x val="2.7350430295489669E-3"/>
                  <c:y val="-5.3106686116376076E-2"/>
                </c:manualLayout>
              </c:layout>
              <c:tx>
                <c:rich>
                  <a:bodyPr/>
                  <a:lstStyle/>
                  <a:p>
                    <a:r>
                      <a:rPr lang="en-US"/>
                      <a:t>Planned addition</a:t>
                    </a:r>
                    <a:r>
                      <a:rPr lang="en-US" baseline="0"/>
                      <a:t> clinic space  </a:t>
                    </a:r>
                    <a:endParaRPr lang="en-US"/>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AA5-41C4-8BCA-FA8A181BB918}"/>
                </c:ext>
              </c:extLst>
            </c:dLbl>
            <c:spPr>
              <a:solidFill>
                <a:schemeClr val="lt1"/>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12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('Glaucoma plan'!$B$26,'Glaucoma plan'!$Z$26:$BX$26)</c:f>
              <c:strCache>
                <c:ptCount val="50"/>
                <c:pt idx="0">
                  <c:v>pre covid</c:v>
                </c:pt>
                <c:pt idx="1">
                  <c:v>Jul-22</c:v>
                </c:pt>
                <c:pt idx="2">
                  <c:v>Aug-22</c:v>
                </c:pt>
                <c:pt idx="3">
                  <c:v>Sep-22</c:v>
                </c:pt>
                <c:pt idx="4">
                  <c:v>Oct-22</c:v>
                </c:pt>
                <c:pt idx="5">
                  <c:v>Nov-22</c:v>
                </c:pt>
                <c:pt idx="6">
                  <c:v>Dec-22</c:v>
                </c:pt>
                <c:pt idx="7">
                  <c:v>Jan-23</c:v>
                </c:pt>
                <c:pt idx="8">
                  <c:v>Feb-23</c:v>
                </c:pt>
                <c:pt idx="9">
                  <c:v>Mar-23</c:v>
                </c:pt>
                <c:pt idx="10">
                  <c:v>Apr-23</c:v>
                </c:pt>
                <c:pt idx="11">
                  <c:v>May-23</c:v>
                </c:pt>
                <c:pt idx="12">
                  <c:v>Jun-23</c:v>
                </c:pt>
                <c:pt idx="13">
                  <c:v>Jul-23</c:v>
                </c:pt>
                <c:pt idx="14">
                  <c:v>Aug-23</c:v>
                </c:pt>
                <c:pt idx="15">
                  <c:v>Sep-23</c:v>
                </c:pt>
                <c:pt idx="16">
                  <c:v>Oct-23</c:v>
                </c:pt>
                <c:pt idx="17">
                  <c:v>Nov-23</c:v>
                </c:pt>
                <c:pt idx="18">
                  <c:v>Dec-23</c:v>
                </c:pt>
                <c:pt idx="19">
                  <c:v>Jan-24</c:v>
                </c:pt>
                <c:pt idx="20">
                  <c:v>Feb-24</c:v>
                </c:pt>
                <c:pt idx="21">
                  <c:v>Mar-24</c:v>
                </c:pt>
                <c:pt idx="22">
                  <c:v>Apr-24</c:v>
                </c:pt>
                <c:pt idx="23">
                  <c:v>May-24</c:v>
                </c:pt>
                <c:pt idx="24">
                  <c:v>Jun-24</c:v>
                </c:pt>
                <c:pt idx="25">
                  <c:v>Sep-24</c:v>
                </c:pt>
                <c:pt idx="26">
                  <c:v>Oct-24</c:v>
                </c:pt>
                <c:pt idx="27">
                  <c:v>Nov-24</c:v>
                </c:pt>
                <c:pt idx="28">
                  <c:v>Dec-24</c:v>
                </c:pt>
                <c:pt idx="29">
                  <c:v>Jan-25</c:v>
                </c:pt>
                <c:pt idx="30">
                  <c:v>Feb-25</c:v>
                </c:pt>
                <c:pt idx="31">
                  <c:v>Mar-25</c:v>
                </c:pt>
                <c:pt idx="32">
                  <c:v>Apr-25</c:v>
                </c:pt>
                <c:pt idx="33">
                  <c:v>May-25</c:v>
                </c:pt>
                <c:pt idx="34">
                  <c:v>Jun-25</c:v>
                </c:pt>
                <c:pt idx="35">
                  <c:v>Jul-25</c:v>
                </c:pt>
                <c:pt idx="36">
                  <c:v>Aug-25</c:v>
                </c:pt>
                <c:pt idx="37">
                  <c:v>Sep-25</c:v>
                </c:pt>
                <c:pt idx="38">
                  <c:v>Oct-25</c:v>
                </c:pt>
                <c:pt idx="39">
                  <c:v>Nov-25</c:v>
                </c:pt>
                <c:pt idx="40">
                  <c:v>Dec-25</c:v>
                </c:pt>
                <c:pt idx="41">
                  <c:v>Jan-26</c:v>
                </c:pt>
                <c:pt idx="42">
                  <c:v>Feb-26</c:v>
                </c:pt>
                <c:pt idx="43">
                  <c:v>Mar-26</c:v>
                </c:pt>
                <c:pt idx="44">
                  <c:v>Apr-26</c:v>
                </c:pt>
                <c:pt idx="45">
                  <c:v>May-26</c:v>
                </c:pt>
                <c:pt idx="46">
                  <c:v>Jun-26</c:v>
                </c:pt>
                <c:pt idx="47">
                  <c:v>Jul-26</c:v>
                </c:pt>
                <c:pt idx="48">
                  <c:v>Aug-26</c:v>
                </c:pt>
                <c:pt idx="49">
                  <c:v>Sep-26</c:v>
                </c:pt>
              </c:strCache>
              <c:extLst/>
            </c:strRef>
          </c:cat>
          <c:val>
            <c:numRef>
              <c:f>('Glaucoma plan'!$B$47,'Glaucoma plan'!$Z$47:$BG$47)</c:f>
              <c:numCache>
                <c:formatCode>0</c:formatCode>
                <c:ptCount val="33"/>
                <c:pt idx="0" formatCode="General">
                  <c:v>548</c:v>
                </c:pt>
                <c:pt idx="1">
                  <c:v>4695</c:v>
                </c:pt>
                <c:pt idx="2">
                  <c:v>4648</c:v>
                </c:pt>
                <c:pt idx="3">
                  <c:v>4491</c:v>
                </c:pt>
                <c:pt idx="4">
                  <c:v>4434</c:v>
                </c:pt>
                <c:pt idx="5">
                  <c:v>4377</c:v>
                </c:pt>
                <c:pt idx="6">
                  <c:v>4320</c:v>
                </c:pt>
                <c:pt idx="7">
                  <c:v>4263</c:v>
                </c:pt>
                <c:pt idx="8">
                  <c:v>4306</c:v>
                </c:pt>
                <c:pt idx="9">
                  <c:v>4289</c:v>
                </c:pt>
                <c:pt idx="10">
                  <c:v>4273</c:v>
                </c:pt>
                <c:pt idx="11">
                  <c:v>4307</c:v>
                </c:pt>
                <c:pt idx="12">
                  <c:v>4165</c:v>
                </c:pt>
                <c:pt idx="13">
                  <c:v>3948</c:v>
                </c:pt>
                <c:pt idx="14">
                  <c:v>3731</c:v>
                </c:pt>
                <c:pt idx="15">
                  <c:v>3514</c:v>
                </c:pt>
                <c:pt idx="16">
                  <c:v>3297</c:v>
                </c:pt>
                <c:pt idx="17">
                  <c:v>3080</c:v>
                </c:pt>
                <c:pt idx="18">
                  <c:v>2863</c:v>
                </c:pt>
                <c:pt idx="19">
                  <c:v>2646</c:v>
                </c:pt>
                <c:pt idx="20">
                  <c:v>2504</c:v>
                </c:pt>
                <c:pt idx="21">
                  <c:v>2362</c:v>
                </c:pt>
                <c:pt idx="22">
                  <c:v>2272</c:v>
                </c:pt>
                <c:pt idx="23">
                  <c:v>2182</c:v>
                </c:pt>
                <c:pt idx="24">
                  <c:v>2092</c:v>
                </c:pt>
                <c:pt idx="25">
                  <c:v>1822</c:v>
                </c:pt>
                <c:pt idx="26">
                  <c:v>1732</c:v>
                </c:pt>
                <c:pt idx="27">
                  <c:v>1642</c:v>
                </c:pt>
                <c:pt idx="28">
                  <c:v>1552</c:v>
                </c:pt>
                <c:pt idx="29">
                  <c:v>1462</c:v>
                </c:pt>
                <c:pt idx="30">
                  <c:v>1327</c:v>
                </c:pt>
                <c:pt idx="31">
                  <c:v>1192</c:v>
                </c:pt>
                <c:pt idx="32">
                  <c:v>995</c:v>
                </c:pt>
              </c:numCache>
              <c:extLst/>
            </c:numRef>
          </c:val>
          <c:smooth val="0"/>
          <c:extLst>
            <c:ext xmlns:c16="http://schemas.microsoft.com/office/drawing/2014/chart" uri="{C3380CC4-5D6E-409C-BE32-E72D297353CC}">
              <c16:uniqueId val="{00000001-7AA5-41C4-8BCA-FA8A181BB918}"/>
            </c:ext>
          </c:extLst>
        </c:ser>
        <c:ser>
          <c:idx val="2"/>
          <c:order val="1"/>
          <c:tx>
            <c:strRef>
              <c:f>'Glaucoma plan'!$A$48</c:f>
              <c:strCache>
                <c:ptCount val="1"/>
                <c:pt idx="0">
                  <c:v>plus Covid / BC contigency plan</c:v>
                </c:pt>
              </c:strCache>
              <c:extLst xmlns:c15="http://schemas.microsoft.com/office/drawing/2012/chart"/>
            </c:strRef>
          </c:tx>
          <c:spPr>
            <a:ln w="28575" cap="rnd">
              <a:solidFill>
                <a:schemeClr val="accent3"/>
              </a:solidFill>
              <a:round/>
            </a:ln>
            <a:effectLst/>
          </c:spPr>
          <c:marker>
            <c:symbol val="none"/>
          </c:marker>
          <c:cat>
            <c:strRef>
              <c:f>('Glaucoma plan'!$B$26,'Glaucoma plan'!$Z$26:$BX$26)</c:f>
              <c:strCache>
                <c:ptCount val="50"/>
                <c:pt idx="0">
                  <c:v>pre covid</c:v>
                </c:pt>
                <c:pt idx="1">
                  <c:v>Jul-22</c:v>
                </c:pt>
                <c:pt idx="2">
                  <c:v>Aug-22</c:v>
                </c:pt>
                <c:pt idx="3">
                  <c:v>Sep-22</c:v>
                </c:pt>
                <c:pt idx="4">
                  <c:v>Oct-22</c:v>
                </c:pt>
                <c:pt idx="5">
                  <c:v>Nov-22</c:v>
                </c:pt>
                <c:pt idx="6">
                  <c:v>Dec-22</c:v>
                </c:pt>
                <c:pt idx="7">
                  <c:v>Jan-23</c:v>
                </c:pt>
                <c:pt idx="8">
                  <c:v>Feb-23</c:v>
                </c:pt>
                <c:pt idx="9">
                  <c:v>Mar-23</c:v>
                </c:pt>
                <c:pt idx="10">
                  <c:v>Apr-23</c:v>
                </c:pt>
                <c:pt idx="11">
                  <c:v>May-23</c:v>
                </c:pt>
                <c:pt idx="12">
                  <c:v>Jun-23</c:v>
                </c:pt>
                <c:pt idx="13">
                  <c:v>Jul-23</c:v>
                </c:pt>
                <c:pt idx="14">
                  <c:v>Aug-23</c:v>
                </c:pt>
                <c:pt idx="15">
                  <c:v>Sep-23</c:v>
                </c:pt>
                <c:pt idx="16">
                  <c:v>Oct-23</c:v>
                </c:pt>
                <c:pt idx="17">
                  <c:v>Nov-23</c:v>
                </c:pt>
                <c:pt idx="18">
                  <c:v>Dec-23</c:v>
                </c:pt>
                <c:pt idx="19">
                  <c:v>Jan-24</c:v>
                </c:pt>
                <c:pt idx="20">
                  <c:v>Feb-24</c:v>
                </c:pt>
                <c:pt idx="21">
                  <c:v>Mar-24</c:v>
                </c:pt>
                <c:pt idx="22">
                  <c:v>Apr-24</c:v>
                </c:pt>
                <c:pt idx="23">
                  <c:v>May-24</c:v>
                </c:pt>
                <c:pt idx="24">
                  <c:v>Jun-24</c:v>
                </c:pt>
                <c:pt idx="25">
                  <c:v>Sep-24</c:v>
                </c:pt>
                <c:pt idx="26">
                  <c:v>Oct-24</c:v>
                </c:pt>
                <c:pt idx="27">
                  <c:v>Nov-24</c:v>
                </c:pt>
                <c:pt idx="28">
                  <c:v>Dec-24</c:v>
                </c:pt>
                <c:pt idx="29">
                  <c:v>Jan-25</c:v>
                </c:pt>
                <c:pt idx="30">
                  <c:v>Feb-25</c:v>
                </c:pt>
                <c:pt idx="31">
                  <c:v>Mar-25</c:v>
                </c:pt>
                <c:pt idx="32">
                  <c:v>Apr-25</c:v>
                </c:pt>
                <c:pt idx="33">
                  <c:v>May-25</c:v>
                </c:pt>
                <c:pt idx="34">
                  <c:v>Jun-25</c:v>
                </c:pt>
                <c:pt idx="35">
                  <c:v>Jul-25</c:v>
                </c:pt>
                <c:pt idx="36">
                  <c:v>Aug-25</c:v>
                </c:pt>
                <c:pt idx="37">
                  <c:v>Sep-25</c:v>
                </c:pt>
                <c:pt idx="38">
                  <c:v>Oct-25</c:v>
                </c:pt>
                <c:pt idx="39">
                  <c:v>Nov-25</c:v>
                </c:pt>
                <c:pt idx="40">
                  <c:v>Dec-25</c:v>
                </c:pt>
                <c:pt idx="41">
                  <c:v>Jan-26</c:v>
                </c:pt>
                <c:pt idx="42">
                  <c:v>Feb-26</c:v>
                </c:pt>
                <c:pt idx="43">
                  <c:v>Mar-26</c:v>
                </c:pt>
                <c:pt idx="44">
                  <c:v>Apr-26</c:v>
                </c:pt>
                <c:pt idx="45">
                  <c:v>May-26</c:v>
                </c:pt>
                <c:pt idx="46">
                  <c:v>Jun-26</c:v>
                </c:pt>
                <c:pt idx="47">
                  <c:v>Jul-26</c:v>
                </c:pt>
                <c:pt idx="48">
                  <c:v>Aug-26</c:v>
                </c:pt>
                <c:pt idx="49">
                  <c:v>Sep-26</c:v>
                </c:pt>
              </c:strCache>
              <c:extLst/>
            </c:strRef>
          </c:cat>
          <c:val>
            <c:numRef>
              <c:f>('Glaucoma plan'!$B$48,'Glaucoma plan'!$Z$48:$AA$48)</c:f>
              <c:extLst/>
            </c:numRef>
          </c:val>
          <c:smooth val="0"/>
          <c:extLst xmlns:c15="http://schemas.microsoft.com/office/drawing/2012/chart">
            <c:ext xmlns:c16="http://schemas.microsoft.com/office/drawing/2014/chart" uri="{C3380CC4-5D6E-409C-BE32-E72D297353CC}">
              <c16:uniqueId val="{00000002-7AA5-41C4-8BCA-FA8A181BB918}"/>
            </c:ext>
          </c:extLst>
        </c:ser>
        <c:ser>
          <c:idx val="3"/>
          <c:order val="2"/>
          <c:tx>
            <c:strRef>
              <c:f>'Glaucoma plan'!$A$49</c:f>
              <c:strCache>
                <c:ptCount val="1"/>
                <c:pt idx="0">
                  <c:v>actual backlog</c:v>
                </c:pt>
              </c:strCache>
            </c:strRef>
          </c:tx>
          <c:spPr>
            <a:ln w="28575" cap="rnd">
              <a:solidFill>
                <a:schemeClr val="accent4"/>
              </a:solidFill>
              <a:round/>
            </a:ln>
            <a:effectLst/>
          </c:spPr>
          <c:marker>
            <c:symbol val="none"/>
          </c:marker>
          <c:dLbls>
            <c:dLbl>
              <c:idx val="8"/>
              <c:layout>
                <c:manualLayout>
                  <c:x val="-0.11604917377793984"/>
                  <c:y val="0.14140119739934473"/>
                </c:manualLayout>
              </c:layout>
              <c:tx>
                <c:rich>
                  <a:bodyPr rot="0" spcFirstLastPara="1" vertOverflow="clip" horzOverflow="clip" vert="horz" wrap="square" lIns="36576" tIns="18288" rIns="36576" bIns="18288" anchor="ctr" anchorCtr="1">
                    <a:spAutoFit/>
                  </a:bodyPr>
                  <a:lstStyle/>
                  <a:p>
                    <a:pPr>
                      <a:defRPr sz="1200" b="0" i="0" u="none" strike="noStrike" kern="1200" baseline="0">
                        <a:solidFill>
                          <a:schemeClr val="dk1">
                            <a:lumMod val="65000"/>
                            <a:lumOff val="35000"/>
                          </a:schemeClr>
                        </a:solidFill>
                        <a:latin typeface="+mn-lt"/>
                        <a:ea typeface="+mn-ea"/>
                        <a:cs typeface="+mn-cs"/>
                      </a:defRPr>
                    </a:pPr>
                    <a:r>
                      <a:rPr lang="en-US"/>
                      <a:t>below trajectory with locum clinics</a:t>
                    </a:r>
                  </a:p>
                </c:rich>
              </c:tx>
              <c:spPr>
                <a:solidFill>
                  <a:schemeClr val="lt1"/>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12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spPr xmlns:c15="http://schemas.microsoft.com/office/drawing/2012/chart">
                    <a:prstGeom prst="rect">
                      <a:avLst/>
                    </a:prstGeom>
                    <a:noFill/>
                    <a:ln>
                      <a:noFill/>
                    </a:ln>
                  </c15:spPr>
                </c:ext>
                <c:ext xmlns:c16="http://schemas.microsoft.com/office/drawing/2014/chart" uri="{C3380CC4-5D6E-409C-BE32-E72D297353CC}">
                  <c16:uniqueId val="{00000003-7AA5-41C4-8BCA-FA8A181BB918}"/>
                </c:ext>
              </c:extLst>
            </c:dLbl>
            <c:dLbl>
              <c:idx val="14"/>
              <c:layout>
                <c:manualLayout>
                  <c:x val="-2.7350430295490124E-2"/>
                  <c:y val="5.8696863602310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AA5-41C4-8BCA-FA8A181BB918}"/>
                </c:ext>
              </c:extLst>
            </c:dLbl>
            <c:spPr>
              <a:noFill/>
              <a:ln>
                <a:noFill/>
              </a:ln>
              <a:effectLst/>
            </c:spPr>
            <c:txPr>
              <a:bodyPr rot="0" spcFirstLastPara="1" vertOverflow="ellipsis" vert="horz" wrap="square" anchor="ctr" anchorCtr="1"/>
              <a:lstStyle/>
              <a:p>
                <a:pPr>
                  <a:defRPr sz="12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('Glaucoma plan'!$B$26,'Glaucoma plan'!$Z$26:$BX$26)</c:f>
              <c:strCache>
                <c:ptCount val="50"/>
                <c:pt idx="0">
                  <c:v>pre covid</c:v>
                </c:pt>
                <c:pt idx="1">
                  <c:v>Jul-22</c:v>
                </c:pt>
                <c:pt idx="2">
                  <c:v>Aug-22</c:v>
                </c:pt>
                <c:pt idx="3">
                  <c:v>Sep-22</c:v>
                </c:pt>
                <c:pt idx="4">
                  <c:v>Oct-22</c:v>
                </c:pt>
                <c:pt idx="5">
                  <c:v>Nov-22</c:v>
                </c:pt>
                <c:pt idx="6">
                  <c:v>Dec-22</c:v>
                </c:pt>
                <c:pt idx="7">
                  <c:v>Jan-23</c:v>
                </c:pt>
                <c:pt idx="8">
                  <c:v>Feb-23</c:v>
                </c:pt>
                <c:pt idx="9">
                  <c:v>Mar-23</c:v>
                </c:pt>
                <c:pt idx="10">
                  <c:v>Apr-23</c:v>
                </c:pt>
                <c:pt idx="11">
                  <c:v>May-23</c:v>
                </c:pt>
                <c:pt idx="12">
                  <c:v>Jun-23</c:v>
                </c:pt>
                <c:pt idx="13">
                  <c:v>Jul-23</c:v>
                </c:pt>
                <c:pt idx="14">
                  <c:v>Aug-23</c:v>
                </c:pt>
                <c:pt idx="15">
                  <c:v>Sep-23</c:v>
                </c:pt>
                <c:pt idx="16">
                  <c:v>Oct-23</c:v>
                </c:pt>
                <c:pt idx="17">
                  <c:v>Nov-23</c:v>
                </c:pt>
                <c:pt idx="18">
                  <c:v>Dec-23</c:v>
                </c:pt>
                <c:pt idx="19">
                  <c:v>Jan-24</c:v>
                </c:pt>
                <c:pt idx="20">
                  <c:v>Feb-24</c:v>
                </c:pt>
                <c:pt idx="21">
                  <c:v>Mar-24</c:v>
                </c:pt>
                <c:pt idx="22">
                  <c:v>Apr-24</c:v>
                </c:pt>
                <c:pt idx="23">
                  <c:v>May-24</c:v>
                </c:pt>
                <c:pt idx="24">
                  <c:v>Jun-24</c:v>
                </c:pt>
                <c:pt idx="25">
                  <c:v>Sep-24</c:v>
                </c:pt>
                <c:pt idx="26">
                  <c:v>Oct-24</c:v>
                </c:pt>
                <c:pt idx="27">
                  <c:v>Nov-24</c:v>
                </c:pt>
                <c:pt idx="28">
                  <c:v>Dec-24</c:v>
                </c:pt>
                <c:pt idx="29">
                  <c:v>Jan-25</c:v>
                </c:pt>
                <c:pt idx="30">
                  <c:v>Feb-25</c:v>
                </c:pt>
                <c:pt idx="31">
                  <c:v>Mar-25</c:v>
                </c:pt>
                <c:pt idx="32">
                  <c:v>Apr-25</c:v>
                </c:pt>
                <c:pt idx="33">
                  <c:v>May-25</c:v>
                </c:pt>
                <c:pt idx="34">
                  <c:v>Jun-25</c:v>
                </c:pt>
                <c:pt idx="35">
                  <c:v>Jul-25</c:v>
                </c:pt>
                <c:pt idx="36">
                  <c:v>Aug-25</c:v>
                </c:pt>
                <c:pt idx="37">
                  <c:v>Sep-25</c:v>
                </c:pt>
                <c:pt idx="38">
                  <c:v>Oct-25</c:v>
                </c:pt>
                <c:pt idx="39">
                  <c:v>Nov-25</c:v>
                </c:pt>
                <c:pt idx="40">
                  <c:v>Dec-25</c:v>
                </c:pt>
                <c:pt idx="41">
                  <c:v>Jan-26</c:v>
                </c:pt>
                <c:pt idx="42">
                  <c:v>Feb-26</c:v>
                </c:pt>
                <c:pt idx="43">
                  <c:v>Mar-26</c:v>
                </c:pt>
                <c:pt idx="44">
                  <c:v>Apr-26</c:v>
                </c:pt>
                <c:pt idx="45">
                  <c:v>May-26</c:v>
                </c:pt>
                <c:pt idx="46">
                  <c:v>Jun-26</c:v>
                </c:pt>
                <c:pt idx="47">
                  <c:v>Jul-26</c:v>
                </c:pt>
                <c:pt idx="48">
                  <c:v>Aug-26</c:v>
                </c:pt>
                <c:pt idx="49">
                  <c:v>Sep-26</c:v>
                </c:pt>
              </c:strCache>
              <c:extLst/>
            </c:strRef>
          </c:cat>
          <c:val>
            <c:numRef>
              <c:f>('Glaucoma plan'!$B$49,'Glaucoma plan'!$Z$49:$AM$49)</c:f>
              <c:numCache>
                <c:formatCode>General</c:formatCode>
                <c:ptCount val="15"/>
                <c:pt idx="0">
                  <c:v>548</c:v>
                </c:pt>
                <c:pt idx="1">
                  <c:v>4639</c:v>
                </c:pt>
                <c:pt idx="2">
                  <c:v>4632</c:v>
                </c:pt>
                <c:pt idx="3">
                  <c:v>4242</c:v>
                </c:pt>
                <c:pt idx="4">
                  <c:v>4083</c:v>
                </c:pt>
                <c:pt idx="5">
                  <c:v>4038</c:v>
                </c:pt>
                <c:pt idx="6">
                  <c:v>4160</c:v>
                </c:pt>
                <c:pt idx="7">
                  <c:v>3927</c:v>
                </c:pt>
                <c:pt idx="8">
                  <c:v>3790</c:v>
                </c:pt>
                <c:pt idx="9">
                  <c:v>3910</c:v>
                </c:pt>
                <c:pt idx="10">
                  <c:v>3893</c:v>
                </c:pt>
                <c:pt idx="11">
                  <c:v>3805</c:v>
                </c:pt>
                <c:pt idx="12">
                  <c:v>3679</c:v>
                </c:pt>
                <c:pt idx="13">
                  <c:v>3341</c:v>
                </c:pt>
                <c:pt idx="14">
                  <c:v>2867</c:v>
                </c:pt>
              </c:numCache>
              <c:extLst/>
            </c:numRef>
          </c:val>
          <c:smooth val="0"/>
          <c:extLst>
            <c:ext xmlns:c16="http://schemas.microsoft.com/office/drawing/2014/chart" uri="{C3380CC4-5D6E-409C-BE32-E72D297353CC}">
              <c16:uniqueId val="{00000005-7AA5-41C4-8BCA-FA8A181BB918}"/>
            </c:ext>
          </c:extLst>
        </c:ser>
        <c:dLbls>
          <c:showLegendKey val="0"/>
          <c:showVal val="0"/>
          <c:showCatName val="0"/>
          <c:showSerName val="0"/>
          <c:showPercent val="0"/>
          <c:showBubbleSize val="0"/>
        </c:dLbls>
        <c:smooth val="0"/>
        <c:axId val="508836000"/>
        <c:axId val="508834688"/>
        <c:extLst/>
      </c:lineChart>
      <c:catAx>
        <c:axId val="508836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508834688"/>
        <c:crosses val="autoZero"/>
        <c:auto val="1"/>
        <c:lblAlgn val="ctr"/>
        <c:lblOffset val="100"/>
        <c:noMultiLvlLbl val="1"/>
      </c:catAx>
      <c:valAx>
        <c:axId val="5088346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508836000"/>
        <c:crosses val="autoZero"/>
        <c:crossBetween val="between"/>
      </c:valAx>
      <c:spPr>
        <a:noFill/>
        <a:ln>
          <a:noFill/>
        </a:ln>
        <a:effectLst/>
      </c:spPr>
    </c:plotArea>
    <c:legend>
      <c:legendPos val="b"/>
      <c:layout>
        <c:manualLayout>
          <c:xMode val="edge"/>
          <c:yMode val="edge"/>
          <c:x val="1.7482093544070921E-2"/>
          <c:y val="0.85693473135451814"/>
          <c:w val="0.95956561917390071"/>
          <c:h val="0.14306518675154345"/>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ysClr val="windowText" lastClr="000000"/>
      </a:solidFill>
      <a:round/>
    </a:ln>
    <a:effectLst/>
  </c:spPr>
  <c:txPr>
    <a:bodyPr/>
    <a:lstStyle/>
    <a:p>
      <a:pPr>
        <a:defRPr sz="1200"/>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F63B63BC0544F76BCEB4D663AEC09D7"/>
        <w:category>
          <w:name w:val="General"/>
          <w:gallery w:val="placeholder"/>
        </w:category>
        <w:types>
          <w:type w:val="bbPlcHdr"/>
        </w:types>
        <w:behaviors>
          <w:behavior w:val="content"/>
        </w:behaviors>
        <w:guid w:val="{4A725CD1-1CAC-4610-824A-7E75DEC05781}"/>
      </w:docPartPr>
      <w:docPartBody>
        <w:p w:rsidR="00C01F2D" w:rsidRDefault="00C01F2D" w:rsidP="00C01F2D">
          <w:pPr>
            <w:pStyle w:val="9F63B63BC0544F76BCEB4D663AEC09D7"/>
          </w:pPr>
          <w:r w:rsidRPr="00F92B5A">
            <w:rPr>
              <w:rStyle w:val="PlaceholderText"/>
            </w:rPr>
            <w:t>Click or tap to enter a date.</w:t>
          </w:r>
        </w:p>
      </w:docPartBody>
    </w:docPart>
    <w:docPart>
      <w:docPartPr>
        <w:name w:val="41115835F0BE445F8CF8266975CC6963"/>
        <w:category>
          <w:name w:val="General"/>
          <w:gallery w:val="placeholder"/>
        </w:category>
        <w:types>
          <w:type w:val="bbPlcHdr"/>
        </w:types>
        <w:behaviors>
          <w:behavior w:val="content"/>
        </w:behaviors>
        <w:guid w:val="{FA4A1B23-CC38-4230-89BB-5957F3453C2F}"/>
      </w:docPartPr>
      <w:docPartBody>
        <w:p w:rsidR="00C01F2D" w:rsidRDefault="00C01F2D" w:rsidP="00C01F2D">
          <w:pPr>
            <w:pStyle w:val="41115835F0BE445F8CF8266975CC6963"/>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1F2D"/>
    <w:rsid w:val="00C01F2D"/>
    <w:rsid w:val="00C20317"/>
    <w:rsid w:val="00EF0C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01F2D"/>
    <w:rPr>
      <w:color w:val="808080"/>
    </w:rPr>
  </w:style>
  <w:style w:type="paragraph" w:customStyle="1" w:styleId="9F63B63BC0544F76BCEB4D663AEC09D7">
    <w:name w:val="9F63B63BC0544F76BCEB4D663AEC09D7"/>
    <w:rsid w:val="00C01F2D"/>
  </w:style>
  <w:style w:type="paragraph" w:customStyle="1" w:styleId="41115835F0BE445F8CF8266975CC6963">
    <w:name w:val="41115835F0BE445F8CF8266975CC6963"/>
    <w:rsid w:val="00C01F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CC42ADAB106EB49822CFC23F9FEC9A5" ma:contentTypeVersion="4" ma:contentTypeDescription="Create a new document." ma:contentTypeScope="" ma:versionID="2393e341b977fc2016cd05d1517a3891">
  <xsd:schema xmlns:xsd="http://www.w3.org/2001/XMLSchema" xmlns:xs="http://www.w3.org/2001/XMLSchema" xmlns:p="http://schemas.microsoft.com/office/2006/metadata/properties" xmlns:ns2="3bf9c03a-a900-4b12-b8ae-42bc092a8ac0" targetNamespace="http://schemas.microsoft.com/office/2006/metadata/properties" ma:root="true" ma:fieldsID="26875bba3093103834b09a1ba0a08b68" ns2:_="">
    <xsd:import namespace="3bf9c03a-a900-4b12-b8ae-42bc092a8ac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f9c03a-a900-4b12-b8ae-42bc092a8a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9C7A2E-BD06-4B77-89F1-0EE04DD0F13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19C2987-A9CA-43F4-A4ED-8EE9BCFADD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f9c03a-a900-4b12-b8ae-42bc092a8a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813737-7B53-468C-BDCA-BAC1098BFB4E}">
  <ds:schemaRefs>
    <ds:schemaRef ds:uri="http://schemas.microsoft.com/sharepoint/v3/contenttype/forms"/>
  </ds:schemaRefs>
</ds:datastoreItem>
</file>

<file path=customXml/itemProps4.xml><?xml version="1.0" encoding="utf-8"?>
<ds:datastoreItem xmlns:ds="http://schemas.openxmlformats.org/officeDocument/2006/customXml" ds:itemID="{45E5B958-F75A-4C34-9E6F-6205355638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1782</Words>
  <Characters>10160</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Angharad Higgins (Swansea Bay UHB - Corporate Nursing)</cp:lastModifiedBy>
  <cp:revision>1</cp:revision>
  <dcterms:created xsi:type="dcterms:W3CDTF">2023-11-09T14:37:00Z</dcterms:created>
  <dcterms:modified xsi:type="dcterms:W3CDTF">2023-11-09T14:37:00Z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0x0101009CC42ADAB106EB49822CFC23F9FEC9A5</vt:lpwstr>
  </property>
</Properties>
</file>