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904CA7" w14:textId="77777777" w:rsidR="000C56DA" w:rsidRPr="0086422F" w:rsidRDefault="000C56DA" w:rsidP="0086422F">
      <w:pPr>
        <w:jc w:val="center"/>
        <w:rPr>
          <w:rFonts w:ascii="Arial" w:hAnsi="Arial" w:cs="Arial"/>
          <w:b/>
          <w:sz w:val="24"/>
          <w:szCs w:val="24"/>
        </w:rPr>
      </w:pPr>
      <w:r w:rsidRPr="0086422F">
        <w:rPr>
          <w:rFonts w:ascii="Arial" w:hAnsi="Arial" w:cs="Arial"/>
          <w:b/>
          <w:sz w:val="24"/>
          <w:szCs w:val="24"/>
        </w:rPr>
        <w:t>DUTY OF CANDOUR</w:t>
      </w:r>
    </w:p>
    <w:p w14:paraId="66D9740A" w14:textId="0F610A6D" w:rsidR="00164D7B" w:rsidRPr="0086422F" w:rsidRDefault="00164D7B" w:rsidP="0086422F">
      <w:pPr>
        <w:jc w:val="center"/>
        <w:rPr>
          <w:rFonts w:ascii="Arial" w:hAnsi="Arial" w:cs="Arial"/>
          <w:b/>
          <w:sz w:val="24"/>
          <w:szCs w:val="24"/>
        </w:rPr>
      </w:pPr>
      <w:r w:rsidRPr="0086422F">
        <w:rPr>
          <w:rFonts w:ascii="Arial" w:hAnsi="Arial" w:cs="Arial"/>
          <w:b/>
          <w:sz w:val="24"/>
          <w:szCs w:val="24"/>
        </w:rPr>
        <w:t xml:space="preserve">Annual Report </w:t>
      </w:r>
      <w:r w:rsidR="00133912">
        <w:rPr>
          <w:rFonts w:ascii="Arial" w:hAnsi="Arial" w:cs="Arial"/>
          <w:b/>
          <w:sz w:val="24"/>
          <w:szCs w:val="24"/>
        </w:rPr>
        <w:t>2023/</w:t>
      </w:r>
      <w:r w:rsidRPr="0086422F">
        <w:rPr>
          <w:rFonts w:ascii="Arial" w:hAnsi="Arial" w:cs="Arial"/>
          <w:b/>
          <w:sz w:val="24"/>
          <w:szCs w:val="24"/>
        </w:rPr>
        <w:t>24</w:t>
      </w:r>
    </w:p>
    <w:p w14:paraId="3F458783" w14:textId="77777777" w:rsidR="00164D7B" w:rsidRPr="0086422F" w:rsidRDefault="000C56DA" w:rsidP="0086422F">
      <w:pPr>
        <w:jc w:val="center"/>
        <w:rPr>
          <w:rFonts w:ascii="Arial" w:hAnsi="Arial" w:cs="Arial"/>
          <w:b/>
          <w:sz w:val="24"/>
          <w:szCs w:val="24"/>
        </w:rPr>
      </w:pPr>
      <w:r w:rsidRPr="0086422F">
        <w:rPr>
          <w:rFonts w:ascii="Arial" w:hAnsi="Arial" w:cs="Arial"/>
          <w:b/>
          <w:sz w:val="24"/>
          <w:szCs w:val="24"/>
        </w:rPr>
        <w:t>Swansea Bay</w:t>
      </w:r>
      <w:r w:rsidR="00164D7B" w:rsidRPr="0086422F">
        <w:rPr>
          <w:rFonts w:ascii="Arial" w:hAnsi="Arial" w:cs="Arial"/>
          <w:b/>
          <w:sz w:val="24"/>
          <w:szCs w:val="24"/>
        </w:rPr>
        <w:t xml:space="preserve"> University Health Board</w:t>
      </w:r>
    </w:p>
    <w:p w14:paraId="696C8B4C" w14:textId="77777777" w:rsidR="000C56DA" w:rsidRPr="0086422F" w:rsidRDefault="00E5020D" w:rsidP="0086422F">
      <w:pPr>
        <w:jc w:val="both"/>
        <w:rPr>
          <w:rFonts w:ascii="Arial" w:hAnsi="Arial" w:cs="Arial"/>
          <w:sz w:val="24"/>
          <w:szCs w:val="24"/>
        </w:rPr>
      </w:pPr>
      <w:r w:rsidRPr="0086422F">
        <w:rPr>
          <w:rFonts w:ascii="Arial" w:hAnsi="Arial" w:cs="Arial"/>
          <w:sz w:val="24"/>
          <w:szCs w:val="24"/>
        </w:rPr>
        <w:t>As a Health Board</w:t>
      </w:r>
      <w:r w:rsidR="000C56DA" w:rsidRPr="0086422F">
        <w:rPr>
          <w:rFonts w:ascii="Arial" w:hAnsi="Arial" w:cs="Arial"/>
          <w:sz w:val="24"/>
          <w:szCs w:val="24"/>
        </w:rPr>
        <w:t>,</w:t>
      </w:r>
      <w:r w:rsidRPr="0086422F">
        <w:rPr>
          <w:rFonts w:ascii="Arial" w:hAnsi="Arial" w:cs="Arial"/>
          <w:sz w:val="24"/>
          <w:szCs w:val="24"/>
        </w:rPr>
        <w:t xml:space="preserve"> we are</w:t>
      </w:r>
      <w:r w:rsidR="000C56DA" w:rsidRPr="0086422F">
        <w:rPr>
          <w:rFonts w:ascii="Arial" w:hAnsi="Arial" w:cs="Arial"/>
          <w:sz w:val="24"/>
          <w:szCs w:val="24"/>
        </w:rPr>
        <w:t xml:space="preserve"> required to provide an annual</w:t>
      </w:r>
      <w:r w:rsidRPr="0086422F">
        <w:rPr>
          <w:rFonts w:ascii="Arial" w:hAnsi="Arial" w:cs="Arial"/>
          <w:sz w:val="24"/>
          <w:szCs w:val="24"/>
        </w:rPr>
        <w:t xml:space="preserve"> report which desc</w:t>
      </w:r>
      <w:r w:rsidR="000C56DA" w:rsidRPr="0086422F">
        <w:rPr>
          <w:rFonts w:ascii="Arial" w:hAnsi="Arial" w:cs="Arial"/>
          <w:sz w:val="24"/>
          <w:szCs w:val="24"/>
        </w:rPr>
        <w:t>ribes how we are fulfilling our requirements under The Health and Social Care (</w:t>
      </w:r>
      <w:r w:rsidRPr="0086422F">
        <w:rPr>
          <w:rFonts w:ascii="Arial" w:hAnsi="Arial" w:cs="Arial"/>
          <w:sz w:val="24"/>
          <w:szCs w:val="24"/>
        </w:rPr>
        <w:t>Quality and Engagement</w:t>
      </w:r>
      <w:r w:rsidR="000C56DA" w:rsidRPr="0086422F">
        <w:rPr>
          <w:rFonts w:ascii="Arial" w:hAnsi="Arial" w:cs="Arial"/>
          <w:sz w:val="24"/>
          <w:szCs w:val="24"/>
        </w:rPr>
        <w:t>) (Wales)</w:t>
      </w:r>
      <w:r w:rsidRPr="0086422F">
        <w:rPr>
          <w:rFonts w:ascii="Arial" w:hAnsi="Arial" w:cs="Arial"/>
          <w:sz w:val="24"/>
          <w:szCs w:val="24"/>
        </w:rPr>
        <w:t xml:space="preserve"> Act 2020. </w:t>
      </w:r>
    </w:p>
    <w:p w14:paraId="649FF49D" w14:textId="77777777" w:rsidR="00D40F2B" w:rsidRDefault="000C56DA" w:rsidP="0086422F">
      <w:pPr>
        <w:jc w:val="both"/>
        <w:rPr>
          <w:rFonts w:ascii="Arial" w:hAnsi="Arial" w:cs="Arial"/>
          <w:sz w:val="24"/>
          <w:szCs w:val="24"/>
        </w:rPr>
      </w:pPr>
      <w:r w:rsidRPr="0086422F">
        <w:rPr>
          <w:rFonts w:ascii="Arial" w:hAnsi="Arial" w:cs="Arial"/>
          <w:sz w:val="24"/>
          <w:szCs w:val="24"/>
        </w:rPr>
        <w:t>This is the health board’s first report since the Duty of Candour was introduced in Wales on 1</w:t>
      </w:r>
      <w:r w:rsidRPr="0086422F">
        <w:rPr>
          <w:rFonts w:ascii="Arial" w:hAnsi="Arial" w:cs="Arial"/>
          <w:sz w:val="24"/>
          <w:szCs w:val="24"/>
          <w:vertAlign w:val="superscript"/>
        </w:rPr>
        <w:t>st</w:t>
      </w:r>
      <w:r w:rsidRPr="0086422F">
        <w:rPr>
          <w:rFonts w:ascii="Arial" w:hAnsi="Arial" w:cs="Arial"/>
          <w:sz w:val="24"/>
          <w:szCs w:val="24"/>
        </w:rPr>
        <w:t xml:space="preserve"> April 2023 and it describes the work we have undertaken to implement and embed the requirements of the Duty. The report is a summary of the successes and challenges for the Health Board in 2023 / 2024 following the introduction of the Duty of Candour.</w:t>
      </w:r>
    </w:p>
    <w:p w14:paraId="74DFB34D" w14:textId="77777777" w:rsidR="00D40F2B" w:rsidRDefault="00D40F2B" w:rsidP="00D40F2B">
      <w:pPr>
        <w:jc w:val="both"/>
        <w:rPr>
          <w:rFonts w:ascii="Arial" w:hAnsi="Arial" w:cs="Arial"/>
          <w:color w:val="000000" w:themeColor="text1"/>
          <w:sz w:val="24"/>
          <w:szCs w:val="24"/>
        </w:rPr>
      </w:pPr>
      <w:r>
        <w:rPr>
          <w:rFonts w:ascii="Arial" w:hAnsi="Arial" w:cs="Arial"/>
          <w:color w:val="000000" w:themeColor="text1"/>
          <w:sz w:val="24"/>
          <w:szCs w:val="24"/>
        </w:rPr>
        <w:t>The health board</w:t>
      </w:r>
      <w:r w:rsidRPr="00D40F2B">
        <w:rPr>
          <w:rFonts w:ascii="Arial" w:hAnsi="Arial" w:cs="Arial"/>
          <w:color w:val="000000" w:themeColor="text1"/>
          <w:sz w:val="24"/>
          <w:szCs w:val="24"/>
        </w:rPr>
        <w:t xml:space="preserve"> recognise the importance of the Duty of Candour in enabling our aim of becoming a </w:t>
      </w:r>
      <w:r w:rsidRPr="00D40F2B">
        <w:rPr>
          <w:rFonts w:ascii="Arial" w:hAnsi="Arial" w:cs="Arial"/>
          <w:bCs/>
          <w:color w:val="000000" w:themeColor="text1"/>
          <w:sz w:val="24"/>
          <w:szCs w:val="24"/>
        </w:rPr>
        <w:t>high-quality organisation</w:t>
      </w:r>
      <w:r w:rsidRPr="00D40F2B">
        <w:rPr>
          <w:rFonts w:ascii="Arial" w:hAnsi="Arial" w:cs="Arial"/>
          <w:color w:val="000000" w:themeColor="text1"/>
          <w:sz w:val="24"/>
          <w:szCs w:val="24"/>
        </w:rPr>
        <w:t xml:space="preserve">. The principles of openness and transparency in engagement with service users underpinning it are akin with many of the core capabilities and capacities to which we have committed in our Annual Plan; namely being an </w:t>
      </w:r>
      <w:r w:rsidRPr="00D40F2B">
        <w:rPr>
          <w:rFonts w:ascii="Arial" w:hAnsi="Arial" w:cs="Arial"/>
          <w:bCs/>
          <w:color w:val="000000" w:themeColor="text1"/>
          <w:sz w:val="24"/>
          <w:szCs w:val="24"/>
        </w:rPr>
        <w:t>efficient and effective</w:t>
      </w:r>
      <w:r w:rsidRPr="00D40F2B">
        <w:rPr>
          <w:rFonts w:ascii="Arial" w:hAnsi="Arial" w:cs="Arial"/>
          <w:color w:val="000000" w:themeColor="text1"/>
          <w:sz w:val="24"/>
          <w:szCs w:val="24"/>
        </w:rPr>
        <w:t xml:space="preserve">, </w:t>
      </w:r>
      <w:r w:rsidRPr="00D40F2B">
        <w:rPr>
          <w:rFonts w:ascii="Arial" w:hAnsi="Arial" w:cs="Arial"/>
          <w:bCs/>
          <w:color w:val="000000" w:themeColor="text1"/>
          <w:sz w:val="24"/>
          <w:szCs w:val="24"/>
        </w:rPr>
        <w:t>person-centred</w:t>
      </w:r>
      <w:r w:rsidRPr="00D40F2B">
        <w:rPr>
          <w:rFonts w:ascii="Arial" w:hAnsi="Arial" w:cs="Arial"/>
          <w:color w:val="000000" w:themeColor="text1"/>
          <w:sz w:val="24"/>
          <w:szCs w:val="24"/>
        </w:rPr>
        <w:t xml:space="preserve">, </w:t>
      </w:r>
      <w:r w:rsidRPr="00D40F2B">
        <w:rPr>
          <w:rFonts w:ascii="Arial" w:hAnsi="Arial" w:cs="Arial"/>
          <w:bCs/>
          <w:color w:val="000000" w:themeColor="text1"/>
          <w:sz w:val="24"/>
          <w:szCs w:val="24"/>
        </w:rPr>
        <w:t>safe</w:t>
      </w:r>
      <w:r w:rsidRPr="00D40F2B">
        <w:rPr>
          <w:rFonts w:ascii="Arial" w:hAnsi="Arial" w:cs="Arial"/>
          <w:color w:val="000000" w:themeColor="text1"/>
          <w:sz w:val="24"/>
          <w:szCs w:val="24"/>
        </w:rPr>
        <w:t xml:space="preserve"> organisation. </w:t>
      </w:r>
    </w:p>
    <w:p w14:paraId="2D3C3223" w14:textId="77777777" w:rsidR="000C56DA" w:rsidRPr="0086422F" w:rsidRDefault="000C56DA" w:rsidP="0086422F">
      <w:pPr>
        <w:jc w:val="both"/>
        <w:rPr>
          <w:rFonts w:ascii="Arial" w:hAnsi="Arial" w:cs="Arial"/>
          <w:sz w:val="24"/>
          <w:szCs w:val="24"/>
        </w:rPr>
      </w:pPr>
      <w:r w:rsidRPr="0086422F">
        <w:rPr>
          <w:rFonts w:ascii="Arial" w:hAnsi="Arial" w:cs="Arial"/>
          <w:sz w:val="24"/>
          <w:szCs w:val="24"/>
        </w:rPr>
        <w:t xml:space="preserve">This report is intended for our population, as well as our board, and describes what is in place to ensure the health board is able to meet its obligations under the Act in relation to the Duty of Candour, how often the Duty has been triggered and what the themes are. </w:t>
      </w:r>
    </w:p>
    <w:p w14:paraId="795C28ED" w14:textId="77777777" w:rsidR="000C56DA" w:rsidRPr="0086422F" w:rsidRDefault="000C56DA" w:rsidP="0086422F">
      <w:pPr>
        <w:pStyle w:val="NoSpacing"/>
        <w:numPr>
          <w:ilvl w:val="0"/>
          <w:numId w:val="19"/>
        </w:numPr>
        <w:jc w:val="both"/>
        <w:rPr>
          <w:rFonts w:ascii="Arial" w:hAnsi="Arial" w:cs="Arial"/>
          <w:b/>
          <w:sz w:val="24"/>
          <w:szCs w:val="24"/>
          <w:lang w:val="en"/>
        </w:rPr>
      </w:pPr>
      <w:r w:rsidRPr="0086422F">
        <w:rPr>
          <w:rFonts w:ascii="Arial" w:hAnsi="Arial" w:cs="Arial"/>
          <w:b/>
          <w:sz w:val="24"/>
          <w:szCs w:val="24"/>
          <w:lang w:val="en"/>
        </w:rPr>
        <w:t>Introduction</w:t>
      </w:r>
    </w:p>
    <w:p w14:paraId="5F9AFF7C" w14:textId="77777777" w:rsidR="000C56DA" w:rsidRPr="0086422F" w:rsidRDefault="000C56DA" w:rsidP="0086422F">
      <w:pPr>
        <w:pStyle w:val="NoSpacing"/>
        <w:jc w:val="both"/>
        <w:rPr>
          <w:rFonts w:ascii="Arial" w:hAnsi="Arial" w:cs="Arial"/>
          <w:sz w:val="24"/>
          <w:szCs w:val="24"/>
          <w:lang w:val="en"/>
        </w:rPr>
      </w:pPr>
    </w:p>
    <w:p w14:paraId="58482DC2" w14:textId="77777777" w:rsidR="000C56DA" w:rsidRPr="0086422F" w:rsidRDefault="000C56DA" w:rsidP="0086422F">
      <w:pPr>
        <w:pStyle w:val="NoSpacing"/>
        <w:jc w:val="both"/>
        <w:rPr>
          <w:rFonts w:ascii="Arial" w:hAnsi="Arial" w:cs="Arial"/>
          <w:sz w:val="24"/>
          <w:szCs w:val="24"/>
          <w:lang w:val="en"/>
        </w:rPr>
      </w:pPr>
      <w:r w:rsidRPr="0086422F">
        <w:rPr>
          <w:rFonts w:ascii="Arial" w:hAnsi="Arial" w:cs="Arial"/>
          <w:sz w:val="24"/>
          <w:szCs w:val="24"/>
          <w:lang w:val="en"/>
        </w:rPr>
        <w:t>The Health and Social Care (Quality and Engagement) (Wales) Act became law on 1 June 2020 with its full implementation completed April 2023. Its intention is to:</w:t>
      </w:r>
    </w:p>
    <w:p w14:paraId="64105307" w14:textId="77777777" w:rsidR="000C56DA" w:rsidRPr="0086422F" w:rsidRDefault="000C56DA" w:rsidP="0086422F">
      <w:pPr>
        <w:pStyle w:val="NoSpacing"/>
        <w:numPr>
          <w:ilvl w:val="0"/>
          <w:numId w:val="17"/>
        </w:numPr>
        <w:jc w:val="both"/>
        <w:rPr>
          <w:rFonts w:ascii="Arial" w:hAnsi="Arial" w:cs="Arial"/>
          <w:sz w:val="24"/>
          <w:szCs w:val="24"/>
          <w:lang w:val="en"/>
        </w:rPr>
      </w:pPr>
      <w:r w:rsidRPr="0086422F">
        <w:rPr>
          <w:rFonts w:ascii="Arial" w:hAnsi="Arial" w:cs="Arial"/>
          <w:sz w:val="24"/>
          <w:szCs w:val="24"/>
          <w:lang w:val="en"/>
        </w:rPr>
        <w:t xml:space="preserve">support an ongoing, system-wide approach to quality improvement within the NHS in Wales; </w:t>
      </w:r>
    </w:p>
    <w:p w14:paraId="614E0E6E" w14:textId="77777777" w:rsidR="000C56DA" w:rsidRPr="0086422F" w:rsidRDefault="000C56DA" w:rsidP="0086422F">
      <w:pPr>
        <w:pStyle w:val="NoSpacing"/>
        <w:numPr>
          <w:ilvl w:val="0"/>
          <w:numId w:val="17"/>
        </w:numPr>
        <w:jc w:val="both"/>
        <w:rPr>
          <w:rFonts w:ascii="Arial" w:hAnsi="Arial" w:cs="Arial"/>
          <w:sz w:val="24"/>
          <w:szCs w:val="24"/>
          <w:lang w:val="en"/>
        </w:rPr>
      </w:pPr>
      <w:r w:rsidRPr="0086422F">
        <w:rPr>
          <w:rFonts w:ascii="Arial" w:hAnsi="Arial" w:cs="Arial"/>
          <w:sz w:val="24"/>
          <w:szCs w:val="24"/>
          <w:lang w:val="en"/>
        </w:rPr>
        <w:t>further embed a culture of openness and honesty; and</w:t>
      </w:r>
    </w:p>
    <w:p w14:paraId="0A8C7877" w14:textId="77777777" w:rsidR="000C56DA" w:rsidRPr="0086422F" w:rsidRDefault="000C56DA" w:rsidP="0086422F">
      <w:pPr>
        <w:pStyle w:val="NoSpacing"/>
        <w:numPr>
          <w:ilvl w:val="0"/>
          <w:numId w:val="17"/>
        </w:numPr>
        <w:jc w:val="both"/>
        <w:rPr>
          <w:rFonts w:ascii="Arial" w:hAnsi="Arial" w:cs="Arial"/>
          <w:sz w:val="24"/>
          <w:szCs w:val="24"/>
          <w:lang w:val="en"/>
        </w:rPr>
      </w:pPr>
      <w:r w:rsidRPr="0086422F">
        <w:rPr>
          <w:rFonts w:ascii="Arial" w:hAnsi="Arial" w:cs="Arial"/>
          <w:sz w:val="24"/>
          <w:szCs w:val="24"/>
          <w:lang w:val="en"/>
        </w:rPr>
        <w:t>help drive continual public engagement in the design and delivery of health and social care services.</w:t>
      </w:r>
    </w:p>
    <w:p w14:paraId="49F6334A" w14:textId="77777777" w:rsidR="000C56DA" w:rsidRPr="0086422F" w:rsidRDefault="000C56DA" w:rsidP="0086422F">
      <w:pPr>
        <w:pStyle w:val="ListParagraph"/>
        <w:spacing w:after="0" w:line="240" w:lineRule="auto"/>
        <w:jc w:val="both"/>
        <w:rPr>
          <w:rFonts w:ascii="Arial" w:hAnsi="Arial" w:cs="Arial"/>
          <w:sz w:val="24"/>
          <w:szCs w:val="24"/>
          <w:lang w:val="en"/>
        </w:rPr>
      </w:pPr>
    </w:p>
    <w:p w14:paraId="051A715B" w14:textId="77777777" w:rsidR="000C56DA" w:rsidRPr="0086422F" w:rsidRDefault="000C56DA" w:rsidP="0086422F">
      <w:pPr>
        <w:pStyle w:val="NoSpacing"/>
        <w:jc w:val="both"/>
        <w:rPr>
          <w:rFonts w:ascii="Arial" w:hAnsi="Arial" w:cs="Arial"/>
          <w:sz w:val="24"/>
          <w:szCs w:val="24"/>
          <w:lang w:val="en"/>
        </w:rPr>
      </w:pPr>
      <w:r w:rsidRPr="0086422F">
        <w:rPr>
          <w:rFonts w:ascii="Arial" w:hAnsi="Arial" w:cs="Arial"/>
          <w:sz w:val="24"/>
          <w:szCs w:val="24"/>
          <w:lang w:val="en"/>
        </w:rPr>
        <w:t xml:space="preserve">The Act reframes and broadens the existing duty of quality on NHS bodies and places an overarching duty on Welsh Ministers in relation to their health functions. It aims are to improve and protect the health, care and well-being of both current and future populations of Wales by focusing on: </w:t>
      </w:r>
    </w:p>
    <w:p w14:paraId="627B70DF" w14:textId="77777777" w:rsidR="000C56DA" w:rsidRPr="0086422F" w:rsidRDefault="000C56DA" w:rsidP="0086422F">
      <w:pPr>
        <w:pStyle w:val="NoSpacing"/>
        <w:jc w:val="both"/>
        <w:rPr>
          <w:rFonts w:ascii="Arial" w:hAnsi="Arial" w:cs="Arial"/>
          <w:sz w:val="24"/>
          <w:szCs w:val="24"/>
          <w:lang w:val="en"/>
        </w:rPr>
      </w:pPr>
    </w:p>
    <w:p w14:paraId="34A5F96C" w14:textId="77777777" w:rsidR="000C56DA" w:rsidRPr="0086422F" w:rsidRDefault="000C56DA" w:rsidP="0086422F">
      <w:pPr>
        <w:pStyle w:val="NoSpacing"/>
        <w:numPr>
          <w:ilvl w:val="0"/>
          <w:numId w:val="20"/>
        </w:numPr>
        <w:jc w:val="both"/>
        <w:rPr>
          <w:rFonts w:ascii="Arial" w:hAnsi="Arial" w:cs="Arial"/>
          <w:sz w:val="24"/>
          <w:szCs w:val="24"/>
          <w:lang w:val="en"/>
        </w:rPr>
      </w:pPr>
      <w:r w:rsidRPr="0086422F">
        <w:rPr>
          <w:rFonts w:ascii="Arial" w:hAnsi="Arial" w:cs="Arial"/>
          <w:sz w:val="24"/>
          <w:szCs w:val="24"/>
          <w:lang w:val="en"/>
        </w:rPr>
        <w:t xml:space="preserve">Securing improvements in Health Services; </w:t>
      </w:r>
    </w:p>
    <w:p w14:paraId="5E5E78FA" w14:textId="77777777" w:rsidR="000C56DA" w:rsidRPr="0086422F" w:rsidRDefault="000C56DA" w:rsidP="0086422F">
      <w:pPr>
        <w:pStyle w:val="NoSpacing"/>
        <w:numPr>
          <w:ilvl w:val="0"/>
          <w:numId w:val="20"/>
        </w:numPr>
        <w:jc w:val="both"/>
        <w:rPr>
          <w:rFonts w:ascii="Arial" w:hAnsi="Arial" w:cs="Arial"/>
          <w:sz w:val="24"/>
          <w:szCs w:val="24"/>
          <w:lang w:val="en"/>
        </w:rPr>
      </w:pPr>
      <w:r w:rsidRPr="0086422F">
        <w:rPr>
          <w:rFonts w:ascii="Arial" w:hAnsi="Arial" w:cs="Arial"/>
          <w:sz w:val="24"/>
          <w:szCs w:val="24"/>
          <w:lang w:val="en"/>
        </w:rPr>
        <w:t xml:space="preserve">Implementing a Duty of Candour requiring providers of NHS services to be open and honest with patients and service users when things go wrong; </w:t>
      </w:r>
    </w:p>
    <w:p w14:paraId="6953F95E" w14:textId="77777777" w:rsidR="000C56DA" w:rsidRPr="0086422F" w:rsidRDefault="000C56DA" w:rsidP="0086422F">
      <w:pPr>
        <w:pStyle w:val="NoSpacing"/>
        <w:numPr>
          <w:ilvl w:val="0"/>
          <w:numId w:val="20"/>
        </w:numPr>
        <w:jc w:val="both"/>
        <w:rPr>
          <w:rFonts w:ascii="Arial" w:hAnsi="Arial" w:cs="Arial"/>
          <w:sz w:val="24"/>
          <w:szCs w:val="24"/>
          <w:lang w:val="en"/>
        </w:rPr>
      </w:pPr>
      <w:r w:rsidRPr="0086422F">
        <w:rPr>
          <w:rFonts w:ascii="Arial" w:hAnsi="Arial" w:cs="Arial"/>
          <w:sz w:val="24"/>
          <w:szCs w:val="24"/>
          <w:lang w:val="en"/>
        </w:rPr>
        <w:t xml:space="preserve">Establishing a Citizen Voice Body (Llais) for health and social care; and </w:t>
      </w:r>
    </w:p>
    <w:p w14:paraId="5592703A" w14:textId="77777777" w:rsidR="000C56DA" w:rsidRPr="0086422F" w:rsidRDefault="000C56DA" w:rsidP="0086422F">
      <w:pPr>
        <w:pStyle w:val="NoSpacing"/>
        <w:numPr>
          <w:ilvl w:val="0"/>
          <w:numId w:val="20"/>
        </w:numPr>
        <w:jc w:val="both"/>
        <w:rPr>
          <w:rFonts w:ascii="Arial" w:hAnsi="Arial" w:cs="Arial"/>
          <w:sz w:val="24"/>
          <w:szCs w:val="24"/>
          <w:lang w:val="en"/>
        </w:rPr>
      </w:pPr>
      <w:r w:rsidRPr="0086422F">
        <w:rPr>
          <w:rFonts w:ascii="Arial" w:hAnsi="Arial" w:cs="Arial"/>
          <w:sz w:val="24"/>
          <w:szCs w:val="24"/>
          <w:lang w:val="en"/>
        </w:rPr>
        <w:t>The appointment of Vice Chairs for NHS Trusts bringing them in line with Health Boards.</w:t>
      </w:r>
    </w:p>
    <w:p w14:paraId="6DE83C2E" w14:textId="77777777" w:rsidR="000C56DA" w:rsidRPr="0086422F" w:rsidRDefault="000C56DA" w:rsidP="0086422F">
      <w:pPr>
        <w:pStyle w:val="NoSpacing"/>
        <w:jc w:val="both"/>
        <w:rPr>
          <w:rFonts w:ascii="Arial" w:hAnsi="Arial" w:cs="Arial"/>
          <w:sz w:val="24"/>
          <w:szCs w:val="24"/>
        </w:rPr>
      </w:pPr>
    </w:p>
    <w:p w14:paraId="0159AC1F" w14:textId="77777777" w:rsidR="000C56DA" w:rsidRPr="0086422F" w:rsidRDefault="000C56DA" w:rsidP="0086422F">
      <w:pPr>
        <w:pStyle w:val="NoSpacing"/>
        <w:jc w:val="both"/>
        <w:rPr>
          <w:rFonts w:ascii="Arial" w:hAnsi="Arial" w:cs="Arial"/>
          <w:sz w:val="24"/>
          <w:szCs w:val="24"/>
        </w:rPr>
      </w:pPr>
      <w:r w:rsidRPr="0086422F">
        <w:rPr>
          <w:rFonts w:ascii="Arial" w:hAnsi="Arial" w:cs="Arial"/>
          <w:sz w:val="24"/>
          <w:szCs w:val="24"/>
        </w:rPr>
        <w:t xml:space="preserve">The key intention of the </w:t>
      </w:r>
      <w:r w:rsidRPr="00D40F2B">
        <w:rPr>
          <w:rFonts w:ascii="Arial" w:hAnsi="Arial" w:cs="Arial"/>
          <w:sz w:val="24"/>
          <w:szCs w:val="24"/>
        </w:rPr>
        <w:t>Duty of Candour</w:t>
      </w:r>
      <w:r w:rsidRPr="0086422F">
        <w:rPr>
          <w:rFonts w:ascii="Arial" w:hAnsi="Arial" w:cs="Arial"/>
          <w:sz w:val="24"/>
          <w:szCs w:val="24"/>
        </w:rPr>
        <w:t xml:space="preserve"> is to promote a culture of openness, learning and improving that is owned</w:t>
      </w:r>
      <w:r w:rsidR="005E09F8" w:rsidRPr="0086422F">
        <w:rPr>
          <w:rFonts w:ascii="Arial" w:hAnsi="Arial" w:cs="Arial"/>
          <w:sz w:val="24"/>
          <w:szCs w:val="24"/>
        </w:rPr>
        <w:t xml:space="preserve"> at organisational level, whether a person receives care from the NHS, or from a regulated provider of health care services, and that person can be assured that they will be dealt with in an open and honest way by their care provider.  Separate work is being taken forward by Welsh Government to make Regulations to place a duty of candour on providers of independent health care in Wales, using powers under the Care Standards Act 2000. </w:t>
      </w:r>
    </w:p>
    <w:p w14:paraId="682CDB08" w14:textId="77777777" w:rsidR="000C56DA" w:rsidRPr="0086422F" w:rsidRDefault="000C56DA" w:rsidP="0086422F">
      <w:pPr>
        <w:pStyle w:val="NoSpacing"/>
        <w:jc w:val="both"/>
        <w:rPr>
          <w:rFonts w:ascii="Arial" w:hAnsi="Arial" w:cs="Arial"/>
          <w:sz w:val="24"/>
          <w:szCs w:val="24"/>
        </w:rPr>
      </w:pPr>
    </w:p>
    <w:p w14:paraId="1BDB9D79" w14:textId="77777777" w:rsidR="000C56DA" w:rsidRPr="0086422F" w:rsidRDefault="000C56DA" w:rsidP="0086422F">
      <w:pPr>
        <w:pStyle w:val="NoSpacing"/>
        <w:numPr>
          <w:ilvl w:val="0"/>
          <w:numId w:val="17"/>
        </w:numPr>
        <w:jc w:val="both"/>
        <w:rPr>
          <w:rFonts w:ascii="Arial" w:hAnsi="Arial" w:cs="Arial"/>
          <w:b/>
          <w:sz w:val="24"/>
          <w:szCs w:val="24"/>
        </w:rPr>
      </w:pPr>
      <w:r w:rsidRPr="0086422F">
        <w:rPr>
          <w:rFonts w:ascii="Arial" w:hAnsi="Arial" w:cs="Arial"/>
          <w:b/>
          <w:sz w:val="24"/>
          <w:szCs w:val="24"/>
        </w:rPr>
        <w:lastRenderedPageBreak/>
        <w:t>Organisational Requirements</w:t>
      </w:r>
    </w:p>
    <w:p w14:paraId="5334E88C" w14:textId="77777777" w:rsidR="000C56DA" w:rsidRPr="0086422F" w:rsidRDefault="000C56DA" w:rsidP="0086422F">
      <w:pPr>
        <w:pStyle w:val="NoSpacing"/>
        <w:jc w:val="both"/>
        <w:rPr>
          <w:rFonts w:ascii="Arial" w:hAnsi="Arial" w:cs="Arial"/>
          <w:sz w:val="24"/>
          <w:szCs w:val="24"/>
        </w:rPr>
      </w:pPr>
    </w:p>
    <w:p w14:paraId="2FCA288A" w14:textId="77777777" w:rsidR="000C56DA" w:rsidRPr="0086422F" w:rsidRDefault="000C56DA" w:rsidP="0086422F">
      <w:pPr>
        <w:pStyle w:val="NoSpacing"/>
        <w:jc w:val="both"/>
        <w:rPr>
          <w:rFonts w:ascii="Arial" w:hAnsi="Arial" w:cs="Arial"/>
          <w:sz w:val="24"/>
          <w:szCs w:val="24"/>
        </w:rPr>
      </w:pPr>
      <w:r w:rsidRPr="0086422F">
        <w:rPr>
          <w:rFonts w:ascii="Arial" w:hAnsi="Arial" w:cs="Arial"/>
          <w:sz w:val="24"/>
          <w:szCs w:val="24"/>
        </w:rPr>
        <w:t xml:space="preserve">The Duty requires NHS bodies to follow a procedure when the duty is triggered. The Duty requires NHS providers to report annually about when the duty has come into effect, how often the duty has been triggered, a description of the circumstances leading to the event and the steps taken by the provider with view to preventing any further occurrence. Triggering the duty does not mean an NHS body accepts any fault or blame.  </w:t>
      </w:r>
    </w:p>
    <w:p w14:paraId="7981FC43" w14:textId="77777777" w:rsidR="000C56DA" w:rsidRPr="0086422F" w:rsidRDefault="000C56DA" w:rsidP="0086422F">
      <w:pPr>
        <w:pStyle w:val="NoSpacing"/>
        <w:jc w:val="both"/>
        <w:rPr>
          <w:rFonts w:ascii="Arial" w:hAnsi="Arial" w:cs="Arial"/>
          <w:sz w:val="24"/>
          <w:szCs w:val="24"/>
        </w:rPr>
      </w:pPr>
    </w:p>
    <w:p w14:paraId="0AB79725" w14:textId="77777777" w:rsidR="000C56DA" w:rsidRPr="0086422F" w:rsidRDefault="000C56DA" w:rsidP="0086422F">
      <w:pPr>
        <w:pStyle w:val="NoSpacing"/>
        <w:numPr>
          <w:ilvl w:val="0"/>
          <w:numId w:val="17"/>
        </w:numPr>
        <w:jc w:val="both"/>
        <w:rPr>
          <w:rFonts w:ascii="Arial" w:hAnsi="Arial" w:cs="Arial"/>
          <w:b/>
          <w:sz w:val="24"/>
          <w:szCs w:val="24"/>
          <w:lang w:val="en"/>
        </w:rPr>
      </w:pPr>
      <w:r w:rsidRPr="0086422F">
        <w:rPr>
          <w:rFonts w:ascii="Arial" w:hAnsi="Arial" w:cs="Arial"/>
          <w:b/>
          <w:sz w:val="24"/>
          <w:szCs w:val="24"/>
          <w:lang w:val="en"/>
        </w:rPr>
        <w:t xml:space="preserve">Triggering the Duty of Candour </w:t>
      </w:r>
    </w:p>
    <w:p w14:paraId="402E2335" w14:textId="77777777" w:rsidR="000C56DA" w:rsidRPr="0086422F" w:rsidRDefault="000C56DA" w:rsidP="0086422F">
      <w:pPr>
        <w:pStyle w:val="NoSpacing"/>
        <w:ind w:left="720"/>
        <w:jc w:val="both"/>
        <w:rPr>
          <w:rFonts w:ascii="Arial" w:hAnsi="Arial" w:cs="Arial"/>
          <w:sz w:val="24"/>
          <w:szCs w:val="24"/>
          <w:lang w:val="en"/>
        </w:rPr>
      </w:pPr>
    </w:p>
    <w:p w14:paraId="45098E02" w14:textId="77777777" w:rsidR="000C56DA" w:rsidRPr="0086422F" w:rsidRDefault="000C56DA" w:rsidP="0086422F">
      <w:pPr>
        <w:pStyle w:val="NoSpacing"/>
        <w:jc w:val="both"/>
        <w:rPr>
          <w:rFonts w:ascii="Arial" w:hAnsi="Arial" w:cs="Arial"/>
          <w:sz w:val="24"/>
          <w:szCs w:val="24"/>
          <w:lang w:val="en"/>
        </w:rPr>
      </w:pPr>
      <w:r w:rsidRPr="0086422F">
        <w:rPr>
          <w:rFonts w:ascii="Arial" w:hAnsi="Arial" w:cs="Arial"/>
          <w:sz w:val="24"/>
          <w:szCs w:val="24"/>
          <w:lang w:val="en"/>
        </w:rPr>
        <w:t xml:space="preserve">The Duty of Candour comes into effect in relation to an NHS body if it appears to the body that both of the following conditions are met: </w:t>
      </w:r>
    </w:p>
    <w:p w14:paraId="1A99AFD5" w14:textId="77777777" w:rsidR="000C56DA" w:rsidRPr="0086422F" w:rsidRDefault="000C56DA" w:rsidP="0086422F">
      <w:pPr>
        <w:pStyle w:val="NoSpacing"/>
        <w:jc w:val="both"/>
        <w:rPr>
          <w:rFonts w:ascii="Arial" w:hAnsi="Arial" w:cs="Arial"/>
          <w:sz w:val="24"/>
          <w:szCs w:val="24"/>
          <w:lang w:val="en"/>
        </w:rPr>
      </w:pPr>
    </w:p>
    <w:p w14:paraId="14FB2E56" w14:textId="77777777" w:rsidR="000C56DA" w:rsidRPr="0086422F" w:rsidRDefault="000C56DA" w:rsidP="0086422F">
      <w:pPr>
        <w:pStyle w:val="NoSpacing"/>
        <w:numPr>
          <w:ilvl w:val="0"/>
          <w:numId w:val="20"/>
        </w:numPr>
        <w:jc w:val="both"/>
        <w:rPr>
          <w:rFonts w:ascii="Arial" w:hAnsi="Arial" w:cs="Arial"/>
          <w:sz w:val="24"/>
          <w:szCs w:val="24"/>
          <w:lang w:val="en"/>
        </w:rPr>
      </w:pPr>
      <w:r w:rsidRPr="0086422F">
        <w:rPr>
          <w:rFonts w:ascii="Arial" w:hAnsi="Arial" w:cs="Arial"/>
          <w:sz w:val="24"/>
          <w:szCs w:val="24"/>
          <w:lang w:val="en"/>
        </w:rPr>
        <w:t xml:space="preserve">The first condition is that a person (the ‘service user’) to whom health care is being, or has been, provided by the body has suffered an adverse outcome; </w:t>
      </w:r>
    </w:p>
    <w:p w14:paraId="032D5650" w14:textId="77777777" w:rsidR="000C56DA" w:rsidRPr="0086422F" w:rsidRDefault="000C56DA" w:rsidP="0086422F">
      <w:pPr>
        <w:pStyle w:val="NoSpacing"/>
        <w:ind w:left="720"/>
        <w:jc w:val="both"/>
        <w:rPr>
          <w:rFonts w:ascii="Arial" w:hAnsi="Arial" w:cs="Arial"/>
          <w:sz w:val="24"/>
          <w:szCs w:val="24"/>
          <w:lang w:val="en"/>
        </w:rPr>
      </w:pPr>
    </w:p>
    <w:p w14:paraId="7D54EFF5" w14:textId="77777777" w:rsidR="000C56DA" w:rsidRPr="0086422F" w:rsidRDefault="000C56DA" w:rsidP="0086422F">
      <w:pPr>
        <w:pStyle w:val="NoSpacing"/>
        <w:numPr>
          <w:ilvl w:val="0"/>
          <w:numId w:val="20"/>
        </w:numPr>
        <w:jc w:val="both"/>
        <w:rPr>
          <w:rFonts w:ascii="Arial" w:hAnsi="Arial" w:cs="Arial"/>
          <w:sz w:val="24"/>
          <w:szCs w:val="24"/>
          <w:lang w:val="en"/>
        </w:rPr>
      </w:pPr>
      <w:r w:rsidRPr="0086422F">
        <w:rPr>
          <w:rFonts w:ascii="Arial" w:hAnsi="Arial" w:cs="Arial"/>
          <w:sz w:val="24"/>
          <w:szCs w:val="24"/>
          <w:lang w:val="en"/>
        </w:rPr>
        <w:t>The second condition is that the provision of the health care was, or may have been, a factor in the service user suffering that outcome</w:t>
      </w:r>
    </w:p>
    <w:p w14:paraId="3E86935A" w14:textId="77777777" w:rsidR="000C56DA" w:rsidRPr="0086422F" w:rsidRDefault="000C56DA" w:rsidP="0086422F">
      <w:pPr>
        <w:pStyle w:val="NoSpacing"/>
        <w:jc w:val="both"/>
        <w:rPr>
          <w:rFonts w:ascii="Arial" w:hAnsi="Arial" w:cs="Arial"/>
          <w:sz w:val="24"/>
          <w:szCs w:val="24"/>
          <w:lang w:val="en"/>
        </w:rPr>
      </w:pPr>
    </w:p>
    <w:p w14:paraId="4BCFAC27" w14:textId="77777777" w:rsidR="000C56DA" w:rsidRPr="0086422F" w:rsidRDefault="000C56DA" w:rsidP="0086422F">
      <w:pPr>
        <w:pStyle w:val="NoSpacing"/>
        <w:jc w:val="both"/>
        <w:rPr>
          <w:rFonts w:ascii="Arial" w:hAnsi="Arial" w:cs="Arial"/>
          <w:sz w:val="24"/>
          <w:szCs w:val="24"/>
          <w:lang w:val="en"/>
        </w:rPr>
      </w:pPr>
      <w:r w:rsidRPr="0086422F">
        <w:rPr>
          <w:rFonts w:ascii="Arial" w:hAnsi="Arial" w:cs="Arial"/>
          <w:sz w:val="24"/>
          <w:szCs w:val="24"/>
          <w:lang w:val="en"/>
        </w:rPr>
        <w:t xml:space="preserve">For the purpose of the first condition, a service user is to be treated as having suffered an adverse outcome if the user experiences, or if the circumstances are such that the user could experience, any unexpected or unintended harm that is more than minimal.  </w:t>
      </w:r>
    </w:p>
    <w:p w14:paraId="790C2071" w14:textId="77777777" w:rsidR="000C56DA" w:rsidRPr="0086422F" w:rsidRDefault="000C56DA" w:rsidP="0086422F">
      <w:pPr>
        <w:pStyle w:val="ListParagraph"/>
        <w:spacing w:after="0" w:line="240" w:lineRule="auto"/>
        <w:ind w:left="0"/>
        <w:jc w:val="both"/>
        <w:rPr>
          <w:rFonts w:ascii="Arial" w:hAnsi="Arial" w:cs="Arial"/>
          <w:sz w:val="24"/>
          <w:szCs w:val="24"/>
        </w:rPr>
      </w:pPr>
    </w:p>
    <w:p w14:paraId="61458BCE" w14:textId="77777777" w:rsidR="000C56DA" w:rsidRPr="0086422F" w:rsidRDefault="000C56DA" w:rsidP="0086422F">
      <w:pPr>
        <w:pStyle w:val="ListParagraph"/>
        <w:spacing w:after="0" w:line="240" w:lineRule="auto"/>
        <w:ind w:left="0"/>
        <w:jc w:val="both"/>
        <w:rPr>
          <w:rFonts w:ascii="Arial" w:eastAsia="Times New Roman" w:hAnsi="Arial" w:cs="Arial"/>
          <w:bCs/>
          <w:color w:val="000000"/>
          <w:sz w:val="24"/>
          <w:szCs w:val="24"/>
          <w:lang w:eastAsia="en-GB"/>
        </w:rPr>
      </w:pPr>
      <w:r w:rsidRPr="0086422F">
        <w:rPr>
          <w:rFonts w:ascii="Arial" w:eastAsia="Times New Roman" w:hAnsi="Arial" w:cs="Arial"/>
          <w:bCs/>
          <w:color w:val="000000"/>
          <w:sz w:val="24"/>
          <w:szCs w:val="24"/>
          <w:lang w:eastAsia="en-GB"/>
        </w:rPr>
        <w:t>The Duty of Candour Statutory Guidance 2023 prescribe the actions that must be taken and supports the existing processes for ‘Putting Things Right’ (the NHS (Concerns, Complaints and Redress Arrangements) (Wales) Regulations 2011) with updates made to the PTR Regulations to include the Candour Guidance.</w:t>
      </w:r>
    </w:p>
    <w:p w14:paraId="4411484F" w14:textId="77777777" w:rsidR="005E09F8" w:rsidRPr="0086422F" w:rsidRDefault="005E09F8" w:rsidP="0086422F">
      <w:pPr>
        <w:pStyle w:val="ListParagraph"/>
        <w:jc w:val="both"/>
        <w:rPr>
          <w:rFonts w:ascii="Arial" w:hAnsi="Arial" w:cs="Arial"/>
          <w:sz w:val="24"/>
          <w:szCs w:val="24"/>
        </w:rPr>
      </w:pPr>
    </w:p>
    <w:p w14:paraId="660FDCCF" w14:textId="77777777" w:rsidR="005E09F8" w:rsidRPr="0086422F" w:rsidRDefault="00164D7B" w:rsidP="0086422F">
      <w:pPr>
        <w:pStyle w:val="ListParagraph"/>
        <w:numPr>
          <w:ilvl w:val="0"/>
          <w:numId w:val="17"/>
        </w:numPr>
        <w:jc w:val="both"/>
        <w:rPr>
          <w:rFonts w:ascii="Arial" w:hAnsi="Arial" w:cs="Arial"/>
          <w:b/>
          <w:sz w:val="24"/>
          <w:szCs w:val="24"/>
        </w:rPr>
      </w:pPr>
      <w:r w:rsidRPr="0086422F">
        <w:rPr>
          <w:rFonts w:ascii="Arial" w:hAnsi="Arial" w:cs="Arial"/>
          <w:b/>
          <w:sz w:val="24"/>
          <w:szCs w:val="24"/>
        </w:rPr>
        <w:t>Concerns Management</w:t>
      </w:r>
      <w:r w:rsidR="00362EFC" w:rsidRPr="0086422F">
        <w:rPr>
          <w:rFonts w:ascii="Arial" w:hAnsi="Arial" w:cs="Arial"/>
          <w:b/>
          <w:sz w:val="24"/>
          <w:szCs w:val="24"/>
        </w:rPr>
        <w:t xml:space="preserve"> </w:t>
      </w:r>
    </w:p>
    <w:p w14:paraId="0996D070" w14:textId="77777777" w:rsidR="000C56DA" w:rsidRPr="0086422F" w:rsidRDefault="005E09F8" w:rsidP="0086422F">
      <w:pPr>
        <w:jc w:val="both"/>
        <w:rPr>
          <w:rFonts w:ascii="Arial" w:hAnsi="Arial" w:cs="Arial"/>
          <w:sz w:val="24"/>
          <w:szCs w:val="24"/>
        </w:rPr>
      </w:pPr>
      <w:r w:rsidRPr="0086422F">
        <w:rPr>
          <w:rFonts w:ascii="Arial" w:hAnsi="Arial" w:cs="Arial"/>
          <w:sz w:val="24"/>
          <w:szCs w:val="24"/>
        </w:rPr>
        <w:t xml:space="preserve">High quality, safe and compassionate care is at the heart of health care being delivered by </w:t>
      </w:r>
      <w:r w:rsidR="00362EFC" w:rsidRPr="0086422F">
        <w:rPr>
          <w:rFonts w:ascii="Arial" w:hAnsi="Arial" w:cs="Arial"/>
          <w:sz w:val="24"/>
          <w:szCs w:val="24"/>
        </w:rPr>
        <w:t>our</w:t>
      </w:r>
      <w:r w:rsidRPr="0086422F">
        <w:rPr>
          <w:rFonts w:ascii="Arial" w:hAnsi="Arial" w:cs="Arial"/>
          <w:sz w:val="24"/>
          <w:szCs w:val="24"/>
        </w:rPr>
        <w:t xml:space="preserve"> staff.  Despite these intentions, inevitably from time to time our patients may suffer harm due to challenging and / or complex situations.  When harm does occur, being open and honest should feel like the right thing to do.  </w:t>
      </w:r>
    </w:p>
    <w:p w14:paraId="79C706FD" w14:textId="77777777" w:rsidR="005E09F8" w:rsidRPr="0086422F" w:rsidRDefault="005E09F8" w:rsidP="0086422F">
      <w:pPr>
        <w:jc w:val="both"/>
        <w:rPr>
          <w:rFonts w:ascii="Arial" w:hAnsi="Arial" w:cs="Arial"/>
          <w:sz w:val="24"/>
          <w:szCs w:val="24"/>
        </w:rPr>
      </w:pPr>
      <w:r w:rsidRPr="0086422F">
        <w:rPr>
          <w:rFonts w:ascii="Arial" w:hAnsi="Arial" w:cs="Arial"/>
          <w:sz w:val="24"/>
          <w:szCs w:val="24"/>
        </w:rPr>
        <w:t>How we deal with these situations at the time is of great importance and can make a difference to</w:t>
      </w:r>
      <w:r w:rsidR="00164D7B" w:rsidRPr="0086422F">
        <w:rPr>
          <w:rFonts w:ascii="Arial" w:hAnsi="Arial" w:cs="Arial"/>
          <w:sz w:val="24"/>
          <w:szCs w:val="24"/>
        </w:rPr>
        <w:t xml:space="preserve"> a </w:t>
      </w:r>
      <w:r w:rsidRPr="0086422F">
        <w:rPr>
          <w:rFonts w:ascii="Arial" w:hAnsi="Arial" w:cs="Arial"/>
          <w:sz w:val="24"/>
          <w:szCs w:val="24"/>
        </w:rPr>
        <w:t xml:space="preserve">patient’s ongoing relationship with the health board.  </w:t>
      </w:r>
    </w:p>
    <w:p w14:paraId="636421DA" w14:textId="77777777" w:rsidR="00362EFC" w:rsidRPr="0086422F" w:rsidRDefault="00362EFC" w:rsidP="0086422F">
      <w:pPr>
        <w:jc w:val="both"/>
        <w:rPr>
          <w:rFonts w:ascii="Arial" w:hAnsi="Arial" w:cs="Arial"/>
          <w:sz w:val="24"/>
          <w:szCs w:val="24"/>
        </w:rPr>
      </w:pPr>
      <w:r w:rsidRPr="0086422F">
        <w:rPr>
          <w:rFonts w:ascii="Arial" w:hAnsi="Arial" w:cs="Arial"/>
          <w:sz w:val="24"/>
          <w:szCs w:val="24"/>
        </w:rPr>
        <w:t>As referenced in the Groundhog Day 2 report</w:t>
      </w:r>
      <w:r w:rsidR="00164D7B" w:rsidRPr="0086422F">
        <w:rPr>
          <w:rFonts w:ascii="Arial" w:hAnsi="Arial" w:cs="Arial"/>
          <w:sz w:val="24"/>
          <w:szCs w:val="24"/>
        </w:rPr>
        <w:t xml:space="preserve"> </w:t>
      </w:r>
      <w:r w:rsidR="00164D7B" w:rsidRPr="00C57C2F">
        <w:rPr>
          <w:rFonts w:ascii="Arial" w:hAnsi="Arial" w:cs="Arial"/>
          <w:sz w:val="24"/>
          <w:szCs w:val="24"/>
        </w:rPr>
        <w:t>(</w:t>
      </w:r>
      <w:r w:rsidR="00C57C2F" w:rsidRPr="00C57C2F">
        <w:rPr>
          <w:rFonts w:ascii="Arial" w:hAnsi="Arial" w:cs="Arial"/>
          <w:sz w:val="24"/>
          <w:szCs w:val="24"/>
        </w:rPr>
        <w:t>annex one</w:t>
      </w:r>
      <w:r w:rsidR="00164D7B" w:rsidRPr="00C57C2F">
        <w:rPr>
          <w:rFonts w:ascii="Arial" w:hAnsi="Arial" w:cs="Arial"/>
          <w:sz w:val="24"/>
          <w:szCs w:val="24"/>
        </w:rPr>
        <w:t>)</w:t>
      </w:r>
      <w:r w:rsidRPr="00C57C2F">
        <w:rPr>
          <w:rFonts w:ascii="Arial" w:hAnsi="Arial" w:cs="Arial"/>
          <w:sz w:val="24"/>
          <w:szCs w:val="24"/>
        </w:rPr>
        <w:t xml:space="preserve"> </w:t>
      </w:r>
      <w:r w:rsidRPr="0086422F">
        <w:rPr>
          <w:rFonts w:ascii="Arial" w:hAnsi="Arial" w:cs="Arial"/>
          <w:sz w:val="24"/>
          <w:szCs w:val="24"/>
        </w:rPr>
        <w:t xml:space="preserve">published by the Public Services Ombudsman for Wales, complaints and incident handling can go wrong.  Patients and service users have the right to have a thorough investigation carried out which takes account of all relevant facts, and to have a clear evidence-based explanation of the conclusion reached.  They are also entitled to expect their </w:t>
      </w:r>
      <w:r w:rsidR="00164D7B" w:rsidRPr="0086422F">
        <w:rPr>
          <w:rFonts w:ascii="Arial" w:hAnsi="Arial" w:cs="Arial"/>
          <w:sz w:val="24"/>
          <w:szCs w:val="24"/>
        </w:rPr>
        <w:t>concern</w:t>
      </w:r>
      <w:r w:rsidRPr="0086422F">
        <w:rPr>
          <w:rFonts w:ascii="Arial" w:hAnsi="Arial" w:cs="Arial"/>
          <w:sz w:val="24"/>
          <w:szCs w:val="24"/>
        </w:rPr>
        <w:t xml:space="preserve"> to be concluded in a timely manner, </w:t>
      </w:r>
      <w:r w:rsidR="00164D7B" w:rsidRPr="0086422F">
        <w:rPr>
          <w:rFonts w:ascii="Arial" w:hAnsi="Arial" w:cs="Arial"/>
          <w:sz w:val="24"/>
          <w:szCs w:val="24"/>
        </w:rPr>
        <w:t xml:space="preserve">albeit taking into consideration </w:t>
      </w:r>
      <w:r w:rsidRPr="0086422F">
        <w:rPr>
          <w:rFonts w:ascii="Arial" w:hAnsi="Arial" w:cs="Arial"/>
          <w:sz w:val="24"/>
          <w:szCs w:val="24"/>
        </w:rPr>
        <w:t xml:space="preserve">the complexity of the concern.  </w:t>
      </w:r>
    </w:p>
    <w:p w14:paraId="13739179" w14:textId="77777777" w:rsidR="00362EFC" w:rsidRPr="0086422F" w:rsidRDefault="00362EFC" w:rsidP="0086422F">
      <w:pPr>
        <w:jc w:val="both"/>
        <w:rPr>
          <w:rFonts w:ascii="Arial" w:hAnsi="Arial" w:cs="Arial"/>
          <w:sz w:val="24"/>
          <w:szCs w:val="24"/>
        </w:rPr>
      </w:pPr>
      <w:r w:rsidRPr="0086422F">
        <w:rPr>
          <w:rFonts w:ascii="Arial" w:hAnsi="Arial" w:cs="Arial"/>
          <w:sz w:val="24"/>
          <w:szCs w:val="24"/>
        </w:rPr>
        <w:t>Concerns management can go wrong in many ways, and on many different levels.  Some of the faults were found to be recurring, showing that organisations do not always learn from theirs, and others’, previous m</w:t>
      </w:r>
      <w:r w:rsidR="00164D7B" w:rsidRPr="0086422F">
        <w:rPr>
          <w:rFonts w:ascii="Arial" w:hAnsi="Arial" w:cs="Arial"/>
          <w:sz w:val="24"/>
          <w:szCs w:val="24"/>
        </w:rPr>
        <w:t xml:space="preserve">istakes.  Lessons learned from the Groundhog Day 2 report </w:t>
      </w:r>
      <w:r w:rsidRPr="0086422F">
        <w:rPr>
          <w:rFonts w:ascii="Arial" w:hAnsi="Arial" w:cs="Arial"/>
          <w:sz w:val="24"/>
          <w:szCs w:val="24"/>
        </w:rPr>
        <w:t xml:space="preserve">are an important way of ensuring we do not keep repeating the same mistakes.  </w:t>
      </w:r>
    </w:p>
    <w:p w14:paraId="53A08A4D" w14:textId="462F8AFB" w:rsidR="00362EFC" w:rsidRPr="0086422F" w:rsidRDefault="00164D7B" w:rsidP="0086422F">
      <w:pPr>
        <w:jc w:val="both"/>
        <w:rPr>
          <w:rFonts w:ascii="Arial" w:hAnsi="Arial" w:cs="Arial"/>
          <w:sz w:val="24"/>
          <w:szCs w:val="24"/>
        </w:rPr>
      </w:pPr>
      <w:r w:rsidRPr="0086422F">
        <w:rPr>
          <w:rFonts w:ascii="Arial" w:hAnsi="Arial" w:cs="Arial"/>
          <w:sz w:val="24"/>
          <w:szCs w:val="24"/>
        </w:rPr>
        <w:t>We would like to take this opportunity to thank our staff who strive for improvements to the quality of care provided to our patients, who continue to be open and honest and learn from concerns when things do not go as well as we would wish. Staff have embraced the Duty of Candour and are aware of the processes to comply with the requirements of the Act. Th</w:t>
      </w:r>
      <w:r w:rsidR="00133912">
        <w:rPr>
          <w:rFonts w:ascii="Arial" w:hAnsi="Arial" w:cs="Arial"/>
          <w:sz w:val="24"/>
          <w:szCs w:val="24"/>
        </w:rPr>
        <w:t>ere</w:t>
      </w:r>
      <w:r w:rsidRPr="0086422F">
        <w:rPr>
          <w:rFonts w:ascii="Arial" w:hAnsi="Arial" w:cs="Arial"/>
          <w:sz w:val="24"/>
          <w:szCs w:val="24"/>
        </w:rPr>
        <w:t xml:space="preserve"> is </w:t>
      </w:r>
      <w:r w:rsidR="00133912">
        <w:rPr>
          <w:rFonts w:ascii="Arial" w:hAnsi="Arial" w:cs="Arial"/>
          <w:sz w:val="24"/>
          <w:szCs w:val="24"/>
        </w:rPr>
        <w:t xml:space="preserve">further work to do to support staff to comply more timely with the </w:t>
      </w:r>
      <w:r w:rsidRPr="0086422F">
        <w:rPr>
          <w:rFonts w:ascii="Arial" w:hAnsi="Arial" w:cs="Arial"/>
          <w:sz w:val="24"/>
          <w:szCs w:val="24"/>
        </w:rPr>
        <w:t>review</w:t>
      </w:r>
      <w:r w:rsidR="00133912">
        <w:rPr>
          <w:rFonts w:ascii="Arial" w:hAnsi="Arial" w:cs="Arial"/>
          <w:sz w:val="24"/>
          <w:szCs w:val="24"/>
        </w:rPr>
        <w:t>s</w:t>
      </w:r>
      <w:r w:rsidRPr="0086422F">
        <w:rPr>
          <w:rFonts w:ascii="Arial" w:hAnsi="Arial" w:cs="Arial"/>
          <w:sz w:val="24"/>
          <w:szCs w:val="24"/>
        </w:rPr>
        <w:t xml:space="preserve"> and response</w:t>
      </w:r>
      <w:r w:rsidR="00133912">
        <w:rPr>
          <w:rFonts w:ascii="Arial" w:hAnsi="Arial" w:cs="Arial"/>
          <w:sz w:val="24"/>
          <w:szCs w:val="24"/>
        </w:rPr>
        <w:t>s</w:t>
      </w:r>
      <w:r w:rsidRPr="0086422F">
        <w:rPr>
          <w:rFonts w:ascii="Arial" w:hAnsi="Arial" w:cs="Arial"/>
          <w:sz w:val="24"/>
          <w:szCs w:val="24"/>
        </w:rPr>
        <w:t xml:space="preserve"> to concerns, and </w:t>
      </w:r>
      <w:r w:rsidR="00133912">
        <w:rPr>
          <w:rFonts w:ascii="Arial" w:hAnsi="Arial" w:cs="Arial"/>
          <w:sz w:val="24"/>
          <w:szCs w:val="24"/>
        </w:rPr>
        <w:t xml:space="preserve">we </w:t>
      </w:r>
      <w:r w:rsidRPr="0086422F">
        <w:rPr>
          <w:rFonts w:ascii="Arial" w:hAnsi="Arial" w:cs="Arial"/>
          <w:sz w:val="24"/>
          <w:szCs w:val="24"/>
        </w:rPr>
        <w:t>a</w:t>
      </w:r>
      <w:r w:rsidR="00362EFC" w:rsidRPr="0086422F">
        <w:rPr>
          <w:rFonts w:ascii="Arial" w:hAnsi="Arial" w:cs="Arial"/>
          <w:sz w:val="24"/>
          <w:szCs w:val="24"/>
        </w:rPr>
        <w:t xml:space="preserve">re committed to make improvements in this area.  </w:t>
      </w:r>
    </w:p>
    <w:p w14:paraId="50E6806B" w14:textId="77777777" w:rsidR="00164D7B" w:rsidRPr="0086422F" w:rsidRDefault="0086422F" w:rsidP="0086422F">
      <w:pPr>
        <w:pStyle w:val="ListParagraph"/>
        <w:numPr>
          <w:ilvl w:val="0"/>
          <w:numId w:val="17"/>
        </w:numPr>
        <w:jc w:val="both"/>
        <w:rPr>
          <w:rFonts w:ascii="Arial" w:hAnsi="Arial" w:cs="Arial"/>
          <w:b/>
          <w:sz w:val="24"/>
          <w:szCs w:val="24"/>
        </w:rPr>
      </w:pPr>
      <w:r w:rsidRPr="0086422F">
        <w:rPr>
          <w:rFonts w:ascii="Arial" w:hAnsi="Arial" w:cs="Arial"/>
          <w:b/>
          <w:sz w:val="24"/>
          <w:szCs w:val="24"/>
        </w:rPr>
        <w:t>Candour Preparedness</w:t>
      </w:r>
    </w:p>
    <w:p w14:paraId="35D9578C" w14:textId="24AEC4B5" w:rsidR="000C56DA" w:rsidRPr="0086422F" w:rsidRDefault="00164D7B" w:rsidP="0086422F">
      <w:pPr>
        <w:jc w:val="both"/>
        <w:rPr>
          <w:rFonts w:ascii="Arial" w:hAnsi="Arial" w:cs="Arial"/>
          <w:sz w:val="24"/>
          <w:szCs w:val="24"/>
        </w:rPr>
      </w:pPr>
      <w:r w:rsidRPr="0086422F">
        <w:rPr>
          <w:rFonts w:ascii="Arial" w:hAnsi="Arial" w:cs="Arial"/>
          <w:sz w:val="24"/>
          <w:szCs w:val="24"/>
        </w:rPr>
        <w:t xml:space="preserve">Prior to the introduction of the Duty of Candour, the health board were tasked by Welsh Government (hosted by NHS Wales Shared Services Partnership) </w:t>
      </w:r>
      <w:r w:rsidR="00133912">
        <w:rPr>
          <w:rFonts w:ascii="Arial" w:hAnsi="Arial" w:cs="Arial"/>
          <w:sz w:val="24"/>
          <w:szCs w:val="24"/>
        </w:rPr>
        <w:t>to</w:t>
      </w:r>
      <w:r w:rsidRPr="0086422F">
        <w:rPr>
          <w:rFonts w:ascii="Arial" w:hAnsi="Arial" w:cs="Arial"/>
          <w:sz w:val="24"/>
          <w:szCs w:val="24"/>
        </w:rPr>
        <w:t xml:space="preserve"> prepare for the roll out of the Duty.  This included attendance at the Candour Implementation Group hosted by NWSSP to plan and feedback progress on training and education, communication and engagement, and reporting and monitoring.  </w:t>
      </w:r>
    </w:p>
    <w:p w14:paraId="6E00650E" w14:textId="77777777" w:rsidR="00164D7B" w:rsidRPr="0086422F" w:rsidRDefault="00164D7B" w:rsidP="0086422F">
      <w:pPr>
        <w:jc w:val="both"/>
        <w:rPr>
          <w:rFonts w:ascii="Arial" w:hAnsi="Arial" w:cs="Arial"/>
          <w:sz w:val="24"/>
          <w:szCs w:val="24"/>
        </w:rPr>
      </w:pPr>
      <w:r w:rsidRPr="0086422F">
        <w:rPr>
          <w:rFonts w:ascii="Arial" w:hAnsi="Arial" w:cs="Arial"/>
          <w:sz w:val="24"/>
          <w:szCs w:val="24"/>
        </w:rPr>
        <w:t xml:space="preserve">Each service group within the health board were asked to complete a training needs analysis.  This allowed key individuals to be identified and training materials directed to these staff in the first instance.  A local working group was set up to engage with representatives from each service group to discuss and plan the operationalisation of the Duty.  </w:t>
      </w:r>
    </w:p>
    <w:p w14:paraId="2031CA11" w14:textId="77777777" w:rsidR="00164D7B" w:rsidRPr="0086422F" w:rsidRDefault="00164D7B" w:rsidP="0086422F">
      <w:pPr>
        <w:jc w:val="both"/>
        <w:rPr>
          <w:rFonts w:ascii="Arial" w:hAnsi="Arial" w:cs="Arial"/>
          <w:sz w:val="24"/>
          <w:szCs w:val="24"/>
        </w:rPr>
      </w:pPr>
      <w:r w:rsidRPr="0086422F">
        <w:rPr>
          <w:rFonts w:ascii="Arial" w:hAnsi="Arial" w:cs="Arial"/>
          <w:sz w:val="24"/>
          <w:szCs w:val="24"/>
        </w:rPr>
        <w:t xml:space="preserve">Incident functionality within Datix Cymru was revised to ensure the Duty was included in patient safety incidents reported.  </w:t>
      </w:r>
    </w:p>
    <w:p w14:paraId="3121AAF2" w14:textId="77777777" w:rsidR="00164D7B" w:rsidRPr="0086422F" w:rsidRDefault="00164D7B" w:rsidP="0086422F">
      <w:pPr>
        <w:jc w:val="both"/>
        <w:rPr>
          <w:rFonts w:ascii="Arial" w:hAnsi="Arial" w:cs="Arial"/>
          <w:sz w:val="24"/>
          <w:szCs w:val="24"/>
        </w:rPr>
      </w:pPr>
      <w:r w:rsidRPr="0086422F">
        <w:rPr>
          <w:rFonts w:ascii="Arial" w:hAnsi="Arial" w:cs="Arial"/>
          <w:sz w:val="24"/>
          <w:szCs w:val="24"/>
        </w:rPr>
        <w:t>Under the duty the health board, including primary care contractors, are required to capture and report on occasions where the Duty of Candour is triggered. Primary Care providers must notify the Health Board of occurrences where the Duty of Candour is triggered in respect of the health care they provide under contract.  The platform for capturing and recording instances where Duty of Candour is triggered is Datix Cymru however contracted services are not mandated to use the Datix Cymru system.</w:t>
      </w:r>
    </w:p>
    <w:p w14:paraId="73A7C54D" w14:textId="77777777" w:rsidR="00164D7B" w:rsidRPr="0086422F" w:rsidRDefault="00164D7B" w:rsidP="0086422F">
      <w:pPr>
        <w:jc w:val="both"/>
        <w:rPr>
          <w:rFonts w:ascii="Arial" w:hAnsi="Arial" w:cs="Arial"/>
          <w:color w:val="000000"/>
          <w:sz w:val="24"/>
          <w:szCs w:val="24"/>
        </w:rPr>
      </w:pPr>
      <w:r w:rsidRPr="0086422F">
        <w:rPr>
          <w:rFonts w:ascii="Arial" w:hAnsi="Arial" w:cs="Arial"/>
          <w:sz w:val="24"/>
          <w:szCs w:val="24"/>
        </w:rPr>
        <w:t>Currently there is a dedicated website that already provides access to the Primary Care Wales Incident Reporting page and the Primary Care National Incident Reporting form.  There is now one National website for all contractors within Primary Care to use which provides a consistent mechanism for all contractors to report incidents.  T</w:t>
      </w:r>
      <w:r w:rsidRPr="0086422F">
        <w:rPr>
          <w:rFonts w:ascii="Arial" w:hAnsi="Arial" w:cs="Arial"/>
          <w:color w:val="000000"/>
          <w:sz w:val="24"/>
          <w:szCs w:val="24"/>
        </w:rPr>
        <w:t xml:space="preserve">o support our Primary Care providers to comply with their duty to report, the OfWCMS Programme Team provide virtual drop in clinics. </w:t>
      </w:r>
    </w:p>
    <w:p w14:paraId="06490E71" w14:textId="77777777" w:rsidR="00164D7B" w:rsidRDefault="00164D7B" w:rsidP="0086422F">
      <w:pPr>
        <w:jc w:val="both"/>
        <w:rPr>
          <w:rFonts w:ascii="Arial" w:eastAsia="Times New Roman" w:hAnsi="Arial" w:cs="Arial"/>
          <w:bCs/>
          <w:color w:val="000000"/>
          <w:sz w:val="24"/>
          <w:szCs w:val="24"/>
          <w:lang w:eastAsia="en-GB"/>
        </w:rPr>
      </w:pPr>
      <w:r w:rsidRPr="0086422F">
        <w:rPr>
          <w:rFonts w:ascii="Arial" w:eastAsia="Times New Roman" w:hAnsi="Arial" w:cs="Arial"/>
          <w:bCs/>
          <w:color w:val="000000"/>
          <w:sz w:val="24"/>
          <w:szCs w:val="24"/>
          <w:lang w:eastAsia="en-GB"/>
        </w:rPr>
        <w:t xml:space="preserve">An internal communication plan was implemented to highlight awareness of the duty and a training was </w:t>
      </w:r>
      <w:r w:rsidR="0046770C">
        <w:rPr>
          <w:rFonts w:ascii="Arial" w:eastAsia="Times New Roman" w:hAnsi="Arial" w:cs="Arial"/>
          <w:bCs/>
          <w:color w:val="000000"/>
          <w:sz w:val="24"/>
          <w:szCs w:val="24"/>
          <w:lang w:eastAsia="en-GB"/>
        </w:rPr>
        <w:t xml:space="preserve">delivered face to face or via Teams. A dedicated SharePoint site was made </w:t>
      </w:r>
      <w:r w:rsidRPr="0086422F">
        <w:rPr>
          <w:rFonts w:ascii="Arial" w:eastAsia="Times New Roman" w:hAnsi="Arial" w:cs="Arial"/>
          <w:bCs/>
          <w:color w:val="000000"/>
          <w:sz w:val="24"/>
          <w:szCs w:val="24"/>
          <w:lang w:eastAsia="en-GB"/>
        </w:rPr>
        <w:t xml:space="preserve">available for all staff with helpful information and advice along with weekly drop in sessions hosted centrally to answer any questions staff may have.  Information leaflets for staff and patients are available to download.  </w:t>
      </w:r>
    </w:p>
    <w:p w14:paraId="2B1EAAAA" w14:textId="0622BA59" w:rsidR="00164D7B" w:rsidRPr="0086422F" w:rsidRDefault="0046770C" w:rsidP="0086422F">
      <w:pPr>
        <w:pStyle w:val="ListParagraph"/>
        <w:numPr>
          <w:ilvl w:val="0"/>
          <w:numId w:val="17"/>
        </w:numPr>
        <w:jc w:val="both"/>
        <w:rPr>
          <w:rFonts w:ascii="Arial" w:hAnsi="Arial" w:cs="Arial"/>
          <w:b/>
          <w:color w:val="000000"/>
          <w:sz w:val="24"/>
          <w:szCs w:val="24"/>
        </w:rPr>
      </w:pPr>
      <w:r>
        <w:rPr>
          <w:rFonts w:ascii="Arial" w:hAnsi="Arial" w:cs="Arial"/>
          <w:b/>
          <w:color w:val="000000"/>
          <w:sz w:val="24"/>
          <w:szCs w:val="24"/>
        </w:rPr>
        <w:t xml:space="preserve">Training, </w:t>
      </w:r>
      <w:r w:rsidR="00164D7B" w:rsidRPr="0086422F">
        <w:rPr>
          <w:rFonts w:ascii="Arial" w:hAnsi="Arial" w:cs="Arial"/>
          <w:b/>
          <w:color w:val="000000"/>
          <w:sz w:val="24"/>
          <w:szCs w:val="24"/>
        </w:rPr>
        <w:t xml:space="preserve">Governance and </w:t>
      </w:r>
      <w:r w:rsidR="00D40F2B">
        <w:rPr>
          <w:rFonts w:ascii="Arial" w:hAnsi="Arial" w:cs="Arial"/>
          <w:b/>
          <w:color w:val="000000"/>
          <w:sz w:val="24"/>
          <w:szCs w:val="24"/>
        </w:rPr>
        <w:t>R</w:t>
      </w:r>
      <w:r w:rsidR="00164D7B" w:rsidRPr="0086422F">
        <w:rPr>
          <w:rFonts w:ascii="Arial" w:hAnsi="Arial" w:cs="Arial"/>
          <w:b/>
          <w:color w:val="000000"/>
          <w:sz w:val="24"/>
          <w:szCs w:val="24"/>
        </w:rPr>
        <w:t>isks</w:t>
      </w:r>
    </w:p>
    <w:p w14:paraId="528612E6" w14:textId="470FCC78" w:rsidR="00164D7B" w:rsidRPr="0086422F" w:rsidRDefault="00164D7B" w:rsidP="0086422F">
      <w:pPr>
        <w:spacing w:after="0" w:line="240" w:lineRule="auto"/>
        <w:jc w:val="both"/>
        <w:rPr>
          <w:rFonts w:ascii="Arial" w:hAnsi="Arial" w:cs="Arial"/>
          <w:sz w:val="24"/>
          <w:szCs w:val="24"/>
        </w:rPr>
      </w:pPr>
      <w:r w:rsidRPr="0086422F">
        <w:rPr>
          <w:rFonts w:ascii="Arial" w:hAnsi="Arial" w:cs="Arial"/>
          <w:sz w:val="24"/>
          <w:szCs w:val="24"/>
        </w:rPr>
        <w:t xml:space="preserve">Funding for additional resource to comply with the Duty of Candour has not been made available by Welsh Government. </w:t>
      </w:r>
      <w:r w:rsidRPr="0086422F">
        <w:rPr>
          <w:rFonts w:ascii="Arial" w:hAnsi="Arial" w:cs="Arial"/>
          <w:color w:val="000000" w:themeColor="text1"/>
          <w:sz w:val="24"/>
          <w:szCs w:val="24"/>
        </w:rPr>
        <w:t xml:space="preserve">There is a known staffing requirement for administration / co-ordination / support to comply with the Duty of Candour and in turn </w:t>
      </w:r>
      <w:r w:rsidRPr="0086422F">
        <w:rPr>
          <w:rFonts w:ascii="Arial" w:eastAsia="Times New Roman" w:hAnsi="Arial" w:cs="Arial"/>
          <w:bCs/>
          <w:sz w:val="24"/>
          <w:szCs w:val="24"/>
          <w:lang w:eastAsia="en-GB"/>
        </w:rPr>
        <w:t xml:space="preserve">provide the board with assurance.  </w:t>
      </w:r>
      <w:r w:rsidRPr="0086422F">
        <w:rPr>
          <w:rFonts w:ascii="Arial" w:hAnsi="Arial" w:cs="Arial"/>
          <w:sz w:val="24"/>
          <w:szCs w:val="24"/>
        </w:rPr>
        <w:t xml:space="preserve"> </w:t>
      </w:r>
      <w:r w:rsidR="00133912">
        <w:rPr>
          <w:rFonts w:ascii="Arial" w:hAnsi="Arial" w:cs="Arial"/>
          <w:sz w:val="24"/>
          <w:szCs w:val="24"/>
        </w:rPr>
        <w:t xml:space="preserve">Across NHS Wales the issue of resources was raised and reported back to Welsh Government.  The Health Board recognises this risk and continues to look </w:t>
      </w:r>
      <w:r w:rsidRPr="0086422F">
        <w:rPr>
          <w:rFonts w:ascii="Arial" w:hAnsi="Arial" w:cs="Arial"/>
          <w:sz w:val="24"/>
          <w:szCs w:val="24"/>
        </w:rPr>
        <w:t>at alternative ways of</w:t>
      </w:r>
      <w:r w:rsidR="00133912">
        <w:rPr>
          <w:rFonts w:ascii="Arial" w:hAnsi="Arial" w:cs="Arial"/>
          <w:sz w:val="24"/>
          <w:szCs w:val="24"/>
        </w:rPr>
        <w:t xml:space="preserve"> </w:t>
      </w:r>
      <w:r w:rsidRPr="0086422F">
        <w:rPr>
          <w:rFonts w:ascii="Arial" w:hAnsi="Arial" w:cs="Arial"/>
          <w:sz w:val="24"/>
          <w:szCs w:val="24"/>
        </w:rPr>
        <w:t>work</w:t>
      </w:r>
      <w:r w:rsidR="00133912">
        <w:rPr>
          <w:rFonts w:ascii="Arial" w:hAnsi="Arial" w:cs="Arial"/>
          <w:sz w:val="24"/>
          <w:szCs w:val="24"/>
        </w:rPr>
        <w:t xml:space="preserve">ing to support </w:t>
      </w:r>
      <w:r w:rsidRPr="0086422F">
        <w:rPr>
          <w:rFonts w:ascii="Arial" w:hAnsi="Arial" w:cs="Arial"/>
          <w:sz w:val="24"/>
          <w:szCs w:val="24"/>
        </w:rPr>
        <w:t xml:space="preserve">the </w:t>
      </w:r>
      <w:r w:rsidR="00133912">
        <w:rPr>
          <w:rFonts w:ascii="Arial" w:hAnsi="Arial" w:cs="Arial"/>
          <w:sz w:val="24"/>
          <w:szCs w:val="24"/>
        </w:rPr>
        <w:t xml:space="preserve">implementation </w:t>
      </w:r>
      <w:r w:rsidRPr="0086422F">
        <w:rPr>
          <w:rFonts w:ascii="Arial" w:hAnsi="Arial" w:cs="Arial"/>
          <w:sz w:val="24"/>
          <w:szCs w:val="24"/>
        </w:rPr>
        <w:t xml:space="preserve">Duty and how work can be streamlined.  </w:t>
      </w:r>
    </w:p>
    <w:p w14:paraId="7C8FE4E8" w14:textId="77777777" w:rsidR="00164D7B" w:rsidRPr="0086422F" w:rsidRDefault="00164D7B" w:rsidP="0086422F">
      <w:pPr>
        <w:spacing w:after="0" w:line="240" w:lineRule="auto"/>
        <w:jc w:val="both"/>
        <w:rPr>
          <w:rFonts w:ascii="Arial" w:hAnsi="Arial" w:cs="Arial"/>
          <w:sz w:val="24"/>
          <w:szCs w:val="24"/>
        </w:rPr>
      </w:pPr>
    </w:p>
    <w:p w14:paraId="374D92F1" w14:textId="12E80597" w:rsidR="0046770C" w:rsidRDefault="00133912" w:rsidP="0086422F">
      <w:pPr>
        <w:spacing w:after="0" w:line="240" w:lineRule="auto"/>
        <w:jc w:val="both"/>
        <w:rPr>
          <w:rFonts w:ascii="Arial" w:eastAsia="Times New Roman" w:hAnsi="Arial" w:cs="Arial"/>
          <w:sz w:val="24"/>
          <w:szCs w:val="24"/>
          <w:lang w:eastAsia="en-GB"/>
        </w:rPr>
      </w:pPr>
      <w:r>
        <w:rPr>
          <w:rFonts w:ascii="Arial" w:hAnsi="Arial" w:cs="Arial"/>
          <w:sz w:val="24"/>
          <w:szCs w:val="24"/>
        </w:rPr>
        <w:t>L</w:t>
      </w:r>
      <w:r w:rsidR="00164D7B" w:rsidRPr="0046770C">
        <w:rPr>
          <w:rFonts w:ascii="Arial" w:hAnsi="Arial" w:cs="Arial"/>
          <w:sz w:val="24"/>
          <w:szCs w:val="24"/>
        </w:rPr>
        <w:t xml:space="preserve">ocal training has been delivered and continues, </w:t>
      </w:r>
      <w:r w:rsidR="00164D7B" w:rsidRPr="0046770C">
        <w:rPr>
          <w:rFonts w:ascii="Arial" w:eastAsia="Times New Roman" w:hAnsi="Arial" w:cs="Arial"/>
          <w:sz w:val="24"/>
          <w:szCs w:val="24"/>
          <w:lang w:eastAsia="en-GB"/>
        </w:rPr>
        <w:t xml:space="preserve">Welsh Government </w:t>
      </w:r>
      <w:r w:rsidR="00C57C2F" w:rsidRPr="0046770C">
        <w:rPr>
          <w:rFonts w:ascii="Arial" w:eastAsia="Times New Roman" w:hAnsi="Arial" w:cs="Arial"/>
          <w:sz w:val="24"/>
          <w:szCs w:val="24"/>
          <w:lang w:eastAsia="en-GB"/>
        </w:rPr>
        <w:t xml:space="preserve">have </w:t>
      </w:r>
      <w:r w:rsidR="00164D7B" w:rsidRPr="0046770C">
        <w:rPr>
          <w:rFonts w:ascii="Arial" w:eastAsia="Times New Roman" w:hAnsi="Arial" w:cs="Arial"/>
          <w:sz w:val="24"/>
          <w:szCs w:val="24"/>
          <w:lang w:eastAsia="en-GB"/>
        </w:rPr>
        <w:t>also developed an e-l</w:t>
      </w:r>
      <w:r w:rsidR="00C57C2F" w:rsidRPr="0046770C">
        <w:rPr>
          <w:rFonts w:ascii="Arial" w:eastAsia="Times New Roman" w:hAnsi="Arial" w:cs="Arial"/>
          <w:sz w:val="24"/>
          <w:szCs w:val="24"/>
          <w:lang w:eastAsia="en-GB"/>
        </w:rPr>
        <w:t>earning training package for</w:t>
      </w:r>
      <w:r w:rsidR="00164D7B" w:rsidRPr="0046770C">
        <w:rPr>
          <w:rFonts w:ascii="Arial" w:eastAsia="Times New Roman" w:hAnsi="Arial" w:cs="Arial"/>
          <w:sz w:val="24"/>
          <w:szCs w:val="24"/>
          <w:lang w:eastAsia="en-GB"/>
        </w:rPr>
        <w:t xml:space="preserve"> staff which is available via the ESR platform / Digital Learning Wales (annex </w:t>
      </w:r>
      <w:r w:rsidR="00C57C2F" w:rsidRPr="0046770C">
        <w:rPr>
          <w:rFonts w:ascii="Arial" w:eastAsia="Times New Roman" w:hAnsi="Arial" w:cs="Arial"/>
          <w:sz w:val="24"/>
          <w:szCs w:val="24"/>
          <w:lang w:eastAsia="en-GB"/>
        </w:rPr>
        <w:t>two</w:t>
      </w:r>
      <w:r w:rsidR="00164D7B" w:rsidRPr="0046770C">
        <w:rPr>
          <w:rFonts w:ascii="Arial" w:eastAsia="Times New Roman" w:hAnsi="Arial" w:cs="Arial"/>
          <w:sz w:val="24"/>
          <w:szCs w:val="24"/>
          <w:lang w:eastAsia="en-GB"/>
        </w:rPr>
        <w:t>)</w:t>
      </w:r>
      <w:r w:rsidR="00C57C2F" w:rsidRPr="0046770C">
        <w:rPr>
          <w:rFonts w:ascii="Arial" w:eastAsia="Times New Roman" w:hAnsi="Arial" w:cs="Arial"/>
          <w:sz w:val="24"/>
          <w:szCs w:val="24"/>
          <w:lang w:eastAsia="en-GB"/>
        </w:rPr>
        <w:t xml:space="preserve">.  Local ESR data has shown that </w:t>
      </w:r>
      <w:r w:rsidR="0046770C" w:rsidRPr="0046770C">
        <w:rPr>
          <w:rFonts w:ascii="Arial" w:eastAsia="Times New Roman" w:hAnsi="Arial" w:cs="Arial"/>
          <w:sz w:val="24"/>
          <w:szCs w:val="24"/>
          <w:lang w:eastAsia="en-GB"/>
        </w:rPr>
        <w:t xml:space="preserve">1052 have logged onto the ESR system and requested the Duty of Candour training.  </w:t>
      </w:r>
      <w:r w:rsidR="00AA2B78">
        <w:rPr>
          <w:rFonts w:ascii="Arial" w:eastAsia="Times New Roman" w:hAnsi="Arial" w:cs="Arial"/>
          <w:sz w:val="24"/>
          <w:szCs w:val="24"/>
          <w:lang w:eastAsia="en-GB"/>
        </w:rPr>
        <w:t xml:space="preserve">Going forward in 2024/25 staff will be encouraged to access the </w:t>
      </w:r>
      <w:r w:rsidR="0046770C" w:rsidRPr="0046770C">
        <w:rPr>
          <w:rFonts w:ascii="Arial" w:eastAsia="Times New Roman" w:hAnsi="Arial" w:cs="Arial"/>
          <w:sz w:val="24"/>
          <w:szCs w:val="24"/>
          <w:lang w:eastAsia="en-GB"/>
        </w:rPr>
        <w:t>Candour training via the ESR platform</w:t>
      </w:r>
      <w:r w:rsidR="0046770C">
        <w:rPr>
          <w:rFonts w:ascii="Arial" w:eastAsia="Times New Roman" w:hAnsi="Arial" w:cs="Arial"/>
          <w:sz w:val="24"/>
          <w:szCs w:val="24"/>
          <w:lang w:eastAsia="en-GB"/>
        </w:rPr>
        <w:t>.</w:t>
      </w:r>
    </w:p>
    <w:p w14:paraId="360AE85D" w14:textId="77777777" w:rsidR="0046770C" w:rsidRDefault="0046770C" w:rsidP="0086422F">
      <w:pPr>
        <w:spacing w:after="0" w:line="240" w:lineRule="auto"/>
        <w:jc w:val="both"/>
        <w:rPr>
          <w:rFonts w:ascii="Arial" w:eastAsia="Times New Roman" w:hAnsi="Arial" w:cs="Arial"/>
          <w:sz w:val="24"/>
          <w:szCs w:val="24"/>
          <w:lang w:eastAsia="en-GB"/>
        </w:rPr>
      </w:pPr>
    </w:p>
    <w:p w14:paraId="5B811632" w14:textId="77777777" w:rsidR="0046770C" w:rsidRDefault="0046770C" w:rsidP="0086422F">
      <w:pPr>
        <w:spacing w:after="0" w:line="240" w:lineRule="auto"/>
        <w:jc w:val="both"/>
        <w:rPr>
          <w:rFonts w:ascii="Arial" w:eastAsia="Times New Roman" w:hAnsi="Arial" w:cs="Arial"/>
          <w:sz w:val="24"/>
          <w:szCs w:val="24"/>
          <w:lang w:eastAsia="en-GB"/>
        </w:rPr>
      </w:pPr>
      <w:r>
        <w:rPr>
          <w:rFonts w:ascii="Arial" w:eastAsia="Times New Roman" w:hAnsi="Arial" w:cs="Arial"/>
          <w:sz w:val="24"/>
          <w:szCs w:val="24"/>
          <w:lang w:eastAsia="en-GB"/>
        </w:rPr>
        <w:t>The health board recognises the critical role that learning and development plays in fostering growth, progress and also the delivery of high-quality services to patients.  We are at our best when we learn from others and share skills and knowledge through continuous learning and development and, through continuous learning and development, we can achieve personal and organisational growth whilst ensuring safe and effective practices.  We continue to ensure our workforce are equipped to address current and future demands and continue to develop a culture within the health board to align with the Duty of Candour</w:t>
      </w:r>
    </w:p>
    <w:p w14:paraId="023D50E9" w14:textId="77777777" w:rsidR="0046770C" w:rsidRDefault="0046770C" w:rsidP="0086422F">
      <w:pPr>
        <w:spacing w:after="0" w:line="240" w:lineRule="auto"/>
        <w:jc w:val="both"/>
        <w:rPr>
          <w:rFonts w:ascii="Arial" w:eastAsia="Times New Roman" w:hAnsi="Arial" w:cs="Arial"/>
          <w:sz w:val="24"/>
          <w:szCs w:val="24"/>
          <w:lang w:eastAsia="en-GB"/>
        </w:rPr>
      </w:pPr>
    </w:p>
    <w:p w14:paraId="0555BED5" w14:textId="77777777" w:rsidR="00164D7B" w:rsidRPr="0086422F" w:rsidRDefault="00164D7B" w:rsidP="0086422F">
      <w:pPr>
        <w:jc w:val="both"/>
        <w:rPr>
          <w:rFonts w:ascii="Arial" w:hAnsi="Arial" w:cs="Arial"/>
          <w:color w:val="000000"/>
          <w:sz w:val="24"/>
          <w:szCs w:val="24"/>
          <w:lang w:eastAsia="en-GB"/>
        </w:rPr>
      </w:pPr>
      <w:r w:rsidRPr="0086422F">
        <w:rPr>
          <w:rFonts w:ascii="Arial" w:eastAsia="Calibri" w:hAnsi="Arial" w:cs="Arial"/>
          <w:sz w:val="24"/>
          <w:szCs w:val="24"/>
          <w:lang w:eastAsia="en-GB"/>
        </w:rPr>
        <w:t>The Duty of Candour does have some implications for the ‘</w:t>
      </w:r>
      <w:r w:rsidRPr="0086422F">
        <w:rPr>
          <w:rFonts w:ascii="Arial" w:hAnsi="Arial" w:cs="Arial"/>
          <w:color w:val="111111"/>
          <w:sz w:val="24"/>
          <w:szCs w:val="24"/>
          <w:shd w:val="clear" w:color="auto" w:fill="FFFFFF"/>
        </w:rPr>
        <w:t>National Health Service (Concerns, Complaints and Redress Arrangements) (Wales) Regulations</w:t>
      </w:r>
      <w:r w:rsidR="0086422F" w:rsidRPr="0086422F">
        <w:rPr>
          <w:rFonts w:ascii="Arial" w:hAnsi="Arial" w:cs="Arial"/>
          <w:color w:val="111111"/>
          <w:sz w:val="24"/>
          <w:szCs w:val="24"/>
          <w:shd w:val="clear" w:color="auto" w:fill="FFFFFF"/>
        </w:rPr>
        <w:t xml:space="preserve"> 2011</w:t>
      </w:r>
      <w:r w:rsidRPr="0086422F">
        <w:rPr>
          <w:rFonts w:ascii="Arial" w:eastAsia="Calibri" w:hAnsi="Arial" w:cs="Arial"/>
          <w:sz w:val="24"/>
          <w:szCs w:val="24"/>
          <w:lang w:eastAsia="en-GB"/>
        </w:rPr>
        <w:t xml:space="preserve">.  </w:t>
      </w:r>
      <w:r w:rsidRPr="0086422F">
        <w:rPr>
          <w:rFonts w:ascii="Arial" w:hAnsi="Arial" w:cs="Arial"/>
          <w:color w:val="000000"/>
          <w:sz w:val="24"/>
          <w:szCs w:val="24"/>
          <w:lang w:eastAsia="en-GB"/>
        </w:rPr>
        <w:t>A full review of the ‘Putting Things Right’ process has been committed to by the Minister for Health and Social Services and is currently under</w:t>
      </w:r>
      <w:r w:rsidR="0086422F" w:rsidRPr="0086422F">
        <w:rPr>
          <w:rFonts w:ascii="Arial" w:hAnsi="Arial" w:cs="Arial"/>
          <w:color w:val="000000"/>
          <w:sz w:val="24"/>
          <w:szCs w:val="24"/>
          <w:lang w:eastAsia="en-GB"/>
        </w:rPr>
        <w:t xml:space="preserve"> a</w:t>
      </w:r>
      <w:r w:rsidRPr="0086422F">
        <w:rPr>
          <w:rFonts w:ascii="Arial" w:hAnsi="Arial" w:cs="Arial"/>
          <w:color w:val="000000"/>
          <w:sz w:val="24"/>
          <w:szCs w:val="24"/>
          <w:lang w:eastAsia="en-GB"/>
        </w:rPr>
        <w:t xml:space="preserve"> consultation</w:t>
      </w:r>
      <w:r w:rsidR="0086422F" w:rsidRPr="0086422F">
        <w:rPr>
          <w:rFonts w:ascii="Arial" w:hAnsi="Arial" w:cs="Arial"/>
          <w:color w:val="000000"/>
          <w:sz w:val="24"/>
          <w:szCs w:val="24"/>
          <w:lang w:eastAsia="en-GB"/>
        </w:rPr>
        <w:t xml:space="preserve"> process</w:t>
      </w:r>
      <w:r w:rsidRPr="0086422F">
        <w:rPr>
          <w:rFonts w:ascii="Arial" w:hAnsi="Arial" w:cs="Arial"/>
          <w:color w:val="000000"/>
          <w:sz w:val="24"/>
          <w:szCs w:val="24"/>
          <w:lang w:eastAsia="en-GB"/>
        </w:rPr>
        <w:t xml:space="preserve">.  </w:t>
      </w:r>
    </w:p>
    <w:p w14:paraId="4586B019" w14:textId="77777777" w:rsidR="00164D7B" w:rsidRPr="0086422F" w:rsidRDefault="00164D7B" w:rsidP="0086422F">
      <w:pPr>
        <w:pStyle w:val="ListParagraph"/>
        <w:numPr>
          <w:ilvl w:val="0"/>
          <w:numId w:val="17"/>
        </w:numPr>
        <w:jc w:val="both"/>
        <w:rPr>
          <w:rFonts w:ascii="Arial" w:hAnsi="Arial" w:cs="Arial"/>
          <w:b/>
          <w:color w:val="000000"/>
          <w:sz w:val="24"/>
          <w:szCs w:val="24"/>
        </w:rPr>
      </w:pPr>
      <w:r w:rsidRPr="0086422F">
        <w:rPr>
          <w:rFonts w:ascii="Arial" w:hAnsi="Arial" w:cs="Arial"/>
          <w:b/>
          <w:color w:val="000000"/>
          <w:sz w:val="24"/>
          <w:szCs w:val="24"/>
        </w:rPr>
        <w:t>Operationalisation</w:t>
      </w:r>
    </w:p>
    <w:p w14:paraId="5B1E7AD3" w14:textId="77777777" w:rsidR="00164D7B" w:rsidRPr="0086422F" w:rsidRDefault="00164D7B" w:rsidP="0086422F">
      <w:pPr>
        <w:jc w:val="both"/>
        <w:rPr>
          <w:rFonts w:ascii="Arial" w:hAnsi="Arial" w:cs="Arial"/>
          <w:color w:val="000000"/>
          <w:sz w:val="24"/>
          <w:szCs w:val="24"/>
        </w:rPr>
      </w:pPr>
      <w:r w:rsidRPr="0086422F">
        <w:rPr>
          <w:rFonts w:ascii="Arial" w:hAnsi="Arial" w:cs="Arial"/>
          <w:color w:val="000000"/>
          <w:sz w:val="24"/>
          <w:szCs w:val="24"/>
        </w:rPr>
        <w:t xml:space="preserve">Each service group have a process to monitor a patient safety incident which, following an initial management review of harm, is recorded as moderate or above.  If a patient safety incident is categorised as moderate or above, the Duty of Candour is triggered and the procedure must be followed.  The Datix Cymru system should be used to record all activity relating to the patient safety incident including key dates relating to the Duty of Candour. </w:t>
      </w:r>
    </w:p>
    <w:p w14:paraId="3B5AD3B5" w14:textId="77777777" w:rsidR="00164D7B" w:rsidRPr="0086422F" w:rsidRDefault="00164D7B" w:rsidP="0086422F">
      <w:pPr>
        <w:jc w:val="both"/>
        <w:rPr>
          <w:rFonts w:ascii="Arial" w:hAnsi="Arial" w:cs="Arial"/>
          <w:color w:val="000000"/>
          <w:sz w:val="24"/>
          <w:szCs w:val="24"/>
        </w:rPr>
      </w:pPr>
      <w:r w:rsidRPr="0086422F">
        <w:rPr>
          <w:rFonts w:ascii="Arial" w:hAnsi="Arial" w:cs="Arial"/>
          <w:color w:val="000000"/>
          <w:sz w:val="24"/>
          <w:szCs w:val="24"/>
        </w:rPr>
        <w:t xml:space="preserve">Dashboards are available within the Datix Cymru system for each Service Group to ensure the Candour procedure is followed and performance indicators are met.  </w:t>
      </w:r>
    </w:p>
    <w:p w14:paraId="2678A58A" w14:textId="77777777" w:rsidR="00164D7B" w:rsidRPr="0086422F" w:rsidRDefault="00164D7B" w:rsidP="0086422F">
      <w:pPr>
        <w:jc w:val="both"/>
        <w:rPr>
          <w:rFonts w:ascii="Arial" w:hAnsi="Arial" w:cs="Arial"/>
          <w:color w:val="000000"/>
          <w:sz w:val="24"/>
          <w:szCs w:val="24"/>
        </w:rPr>
      </w:pPr>
      <w:r w:rsidRPr="0086422F">
        <w:rPr>
          <w:rFonts w:ascii="Arial" w:hAnsi="Arial" w:cs="Arial"/>
          <w:color w:val="000000"/>
          <w:sz w:val="24"/>
          <w:szCs w:val="24"/>
        </w:rPr>
        <w:t xml:space="preserve">Candour performance for each service group is overseen by the Patient Safety and Compliance Group.  Each service group is able to discuss concerns relating to compliance with the Duty which can then be escalated to the Quality and Safety Group and if necessary Management Board.  </w:t>
      </w:r>
    </w:p>
    <w:p w14:paraId="7D73705A" w14:textId="77777777" w:rsidR="00E300C2" w:rsidRPr="0086422F" w:rsidRDefault="00CF1AC4" w:rsidP="0086422F">
      <w:pPr>
        <w:jc w:val="both"/>
        <w:rPr>
          <w:rFonts w:ascii="Arial" w:hAnsi="Arial" w:cs="Arial"/>
          <w:b/>
          <w:color w:val="000000" w:themeColor="text1"/>
          <w:sz w:val="24"/>
          <w:szCs w:val="24"/>
        </w:rPr>
      </w:pPr>
      <w:r w:rsidRPr="0086422F">
        <w:rPr>
          <w:rFonts w:ascii="Arial" w:hAnsi="Arial" w:cs="Arial"/>
          <w:b/>
          <w:noProof/>
          <w:color w:val="000000" w:themeColor="text1"/>
          <w:sz w:val="24"/>
          <w:szCs w:val="24"/>
          <w:lang w:eastAsia="en-GB"/>
        </w:rPr>
        <w:drawing>
          <wp:inline distT="0" distB="0" distL="0" distR="0" wp14:anchorId="49627A53" wp14:editId="61FB9878">
            <wp:extent cx="6228715" cy="2295525"/>
            <wp:effectExtent l="0" t="0" r="63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48357" cy="2302764"/>
                    </a:xfrm>
                    <a:prstGeom prst="rect">
                      <a:avLst/>
                    </a:prstGeom>
                    <a:noFill/>
                  </pic:spPr>
                </pic:pic>
              </a:graphicData>
            </a:graphic>
          </wp:inline>
        </w:drawing>
      </w:r>
    </w:p>
    <w:p w14:paraId="50AA2900" w14:textId="77777777" w:rsidR="0086422F" w:rsidRPr="0086422F" w:rsidRDefault="0046770C" w:rsidP="0086422F">
      <w:pPr>
        <w:pStyle w:val="ListParagraph"/>
        <w:numPr>
          <w:ilvl w:val="0"/>
          <w:numId w:val="17"/>
        </w:numPr>
        <w:jc w:val="both"/>
        <w:rPr>
          <w:rFonts w:ascii="Arial" w:hAnsi="Arial" w:cs="Arial"/>
          <w:b/>
          <w:color w:val="000000" w:themeColor="text1"/>
          <w:sz w:val="24"/>
          <w:szCs w:val="24"/>
        </w:rPr>
      </w:pPr>
      <w:r>
        <w:rPr>
          <w:rFonts w:ascii="Arial" w:hAnsi="Arial" w:cs="Arial"/>
          <w:b/>
          <w:color w:val="000000" w:themeColor="text1"/>
          <w:sz w:val="24"/>
          <w:szCs w:val="24"/>
        </w:rPr>
        <w:t>Health Board Performance</w:t>
      </w:r>
    </w:p>
    <w:p w14:paraId="2AF3CC07" w14:textId="6A2B3E5B" w:rsidR="0086422F" w:rsidRPr="0086422F" w:rsidRDefault="0086422F" w:rsidP="0086422F">
      <w:pPr>
        <w:jc w:val="both"/>
        <w:rPr>
          <w:rFonts w:ascii="Arial" w:hAnsi="Arial" w:cs="Arial"/>
          <w:color w:val="000000" w:themeColor="text1"/>
          <w:sz w:val="24"/>
          <w:szCs w:val="24"/>
        </w:rPr>
      </w:pPr>
      <w:r w:rsidRPr="0086422F">
        <w:rPr>
          <w:rFonts w:ascii="Arial" w:hAnsi="Arial" w:cs="Arial"/>
          <w:color w:val="000000" w:themeColor="text1"/>
          <w:sz w:val="24"/>
          <w:szCs w:val="24"/>
        </w:rPr>
        <w:t xml:space="preserve">During 2023/2024, 2,815 patient safety incidents were graded by the reporter of the incident as moderate or above.  Following Manager’s Interim Harm Assessment, 2,492 patient safety incidents were downgraded to low harm, no harm or the incident occurred prior to the introduction of the Duty. This shows an 88.5% downgrade rate across the health board.  </w:t>
      </w:r>
    </w:p>
    <w:p w14:paraId="65E6F904" w14:textId="77777777" w:rsidR="0086422F" w:rsidRDefault="0086422F" w:rsidP="0086422F">
      <w:pPr>
        <w:jc w:val="both"/>
        <w:rPr>
          <w:rFonts w:ascii="Arial" w:hAnsi="Arial" w:cs="Arial"/>
          <w:b/>
          <w:i/>
          <w:color w:val="000000" w:themeColor="text1"/>
          <w:sz w:val="24"/>
          <w:szCs w:val="24"/>
        </w:rPr>
      </w:pPr>
      <w:r w:rsidRPr="0086422F">
        <w:rPr>
          <w:rFonts w:ascii="Arial" w:hAnsi="Arial" w:cs="Arial"/>
          <w:b/>
          <w:i/>
          <w:color w:val="000000" w:themeColor="text1"/>
          <w:sz w:val="24"/>
          <w:szCs w:val="24"/>
        </w:rPr>
        <w:t>**Patient safety incidents reported 01.04.23-31.03.24 as moderate or above</w:t>
      </w:r>
    </w:p>
    <w:tbl>
      <w:tblPr>
        <w:tblW w:w="5000" w:type="pct"/>
        <w:tblLook w:val="04A0" w:firstRow="1" w:lastRow="0" w:firstColumn="1" w:lastColumn="0" w:noHBand="0" w:noVBand="1"/>
      </w:tblPr>
      <w:tblGrid>
        <w:gridCol w:w="3511"/>
        <w:gridCol w:w="1397"/>
        <w:gridCol w:w="855"/>
        <w:gridCol w:w="1154"/>
        <w:gridCol w:w="604"/>
        <w:gridCol w:w="727"/>
        <w:gridCol w:w="768"/>
      </w:tblGrid>
      <w:tr w:rsidR="0046770C" w:rsidRPr="0046770C" w14:paraId="3B0BCAD5" w14:textId="77777777" w:rsidTr="0046770C">
        <w:trPr>
          <w:trHeight w:val="576"/>
        </w:trPr>
        <w:tc>
          <w:tcPr>
            <w:tcW w:w="1947" w:type="pct"/>
            <w:tcBorders>
              <w:top w:val="single" w:sz="4" w:space="0" w:color="999999"/>
              <w:left w:val="single" w:sz="4" w:space="0" w:color="999999"/>
              <w:bottom w:val="nil"/>
              <w:right w:val="nil"/>
            </w:tcBorders>
            <w:shd w:val="clear" w:color="000000" w:fill="F2F2F2"/>
            <w:hideMark/>
          </w:tcPr>
          <w:p w14:paraId="68EBEB70" w14:textId="77777777" w:rsidR="0046770C" w:rsidRPr="0046770C" w:rsidRDefault="0046770C">
            <w:pPr>
              <w:rPr>
                <w:rFonts w:ascii="Calibri" w:eastAsia="Times New Roman" w:hAnsi="Calibri" w:cs="Calibri"/>
                <w:color w:val="000000"/>
                <w:lang w:eastAsia="en-GB"/>
              </w:rPr>
            </w:pPr>
            <w:r w:rsidRPr="0046770C">
              <w:rPr>
                <w:rFonts w:ascii="Calibri" w:eastAsia="Times New Roman" w:hAnsi="Calibri" w:cs="Calibri"/>
                <w:color w:val="000000"/>
                <w:lang w:eastAsia="en-GB"/>
              </w:rPr>
              <w:t xml:space="preserve">Reporters View of Harm / Manager's Interim Harm Assessment </w:t>
            </w:r>
          </w:p>
        </w:tc>
        <w:tc>
          <w:tcPr>
            <w:tcW w:w="775" w:type="pct"/>
            <w:tcBorders>
              <w:top w:val="single" w:sz="4" w:space="0" w:color="999999"/>
              <w:left w:val="single" w:sz="4" w:space="0" w:color="999999"/>
              <w:bottom w:val="nil"/>
              <w:right w:val="nil"/>
            </w:tcBorders>
            <w:shd w:val="clear" w:color="000000" w:fill="FF0000"/>
            <w:hideMark/>
          </w:tcPr>
          <w:p w14:paraId="3DB4117D"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Catastrophic / Death</w:t>
            </w:r>
          </w:p>
        </w:tc>
        <w:tc>
          <w:tcPr>
            <w:tcW w:w="474" w:type="pct"/>
            <w:tcBorders>
              <w:top w:val="single" w:sz="4" w:space="0" w:color="999999"/>
              <w:left w:val="nil"/>
              <w:bottom w:val="nil"/>
              <w:right w:val="nil"/>
            </w:tcBorders>
            <w:shd w:val="clear" w:color="000000" w:fill="FF0000"/>
            <w:noWrap/>
            <w:hideMark/>
          </w:tcPr>
          <w:p w14:paraId="400FAE2B"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Severe</w:t>
            </w:r>
          </w:p>
        </w:tc>
        <w:tc>
          <w:tcPr>
            <w:tcW w:w="640" w:type="pct"/>
            <w:tcBorders>
              <w:top w:val="single" w:sz="4" w:space="0" w:color="999999"/>
              <w:left w:val="nil"/>
              <w:bottom w:val="nil"/>
              <w:right w:val="nil"/>
            </w:tcBorders>
            <w:shd w:val="clear" w:color="000000" w:fill="FFC000"/>
            <w:noWrap/>
            <w:hideMark/>
          </w:tcPr>
          <w:p w14:paraId="34998595"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Moderate</w:t>
            </w:r>
          </w:p>
        </w:tc>
        <w:tc>
          <w:tcPr>
            <w:tcW w:w="335" w:type="pct"/>
            <w:tcBorders>
              <w:top w:val="single" w:sz="4" w:space="0" w:color="999999"/>
              <w:left w:val="nil"/>
              <w:bottom w:val="nil"/>
              <w:right w:val="nil"/>
            </w:tcBorders>
            <w:shd w:val="clear" w:color="000000" w:fill="FFFF00"/>
            <w:noWrap/>
            <w:hideMark/>
          </w:tcPr>
          <w:p w14:paraId="00A6766E"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Low</w:t>
            </w:r>
          </w:p>
        </w:tc>
        <w:tc>
          <w:tcPr>
            <w:tcW w:w="403" w:type="pct"/>
            <w:tcBorders>
              <w:top w:val="single" w:sz="4" w:space="0" w:color="999999"/>
              <w:left w:val="nil"/>
              <w:bottom w:val="nil"/>
              <w:right w:val="nil"/>
            </w:tcBorders>
            <w:shd w:val="clear" w:color="000000" w:fill="92D050"/>
            <w:noWrap/>
            <w:hideMark/>
          </w:tcPr>
          <w:p w14:paraId="0D1A1083"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None</w:t>
            </w:r>
          </w:p>
        </w:tc>
        <w:tc>
          <w:tcPr>
            <w:tcW w:w="426" w:type="pct"/>
            <w:tcBorders>
              <w:top w:val="single" w:sz="4" w:space="0" w:color="999999"/>
              <w:left w:val="single" w:sz="4" w:space="0" w:color="999999"/>
              <w:bottom w:val="nil"/>
              <w:right w:val="single" w:sz="4" w:space="0" w:color="999999"/>
            </w:tcBorders>
            <w:shd w:val="clear" w:color="000000" w:fill="F2F2F2"/>
            <w:noWrap/>
            <w:hideMark/>
          </w:tcPr>
          <w:p w14:paraId="3BF82E0F"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 xml:space="preserve">Total </w:t>
            </w:r>
          </w:p>
        </w:tc>
      </w:tr>
      <w:tr w:rsidR="0046770C" w:rsidRPr="0046770C" w14:paraId="7EF952AD" w14:textId="77777777" w:rsidTr="0046770C">
        <w:trPr>
          <w:trHeight w:val="288"/>
        </w:trPr>
        <w:tc>
          <w:tcPr>
            <w:tcW w:w="1947" w:type="pct"/>
            <w:tcBorders>
              <w:top w:val="single" w:sz="4" w:space="0" w:color="999999"/>
              <w:left w:val="single" w:sz="4" w:space="0" w:color="999999"/>
              <w:bottom w:val="nil"/>
              <w:right w:val="nil"/>
            </w:tcBorders>
            <w:shd w:val="clear" w:color="000000" w:fill="FF0000"/>
            <w:noWrap/>
            <w:vAlign w:val="bottom"/>
            <w:hideMark/>
          </w:tcPr>
          <w:p w14:paraId="4E711336"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Catastrophic / Death</w:t>
            </w:r>
          </w:p>
        </w:tc>
        <w:tc>
          <w:tcPr>
            <w:tcW w:w="775" w:type="pct"/>
            <w:tcBorders>
              <w:top w:val="single" w:sz="4" w:space="0" w:color="999999"/>
              <w:left w:val="single" w:sz="4" w:space="0" w:color="999999"/>
              <w:bottom w:val="nil"/>
              <w:right w:val="nil"/>
            </w:tcBorders>
            <w:shd w:val="clear" w:color="auto" w:fill="auto"/>
            <w:noWrap/>
            <w:vAlign w:val="bottom"/>
            <w:hideMark/>
          </w:tcPr>
          <w:p w14:paraId="62FAE38B"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14</w:t>
            </w:r>
          </w:p>
        </w:tc>
        <w:tc>
          <w:tcPr>
            <w:tcW w:w="474" w:type="pct"/>
            <w:tcBorders>
              <w:top w:val="single" w:sz="4" w:space="0" w:color="999999"/>
              <w:left w:val="nil"/>
              <w:bottom w:val="nil"/>
              <w:right w:val="nil"/>
            </w:tcBorders>
            <w:shd w:val="clear" w:color="auto" w:fill="auto"/>
            <w:noWrap/>
            <w:vAlign w:val="bottom"/>
            <w:hideMark/>
          </w:tcPr>
          <w:p w14:paraId="4DF83F09"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w:t>
            </w:r>
          </w:p>
        </w:tc>
        <w:tc>
          <w:tcPr>
            <w:tcW w:w="640" w:type="pct"/>
            <w:tcBorders>
              <w:top w:val="single" w:sz="4" w:space="0" w:color="999999"/>
              <w:left w:val="nil"/>
              <w:bottom w:val="nil"/>
              <w:right w:val="nil"/>
            </w:tcBorders>
            <w:shd w:val="clear" w:color="auto" w:fill="auto"/>
            <w:noWrap/>
            <w:vAlign w:val="bottom"/>
            <w:hideMark/>
          </w:tcPr>
          <w:p w14:paraId="4797198E"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3</w:t>
            </w:r>
          </w:p>
        </w:tc>
        <w:tc>
          <w:tcPr>
            <w:tcW w:w="335" w:type="pct"/>
            <w:tcBorders>
              <w:top w:val="single" w:sz="4" w:space="0" w:color="999999"/>
              <w:left w:val="nil"/>
              <w:bottom w:val="nil"/>
              <w:right w:val="nil"/>
            </w:tcBorders>
            <w:shd w:val="clear" w:color="auto" w:fill="auto"/>
            <w:noWrap/>
            <w:vAlign w:val="bottom"/>
            <w:hideMark/>
          </w:tcPr>
          <w:p w14:paraId="0ABC3BE6"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w:t>
            </w:r>
          </w:p>
        </w:tc>
        <w:tc>
          <w:tcPr>
            <w:tcW w:w="403" w:type="pct"/>
            <w:tcBorders>
              <w:top w:val="single" w:sz="4" w:space="0" w:color="999999"/>
              <w:left w:val="nil"/>
              <w:bottom w:val="nil"/>
              <w:right w:val="nil"/>
            </w:tcBorders>
            <w:shd w:val="clear" w:color="auto" w:fill="auto"/>
            <w:noWrap/>
            <w:vAlign w:val="bottom"/>
            <w:hideMark/>
          </w:tcPr>
          <w:p w14:paraId="72529BD3"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w:t>
            </w:r>
          </w:p>
        </w:tc>
        <w:tc>
          <w:tcPr>
            <w:tcW w:w="426" w:type="pct"/>
            <w:tcBorders>
              <w:top w:val="single" w:sz="4" w:space="0" w:color="999999"/>
              <w:left w:val="single" w:sz="4" w:space="0" w:color="999999"/>
              <w:bottom w:val="nil"/>
              <w:right w:val="single" w:sz="4" w:space="0" w:color="999999"/>
            </w:tcBorders>
            <w:shd w:val="clear" w:color="auto" w:fill="auto"/>
            <w:noWrap/>
            <w:vAlign w:val="bottom"/>
            <w:hideMark/>
          </w:tcPr>
          <w:p w14:paraId="6630F379"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18</w:t>
            </w:r>
          </w:p>
        </w:tc>
      </w:tr>
      <w:tr w:rsidR="0046770C" w:rsidRPr="0046770C" w14:paraId="292DB42C" w14:textId="77777777" w:rsidTr="0046770C">
        <w:trPr>
          <w:trHeight w:val="288"/>
        </w:trPr>
        <w:tc>
          <w:tcPr>
            <w:tcW w:w="1947" w:type="pct"/>
            <w:tcBorders>
              <w:top w:val="nil"/>
              <w:left w:val="single" w:sz="4" w:space="0" w:color="999999"/>
              <w:bottom w:val="nil"/>
              <w:right w:val="nil"/>
            </w:tcBorders>
            <w:shd w:val="clear" w:color="000000" w:fill="FF0000"/>
            <w:noWrap/>
            <w:vAlign w:val="bottom"/>
            <w:hideMark/>
          </w:tcPr>
          <w:p w14:paraId="3DE5C25D"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Severe</w:t>
            </w:r>
          </w:p>
        </w:tc>
        <w:tc>
          <w:tcPr>
            <w:tcW w:w="775" w:type="pct"/>
            <w:tcBorders>
              <w:top w:val="nil"/>
              <w:left w:val="single" w:sz="4" w:space="0" w:color="999999"/>
              <w:bottom w:val="nil"/>
              <w:right w:val="nil"/>
            </w:tcBorders>
            <w:shd w:val="clear" w:color="auto" w:fill="auto"/>
            <w:noWrap/>
            <w:vAlign w:val="bottom"/>
            <w:hideMark/>
          </w:tcPr>
          <w:p w14:paraId="325E4C04"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w:t>
            </w:r>
          </w:p>
        </w:tc>
        <w:tc>
          <w:tcPr>
            <w:tcW w:w="474" w:type="pct"/>
            <w:tcBorders>
              <w:top w:val="nil"/>
              <w:left w:val="nil"/>
              <w:bottom w:val="nil"/>
              <w:right w:val="nil"/>
            </w:tcBorders>
            <w:shd w:val="clear" w:color="auto" w:fill="auto"/>
            <w:noWrap/>
            <w:vAlign w:val="bottom"/>
            <w:hideMark/>
          </w:tcPr>
          <w:p w14:paraId="6697144F"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14</w:t>
            </w:r>
          </w:p>
        </w:tc>
        <w:tc>
          <w:tcPr>
            <w:tcW w:w="640" w:type="pct"/>
            <w:tcBorders>
              <w:top w:val="nil"/>
              <w:left w:val="nil"/>
              <w:bottom w:val="nil"/>
              <w:right w:val="nil"/>
            </w:tcBorders>
            <w:shd w:val="clear" w:color="auto" w:fill="auto"/>
            <w:noWrap/>
            <w:vAlign w:val="bottom"/>
            <w:hideMark/>
          </w:tcPr>
          <w:p w14:paraId="4CF31941"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18</w:t>
            </w:r>
          </w:p>
        </w:tc>
        <w:tc>
          <w:tcPr>
            <w:tcW w:w="335" w:type="pct"/>
            <w:tcBorders>
              <w:top w:val="nil"/>
              <w:left w:val="nil"/>
              <w:bottom w:val="nil"/>
              <w:right w:val="nil"/>
            </w:tcBorders>
            <w:shd w:val="clear" w:color="auto" w:fill="auto"/>
            <w:noWrap/>
            <w:vAlign w:val="bottom"/>
            <w:hideMark/>
          </w:tcPr>
          <w:p w14:paraId="251CA470"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2</w:t>
            </w:r>
          </w:p>
        </w:tc>
        <w:tc>
          <w:tcPr>
            <w:tcW w:w="403" w:type="pct"/>
            <w:tcBorders>
              <w:top w:val="nil"/>
              <w:left w:val="nil"/>
              <w:bottom w:val="nil"/>
              <w:right w:val="nil"/>
            </w:tcBorders>
            <w:shd w:val="clear" w:color="auto" w:fill="auto"/>
            <w:noWrap/>
            <w:vAlign w:val="bottom"/>
            <w:hideMark/>
          </w:tcPr>
          <w:p w14:paraId="56DD1DA6"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w:t>
            </w:r>
          </w:p>
        </w:tc>
        <w:tc>
          <w:tcPr>
            <w:tcW w:w="426" w:type="pct"/>
            <w:tcBorders>
              <w:top w:val="nil"/>
              <w:left w:val="single" w:sz="4" w:space="0" w:color="999999"/>
              <w:bottom w:val="nil"/>
              <w:right w:val="single" w:sz="4" w:space="0" w:color="999999"/>
            </w:tcBorders>
            <w:shd w:val="clear" w:color="auto" w:fill="auto"/>
            <w:noWrap/>
            <w:vAlign w:val="bottom"/>
            <w:hideMark/>
          </w:tcPr>
          <w:p w14:paraId="7BC755A6"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34</w:t>
            </w:r>
          </w:p>
        </w:tc>
      </w:tr>
      <w:tr w:rsidR="0046770C" w:rsidRPr="0046770C" w14:paraId="4DC10C17" w14:textId="77777777" w:rsidTr="0046770C">
        <w:trPr>
          <w:trHeight w:val="288"/>
        </w:trPr>
        <w:tc>
          <w:tcPr>
            <w:tcW w:w="1947" w:type="pct"/>
            <w:tcBorders>
              <w:top w:val="nil"/>
              <w:left w:val="single" w:sz="4" w:space="0" w:color="999999"/>
              <w:bottom w:val="nil"/>
              <w:right w:val="nil"/>
            </w:tcBorders>
            <w:shd w:val="clear" w:color="000000" w:fill="FFC000"/>
            <w:noWrap/>
            <w:vAlign w:val="bottom"/>
            <w:hideMark/>
          </w:tcPr>
          <w:p w14:paraId="5965C0FE"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Moderate</w:t>
            </w:r>
          </w:p>
        </w:tc>
        <w:tc>
          <w:tcPr>
            <w:tcW w:w="775" w:type="pct"/>
            <w:tcBorders>
              <w:top w:val="nil"/>
              <w:left w:val="single" w:sz="4" w:space="0" w:color="999999"/>
              <w:bottom w:val="nil"/>
              <w:right w:val="nil"/>
            </w:tcBorders>
            <w:shd w:val="clear" w:color="auto" w:fill="auto"/>
            <w:noWrap/>
            <w:vAlign w:val="bottom"/>
            <w:hideMark/>
          </w:tcPr>
          <w:p w14:paraId="2FA9B547"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3</w:t>
            </w:r>
          </w:p>
        </w:tc>
        <w:tc>
          <w:tcPr>
            <w:tcW w:w="474" w:type="pct"/>
            <w:tcBorders>
              <w:top w:val="nil"/>
              <w:left w:val="nil"/>
              <w:bottom w:val="nil"/>
              <w:right w:val="nil"/>
            </w:tcBorders>
            <w:shd w:val="clear" w:color="auto" w:fill="auto"/>
            <w:noWrap/>
            <w:vAlign w:val="bottom"/>
            <w:hideMark/>
          </w:tcPr>
          <w:p w14:paraId="1C9C38F1"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5</w:t>
            </w:r>
          </w:p>
        </w:tc>
        <w:tc>
          <w:tcPr>
            <w:tcW w:w="640" w:type="pct"/>
            <w:tcBorders>
              <w:top w:val="nil"/>
              <w:left w:val="nil"/>
              <w:bottom w:val="nil"/>
              <w:right w:val="nil"/>
            </w:tcBorders>
            <w:shd w:val="clear" w:color="auto" w:fill="auto"/>
            <w:noWrap/>
            <w:vAlign w:val="bottom"/>
            <w:hideMark/>
          </w:tcPr>
          <w:p w14:paraId="3041285A" w14:textId="77777777" w:rsidR="0046770C" w:rsidRPr="0046770C" w:rsidRDefault="0046770C" w:rsidP="0046770C">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73</w:t>
            </w:r>
          </w:p>
        </w:tc>
        <w:tc>
          <w:tcPr>
            <w:tcW w:w="335" w:type="pct"/>
            <w:tcBorders>
              <w:top w:val="nil"/>
              <w:left w:val="nil"/>
              <w:bottom w:val="nil"/>
              <w:right w:val="nil"/>
            </w:tcBorders>
            <w:shd w:val="clear" w:color="auto" w:fill="auto"/>
            <w:noWrap/>
            <w:vAlign w:val="bottom"/>
            <w:hideMark/>
          </w:tcPr>
          <w:p w14:paraId="4EB5E461"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15</w:t>
            </w:r>
          </w:p>
        </w:tc>
        <w:tc>
          <w:tcPr>
            <w:tcW w:w="403" w:type="pct"/>
            <w:tcBorders>
              <w:top w:val="nil"/>
              <w:left w:val="nil"/>
              <w:bottom w:val="nil"/>
              <w:right w:val="nil"/>
            </w:tcBorders>
            <w:shd w:val="clear" w:color="auto" w:fill="auto"/>
            <w:noWrap/>
            <w:vAlign w:val="bottom"/>
            <w:hideMark/>
          </w:tcPr>
          <w:p w14:paraId="3307355B"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w:t>
            </w:r>
          </w:p>
        </w:tc>
        <w:tc>
          <w:tcPr>
            <w:tcW w:w="426" w:type="pct"/>
            <w:tcBorders>
              <w:top w:val="nil"/>
              <w:left w:val="single" w:sz="4" w:space="0" w:color="999999"/>
              <w:bottom w:val="nil"/>
              <w:right w:val="single" w:sz="4" w:space="0" w:color="999999"/>
            </w:tcBorders>
            <w:shd w:val="clear" w:color="auto" w:fill="auto"/>
            <w:noWrap/>
            <w:vAlign w:val="bottom"/>
            <w:hideMark/>
          </w:tcPr>
          <w:p w14:paraId="3696AEEA" w14:textId="77777777" w:rsidR="0046770C" w:rsidRPr="0046770C" w:rsidRDefault="0046770C" w:rsidP="0046770C">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96</w:t>
            </w:r>
          </w:p>
        </w:tc>
      </w:tr>
      <w:tr w:rsidR="0046770C" w:rsidRPr="0046770C" w14:paraId="14789D7B" w14:textId="77777777" w:rsidTr="0046770C">
        <w:trPr>
          <w:trHeight w:val="288"/>
        </w:trPr>
        <w:tc>
          <w:tcPr>
            <w:tcW w:w="1947" w:type="pct"/>
            <w:tcBorders>
              <w:top w:val="nil"/>
              <w:left w:val="single" w:sz="4" w:space="0" w:color="999999"/>
              <w:bottom w:val="nil"/>
              <w:right w:val="nil"/>
            </w:tcBorders>
            <w:shd w:val="clear" w:color="000000" w:fill="FFFF00"/>
            <w:noWrap/>
            <w:vAlign w:val="bottom"/>
            <w:hideMark/>
          </w:tcPr>
          <w:p w14:paraId="01F9BA55"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Low</w:t>
            </w:r>
          </w:p>
        </w:tc>
        <w:tc>
          <w:tcPr>
            <w:tcW w:w="775" w:type="pct"/>
            <w:tcBorders>
              <w:top w:val="nil"/>
              <w:left w:val="single" w:sz="4" w:space="0" w:color="999999"/>
              <w:bottom w:val="nil"/>
              <w:right w:val="nil"/>
            </w:tcBorders>
            <w:shd w:val="clear" w:color="auto" w:fill="auto"/>
            <w:noWrap/>
            <w:vAlign w:val="bottom"/>
            <w:hideMark/>
          </w:tcPr>
          <w:p w14:paraId="646DF88A"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2</w:t>
            </w:r>
          </w:p>
        </w:tc>
        <w:tc>
          <w:tcPr>
            <w:tcW w:w="474" w:type="pct"/>
            <w:tcBorders>
              <w:top w:val="nil"/>
              <w:left w:val="nil"/>
              <w:bottom w:val="nil"/>
              <w:right w:val="nil"/>
            </w:tcBorders>
            <w:shd w:val="clear" w:color="auto" w:fill="auto"/>
            <w:noWrap/>
            <w:vAlign w:val="bottom"/>
            <w:hideMark/>
          </w:tcPr>
          <w:p w14:paraId="69E49FAC"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5</w:t>
            </w:r>
          </w:p>
        </w:tc>
        <w:tc>
          <w:tcPr>
            <w:tcW w:w="640" w:type="pct"/>
            <w:tcBorders>
              <w:top w:val="nil"/>
              <w:left w:val="nil"/>
              <w:bottom w:val="nil"/>
              <w:right w:val="nil"/>
            </w:tcBorders>
            <w:shd w:val="clear" w:color="auto" w:fill="auto"/>
            <w:noWrap/>
            <w:vAlign w:val="bottom"/>
            <w:hideMark/>
          </w:tcPr>
          <w:p w14:paraId="02CE7CA7"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30</w:t>
            </w:r>
          </w:p>
        </w:tc>
        <w:tc>
          <w:tcPr>
            <w:tcW w:w="335" w:type="pct"/>
            <w:tcBorders>
              <w:top w:val="nil"/>
              <w:left w:val="nil"/>
              <w:bottom w:val="nil"/>
              <w:right w:val="nil"/>
            </w:tcBorders>
            <w:shd w:val="clear" w:color="auto" w:fill="auto"/>
            <w:noWrap/>
            <w:vAlign w:val="bottom"/>
            <w:hideMark/>
          </w:tcPr>
          <w:p w14:paraId="4690CD1D"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4</w:t>
            </w:r>
          </w:p>
        </w:tc>
        <w:tc>
          <w:tcPr>
            <w:tcW w:w="403" w:type="pct"/>
            <w:tcBorders>
              <w:top w:val="nil"/>
              <w:left w:val="nil"/>
              <w:bottom w:val="nil"/>
              <w:right w:val="nil"/>
            </w:tcBorders>
            <w:shd w:val="clear" w:color="auto" w:fill="auto"/>
            <w:noWrap/>
            <w:vAlign w:val="bottom"/>
            <w:hideMark/>
          </w:tcPr>
          <w:p w14:paraId="3C199F17"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w:t>
            </w:r>
          </w:p>
        </w:tc>
        <w:tc>
          <w:tcPr>
            <w:tcW w:w="426" w:type="pct"/>
            <w:tcBorders>
              <w:top w:val="nil"/>
              <w:left w:val="single" w:sz="4" w:space="0" w:color="999999"/>
              <w:bottom w:val="nil"/>
              <w:right w:val="single" w:sz="4" w:space="0" w:color="999999"/>
            </w:tcBorders>
            <w:shd w:val="clear" w:color="auto" w:fill="auto"/>
            <w:noWrap/>
            <w:vAlign w:val="bottom"/>
            <w:hideMark/>
          </w:tcPr>
          <w:p w14:paraId="3DF8FFC2"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41</w:t>
            </w:r>
          </w:p>
        </w:tc>
      </w:tr>
      <w:tr w:rsidR="0046770C" w:rsidRPr="0046770C" w14:paraId="36546BF8" w14:textId="77777777" w:rsidTr="0046770C">
        <w:trPr>
          <w:trHeight w:val="288"/>
        </w:trPr>
        <w:tc>
          <w:tcPr>
            <w:tcW w:w="1947" w:type="pct"/>
            <w:tcBorders>
              <w:top w:val="nil"/>
              <w:left w:val="single" w:sz="4" w:space="0" w:color="999999"/>
              <w:bottom w:val="nil"/>
              <w:right w:val="nil"/>
            </w:tcBorders>
            <w:shd w:val="clear" w:color="000000" w:fill="92D050"/>
            <w:noWrap/>
            <w:vAlign w:val="bottom"/>
            <w:hideMark/>
          </w:tcPr>
          <w:p w14:paraId="723E2FA7"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None</w:t>
            </w:r>
          </w:p>
        </w:tc>
        <w:tc>
          <w:tcPr>
            <w:tcW w:w="775" w:type="pct"/>
            <w:tcBorders>
              <w:top w:val="nil"/>
              <w:left w:val="single" w:sz="4" w:space="0" w:color="999999"/>
              <w:bottom w:val="nil"/>
              <w:right w:val="nil"/>
            </w:tcBorders>
            <w:shd w:val="clear" w:color="auto" w:fill="auto"/>
            <w:noWrap/>
            <w:vAlign w:val="bottom"/>
            <w:hideMark/>
          </w:tcPr>
          <w:p w14:paraId="56B70DCE"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2</w:t>
            </w:r>
          </w:p>
        </w:tc>
        <w:tc>
          <w:tcPr>
            <w:tcW w:w="474" w:type="pct"/>
            <w:tcBorders>
              <w:top w:val="nil"/>
              <w:left w:val="nil"/>
              <w:bottom w:val="nil"/>
              <w:right w:val="nil"/>
            </w:tcBorders>
            <w:shd w:val="clear" w:color="auto" w:fill="auto"/>
            <w:noWrap/>
            <w:vAlign w:val="bottom"/>
            <w:hideMark/>
          </w:tcPr>
          <w:p w14:paraId="479986A8"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w:t>
            </w:r>
          </w:p>
        </w:tc>
        <w:tc>
          <w:tcPr>
            <w:tcW w:w="640" w:type="pct"/>
            <w:tcBorders>
              <w:top w:val="nil"/>
              <w:left w:val="nil"/>
              <w:bottom w:val="nil"/>
              <w:right w:val="nil"/>
            </w:tcBorders>
            <w:shd w:val="clear" w:color="auto" w:fill="auto"/>
            <w:noWrap/>
            <w:vAlign w:val="bottom"/>
            <w:hideMark/>
          </w:tcPr>
          <w:p w14:paraId="67CFA74E"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6</w:t>
            </w:r>
          </w:p>
        </w:tc>
        <w:tc>
          <w:tcPr>
            <w:tcW w:w="335" w:type="pct"/>
            <w:tcBorders>
              <w:top w:val="nil"/>
              <w:left w:val="nil"/>
              <w:bottom w:val="nil"/>
              <w:right w:val="nil"/>
            </w:tcBorders>
            <w:shd w:val="clear" w:color="auto" w:fill="auto"/>
            <w:noWrap/>
            <w:vAlign w:val="bottom"/>
            <w:hideMark/>
          </w:tcPr>
          <w:p w14:paraId="24525818"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w:t>
            </w:r>
          </w:p>
        </w:tc>
        <w:tc>
          <w:tcPr>
            <w:tcW w:w="403" w:type="pct"/>
            <w:tcBorders>
              <w:top w:val="nil"/>
              <w:left w:val="nil"/>
              <w:bottom w:val="nil"/>
              <w:right w:val="nil"/>
            </w:tcBorders>
            <w:shd w:val="clear" w:color="auto" w:fill="auto"/>
            <w:noWrap/>
            <w:vAlign w:val="bottom"/>
            <w:hideMark/>
          </w:tcPr>
          <w:p w14:paraId="060A54C2"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w:t>
            </w:r>
          </w:p>
        </w:tc>
        <w:tc>
          <w:tcPr>
            <w:tcW w:w="426" w:type="pct"/>
            <w:tcBorders>
              <w:top w:val="nil"/>
              <w:left w:val="single" w:sz="4" w:space="0" w:color="999999"/>
              <w:bottom w:val="nil"/>
              <w:right w:val="single" w:sz="4" w:space="0" w:color="999999"/>
            </w:tcBorders>
            <w:shd w:val="clear" w:color="auto" w:fill="auto"/>
            <w:noWrap/>
            <w:vAlign w:val="bottom"/>
            <w:hideMark/>
          </w:tcPr>
          <w:p w14:paraId="55624741"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10</w:t>
            </w:r>
          </w:p>
        </w:tc>
      </w:tr>
      <w:tr w:rsidR="0046770C" w:rsidRPr="0046770C" w14:paraId="28988FB4" w14:textId="77777777" w:rsidTr="0046770C">
        <w:trPr>
          <w:trHeight w:val="288"/>
        </w:trPr>
        <w:tc>
          <w:tcPr>
            <w:tcW w:w="1947" w:type="pct"/>
            <w:tcBorders>
              <w:top w:val="single" w:sz="4" w:space="0" w:color="999999"/>
              <w:left w:val="single" w:sz="4" w:space="0" w:color="999999"/>
              <w:bottom w:val="single" w:sz="4" w:space="0" w:color="999999"/>
              <w:right w:val="nil"/>
            </w:tcBorders>
            <w:shd w:val="clear" w:color="000000" w:fill="F2F2F2"/>
            <w:noWrap/>
            <w:vAlign w:val="bottom"/>
            <w:hideMark/>
          </w:tcPr>
          <w:p w14:paraId="5FBEDD63"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xml:space="preserve">Total </w:t>
            </w:r>
          </w:p>
        </w:tc>
        <w:tc>
          <w:tcPr>
            <w:tcW w:w="775" w:type="pct"/>
            <w:tcBorders>
              <w:top w:val="single" w:sz="4" w:space="0" w:color="999999"/>
              <w:left w:val="single" w:sz="4" w:space="0" w:color="999999"/>
              <w:bottom w:val="single" w:sz="4" w:space="0" w:color="999999"/>
              <w:right w:val="nil"/>
            </w:tcBorders>
            <w:shd w:val="clear" w:color="auto" w:fill="auto"/>
            <w:noWrap/>
            <w:vAlign w:val="bottom"/>
            <w:hideMark/>
          </w:tcPr>
          <w:p w14:paraId="38400611"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21</w:t>
            </w:r>
          </w:p>
        </w:tc>
        <w:tc>
          <w:tcPr>
            <w:tcW w:w="474" w:type="pct"/>
            <w:tcBorders>
              <w:top w:val="single" w:sz="4" w:space="0" w:color="999999"/>
              <w:left w:val="nil"/>
              <w:bottom w:val="single" w:sz="4" w:space="0" w:color="999999"/>
              <w:right w:val="nil"/>
            </w:tcBorders>
            <w:shd w:val="clear" w:color="auto" w:fill="auto"/>
            <w:noWrap/>
            <w:vAlign w:val="bottom"/>
            <w:hideMark/>
          </w:tcPr>
          <w:p w14:paraId="0B35919F"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26</w:t>
            </w:r>
          </w:p>
        </w:tc>
        <w:tc>
          <w:tcPr>
            <w:tcW w:w="640" w:type="pct"/>
            <w:tcBorders>
              <w:top w:val="single" w:sz="4" w:space="0" w:color="999999"/>
              <w:left w:val="nil"/>
              <w:bottom w:val="single" w:sz="4" w:space="0" w:color="999999"/>
              <w:right w:val="nil"/>
            </w:tcBorders>
            <w:shd w:val="clear" w:color="auto" w:fill="auto"/>
            <w:noWrap/>
            <w:vAlign w:val="bottom"/>
            <w:hideMark/>
          </w:tcPr>
          <w:p w14:paraId="21203344" w14:textId="77777777" w:rsidR="0046770C" w:rsidRPr="0046770C" w:rsidRDefault="0046770C" w:rsidP="0046770C">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130</w:t>
            </w:r>
          </w:p>
        </w:tc>
        <w:tc>
          <w:tcPr>
            <w:tcW w:w="335" w:type="pct"/>
            <w:tcBorders>
              <w:top w:val="single" w:sz="4" w:space="0" w:color="999999"/>
              <w:left w:val="nil"/>
              <w:bottom w:val="single" w:sz="4" w:space="0" w:color="999999"/>
              <w:right w:val="nil"/>
            </w:tcBorders>
            <w:shd w:val="clear" w:color="auto" w:fill="auto"/>
            <w:noWrap/>
            <w:vAlign w:val="bottom"/>
            <w:hideMark/>
          </w:tcPr>
          <w:p w14:paraId="6B5B7B83"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21</w:t>
            </w:r>
          </w:p>
        </w:tc>
        <w:tc>
          <w:tcPr>
            <w:tcW w:w="403" w:type="pct"/>
            <w:tcBorders>
              <w:top w:val="single" w:sz="4" w:space="0" w:color="999999"/>
              <w:left w:val="nil"/>
              <w:bottom w:val="single" w:sz="4" w:space="0" w:color="999999"/>
              <w:right w:val="nil"/>
            </w:tcBorders>
            <w:shd w:val="clear" w:color="auto" w:fill="auto"/>
            <w:noWrap/>
            <w:vAlign w:val="bottom"/>
            <w:hideMark/>
          </w:tcPr>
          <w:p w14:paraId="2F9E3931"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w:t>
            </w:r>
          </w:p>
        </w:tc>
        <w:tc>
          <w:tcPr>
            <w:tcW w:w="426" w:type="pct"/>
            <w:tcBorders>
              <w:top w:val="single" w:sz="4" w:space="0" w:color="999999"/>
              <w:left w:val="single" w:sz="4" w:space="0" w:color="999999"/>
              <w:bottom w:val="single" w:sz="4" w:space="0" w:color="999999"/>
              <w:right w:val="single" w:sz="4" w:space="0" w:color="999999"/>
            </w:tcBorders>
            <w:shd w:val="clear" w:color="000000" w:fill="F2F2F2"/>
            <w:noWrap/>
            <w:vAlign w:val="bottom"/>
            <w:hideMark/>
          </w:tcPr>
          <w:p w14:paraId="6404D627" w14:textId="77777777" w:rsidR="0046770C" w:rsidRPr="0046770C" w:rsidRDefault="0046770C" w:rsidP="0046770C">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199</w:t>
            </w:r>
          </w:p>
        </w:tc>
      </w:tr>
    </w:tbl>
    <w:p w14:paraId="7FCDB7B1" w14:textId="77777777" w:rsidR="0046770C" w:rsidRPr="0046770C" w:rsidRDefault="0046770C" w:rsidP="0086422F">
      <w:pPr>
        <w:jc w:val="both"/>
        <w:rPr>
          <w:rFonts w:ascii="Arial" w:hAnsi="Arial" w:cs="Arial"/>
          <w:color w:val="000000" w:themeColor="text1"/>
          <w:sz w:val="24"/>
          <w:szCs w:val="24"/>
        </w:rPr>
      </w:pPr>
    </w:p>
    <w:p w14:paraId="120CF033" w14:textId="77777777" w:rsidR="00331977" w:rsidRDefault="0086422F" w:rsidP="0086422F">
      <w:pPr>
        <w:jc w:val="both"/>
        <w:rPr>
          <w:rFonts w:ascii="Arial" w:hAnsi="Arial" w:cs="Arial"/>
          <w:sz w:val="24"/>
          <w:szCs w:val="24"/>
        </w:rPr>
      </w:pPr>
      <w:r w:rsidRPr="0086422F">
        <w:rPr>
          <w:rFonts w:ascii="Arial" w:hAnsi="Arial" w:cs="Arial"/>
          <w:sz w:val="24"/>
          <w:szCs w:val="24"/>
        </w:rPr>
        <w:t xml:space="preserve">During the reporting period, </w:t>
      </w:r>
      <w:r w:rsidR="0046770C">
        <w:rPr>
          <w:rFonts w:ascii="Arial" w:hAnsi="Arial" w:cs="Arial"/>
          <w:sz w:val="24"/>
          <w:szCs w:val="24"/>
        </w:rPr>
        <w:t>Datix Cymru is reporting as showing 37</w:t>
      </w:r>
      <w:r w:rsidRPr="0086422F">
        <w:rPr>
          <w:rFonts w:ascii="Arial" w:hAnsi="Arial" w:cs="Arial"/>
          <w:sz w:val="24"/>
          <w:szCs w:val="24"/>
        </w:rPr>
        <w:t xml:space="preserve"> patient safety incidents graded</w:t>
      </w:r>
      <w:r w:rsidR="0046770C">
        <w:rPr>
          <w:rFonts w:ascii="Arial" w:hAnsi="Arial" w:cs="Arial"/>
          <w:sz w:val="24"/>
          <w:szCs w:val="24"/>
        </w:rPr>
        <w:t xml:space="preserve"> by the reporter</w:t>
      </w:r>
      <w:r w:rsidRPr="0086422F">
        <w:rPr>
          <w:rFonts w:ascii="Arial" w:hAnsi="Arial" w:cs="Arial"/>
          <w:sz w:val="24"/>
          <w:szCs w:val="24"/>
        </w:rPr>
        <w:t xml:space="preserve"> as no or low harm which, following </w:t>
      </w:r>
      <w:r w:rsidR="0046770C">
        <w:rPr>
          <w:rFonts w:ascii="Arial" w:hAnsi="Arial" w:cs="Arial"/>
          <w:sz w:val="24"/>
          <w:szCs w:val="24"/>
        </w:rPr>
        <w:t>‘</w:t>
      </w:r>
      <w:r w:rsidRPr="0086422F">
        <w:rPr>
          <w:rFonts w:ascii="Arial" w:hAnsi="Arial" w:cs="Arial"/>
          <w:sz w:val="24"/>
          <w:szCs w:val="24"/>
        </w:rPr>
        <w:t>Manager’s Interim Harm Assessment</w:t>
      </w:r>
      <w:r w:rsidR="0046770C">
        <w:rPr>
          <w:rFonts w:ascii="Arial" w:hAnsi="Arial" w:cs="Arial"/>
          <w:sz w:val="24"/>
          <w:szCs w:val="24"/>
        </w:rPr>
        <w:t>’,</w:t>
      </w:r>
      <w:r w:rsidRPr="0086422F">
        <w:rPr>
          <w:rFonts w:ascii="Arial" w:hAnsi="Arial" w:cs="Arial"/>
          <w:sz w:val="24"/>
          <w:szCs w:val="24"/>
        </w:rPr>
        <w:t xml:space="preserve"> were re-graded as moderate harm or above.  </w:t>
      </w:r>
    </w:p>
    <w:p w14:paraId="1567816A" w14:textId="366528F9" w:rsidR="0086422F" w:rsidRPr="0086422F" w:rsidRDefault="0086422F" w:rsidP="0086422F">
      <w:pPr>
        <w:jc w:val="both"/>
        <w:rPr>
          <w:rFonts w:ascii="Arial" w:hAnsi="Arial" w:cs="Arial"/>
          <w:color w:val="000000" w:themeColor="text1"/>
          <w:sz w:val="24"/>
          <w:szCs w:val="24"/>
        </w:rPr>
      </w:pPr>
      <w:r w:rsidRPr="0086422F">
        <w:rPr>
          <w:rFonts w:ascii="Arial" w:hAnsi="Arial" w:cs="Arial"/>
          <w:color w:val="000000" w:themeColor="text1"/>
          <w:sz w:val="24"/>
          <w:szCs w:val="24"/>
        </w:rPr>
        <w:t xml:space="preserve">This data suggests further work is required to ensure staff are aware of the classification of harm </w:t>
      </w:r>
      <w:r w:rsidR="00AA2B78">
        <w:rPr>
          <w:rFonts w:ascii="Arial" w:hAnsi="Arial" w:cs="Arial"/>
          <w:color w:val="000000" w:themeColor="text1"/>
          <w:sz w:val="24"/>
          <w:szCs w:val="24"/>
        </w:rPr>
        <w:t xml:space="preserve">to be record when reporting an incident.  </w:t>
      </w:r>
      <w:r w:rsidRPr="0086422F">
        <w:rPr>
          <w:rFonts w:ascii="Arial" w:hAnsi="Arial" w:cs="Arial"/>
          <w:color w:val="000000" w:themeColor="text1"/>
          <w:sz w:val="24"/>
          <w:szCs w:val="24"/>
        </w:rPr>
        <w:t xml:space="preserve">  </w:t>
      </w:r>
    </w:p>
    <w:p w14:paraId="3EDC6B6B" w14:textId="77777777" w:rsidR="0086422F" w:rsidRPr="0086422F" w:rsidRDefault="0086422F" w:rsidP="0086422F">
      <w:pPr>
        <w:pStyle w:val="ListParagraph"/>
        <w:numPr>
          <w:ilvl w:val="0"/>
          <w:numId w:val="20"/>
        </w:numPr>
        <w:jc w:val="both"/>
        <w:rPr>
          <w:rFonts w:ascii="Arial" w:hAnsi="Arial" w:cs="Arial"/>
          <w:b/>
          <w:color w:val="000000" w:themeColor="text1"/>
          <w:sz w:val="24"/>
          <w:szCs w:val="24"/>
        </w:rPr>
      </w:pPr>
      <w:r w:rsidRPr="0086422F">
        <w:rPr>
          <w:rFonts w:ascii="Arial" w:hAnsi="Arial" w:cs="Arial"/>
          <w:b/>
          <w:color w:val="000000" w:themeColor="text1"/>
          <w:sz w:val="24"/>
          <w:szCs w:val="24"/>
        </w:rPr>
        <w:t>Duty of Candour Triggered</w:t>
      </w:r>
    </w:p>
    <w:p w14:paraId="2911AC48" w14:textId="77777777" w:rsidR="0086422F" w:rsidRPr="0046770C" w:rsidRDefault="0086422F" w:rsidP="0086422F">
      <w:pPr>
        <w:jc w:val="both"/>
        <w:rPr>
          <w:rFonts w:ascii="Arial" w:hAnsi="Arial" w:cs="Arial"/>
          <w:sz w:val="24"/>
          <w:szCs w:val="24"/>
        </w:rPr>
      </w:pPr>
      <w:r w:rsidRPr="0086422F">
        <w:rPr>
          <w:rFonts w:ascii="Arial" w:hAnsi="Arial" w:cs="Arial"/>
          <w:color w:val="000000" w:themeColor="text1"/>
          <w:sz w:val="24"/>
          <w:szCs w:val="24"/>
        </w:rPr>
        <w:t>Since 1</w:t>
      </w:r>
      <w:r w:rsidRPr="0086422F">
        <w:rPr>
          <w:rFonts w:ascii="Arial" w:hAnsi="Arial" w:cs="Arial"/>
          <w:color w:val="000000" w:themeColor="text1"/>
          <w:sz w:val="24"/>
          <w:szCs w:val="24"/>
          <w:vertAlign w:val="superscript"/>
        </w:rPr>
        <w:t>st</w:t>
      </w:r>
      <w:r w:rsidRPr="0086422F">
        <w:rPr>
          <w:rFonts w:ascii="Arial" w:hAnsi="Arial" w:cs="Arial"/>
          <w:color w:val="000000" w:themeColor="text1"/>
          <w:sz w:val="24"/>
          <w:szCs w:val="24"/>
        </w:rPr>
        <w:t xml:space="preserve"> April 2023, the Duty of C</w:t>
      </w:r>
      <w:r w:rsidR="0046770C">
        <w:rPr>
          <w:rFonts w:ascii="Arial" w:hAnsi="Arial" w:cs="Arial"/>
          <w:color w:val="000000" w:themeColor="text1"/>
          <w:sz w:val="24"/>
          <w:szCs w:val="24"/>
        </w:rPr>
        <w:t>andour has been triggered in 199</w:t>
      </w:r>
      <w:r w:rsidRPr="0086422F">
        <w:rPr>
          <w:rFonts w:ascii="Arial" w:hAnsi="Arial" w:cs="Arial"/>
          <w:color w:val="000000" w:themeColor="text1"/>
          <w:sz w:val="24"/>
          <w:szCs w:val="24"/>
        </w:rPr>
        <w:t xml:space="preserve"> patient safety incidents.  A total of </w:t>
      </w:r>
      <w:r w:rsidR="0046770C" w:rsidRPr="0046770C">
        <w:rPr>
          <w:rFonts w:ascii="Arial" w:hAnsi="Arial" w:cs="Arial"/>
          <w:sz w:val="24"/>
          <w:szCs w:val="24"/>
        </w:rPr>
        <w:t>20,805</w:t>
      </w:r>
      <w:r w:rsidRPr="0046770C">
        <w:rPr>
          <w:rFonts w:ascii="Arial" w:hAnsi="Arial" w:cs="Arial"/>
          <w:sz w:val="24"/>
          <w:szCs w:val="24"/>
        </w:rPr>
        <w:t xml:space="preserve"> </w:t>
      </w:r>
      <w:r w:rsidRPr="0086422F">
        <w:rPr>
          <w:rFonts w:ascii="Arial" w:hAnsi="Arial" w:cs="Arial"/>
          <w:sz w:val="24"/>
          <w:szCs w:val="24"/>
        </w:rPr>
        <w:t>patient safety incident</w:t>
      </w:r>
      <w:r w:rsidR="0046770C">
        <w:rPr>
          <w:rFonts w:ascii="Arial" w:hAnsi="Arial" w:cs="Arial"/>
          <w:sz w:val="24"/>
          <w:szCs w:val="24"/>
        </w:rPr>
        <w:t>s were</w:t>
      </w:r>
      <w:r w:rsidRPr="0086422F">
        <w:rPr>
          <w:rFonts w:ascii="Arial" w:hAnsi="Arial" w:cs="Arial"/>
          <w:sz w:val="24"/>
          <w:szCs w:val="24"/>
        </w:rPr>
        <w:t xml:space="preserve"> reported in the reporting period, ie, </w:t>
      </w:r>
      <w:r w:rsidR="0046770C" w:rsidRPr="0046770C">
        <w:rPr>
          <w:rFonts w:ascii="Arial" w:hAnsi="Arial" w:cs="Arial"/>
          <w:sz w:val="24"/>
          <w:szCs w:val="24"/>
        </w:rPr>
        <w:t>almost 1</w:t>
      </w:r>
      <w:r w:rsidRPr="0046770C">
        <w:rPr>
          <w:rFonts w:ascii="Arial" w:hAnsi="Arial" w:cs="Arial"/>
          <w:sz w:val="24"/>
          <w:szCs w:val="24"/>
        </w:rPr>
        <w:t xml:space="preserve">% </w:t>
      </w:r>
      <w:r w:rsidR="0046770C" w:rsidRPr="0046770C">
        <w:rPr>
          <w:rFonts w:ascii="Arial" w:hAnsi="Arial" w:cs="Arial"/>
          <w:sz w:val="24"/>
          <w:szCs w:val="24"/>
        </w:rPr>
        <w:t xml:space="preserve">of patient safety incidents reported did trigger the Duty of Candour.  </w:t>
      </w:r>
    </w:p>
    <w:p w14:paraId="260B19C7" w14:textId="61E19A18" w:rsidR="0086422F" w:rsidRDefault="0086422F" w:rsidP="0086422F">
      <w:pPr>
        <w:jc w:val="both"/>
        <w:rPr>
          <w:rFonts w:ascii="Arial" w:hAnsi="Arial" w:cs="Arial"/>
          <w:sz w:val="24"/>
          <w:szCs w:val="24"/>
        </w:rPr>
      </w:pPr>
      <w:r w:rsidRPr="0086422F">
        <w:rPr>
          <w:rFonts w:ascii="Arial" w:hAnsi="Arial" w:cs="Arial"/>
          <w:sz w:val="24"/>
          <w:szCs w:val="24"/>
        </w:rPr>
        <w:t>Of the 19</w:t>
      </w:r>
      <w:r w:rsidR="0046770C">
        <w:rPr>
          <w:rFonts w:ascii="Arial" w:hAnsi="Arial" w:cs="Arial"/>
          <w:sz w:val="24"/>
          <w:szCs w:val="24"/>
        </w:rPr>
        <w:t>9</w:t>
      </w:r>
      <w:r w:rsidRPr="0086422F">
        <w:rPr>
          <w:rFonts w:ascii="Arial" w:hAnsi="Arial" w:cs="Arial"/>
          <w:sz w:val="24"/>
          <w:szCs w:val="24"/>
        </w:rPr>
        <w:t xml:space="preserve"> patient safety incid</w:t>
      </w:r>
      <w:r w:rsidR="0046770C">
        <w:rPr>
          <w:rFonts w:ascii="Arial" w:hAnsi="Arial" w:cs="Arial"/>
          <w:sz w:val="24"/>
          <w:szCs w:val="24"/>
        </w:rPr>
        <w:t>ents which triggered the Duty, 72</w:t>
      </w:r>
      <w:r w:rsidRPr="0086422F">
        <w:rPr>
          <w:rFonts w:ascii="Arial" w:hAnsi="Arial" w:cs="Arial"/>
          <w:sz w:val="24"/>
          <w:szCs w:val="24"/>
        </w:rPr>
        <w:t xml:space="preserve"> incidents have </w:t>
      </w:r>
      <w:r w:rsidR="0046770C">
        <w:rPr>
          <w:rFonts w:ascii="Arial" w:hAnsi="Arial" w:cs="Arial"/>
          <w:sz w:val="24"/>
          <w:szCs w:val="24"/>
        </w:rPr>
        <w:t xml:space="preserve">been closed.  </w:t>
      </w:r>
      <w:r>
        <w:rPr>
          <w:rFonts w:ascii="Arial" w:hAnsi="Arial" w:cs="Arial"/>
          <w:sz w:val="24"/>
          <w:szCs w:val="24"/>
        </w:rPr>
        <w:t xml:space="preserve">Post investigation harm assessment shows that </w:t>
      </w:r>
      <w:r w:rsidR="0046770C">
        <w:rPr>
          <w:rFonts w:ascii="Arial" w:hAnsi="Arial" w:cs="Arial"/>
          <w:sz w:val="24"/>
          <w:szCs w:val="24"/>
        </w:rPr>
        <w:t>31 (15.5</w:t>
      </w:r>
      <w:r>
        <w:rPr>
          <w:rFonts w:ascii="Arial" w:hAnsi="Arial" w:cs="Arial"/>
          <w:sz w:val="24"/>
          <w:szCs w:val="24"/>
        </w:rPr>
        <w:t>%</w:t>
      </w:r>
      <w:r w:rsidR="0046770C">
        <w:rPr>
          <w:rFonts w:ascii="Arial" w:hAnsi="Arial" w:cs="Arial"/>
          <w:sz w:val="24"/>
          <w:szCs w:val="24"/>
        </w:rPr>
        <w:t>)</w:t>
      </w:r>
      <w:r>
        <w:rPr>
          <w:rFonts w:ascii="Arial" w:hAnsi="Arial" w:cs="Arial"/>
          <w:sz w:val="24"/>
          <w:szCs w:val="24"/>
        </w:rPr>
        <w:t xml:space="preserve"> of patient safety incidents reported did not cause moderate </w:t>
      </w:r>
      <w:r w:rsidR="0046770C">
        <w:rPr>
          <w:rFonts w:ascii="Arial" w:hAnsi="Arial" w:cs="Arial"/>
          <w:sz w:val="24"/>
          <w:szCs w:val="24"/>
        </w:rPr>
        <w:t xml:space="preserve">harm </w:t>
      </w:r>
      <w:r>
        <w:rPr>
          <w:rFonts w:ascii="Arial" w:hAnsi="Arial" w:cs="Arial"/>
          <w:sz w:val="24"/>
          <w:szCs w:val="24"/>
        </w:rPr>
        <w:t>or above</w:t>
      </w:r>
      <w:r w:rsidR="0046770C">
        <w:rPr>
          <w:rFonts w:ascii="Arial" w:hAnsi="Arial" w:cs="Arial"/>
          <w:sz w:val="24"/>
          <w:szCs w:val="24"/>
        </w:rPr>
        <w:t xml:space="preserve"> </w:t>
      </w:r>
      <w:r>
        <w:rPr>
          <w:rFonts w:ascii="Arial" w:hAnsi="Arial" w:cs="Arial"/>
          <w:sz w:val="24"/>
          <w:szCs w:val="24"/>
        </w:rPr>
        <w:t>as a result of healthcare</w:t>
      </w:r>
      <w:r w:rsidR="00AA2B78">
        <w:rPr>
          <w:rFonts w:ascii="Arial" w:hAnsi="Arial" w:cs="Arial"/>
          <w:sz w:val="24"/>
          <w:szCs w:val="24"/>
        </w:rPr>
        <w:t>.</w:t>
      </w:r>
    </w:p>
    <w:p w14:paraId="12E8B60C" w14:textId="77777777" w:rsidR="0086422F" w:rsidRDefault="0086422F" w:rsidP="0086422F">
      <w:pPr>
        <w:jc w:val="both"/>
        <w:rPr>
          <w:rFonts w:ascii="Arial" w:hAnsi="Arial" w:cs="Arial"/>
          <w:b/>
          <w:i/>
          <w:color w:val="000000" w:themeColor="text1"/>
          <w:sz w:val="24"/>
          <w:szCs w:val="24"/>
        </w:rPr>
      </w:pPr>
      <w:r w:rsidRPr="0086422F">
        <w:rPr>
          <w:rFonts w:ascii="Arial" w:hAnsi="Arial" w:cs="Arial"/>
          <w:b/>
          <w:i/>
          <w:color w:val="000000" w:themeColor="text1"/>
          <w:sz w:val="24"/>
          <w:szCs w:val="24"/>
        </w:rPr>
        <w:t xml:space="preserve">**Patient safety incidents </w:t>
      </w:r>
      <w:r>
        <w:rPr>
          <w:rFonts w:ascii="Arial" w:hAnsi="Arial" w:cs="Arial"/>
          <w:b/>
          <w:i/>
          <w:color w:val="000000" w:themeColor="text1"/>
          <w:sz w:val="24"/>
          <w:szCs w:val="24"/>
        </w:rPr>
        <w:t>triggering the Duty of Candour and closed</w:t>
      </w:r>
      <w:r w:rsidRPr="0086422F">
        <w:rPr>
          <w:rFonts w:ascii="Arial" w:hAnsi="Arial" w:cs="Arial"/>
          <w:b/>
          <w:i/>
          <w:color w:val="000000" w:themeColor="text1"/>
          <w:sz w:val="24"/>
          <w:szCs w:val="24"/>
        </w:rPr>
        <w:t xml:space="preserve"> 01.04.23-</w:t>
      </w:r>
      <w:r>
        <w:rPr>
          <w:rFonts w:ascii="Arial" w:hAnsi="Arial" w:cs="Arial"/>
          <w:b/>
          <w:i/>
          <w:color w:val="000000" w:themeColor="text1"/>
          <w:sz w:val="24"/>
          <w:szCs w:val="24"/>
        </w:rPr>
        <w:t>31.03.24</w:t>
      </w:r>
    </w:p>
    <w:tbl>
      <w:tblPr>
        <w:tblW w:w="5000" w:type="pct"/>
        <w:tblLook w:val="04A0" w:firstRow="1" w:lastRow="0" w:firstColumn="1" w:lastColumn="0" w:noHBand="0" w:noVBand="1"/>
      </w:tblPr>
      <w:tblGrid>
        <w:gridCol w:w="6791"/>
        <w:gridCol w:w="2225"/>
      </w:tblGrid>
      <w:tr w:rsidR="0046770C" w:rsidRPr="0046770C" w14:paraId="6A833341" w14:textId="77777777" w:rsidTr="0046770C">
        <w:trPr>
          <w:trHeight w:val="288"/>
        </w:trPr>
        <w:tc>
          <w:tcPr>
            <w:tcW w:w="3766" w:type="pct"/>
            <w:tcBorders>
              <w:top w:val="single" w:sz="4" w:space="0" w:color="999999"/>
              <w:left w:val="single" w:sz="4" w:space="0" w:color="999999"/>
              <w:bottom w:val="nil"/>
              <w:right w:val="nil"/>
            </w:tcBorders>
            <w:shd w:val="clear" w:color="000000" w:fill="F2F2F2"/>
            <w:noWrap/>
            <w:vAlign w:val="bottom"/>
            <w:hideMark/>
          </w:tcPr>
          <w:p w14:paraId="049C9A2B" w14:textId="77777777" w:rsidR="0046770C" w:rsidRPr="0046770C" w:rsidRDefault="0046770C">
            <w:pPr>
              <w:rPr>
                <w:rFonts w:ascii="Calibri" w:eastAsia="Times New Roman" w:hAnsi="Calibri" w:cs="Calibri"/>
                <w:color w:val="000000"/>
                <w:lang w:eastAsia="en-GB"/>
              </w:rPr>
            </w:pPr>
            <w:r w:rsidRPr="0046770C">
              <w:rPr>
                <w:rFonts w:ascii="Calibri" w:eastAsia="Times New Roman" w:hAnsi="Calibri" w:cs="Calibri"/>
                <w:color w:val="000000"/>
                <w:lang w:eastAsia="en-GB"/>
              </w:rPr>
              <w:t xml:space="preserve">Post Investigation Harm Assessment </w:t>
            </w:r>
          </w:p>
        </w:tc>
        <w:tc>
          <w:tcPr>
            <w:tcW w:w="1234" w:type="pct"/>
            <w:tcBorders>
              <w:top w:val="single" w:sz="4" w:space="0" w:color="999999"/>
              <w:left w:val="single" w:sz="4" w:space="0" w:color="999999"/>
              <w:bottom w:val="nil"/>
              <w:right w:val="single" w:sz="4" w:space="0" w:color="999999"/>
            </w:tcBorders>
            <w:shd w:val="clear" w:color="000000" w:fill="F2F2F2"/>
            <w:noWrap/>
            <w:vAlign w:val="bottom"/>
            <w:hideMark/>
          </w:tcPr>
          <w:p w14:paraId="06D312C1"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Total</w:t>
            </w:r>
          </w:p>
        </w:tc>
      </w:tr>
      <w:tr w:rsidR="0046770C" w:rsidRPr="0046770C" w14:paraId="68246DB4" w14:textId="77777777" w:rsidTr="0046770C">
        <w:trPr>
          <w:trHeight w:val="288"/>
        </w:trPr>
        <w:tc>
          <w:tcPr>
            <w:tcW w:w="3766" w:type="pct"/>
            <w:tcBorders>
              <w:top w:val="single" w:sz="4" w:space="0" w:color="999999"/>
              <w:left w:val="single" w:sz="4" w:space="0" w:color="999999"/>
              <w:bottom w:val="nil"/>
              <w:right w:val="nil"/>
            </w:tcBorders>
            <w:shd w:val="clear" w:color="000000" w:fill="FF0000"/>
            <w:noWrap/>
            <w:vAlign w:val="bottom"/>
            <w:hideMark/>
          </w:tcPr>
          <w:p w14:paraId="465226D8"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Catastrophic / Death</w:t>
            </w:r>
          </w:p>
        </w:tc>
        <w:tc>
          <w:tcPr>
            <w:tcW w:w="1234" w:type="pct"/>
            <w:tcBorders>
              <w:top w:val="single" w:sz="4" w:space="0" w:color="999999"/>
              <w:left w:val="single" w:sz="4" w:space="0" w:color="999999"/>
              <w:bottom w:val="nil"/>
              <w:right w:val="single" w:sz="4" w:space="0" w:color="999999"/>
            </w:tcBorders>
            <w:shd w:val="clear" w:color="auto" w:fill="auto"/>
            <w:noWrap/>
            <w:vAlign w:val="bottom"/>
            <w:hideMark/>
          </w:tcPr>
          <w:p w14:paraId="58A90B54"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1</w:t>
            </w:r>
          </w:p>
        </w:tc>
      </w:tr>
      <w:tr w:rsidR="0046770C" w:rsidRPr="0046770C" w14:paraId="19549BEB" w14:textId="77777777" w:rsidTr="0046770C">
        <w:trPr>
          <w:trHeight w:val="288"/>
        </w:trPr>
        <w:tc>
          <w:tcPr>
            <w:tcW w:w="3766" w:type="pct"/>
            <w:tcBorders>
              <w:top w:val="nil"/>
              <w:left w:val="single" w:sz="4" w:space="0" w:color="999999"/>
              <w:bottom w:val="nil"/>
              <w:right w:val="nil"/>
            </w:tcBorders>
            <w:shd w:val="clear" w:color="000000" w:fill="FF0000"/>
            <w:noWrap/>
            <w:vAlign w:val="bottom"/>
            <w:hideMark/>
          </w:tcPr>
          <w:p w14:paraId="58918A93"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Severe</w:t>
            </w:r>
          </w:p>
        </w:tc>
        <w:tc>
          <w:tcPr>
            <w:tcW w:w="1234" w:type="pct"/>
            <w:tcBorders>
              <w:top w:val="nil"/>
              <w:left w:val="single" w:sz="4" w:space="0" w:color="999999"/>
              <w:bottom w:val="nil"/>
              <w:right w:val="single" w:sz="4" w:space="0" w:color="999999"/>
            </w:tcBorders>
            <w:shd w:val="clear" w:color="auto" w:fill="auto"/>
            <w:noWrap/>
            <w:vAlign w:val="bottom"/>
            <w:hideMark/>
          </w:tcPr>
          <w:p w14:paraId="627E10BA"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6</w:t>
            </w:r>
          </w:p>
        </w:tc>
      </w:tr>
      <w:tr w:rsidR="0046770C" w:rsidRPr="0046770C" w14:paraId="3C5A54BC" w14:textId="77777777" w:rsidTr="0046770C">
        <w:trPr>
          <w:trHeight w:val="288"/>
        </w:trPr>
        <w:tc>
          <w:tcPr>
            <w:tcW w:w="3766" w:type="pct"/>
            <w:tcBorders>
              <w:top w:val="nil"/>
              <w:left w:val="single" w:sz="4" w:space="0" w:color="999999"/>
              <w:bottom w:val="nil"/>
              <w:right w:val="nil"/>
            </w:tcBorders>
            <w:shd w:val="clear" w:color="000000" w:fill="FFC000"/>
            <w:noWrap/>
            <w:vAlign w:val="bottom"/>
            <w:hideMark/>
          </w:tcPr>
          <w:p w14:paraId="5DEE52DF"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Moderate</w:t>
            </w:r>
          </w:p>
        </w:tc>
        <w:tc>
          <w:tcPr>
            <w:tcW w:w="1234" w:type="pct"/>
            <w:tcBorders>
              <w:top w:val="nil"/>
              <w:left w:val="single" w:sz="4" w:space="0" w:color="999999"/>
              <w:bottom w:val="nil"/>
              <w:right w:val="single" w:sz="4" w:space="0" w:color="999999"/>
            </w:tcBorders>
            <w:shd w:val="clear" w:color="auto" w:fill="auto"/>
            <w:noWrap/>
            <w:vAlign w:val="bottom"/>
            <w:hideMark/>
          </w:tcPr>
          <w:p w14:paraId="1AEE2050"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34</w:t>
            </w:r>
          </w:p>
        </w:tc>
      </w:tr>
      <w:tr w:rsidR="0046770C" w:rsidRPr="0046770C" w14:paraId="254C29BA" w14:textId="77777777" w:rsidTr="0046770C">
        <w:trPr>
          <w:trHeight w:val="288"/>
        </w:trPr>
        <w:tc>
          <w:tcPr>
            <w:tcW w:w="3766" w:type="pct"/>
            <w:tcBorders>
              <w:top w:val="nil"/>
              <w:left w:val="single" w:sz="4" w:space="0" w:color="999999"/>
              <w:bottom w:val="nil"/>
              <w:right w:val="nil"/>
            </w:tcBorders>
            <w:shd w:val="clear" w:color="000000" w:fill="FFFF00"/>
            <w:noWrap/>
            <w:vAlign w:val="bottom"/>
            <w:hideMark/>
          </w:tcPr>
          <w:p w14:paraId="7071888F"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Low</w:t>
            </w:r>
          </w:p>
        </w:tc>
        <w:tc>
          <w:tcPr>
            <w:tcW w:w="1234" w:type="pct"/>
            <w:tcBorders>
              <w:top w:val="nil"/>
              <w:left w:val="single" w:sz="4" w:space="0" w:color="999999"/>
              <w:bottom w:val="nil"/>
              <w:right w:val="single" w:sz="4" w:space="0" w:color="999999"/>
            </w:tcBorders>
            <w:shd w:val="clear" w:color="auto" w:fill="auto"/>
            <w:noWrap/>
            <w:vAlign w:val="bottom"/>
            <w:hideMark/>
          </w:tcPr>
          <w:p w14:paraId="4E90D51A"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24</w:t>
            </w:r>
          </w:p>
        </w:tc>
      </w:tr>
      <w:tr w:rsidR="0046770C" w:rsidRPr="0046770C" w14:paraId="319D5EA7" w14:textId="77777777" w:rsidTr="0046770C">
        <w:trPr>
          <w:trHeight w:val="288"/>
        </w:trPr>
        <w:tc>
          <w:tcPr>
            <w:tcW w:w="3766" w:type="pct"/>
            <w:tcBorders>
              <w:top w:val="nil"/>
              <w:left w:val="single" w:sz="4" w:space="0" w:color="999999"/>
              <w:bottom w:val="nil"/>
              <w:right w:val="nil"/>
            </w:tcBorders>
            <w:shd w:val="clear" w:color="000000" w:fill="92D050"/>
            <w:noWrap/>
            <w:vAlign w:val="bottom"/>
            <w:hideMark/>
          </w:tcPr>
          <w:p w14:paraId="75E991E5"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None</w:t>
            </w:r>
          </w:p>
        </w:tc>
        <w:tc>
          <w:tcPr>
            <w:tcW w:w="1234" w:type="pct"/>
            <w:tcBorders>
              <w:top w:val="nil"/>
              <w:left w:val="single" w:sz="4" w:space="0" w:color="999999"/>
              <w:bottom w:val="nil"/>
              <w:right w:val="single" w:sz="4" w:space="0" w:color="999999"/>
            </w:tcBorders>
            <w:shd w:val="clear" w:color="auto" w:fill="auto"/>
            <w:noWrap/>
            <w:vAlign w:val="bottom"/>
            <w:hideMark/>
          </w:tcPr>
          <w:p w14:paraId="1C8EE96B"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7</w:t>
            </w:r>
          </w:p>
        </w:tc>
      </w:tr>
      <w:tr w:rsidR="0046770C" w:rsidRPr="0046770C" w14:paraId="33ED631D" w14:textId="77777777" w:rsidTr="0046770C">
        <w:trPr>
          <w:trHeight w:val="288"/>
        </w:trPr>
        <w:tc>
          <w:tcPr>
            <w:tcW w:w="3766" w:type="pct"/>
            <w:tcBorders>
              <w:top w:val="single" w:sz="4" w:space="0" w:color="999999"/>
              <w:left w:val="single" w:sz="4" w:space="0" w:color="999999"/>
              <w:bottom w:val="single" w:sz="4" w:space="0" w:color="999999"/>
              <w:right w:val="nil"/>
            </w:tcBorders>
            <w:shd w:val="clear" w:color="000000" w:fill="F2F2F2"/>
            <w:noWrap/>
            <w:vAlign w:val="bottom"/>
            <w:hideMark/>
          </w:tcPr>
          <w:p w14:paraId="7D44E9A8" w14:textId="77777777" w:rsidR="0046770C" w:rsidRPr="0046770C" w:rsidRDefault="0046770C" w:rsidP="0046770C">
            <w:pPr>
              <w:spacing w:after="0" w:line="240" w:lineRule="auto"/>
              <w:rPr>
                <w:rFonts w:ascii="Calibri" w:eastAsia="Times New Roman" w:hAnsi="Calibri" w:cs="Calibri"/>
                <w:color w:val="000000"/>
                <w:lang w:eastAsia="en-GB"/>
              </w:rPr>
            </w:pPr>
            <w:r w:rsidRPr="0046770C">
              <w:rPr>
                <w:rFonts w:ascii="Calibri" w:eastAsia="Times New Roman" w:hAnsi="Calibri" w:cs="Calibri"/>
                <w:color w:val="000000"/>
                <w:lang w:eastAsia="en-GB"/>
              </w:rPr>
              <w:t xml:space="preserve">Total </w:t>
            </w:r>
          </w:p>
        </w:tc>
        <w:tc>
          <w:tcPr>
            <w:tcW w:w="1234" w:type="pct"/>
            <w:tcBorders>
              <w:top w:val="single" w:sz="4" w:space="0" w:color="999999"/>
              <w:left w:val="single" w:sz="4" w:space="0" w:color="999999"/>
              <w:bottom w:val="single" w:sz="4" w:space="0" w:color="999999"/>
              <w:right w:val="single" w:sz="4" w:space="0" w:color="999999"/>
            </w:tcBorders>
            <w:shd w:val="clear" w:color="000000" w:fill="F2F2F2"/>
            <w:noWrap/>
            <w:vAlign w:val="bottom"/>
            <w:hideMark/>
          </w:tcPr>
          <w:p w14:paraId="57C4CCB0" w14:textId="77777777" w:rsidR="0046770C" w:rsidRPr="0046770C" w:rsidRDefault="0046770C" w:rsidP="0046770C">
            <w:pPr>
              <w:spacing w:after="0" w:line="240" w:lineRule="auto"/>
              <w:jc w:val="right"/>
              <w:rPr>
                <w:rFonts w:ascii="Calibri" w:eastAsia="Times New Roman" w:hAnsi="Calibri" w:cs="Calibri"/>
                <w:color w:val="000000"/>
                <w:lang w:eastAsia="en-GB"/>
              </w:rPr>
            </w:pPr>
            <w:r w:rsidRPr="0046770C">
              <w:rPr>
                <w:rFonts w:ascii="Calibri" w:eastAsia="Times New Roman" w:hAnsi="Calibri" w:cs="Calibri"/>
                <w:color w:val="000000"/>
                <w:lang w:eastAsia="en-GB"/>
              </w:rPr>
              <w:t>72</w:t>
            </w:r>
          </w:p>
        </w:tc>
      </w:tr>
    </w:tbl>
    <w:p w14:paraId="35002DF2" w14:textId="77777777" w:rsidR="0046770C" w:rsidRDefault="0046770C" w:rsidP="0086422F">
      <w:pPr>
        <w:jc w:val="both"/>
        <w:rPr>
          <w:rFonts w:ascii="Arial" w:hAnsi="Arial" w:cs="Arial"/>
          <w:b/>
          <w:i/>
          <w:color w:val="000000" w:themeColor="text1"/>
          <w:sz w:val="24"/>
          <w:szCs w:val="24"/>
        </w:rPr>
      </w:pPr>
    </w:p>
    <w:p w14:paraId="082F0977" w14:textId="6058480D" w:rsidR="00D40F2B" w:rsidRPr="00D40F2B" w:rsidRDefault="00D40F2B" w:rsidP="00D40F2B">
      <w:pPr>
        <w:jc w:val="both"/>
        <w:rPr>
          <w:rFonts w:ascii="Arial" w:hAnsi="Arial" w:cs="Arial"/>
          <w:color w:val="000000" w:themeColor="text1"/>
          <w:sz w:val="24"/>
          <w:szCs w:val="24"/>
        </w:rPr>
      </w:pPr>
      <w:r>
        <w:rPr>
          <w:rFonts w:ascii="Arial" w:hAnsi="Arial" w:cs="Arial"/>
          <w:color w:val="000000" w:themeColor="text1"/>
          <w:sz w:val="24"/>
          <w:szCs w:val="24"/>
        </w:rPr>
        <w:t xml:space="preserve">To date, under 1% </w:t>
      </w:r>
      <w:r w:rsidRPr="00D40F2B">
        <w:rPr>
          <w:rFonts w:ascii="Arial" w:hAnsi="Arial" w:cs="Arial"/>
          <w:color w:val="000000" w:themeColor="text1"/>
          <w:sz w:val="24"/>
          <w:szCs w:val="24"/>
        </w:rPr>
        <w:t xml:space="preserve">of patient safety incidents reported within the </w:t>
      </w:r>
      <w:r>
        <w:rPr>
          <w:rFonts w:ascii="Arial" w:hAnsi="Arial" w:cs="Arial"/>
          <w:color w:val="000000" w:themeColor="text1"/>
          <w:sz w:val="24"/>
          <w:szCs w:val="24"/>
        </w:rPr>
        <w:t xml:space="preserve">health board </w:t>
      </w:r>
      <w:r w:rsidRPr="00D40F2B">
        <w:rPr>
          <w:rFonts w:ascii="Arial" w:hAnsi="Arial" w:cs="Arial"/>
          <w:color w:val="000000" w:themeColor="text1"/>
          <w:sz w:val="24"/>
          <w:szCs w:val="24"/>
        </w:rPr>
        <w:t>triggered the Duty of Candour during 2023/24</w:t>
      </w:r>
      <w:r>
        <w:rPr>
          <w:rFonts w:ascii="Arial" w:hAnsi="Arial" w:cs="Arial"/>
          <w:color w:val="000000" w:themeColor="text1"/>
          <w:sz w:val="24"/>
          <w:szCs w:val="24"/>
        </w:rPr>
        <w:t xml:space="preserve">. </w:t>
      </w:r>
    </w:p>
    <w:p w14:paraId="0F8AE1B8" w14:textId="3CD58B32" w:rsidR="00D40F2B" w:rsidRPr="00D40F2B" w:rsidRDefault="00D40F2B" w:rsidP="00D40F2B">
      <w:pPr>
        <w:jc w:val="both"/>
        <w:rPr>
          <w:rFonts w:ascii="Arial" w:hAnsi="Arial" w:cs="Arial"/>
          <w:color w:val="000000" w:themeColor="text1"/>
          <w:sz w:val="24"/>
          <w:szCs w:val="24"/>
        </w:rPr>
      </w:pPr>
      <w:r w:rsidRPr="00D40F2B">
        <w:rPr>
          <w:rFonts w:ascii="Arial" w:hAnsi="Arial" w:cs="Arial"/>
          <w:color w:val="000000" w:themeColor="text1"/>
          <w:sz w:val="24"/>
          <w:szCs w:val="24"/>
        </w:rPr>
        <w:t xml:space="preserve">Top themes </w:t>
      </w:r>
      <w:r>
        <w:rPr>
          <w:rFonts w:ascii="Arial" w:hAnsi="Arial" w:cs="Arial"/>
          <w:color w:val="000000" w:themeColor="text1"/>
          <w:sz w:val="24"/>
          <w:szCs w:val="24"/>
        </w:rPr>
        <w:t>t</w:t>
      </w:r>
      <w:r w:rsidRPr="00D40F2B">
        <w:rPr>
          <w:rFonts w:ascii="Arial" w:hAnsi="Arial" w:cs="Arial"/>
          <w:color w:val="000000" w:themeColor="text1"/>
          <w:sz w:val="24"/>
          <w:szCs w:val="24"/>
        </w:rPr>
        <w:t>riggering the Duty of Candour</w:t>
      </w:r>
      <w:r>
        <w:rPr>
          <w:rFonts w:ascii="Arial" w:hAnsi="Arial" w:cs="Arial"/>
          <w:color w:val="000000" w:themeColor="text1"/>
          <w:sz w:val="24"/>
          <w:szCs w:val="24"/>
        </w:rPr>
        <w:t xml:space="preserve"> include</w:t>
      </w:r>
      <w:r w:rsidRPr="00D40F2B">
        <w:rPr>
          <w:rFonts w:ascii="Arial" w:hAnsi="Arial" w:cs="Arial"/>
          <w:color w:val="000000" w:themeColor="text1"/>
          <w:sz w:val="24"/>
          <w:szCs w:val="24"/>
        </w:rPr>
        <w:t xml:space="preserve">: </w:t>
      </w:r>
    </w:p>
    <w:p w14:paraId="5E01FEE3" w14:textId="67225324" w:rsidR="00000000" w:rsidRPr="00D40F2B" w:rsidRDefault="00D40F2B" w:rsidP="00D40F2B">
      <w:pPr>
        <w:numPr>
          <w:ilvl w:val="0"/>
          <w:numId w:val="22"/>
        </w:numPr>
        <w:jc w:val="both"/>
        <w:rPr>
          <w:rFonts w:ascii="Arial" w:hAnsi="Arial" w:cs="Arial"/>
          <w:color w:val="000000" w:themeColor="text1"/>
          <w:sz w:val="24"/>
          <w:szCs w:val="24"/>
        </w:rPr>
      </w:pPr>
      <w:r w:rsidRPr="00D40F2B">
        <w:rPr>
          <w:rFonts w:ascii="Arial" w:hAnsi="Arial" w:cs="Arial"/>
          <w:color w:val="000000" w:themeColor="text1"/>
          <w:sz w:val="24"/>
          <w:szCs w:val="24"/>
        </w:rPr>
        <w:t>In-patient slip</w:t>
      </w:r>
      <w:r>
        <w:rPr>
          <w:rFonts w:ascii="Arial" w:hAnsi="Arial" w:cs="Arial"/>
          <w:color w:val="000000" w:themeColor="text1"/>
          <w:sz w:val="24"/>
          <w:szCs w:val="24"/>
        </w:rPr>
        <w:t>s</w:t>
      </w:r>
      <w:r w:rsidRPr="00D40F2B">
        <w:rPr>
          <w:rFonts w:ascii="Arial" w:hAnsi="Arial" w:cs="Arial"/>
          <w:color w:val="000000" w:themeColor="text1"/>
          <w:sz w:val="24"/>
          <w:szCs w:val="24"/>
        </w:rPr>
        <w:t xml:space="preserve"> / trip</w:t>
      </w:r>
      <w:r>
        <w:rPr>
          <w:rFonts w:ascii="Arial" w:hAnsi="Arial" w:cs="Arial"/>
          <w:color w:val="000000" w:themeColor="text1"/>
          <w:sz w:val="24"/>
          <w:szCs w:val="24"/>
        </w:rPr>
        <w:t>s</w:t>
      </w:r>
      <w:r w:rsidRPr="00D40F2B">
        <w:rPr>
          <w:rFonts w:ascii="Arial" w:hAnsi="Arial" w:cs="Arial"/>
          <w:color w:val="000000" w:themeColor="text1"/>
          <w:sz w:val="24"/>
          <w:szCs w:val="24"/>
        </w:rPr>
        <w:t xml:space="preserve"> / fall</w:t>
      </w:r>
      <w:r>
        <w:rPr>
          <w:rFonts w:ascii="Arial" w:hAnsi="Arial" w:cs="Arial"/>
          <w:color w:val="000000" w:themeColor="text1"/>
          <w:sz w:val="24"/>
          <w:szCs w:val="24"/>
        </w:rPr>
        <w:t>s</w:t>
      </w:r>
    </w:p>
    <w:p w14:paraId="0D9C3E1F" w14:textId="4EE76BE0" w:rsidR="00000000" w:rsidRPr="00D40F2B" w:rsidRDefault="00D40F2B" w:rsidP="00D40F2B">
      <w:pPr>
        <w:numPr>
          <w:ilvl w:val="0"/>
          <w:numId w:val="22"/>
        </w:numPr>
        <w:jc w:val="both"/>
        <w:rPr>
          <w:rFonts w:ascii="Arial" w:hAnsi="Arial" w:cs="Arial"/>
          <w:color w:val="000000" w:themeColor="text1"/>
          <w:sz w:val="24"/>
          <w:szCs w:val="24"/>
        </w:rPr>
      </w:pPr>
      <w:r>
        <w:rPr>
          <w:rFonts w:ascii="Arial" w:hAnsi="Arial" w:cs="Arial"/>
          <w:color w:val="000000" w:themeColor="text1"/>
          <w:sz w:val="24"/>
          <w:szCs w:val="24"/>
        </w:rPr>
        <w:t>Pressure D</w:t>
      </w:r>
      <w:r w:rsidRPr="00D40F2B">
        <w:rPr>
          <w:rFonts w:ascii="Arial" w:hAnsi="Arial" w:cs="Arial"/>
          <w:color w:val="000000" w:themeColor="text1"/>
          <w:sz w:val="24"/>
          <w:szCs w:val="24"/>
        </w:rPr>
        <w:t>amage developed whilst under health</w:t>
      </w:r>
    </w:p>
    <w:p w14:paraId="3E07D96B" w14:textId="275F13B0" w:rsidR="00000000" w:rsidRDefault="00D40F2B" w:rsidP="00D40F2B">
      <w:pPr>
        <w:numPr>
          <w:ilvl w:val="0"/>
          <w:numId w:val="22"/>
        </w:numPr>
        <w:jc w:val="both"/>
        <w:rPr>
          <w:rFonts w:ascii="Arial" w:hAnsi="Arial" w:cs="Arial"/>
          <w:color w:val="000000" w:themeColor="text1"/>
          <w:sz w:val="24"/>
          <w:szCs w:val="24"/>
        </w:rPr>
      </w:pPr>
      <w:r>
        <w:rPr>
          <w:rFonts w:ascii="Arial" w:hAnsi="Arial" w:cs="Arial"/>
          <w:color w:val="000000" w:themeColor="text1"/>
          <w:sz w:val="24"/>
          <w:szCs w:val="24"/>
        </w:rPr>
        <w:t>Treatment / Procedural issues</w:t>
      </w:r>
    </w:p>
    <w:p w14:paraId="058310E5" w14:textId="7AD0E6B9" w:rsidR="00D40F2B" w:rsidRPr="00D40F2B" w:rsidRDefault="00D40F2B" w:rsidP="00D40F2B">
      <w:pPr>
        <w:numPr>
          <w:ilvl w:val="0"/>
          <w:numId w:val="22"/>
        </w:numPr>
        <w:jc w:val="both"/>
        <w:rPr>
          <w:rFonts w:ascii="Arial" w:hAnsi="Arial" w:cs="Arial"/>
          <w:color w:val="000000" w:themeColor="text1"/>
          <w:sz w:val="24"/>
          <w:szCs w:val="24"/>
        </w:rPr>
      </w:pPr>
      <w:r>
        <w:rPr>
          <w:rFonts w:ascii="Arial" w:hAnsi="Arial" w:cs="Arial"/>
          <w:color w:val="000000" w:themeColor="text1"/>
          <w:sz w:val="24"/>
          <w:szCs w:val="24"/>
        </w:rPr>
        <w:t>Failure / Delay in assessment or diagnosis</w:t>
      </w:r>
    </w:p>
    <w:p w14:paraId="61797AD7" w14:textId="4A25841E" w:rsidR="00D40F2B" w:rsidRPr="00D40F2B" w:rsidRDefault="00D40F2B" w:rsidP="00D40F2B">
      <w:pPr>
        <w:jc w:val="both"/>
        <w:rPr>
          <w:rFonts w:ascii="Arial" w:hAnsi="Arial" w:cs="Arial"/>
          <w:color w:val="000000" w:themeColor="text1"/>
          <w:sz w:val="24"/>
          <w:szCs w:val="24"/>
        </w:rPr>
      </w:pPr>
      <w:r>
        <w:rPr>
          <w:rFonts w:ascii="Arial" w:hAnsi="Arial" w:cs="Arial"/>
          <w:color w:val="000000" w:themeColor="text1"/>
          <w:sz w:val="24"/>
          <w:szCs w:val="24"/>
        </w:rPr>
        <w:t>Of the</w:t>
      </w:r>
      <w:r w:rsidRPr="00D40F2B">
        <w:rPr>
          <w:rFonts w:ascii="Arial" w:hAnsi="Arial" w:cs="Arial"/>
          <w:color w:val="000000" w:themeColor="text1"/>
          <w:sz w:val="24"/>
          <w:szCs w:val="24"/>
        </w:rPr>
        <w:t xml:space="preserve"> </w:t>
      </w:r>
      <w:r>
        <w:rPr>
          <w:rFonts w:ascii="Arial" w:hAnsi="Arial" w:cs="Arial"/>
          <w:color w:val="000000" w:themeColor="text1"/>
          <w:sz w:val="24"/>
          <w:szCs w:val="24"/>
        </w:rPr>
        <w:t xml:space="preserve">patient safety </w:t>
      </w:r>
      <w:r w:rsidRPr="00D40F2B">
        <w:rPr>
          <w:rFonts w:ascii="Arial" w:hAnsi="Arial" w:cs="Arial"/>
          <w:color w:val="000000" w:themeColor="text1"/>
          <w:sz w:val="24"/>
          <w:szCs w:val="24"/>
        </w:rPr>
        <w:t>incidents closed</w:t>
      </w:r>
      <w:r>
        <w:rPr>
          <w:rFonts w:ascii="Arial" w:hAnsi="Arial" w:cs="Arial"/>
          <w:color w:val="000000" w:themeColor="text1"/>
          <w:sz w:val="24"/>
          <w:szCs w:val="24"/>
        </w:rPr>
        <w:t xml:space="preserve"> at the time of writing this report, whereby patients are recorded on Datix Cymru as having sustained more than minimal harm as a result of healthcare provided, themes as a learning outcome include:   </w:t>
      </w:r>
    </w:p>
    <w:p w14:paraId="6DBBF0B5" w14:textId="78E76186" w:rsidR="00000000" w:rsidRPr="00D40F2B" w:rsidRDefault="00D40F2B" w:rsidP="00D40F2B">
      <w:pPr>
        <w:pStyle w:val="ListParagraph"/>
        <w:numPr>
          <w:ilvl w:val="0"/>
          <w:numId w:val="17"/>
        </w:numPr>
        <w:jc w:val="both"/>
        <w:rPr>
          <w:rFonts w:ascii="Arial" w:hAnsi="Arial" w:cs="Arial"/>
          <w:color w:val="000000" w:themeColor="text1"/>
          <w:sz w:val="24"/>
          <w:szCs w:val="24"/>
        </w:rPr>
      </w:pPr>
      <w:r w:rsidRPr="00D40F2B">
        <w:rPr>
          <w:rFonts w:ascii="Arial" w:hAnsi="Arial" w:cs="Arial"/>
          <w:color w:val="000000" w:themeColor="text1"/>
          <w:sz w:val="24"/>
          <w:szCs w:val="24"/>
        </w:rPr>
        <w:t xml:space="preserve">Change in practice / Development or review of processes and policies </w:t>
      </w:r>
    </w:p>
    <w:p w14:paraId="5E0E3342" w14:textId="4E8DF024" w:rsidR="00000000" w:rsidRPr="00D40F2B" w:rsidRDefault="00D40F2B" w:rsidP="00D40F2B">
      <w:pPr>
        <w:pStyle w:val="ListParagraph"/>
        <w:numPr>
          <w:ilvl w:val="0"/>
          <w:numId w:val="17"/>
        </w:numPr>
        <w:jc w:val="both"/>
        <w:rPr>
          <w:rFonts w:ascii="Arial" w:hAnsi="Arial" w:cs="Arial"/>
          <w:color w:val="000000" w:themeColor="text1"/>
          <w:sz w:val="24"/>
          <w:szCs w:val="24"/>
        </w:rPr>
      </w:pPr>
      <w:r w:rsidRPr="00D40F2B">
        <w:rPr>
          <w:rFonts w:ascii="Arial" w:hAnsi="Arial" w:cs="Arial"/>
          <w:color w:val="000000" w:themeColor="text1"/>
          <w:sz w:val="24"/>
          <w:szCs w:val="24"/>
        </w:rPr>
        <w:t xml:space="preserve">Personal reflection / consideration of </w:t>
      </w:r>
      <w:r w:rsidRPr="00D40F2B">
        <w:rPr>
          <w:rFonts w:ascii="Arial" w:hAnsi="Arial" w:cs="Arial"/>
          <w:color w:val="000000" w:themeColor="text1"/>
          <w:sz w:val="24"/>
          <w:szCs w:val="24"/>
        </w:rPr>
        <w:t>impact of not completing checks in line with SOPs/LocSSIPs</w:t>
      </w:r>
    </w:p>
    <w:p w14:paraId="61D14D35" w14:textId="7FBDD5C9" w:rsidR="00000000" w:rsidRPr="00D40F2B" w:rsidRDefault="00D40F2B" w:rsidP="00D40F2B">
      <w:pPr>
        <w:pStyle w:val="ListParagraph"/>
        <w:numPr>
          <w:ilvl w:val="0"/>
          <w:numId w:val="17"/>
        </w:numPr>
        <w:jc w:val="both"/>
        <w:rPr>
          <w:rFonts w:ascii="Arial" w:hAnsi="Arial" w:cs="Arial"/>
          <w:color w:val="000000" w:themeColor="text1"/>
          <w:sz w:val="24"/>
          <w:szCs w:val="24"/>
        </w:rPr>
      </w:pPr>
      <w:r w:rsidRPr="00D40F2B">
        <w:rPr>
          <w:rFonts w:ascii="Arial" w:hAnsi="Arial" w:cs="Arial"/>
          <w:color w:val="000000" w:themeColor="text1"/>
          <w:sz w:val="24"/>
          <w:szCs w:val="24"/>
        </w:rPr>
        <w:t xml:space="preserve">Improvement needed in communication </w:t>
      </w:r>
    </w:p>
    <w:p w14:paraId="358BC91D" w14:textId="40523622" w:rsidR="00000000" w:rsidRPr="00D40F2B" w:rsidRDefault="00D40F2B" w:rsidP="00D40F2B">
      <w:pPr>
        <w:pStyle w:val="ListParagraph"/>
        <w:numPr>
          <w:ilvl w:val="0"/>
          <w:numId w:val="17"/>
        </w:numPr>
        <w:jc w:val="both"/>
        <w:rPr>
          <w:rFonts w:ascii="Arial" w:hAnsi="Arial" w:cs="Arial"/>
          <w:color w:val="000000" w:themeColor="text1"/>
          <w:sz w:val="24"/>
          <w:szCs w:val="24"/>
        </w:rPr>
      </w:pPr>
      <w:r w:rsidRPr="00D40F2B">
        <w:rPr>
          <w:rFonts w:ascii="Arial" w:hAnsi="Arial" w:cs="Arial"/>
          <w:color w:val="000000" w:themeColor="text1"/>
          <w:sz w:val="24"/>
          <w:szCs w:val="24"/>
        </w:rPr>
        <w:t>Improvement needed in completion / adherence to documentation</w:t>
      </w:r>
    </w:p>
    <w:p w14:paraId="4EAF35BA" w14:textId="4D46599E" w:rsidR="00000000" w:rsidRPr="00D40F2B" w:rsidRDefault="00D40F2B" w:rsidP="00D40F2B">
      <w:pPr>
        <w:pStyle w:val="ListParagraph"/>
        <w:numPr>
          <w:ilvl w:val="0"/>
          <w:numId w:val="17"/>
        </w:numPr>
        <w:jc w:val="both"/>
        <w:rPr>
          <w:rFonts w:ascii="Arial" w:hAnsi="Arial" w:cs="Arial"/>
          <w:color w:val="000000" w:themeColor="text1"/>
          <w:sz w:val="24"/>
          <w:szCs w:val="24"/>
        </w:rPr>
      </w:pPr>
      <w:r w:rsidRPr="00D40F2B">
        <w:rPr>
          <w:rFonts w:ascii="Arial" w:hAnsi="Arial" w:cs="Arial"/>
          <w:color w:val="000000" w:themeColor="text1"/>
          <w:sz w:val="24"/>
          <w:szCs w:val="24"/>
        </w:rPr>
        <w:t xml:space="preserve">Improvement needed </w:t>
      </w:r>
      <w:r w:rsidRPr="00D40F2B">
        <w:rPr>
          <w:rFonts w:ascii="Arial" w:hAnsi="Arial" w:cs="Arial"/>
          <w:color w:val="000000" w:themeColor="text1"/>
          <w:sz w:val="24"/>
          <w:szCs w:val="24"/>
        </w:rPr>
        <w:t xml:space="preserve">in undertaking </w:t>
      </w:r>
      <w:r w:rsidRPr="00D40F2B">
        <w:rPr>
          <w:rFonts w:ascii="Arial" w:hAnsi="Arial" w:cs="Arial"/>
          <w:color w:val="000000" w:themeColor="text1"/>
          <w:sz w:val="24"/>
          <w:szCs w:val="24"/>
        </w:rPr>
        <w:t>timely assessments / review of investigations / monitoring</w:t>
      </w:r>
    </w:p>
    <w:p w14:paraId="32ACF265" w14:textId="6913B9B8" w:rsidR="00000000" w:rsidRPr="00D40F2B" w:rsidRDefault="00D40F2B" w:rsidP="00D40F2B">
      <w:pPr>
        <w:pStyle w:val="ListParagraph"/>
        <w:numPr>
          <w:ilvl w:val="0"/>
          <w:numId w:val="17"/>
        </w:numPr>
        <w:jc w:val="both"/>
        <w:rPr>
          <w:rFonts w:ascii="Arial" w:hAnsi="Arial" w:cs="Arial"/>
          <w:color w:val="000000" w:themeColor="text1"/>
          <w:sz w:val="24"/>
          <w:szCs w:val="24"/>
        </w:rPr>
      </w:pPr>
      <w:r w:rsidRPr="00D40F2B">
        <w:rPr>
          <w:rFonts w:ascii="Arial" w:hAnsi="Arial" w:cs="Arial"/>
          <w:color w:val="000000" w:themeColor="text1"/>
          <w:sz w:val="24"/>
          <w:szCs w:val="24"/>
        </w:rPr>
        <w:t xml:space="preserve">Additional / focused training required </w:t>
      </w:r>
    </w:p>
    <w:p w14:paraId="5BE5EE24" w14:textId="5A1921CD" w:rsidR="00D40F2B" w:rsidRPr="00D40F2B" w:rsidRDefault="00D40F2B" w:rsidP="00D40F2B">
      <w:pPr>
        <w:pStyle w:val="ListParagraph"/>
        <w:numPr>
          <w:ilvl w:val="0"/>
          <w:numId w:val="17"/>
        </w:numPr>
        <w:jc w:val="both"/>
        <w:rPr>
          <w:rFonts w:ascii="Arial" w:hAnsi="Arial" w:cs="Arial"/>
          <w:color w:val="000000" w:themeColor="text1"/>
          <w:sz w:val="24"/>
          <w:szCs w:val="24"/>
        </w:rPr>
      </w:pPr>
      <w:r w:rsidRPr="00D40F2B">
        <w:rPr>
          <w:rFonts w:ascii="Arial" w:hAnsi="Arial" w:cs="Arial"/>
          <w:color w:val="000000" w:themeColor="text1"/>
          <w:sz w:val="24"/>
          <w:szCs w:val="24"/>
        </w:rPr>
        <w:t>Improvements in clin</w:t>
      </w:r>
      <w:r w:rsidRPr="00D40F2B">
        <w:rPr>
          <w:rFonts w:ascii="Arial" w:hAnsi="Arial" w:cs="Arial"/>
          <w:color w:val="000000" w:themeColor="text1"/>
          <w:sz w:val="24"/>
          <w:szCs w:val="24"/>
        </w:rPr>
        <w:t xml:space="preserve">ical / nursing care required </w:t>
      </w:r>
    </w:p>
    <w:p w14:paraId="444D2541" w14:textId="62E8A3F5" w:rsidR="00D40F2B" w:rsidRPr="00D40F2B" w:rsidRDefault="00D40F2B" w:rsidP="00D40F2B">
      <w:pPr>
        <w:pStyle w:val="ListParagraph"/>
        <w:numPr>
          <w:ilvl w:val="0"/>
          <w:numId w:val="17"/>
        </w:numPr>
        <w:jc w:val="both"/>
        <w:rPr>
          <w:rFonts w:ascii="Arial" w:hAnsi="Arial" w:cs="Arial"/>
          <w:b/>
          <w:color w:val="000000" w:themeColor="text1"/>
          <w:sz w:val="24"/>
          <w:szCs w:val="24"/>
        </w:rPr>
      </w:pPr>
      <w:r w:rsidRPr="00D40F2B">
        <w:rPr>
          <w:rFonts w:ascii="Arial" w:hAnsi="Arial" w:cs="Arial"/>
          <w:color w:val="000000" w:themeColor="text1"/>
          <w:sz w:val="24"/>
          <w:szCs w:val="24"/>
        </w:rPr>
        <w:t xml:space="preserve">Lack of / inappropriate use of equipment </w:t>
      </w:r>
    </w:p>
    <w:p w14:paraId="11E6CDFD" w14:textId="77777777" w:rsidR="00D40F2B" w:rsidRPr="00D40F2B" w:rsidRDefault="00D40F2B" w:rsidP="00D40F2B">
      <w:pPr>
        <w:jc w:val="both"/>
        <w:rPr>
          <w:rFonts w:ascii="Arial" w:hAnsi="Arial" w:cs="Arial"/>
          <w:b/>
          <w:color w:val="000000" w:themeColor="text1"/>
          <w:sz w:val="24"/>
          <w:szCs w:val="24"/>
        </w:rPr>
      </w:pPr>
    </w:p>
    <w:p w14:paraId="62EF71A8" w14:textId="4DD3DCE6" w:rsidR="0046770C" w:rsidRPr="0046770C" w:rsidRDefault="0046770C" w:rsidP="0046770C">
      <w:pPr>
        <w:pStyle w:val="ListParagraph"/>
        <w:numPr>
          <w:ilvl w:val="0"/>
          <w:numId w:val="17"/>
        </w:numPr>
        <w:jc w:val="both"/>
        <w:rPr>
          <w:rFonts w:ascii="Arial" w:hAnsi="Arial" w:cs="Arial"/>
          <w:b/>
          <w:color w:val="000000" w:themeColor="text1"/>
          <w:sz w:val="24"/>
          <w:szCs w:val="24"/>
        </w:rPr>
      </w:pPr>
      <w:r>
        <w:rPr>
          <w:rFonts w:ascii="Arial" w:hAnsi="Arial" w:cs="Arial"/>
          <w:b/>
          <w:color w:val="000000" w:themeColor="text1"/>
          <w:sz w:val="24"/>
          <w:szCs w:val="24"/>
        </w:rPr>
        <w:t xml:space="preserve">Contracted </w:t>
      </w:r>
      <w:r w:rsidRPr="0046770C">
        <w:rPr>
          <w:rFonts w:ascii="Arial" w:hAnsi="Arial" w:cs="Arial"/>
          <w:b/>
          <w:color w:val="000000" w:themeColor="text1"/>
          <w:sz w:val="24"/>
          <w:szCs w:val="24"/>
        </w:rPr>
        <w:t>Services</w:t>
      </w:r>
      <w:r>
        <w:rPr>
          <w:rFonts w:ascii="Arial" w:hAnsi="Arial" w:cs="Arial"/>
          <w:b/>
          <w:color w:val="000000" w:themeColor="text1"/>
          <w:sz w:val="24"/>
          <w:szCs w:val="24"/>
        </w:rPr>
        <w:t xml:space="preserve"> – Primary Care </w:t>
      </w:r>
      <w:r w:rsidRPr="0046770C">
        <w:rPr>
          <w:rFonts w:ascii="Arial" w:hAnsi="Arial" w:cs="Arial"/>
          <w:b/>
          <w:color w:val="000000" w:themeColor="text1"/>
          <w:sz w:val="24"/>
          <w:szCs w:val="24"/>
        </w:rPr>
        <w:t xml:space="preserve"> </w:t>
      </w:r>
    </w:p>
    <w:p w14:paraId="16E82495" w14:textId="0D6F0B57" w:rsidR="0046770C" w:rsidRDefault="0046770C" w:rsidP="0046770C">
      <w:pPr>
        <w:jc w:val="both"/>
        <w:rPr>
          <w:rFonts w:ascii="Arial" w:hAnsi="Arial" w:cs="Arial"/>
          <w:color w:val="000000" w:themeColor="text1"/>
          <w:sz w:val="24"/>
          <w:szCs w:val="24"/>
        </w:rPr>
      </w:pPr>
      <w:r>
        <w:rPr>
          <w:rFonts w:ascii="Arial" w:hAnsi="Arial" w:cs="Arial"/>
          <w:color w:val="000000" w:themeColor="text1"/>
          <w:sz w:val="24"/>
          <w:szCs w:val="24"/>
        </w:rPr>
        <w:t xml:space="preserve">Contractors within the Primary Care setting, which includes Community Pharmacists, General Medical Practitioners, General Dental Practitioners and Optometrists, are required to submit data to the health board relating to the Duty of Candour in September 2024.   </w:t>
      </w:r>
    </w:p>
    <w:p w14:paraId="7812BC9A" w14:textId="594C2375" w:rsidR="00D40F2B" w:rsidRDefault="00D40F2B" w:rsidP="0046770C">
      <w:pPr>
        <w:jc w:val="both"/>
        <w:rPr>
          <w:rFonts w:ascii="Arial" w:hAnsi="Arial" w:cs="Arial"/>
          <w:color w:val="000000" w:themeColor="text1"/>
          <w:sz w:val="24"/>
          <w:szCs w:val="24"/>
        </w:rPr>
      </w:pPr>
    </w:p>
    <w:p w14:paraId="58F922B5" w14:textId="77777777" w:rsidR="00D40F2B" w:rsidRPr="0046770C" w:rsidRDefault="00D40F2B" w:rsidP="0046770C">
      <w:pPr>
        <w:jc w:val="both"/>
        <w:rPr>
          <w:rFonts w:ascii="Arial" w:hAnsi="Arial" w:cs="Arial"/>
          <w:b/>
          <w:i/>
          <w:color w:val="000000" w:themeColor="text1"/>
          <w:sz w:val="24"/>
          <w:szCs w:val="24"/>
        </w:rPr>
      </w:pPr>
    </w:p>
    <w:p w14:paraId="62D026D8" w14:textId="77777777" w:rsidR="00556B96" w:rsidRPr="00556B96" w:rsidRDefault="00556B96" w:rsidP="00556B96">
      <w:pPr>
        <w:pStyle w:val="ListParagraph"/>
        <w:numPr>
          <w:ilvl w:val="0"/>
          <w:numId w:val="17"/>
        </w:numPr>
        <w:jc w:val="both"/>
        <w:rPr>
          <w:rFonts w:ascii="Arial" w:hAnsi="Arial" w:cs="Arial"/>
          <w:b/>
          <w:sz w:val="24"/>
          <w:szCs w:val="24"/>
        </w:rPr>
      </w:pPr>
      <w:r w:rsidRPr="00556B96">
        <w:rPr>
          <w:rFonts w:ascii="Arial" w:hAnsi="Arial" w:cs="Arial"/>
          <w:b/>
          <w:sz w:val="24"/>
          <w:szCs w:val="24"/>
        </w:rPr>
        <w:t xml:space="preserve">People’s Experience </w:t>
      </w:r>
    </w:p>
    <w:p w14:paraId="666F0794" w14:textId="77777777" w:rsidR="0046770C" w:rsidRPr="0046770C" w:rsidRDefault="0046770C" w:rsidP="0086422F">
      <w:pPr>
        <w:jc w:val="both"/>
        <w:rPr>
          <w:rFonts w:ascii="Arial" w:hAnsi="Arial" w:cs="Arial"/>
          <w:sz w:val="24"/>
          <w:szCs w:val="24"/>
        </w:rPr>
      </w:pPr>
      <w:r w:rsidRPr="0046770C">
        <w:rPr>
          <w:rFonts w:ascii="Arial" w:hAnsi="Arial" w:cs="Arial"/>
          <w:sz w:val="24"/>
          <w:szCs w:val="24"/>
        </w:rPr>
        <w:t xml:space="preserve">We aim to ensure all patients, their families, carers and visitors, have a positive experience in our care, ensuring their physical and emotional needs and expectations are met or exceeded.  Over 5,000 patient experiences are obtained each month and our goal is to provide quality feedback to staff and departments so we can improve the services provided.  The health board is committed to learn from experiences which are not positive.  </w:t>
      </w:r>
    </w:p>
    <w:p w14:paraId="4C82B42C" w14:textId="77777777" w:rsidR="0046770C" w:rsidRPr="0046770C" w:rsidRDefault="0046770C" w:rsidP="0086422F">
      <w:pPr>
        <w:jc w:val="both"/>
        <w:rPr>
          <w:rFonts w:ascii="Arial" w:hAnsi="Arial" w:cs="Arial"/>
          <w:sz w:val="24"/>
          <w:szCs w:val="24"/>
        </w:rPr>
      </w:pPr>
      <w:r w:rsidRPr="0046770C">
        <w:rPr>
          <w:rFonts w:ascii="Arial" w:hAnsi="Arial" w:cs="Arial"/>
          <w:sz w:val="24"/>
          <w:szCs w:val="24"/>
        </w:rPr>
        <w:t>The health board’s Civica feedback system captures feedback in many ways.  Experience includes complaints and compliments (</w:t>
      </w:r>
      <w:r w:rsidRPr="0046770C">
        <w:rPr>
          <w:rFonts w:ascii="Arial" w:hAnsi="Arial" w:cs="Arial"/>
          <w:i/>
          <w:sz w:val="24"/>
          <w:szCs w:val="24"/>
        </w:rPr>
        <w:t>see annex 4</w:t>
      </w:r>
      <w:r w:rsidRPr="0046770C">
        <w:rPr>
          <w:rFonts w:ascii="Arial" w:hAnsi="Arial" w:cs="Arial"/>
          <w:sz w:val="24"/>
          <w:szCs w:val="24"/>
        </w:rPr>
        <w:t xml:space="preserve">) and is a central pillar for quality improvement, as well as providing organisational assurance.  </w:t>
      </w:r>
    </w:p>
    <w:p w14:paraId="4D46DC0B" w14:textId="77777777" w:rsidR="0046770C" w:rsidRPr="0046770C" w:rsidRDefault="0046770C" w:rsidP="0086422F">
      <w:pPr>
        <w:jc w:val="both"/>
        <w:rPr>
          <w:rFonts w:ascii="Arial" w:hAnsi="Arial" w:cs="Arial"/>
          <w:sz w:val="24"/>
          <w:szCs w:val="24"/>
        </w:rPr>
      </w:pPr>
      <w:r w:rsidRPr="0046770C">
        <w:rPr>
          <w:rFonts w:ascii="Arial" w:hAnsi="Arial" w:cs="Arial"/>
          <w:sz w:val="24"/>
          <w:szCs w:val="24"/>
        </w:rPr>
        <w:t>E</w:t>
      </w:r>
      <w:r w:rsidR="00556B96" w:rsidRPr="0046770C">
        <w:rPr>
          <w:rFonts w:ascii="Arial" w:hAnsi="Arial" w:cs="Arial"/>
          <w:sz w:val="24"/>
          <w:szCs w:val="24"/>
        </w:rPr>
        <w:t>xperience is a key comp</w:t>
      </w:r>
      <w:r w:rsidRPr="0046770C">
        <w:rPr>
          <w:rFonts w:ascii="Arial" w:hAnsi="Arial" w:cs="Arial"/>
          <w:sz w:val="24"/>
          <w:szCs w:val="24"/>
        </w:rPr>
        <w:t>onent of organisational reports</w:t>
      </w:r>
      <w:r w:rsidR="00556B96" w:rsidRPr="0046770C">
        <w:rPr>
          <w:rFonts w:ascii="Arial" w:hAnsi="Arial" w:cs="Arial"/>
          <w:sz w:val="24"/>
          <w:szCs w:val="24"/>
        </w:rPr>
        <w:t>.</w:t>
      </w:r>
      <w:r w:rsidRPr="0046770C">
        <w:rPr>
          <w:rFonts w:ascii="Arial" w:hAnsi="Arial" w:cs="Arial"/>
          <w:sz w:val="24"/>
          <w:szCs w:val="24"/>
        </w:rPr>
        <w:t xml:space="preserve">  </w:t>
      </w:r>
      <w:r w:rsidR="00556B96" w:rsidRPr="0046770C">
        <w:rPr>
          <w:rFonts w:ascii="Arial" w:hAnsi="Arial" w:cs="Arial"/>
          <w:sz w:val="24"/>
          <w:szCs w:val="24"/>
        </w:rPr>
        <w:t>Relevant reports i</w:t>
      </w:r>
      <w:r w:rsidRPr="0046770C">
        <w:rPr>
          <w:rFonts w:ascii="Arial" w:hAnsi="Arial" w:cs="Arial"/>
          <w:sz w:val="24"/>
          <w:szCs w:val="24"/>
        </w:rPr>
        <w:t>nclude information about people’s</w:t>
      </w:r>
      <w:r w:rsidR="00556B96" w:rsidRPr="0046770C">
        <w:rPr>
          <w:rFonts w:ascii="Arial" w:hAnsi="Arial" w:cs="Arial"/>
          <w:sz w:val="24"/>
          <w:szCs w:val="24"/>
        </w:rPr>
        <w:t xml:space="preserve"> experience and ho</w:t>
      </w:r>
      <w:r w:rsidRPr="0046770C">
        <w:rPr>
          <w:rFonts w:ascii="Arial" w:hAnsi="Arial" w:cs="Arial"/>
          <w:sz w:val="24"/>
          <w:szCs w:val="24"/>
        </w:rPr>
        <w:t>w the organisation has listened and responded</w:t>
      </w:r>
      <w:r w:rsidR="00556B96" w:rsidRPr="0046770C">
        <w:rPr>
          <w:rFonts w:ascii="Arial" w:hAnsi="Arial" w:cs="Arial"/>
          <w:sz w:val="24"/>
          <w:szCs w:val="24"/>
        </w:rPr>
        <w:t xml:space="preserve"> to </w:t>
      </w:r>
      <w:r w:rsidRPr="0046770C">
        <w:rPr>
          <w:rFonts w:ascii="Arial" w:hAnsi="Arial" w:cs="Arial"/>
          <w:sz w:val="24"/>
          <w:szCs w:val="24"/>
        </w:rPr>
        <w:t>peoples and c</w:t>
      </w:r>
      <w:r w:rsidR="00556B96" w:rsidRPr="0046770C">
        <w:rPr>
          <w:rFonts w:ascii="Arial" w:hAnsi="Arial" w:cs="Arial"/>
          <w:sz w:val="24"/>
          <w:szCs w:val="24"/>
        </w:rPr>
        <w:t>ommunities feedback, alo</w:t>
      </w:r>
      <w:r w:rsidR="00E05E0A">
        <w:rPr>
          <w:rFonts w:ascii="Arial" w:hAnsi="Arial" w:cs="Arial"/>
          <w:sz w:val="24"/>
          <w:szCs w:val="24"/>
        </w:rPr>
        <w:t>ng with examples of improvement</w:t>
      </w:r>
      <w:r w:rsidR="00556B96" w:rsidRPr="0046770C">
        <w:rPr>
          <w:rFonts w:ascii="Arial" w:hAnsi="Arial" w:cs="Arial"/>
          <w:sz w:val="24"/>
          <w:szCs w:val="24"/>
        </w:rPr>
        <w:t xml:space="preserve"> </w:t>
      </w:r>
      <w:r w:rsidR="00E05E0A">
        <w:rPr>
          <w:rFonts w:ascii="Arial" w:hAnsi="Arial" w:cs="Arial"/>
          <w:sz w:val="24"/>
          <w:szCs w:val="24"/>
        </w:rPr>
        <w:t xml:space="preserve">made </w:t>
      </w:r>
      <w:r w:rsidR="00556B96" w:rsidRPr="0046770C">
        <w:rPr>
          <w:rFonts w:ascii="Arial" w:hAnsi="Arial" w:cs="Arial"/>
          <w:sz w:val="24"/>
          <w:szCs w:val="24"/>
        </w:rPr>
        <w:t>to services.</w:t>
      </w:r>
    </w:p>
    <w:p w14:paraId="693411E2" w14:textId="58B48C3E" w:rsidR="00D40F2B" w:rsidRDefault="00D40F2B" w:rsidP="00D40F2B">
      <w:pPr>
        <w:jc w:val="both"/>
        <w:rPr>
          <w:rFonts w:ascii="Arial" w:hAnsi="Arial" w:cs="Arial"/>
          <w:b/>
          <w:sz w:val="24"/>
          <w:szCs w:val="24"/>
        </w:rPr>
      </w:pPr>
      <w:r>
        <w:rPr>
          <w:rFonts w:ascii="Arial" w:hAnsi="Arial" w:cs="Arial"/>
          <w:b/>
          <w:sz w:val="24"/>
          <w:szCs w:val="24"/>
        </w:rPr>
        <w:t>Summary</w:t>
      </w:r>
    </w:p>
    <w:p w14:paraId="46C8BB7B" w14:textId="0A5D8205" w:rsidR="00D40F2B" w:rsidRPr="00D40F2B" w:rsidRDefault="00D40F2B" w:rsidP="00D40F2B">
      <w:pPr>
        <w:jc w:val="both"/>
        <w:rPr>
          <w:rFonts w:ascii="Arial" w:hAnsi="Arial" w:cs="Arial"/>
          <w:color w:val="000000" w:themeColor="text1"/>
          <w:sz w:val="24"/>
          <w:szCs w:val="24"/>
        </w:rPr>
      </w:pPr>
      <w:r w:rsidRPr="00D40F2B">
        <w:rPr>
          <w:rFonts w:ascii="Arial" w:hAnsi="Arial" w:cs="Arial"/>
          <w:sz w:val="24"/>
          <w:szCs w:val="24"/>
        </w:rPr>
        <w:t>In conclusion, b</w:t>
      </w:r>
      <w:r w:rsidRPr="00D40F2B">
        <w:rPr>
          <w:rFonts w:ascii="Arial" w:hAnsi="Arial" w:cs="Arial"/>
          <w:sz w:val="24"/>
          <w:szCs w:val="24"/>
        </w:rPr>
        <w:t>eing open and honest is everyone’s responsibility</w:t>
      </w:r>
      <w:r w:rsidRPr="00D40F2B">
        <w:rPr>
          <w:rFonts w:ascii="Arial" w:hAnsi="Arial" w:cs="Arial"/>
          <w:sz w:val="24"/>
          <w:szCs w:val="24"/>
        </w:rPr>
        <w:t>.  The health board is pleased with how staff have welcomed and embraced the introduction of the Duty of Candour.  Staff are able to access resources to support their understanding of the duty in a number of ways.  W</w:t>
      </w:r>
      <w:r w:rsidRPr="00D40F2B">
        <w:rPr>
          <w:rFonts w:ascii="Arial" w:hAnsi="Arial" w:cs="Arial"/>
          <w:color w:val="000000" w:themeColor="text1"/>
          <w:sz w:val="24"/>
          <w:szCs w:val="24"/>
        </w:rPr>
        <w:t xml:space="preserve">ork </w:t>
      </w:r>
      <w:r w:rsidRPr="00D40F2B">
        <w:rPr>
          <w:rFonts w:ascii="Arial" w:hAnsi="Arial" w:cs="Arial"/>
          <w:color w:val="000000" w:themeColor="text1"/>
          <w:sz w:val="24"/>
          <w:szCs w:val="24"/>
        </w:rPr>
        <w:t xml:space="preserve">will continue </w:t>
      </w:r>
      <w:r w:rsidRPr="00D40F2B">
        <w:rPr>
          <w:rFonts w:ascii="Arial" w:hAnsi="Arial" w:cs="Arial"/>
          <w:color w:val="000000" w:themeColor="text1"/>
          <w:sz w:val="24"/>
          <w:szCs w:val="24"/>
        </w:rPr>
        <w:t>to ensure awareness and understanding across ou</w:t>
      </w:r>
      <w:r w:rsidRPr="00D40F2B">
        <w:rPr>
          <w:rFonts w:ascii="Arial" w:hAnsi="Arial" w:cs="Arial"/>
          <w:color w:val="000000" w:themeColor="text1"/>
          <w:sz w:val="24"/>
          <w:szCs w:val="24"/>
        </w:rPr>
        <w:t>r staff body in order that the d</w:t>
      </w:r>
      <w:r w:rsidRPr="00D40F2B">
        <w:rPr>
          <w:rFonts w:ascii="Arial" w:hAnsi="Arial" w:cs="Arial"/>
          <w:color w:val="000000" w:themeColor="text1"/>
          <w:sz w:val="24"/>
          <w:szCs w:val="24"/>
        </w:rPr>
        <w:t xml:space="preserve">uty and related values underpin every aspect of our work.  </w:t>
      </w:r>
    </w:p>
    <w:p w14:paraId="144F1184" w14:textId="3A266BF9" w:rsidR="00D40F2B" w:rsidRPr="00D40F2B" w:rsidRDefault="00D40F2B" w:rsidP="00D40F2B">
      <w:pPr>
        <w:jc w:val="both"/>
        <w:rPr>
          <w:rFonts w:ascii="Arial" w:hAnsi="Arial" w:cs="Arial"/>
          <w:sz w:val="24"/>
          <w:szCs w:val="24"/>
        </w:rPr>
      </w:pPr>
      <w:r w:rsidRPr="00D40F2B">
        <w:rPr>
          <w:rFonts w:ascii="Arial" w:hAnsi="Arial" w:cs="Arial"/>
          <w:sz w:val="24"/>
          <w:szCs w:val="24"/>
        </w:rPr>
        <w:t xml:space="preserve">Our </w:t>
      </w:r>
      <w:r w:rsidRPr="00D40F2B">
        <w:rPr>
          <w:rFonts w:ascii="Arial" w:hAnsi="Arial" w:cs="Arial"/>
          <w:sz w:val="24"/>
          <w:szCs w:val="24"/>
        </w:rPr>
        <w:t xml:space="preserve">priorities for 2024/25 are </w:t>
      </w:r>
      <w:r w:rsidRPr="00D40F2B">
        <w:rPr>
          <w:rFonts w:ascii="Arial" w:hAnsi="Arial" w:cs="Arial"/>
          <w:sz w:val="24"/>
          <w:szCs w:val="24"/>
        </w:rPr>
        <w:t>to train a further 1,000 staff via the National e-learning training platform accessed via</w:t>
      </w:r>
      <w:r w:rsidRPr="00D40F2B">
        <w:rPr>
          <w:rFonts w:ascii="Arial" w:hAnsi="Arial" w:cs="Arial"/>
          <w:sz w:val="24"/>
          <w:szCs w:val="24"/>
        </w:rPr>
        <w:t xml:space="preserve"> ESR</w:t>
      </w:r>
      <w:r w:rsidRPr="00D40F2B">
        <w:rPr>
          <w:rFonts w:ascii="Arial" w:hAnsi="Arial" w:cs="Arial"/>
          <w:sz w:val="24"/>
          <w:szCs w:val="24"/>
        </w:rPr>
        <w:t xml:space="preserve"> </w:t>
      </w:r>
      <w:r w:rsidRPr="00D40F2B">
        <w:rPr>
          <w:rFonts w:ascii="Arial" w:hAnsi="Arial" w:cs="Arial"/>
          <w:sz w:val="24"/>
          <w:szCs w:val="24"/>
        </w:rPr>
        <w:t xml:space="preserve">and in support of wider leadership, cultural and behavioural changes needed </w:t>
      </w:r>
      <w:r w:rsidRPr="00D40F2B">
        <w:rPr>
          <w:rFonts w:ascii="Arial" w:hAnsi="Arial" w:cs="Arial"/>
          <w:sz w:val="24"/>
          <w:szCs w:val="24"/>
        </w:rPr>
        <w:t xml:space="preserve">for its implementation. </w:t>
      </w:r>
    </w:p>
    <w:p w14:paraId="1A06308A" w14:textId="495973C1" w:rsidR="00D40F2B" w:rsidRDefault="00D40F2B" w:rsidP="00D40F2B">
      <w:pPr>
        <w:jc w:val="both"/>
        <w:rPr>
          <w:rFonts w:ascii="Arial" w:hAnsi="Arial" w:cs="Arial"/>
          <w:sz w:val="24"/>
          <w:szCs w:val="24"/>
        </w:rPr>
      </w:pPr>
      <w:r w:rsidRPr="00D40F2B">
        <w:rPr>
          <w:rFonts w:ascii="Arial" w:hAnsi="Arial" w:cs="Arial"/>
          <w:sz w:val="24"/>
          <w:szCs w:val="24"/>
        </w:rPr>
        <w:t xml:space="preserve">Quality and Safety teams </w:t>
      </w:r>
      <w:r>
        <w:rPr>
          <w:rFonts w:ascii="Arial" w:hAnsi="Arial" w:cs="Arial"/>
          <w:sz w:val="24"/>
          <w:szCs w:val="24"/>
        </w:rPr>
        <w:t>withi</w:t>
      </w:r>
      <w:r w:rsidRPr="00D40F2B">
        <w:rPr>
          <w:rFonts w:ascii="Arial" w:hAnsi="Arial" w:cs="Arial"/>
          <w:sz w:val="24"/>
          <w:szCs w:val="24"/>
        </w:rPr>
        <w:t>n each Service Group are positioned to support staff through the candour process when triggered, along with a corporate candour lead.  Bi-weekly virtual Duty of Candour Clinics will continue. T</w:t>
      </w:r>
      <w:r w:rsidRPr="00D40F2B">
        <w:rPr>
          <w:rFonts w:ascii="Arial" w:hAnsi="Arial" w:cs="Arial"/>
          <w:sz w:val="24"/>
          <w:szCs w:val="24"/>
        </w:rPr>
        <w:t xml:space="preserve">he Patient Experience Risk &amp; Legal Services </w:t>
      </w:r>
      <w:r>
        <w:rPr>
          <w:rFonts w:ascii="Arial" w:hAnsi="Arial" w:cs="Arial"/>
          <w:sz w:val="24"/>
          <w:szCs w:val="24"/>
        </w:rPr>
        <w:t xml:space="preserve">(PERLS) </w:t>
      </w:r>
      <w:r w:rsidRPr="00D40F2B">
        <w:rPr>
          <w:rFonts w:ascii="Arial" w:hAnsi="Arial" w:cs="Arial"/>
          <w:sz w:val="24"/>
          <w:szCs w:val="24"/>
        </w:rPr>
        <w:t>staff hub site includes an area dedicated to the Duty where staff can access information on the Duty itself, as well as guidance and training on what it means in terms of their day-to-day work</w:t>
      </w:r>
      <w:r w:rsidRPr="00D40F2B">
        <w:rPr>
          <w:rFonts w:ascii="Arial" w:hAnsi="Arial" w:cs="Arial"/>
          <w:sz w:val="24"/>
          <w:szCs w:val="24"/>
        </w:rPr>
        <w:t>. Proportionate investigator training will continue for staff with responsibility for the investigation of clinical incidents</w:t>
      </w:r>
      <w:r>
        <w:rPr>
          <w:rFonts w:ascii="Arial" w:hAnsi="Arial" w:cs="Arial"/>
          <w:sz w:val="24"/>
          <w:szCs w:val="24"/>
        </w:rPr>
        <w:t>.</w:t>
      </w:r>
    </w:p>
    <w:p w14:paraId="5C9FF116" w14:textId="343E5531" w:rsidR="00D40F2B" w:rsidRPr="00D40F2B" w:rsidRDefault="00D40F2B" w:rsidP="00D40F2B">
      <w:pPr>
        <w:jc w:val="both"/>
        <w:rPr>
          <w:rFonts w:ascii="Arial" w:hAnsi="Arial" w:cs="Arial"/>
          <w:sz w:val="24"/>
          <w:szCs w:val="24"/>
        </w:rPr>
      </w:pPr>
      <w:r>
        <w:rPr>
          <w:rFonts w:ascii="Arial" w:hAnsi="Arial" w:cs="Arial"/>
          <w:sz w:val="24"/>
          <w:szCs w:val="24"/>
        </w:rPr>
        <w:t xml:space="preserve">Furthermore, targeted training on delivering the in-person notification associated with the Candour Procedure, delivered by a PERLS trainer.  The training is </w:t>
      </w:r>
      <w:r>
        <w:rPr>
          <w:rFonts w:ascii="Arial" w:hAnsi="Arial" w:cs="Arial"/>
          <w:sz w:val="24"/>
          <w:szCs w:val="24"/>
        </w:rPr>
        <w:t>designed to support managers or appointed persons in preparing for the apology and provides an understanding of the context of the word ‘sorry’</w:t>
      </w:r>
      <w:r>
        <w:rPr>
          <w:rFonts w:ascii="Arial" w:hAnsi="Arial" w:cs="Arial"/>
          <w:sz w:val="24"/>
          <w:szCs w:val="24"/>
        </w:rPr>
        <w:t xml:space="preserve">. </w:t>
      </w:r>
    </w:p>
    <w:p w14:paraId="49369896" w14:textId="77777777" w:rsidR="00331977" w:rsidRPr="0086422F" w:rsidRDefault="00331977" w:rsidP="0086422F">
      <w:pPr>
        <w:pStyle w:val="ListParagraph"/>
        <w:ind w:left="0"/>
        <w:jc w:val="both"/>
        <w:rPr>
          <w:rFonts w:ascii="Arial" w:hAnsi="Arial" w:cs="Arial"/>
          <w:sz w:val="24"/>
          <w:szCs w:val="24"/>
        </w:rPr>
      </w:pPr>
      <w:r w:rsidRPr="0086422F">
        <w:rPr>
          <w:rFonts w:ascii="Arial" w:hAnsi="Arial" w:cs="Arial"/>
          <w:sz w:val="24"/>
          <w:szCs w:val="24"/>
        </w:rPr>
        <w:t xml:space="preserve">Patient </w:t>
      </w:r>
      <w:r w:rsidR="00F76F83" w:rsidRPr="0086422F">
        <w:rPr>
          <w:rFonts w:ascii="Arial" w:hAnsi="Arial" w:cs="Arial"/>
          <w:sz w:val="24"/>
          <w:szCs w:val="24"/>
        </w:rPr>
        <w:t>S</w:t>
      </w:r>
      <w:r w:rsidRPr="0086422F">
        <w:rPr>
          <w:rFonts w:ascii="Arial" w:hAnsi="Arial" w:cs="Arial"/>
          <w:sz w:val="24"/>
          <w:szCs w:val="24"/>
        </w:rPr>
        <w:t>afety Congress events have been developed as a mechanism to highlight quality and safety issues,</w:t>
      </w:r>
      <w:r w:rsidR="00164D7B" w:rsidRPr="0086422F">
        <w:rPr>
          <w:rFonts w:ascii="Arial" w:hAnsi="Arial" w:cs="Arial"/>
          <w:sz w:val="24"/>
          <w:szCs w:val="24"/>
        </w:rPr>
        <w:t xml:space="preserve"> and to enable </w:t>
      </w:r>
      <w:r w:rsidRPr="0086422F">
        <w:rPr>
          <w:rFonts w:ascii="Arial" w:hAnsi="Arial" w:cs="Arial"/>
          <w:sz w:val="24"/>
          <w:szCs w:val="24"/>
        </w:rPr>
        <w:t xml:space="preserve">shared learning across the organisation. These events enable staff to listen and learn from patient safety events and quality improvement work, to reflect on the quality and safety issues within their services and consider what we need to do to improve them. </w:t>
      </w:r>
    </w:p>
    <w:p w14:paraId="4E888E94" w14:textId="77777777" w:rsidR="00331977" w:rsidRPr="0086422F" w:rsidRDefault="00331977" w:rsidP="0086422F">
      <w:pPr>
        <w:pStyle w:val="ListParagraph"/>
        <w:ind w:left="0"/>
        <w:jc w:val="both"/>
        <w:rPr>
          <w:rFonts w:ascii="Arial" w:hAnsi="Arial" w:cs="Arial"/>
          <w:sz w:val="24"/>
          <w:szCs w:val="24"/>
        </w:rPr>
      </w:pPr>
    </w:p>
    <w:p w14:paraId="67D2A6AB" w14:textId="77777777" w:rsidR="00331977" w:rsidRPr="0086422F" w:rsidRDefault="00331977" w:rsidP="0086422F">
      <w:pPr>
        <w:pStyle w:val="ListParagraph"/>
        <w:ind w:left="0"/>
        <w:jc w:val="both"/>
        <w:rPr>
          <w:rFonts w:ascii="Arial" w:hAnsi="Arial" w:cs="Arial"/>
          <w:sz w:val="24"/>
          <w:szCs w:val="24"/>
        </w:rPr>
      </w:pPr>
      <w:r w:rsidRPr="0086422F">
        <w:rPr>
          <w:rFonts w:ascii="Arial" w:hAnsi="Arial" w:cs="Arial"/>
          <w:sz w:val="24"/>
          <w:szCs w:val="24"/>
        </w:rPr>
        <w:t>The Patient Safety Congress events consist of quarterly programmes pivotal in engaging and spreading learning across the organisation.</w:t>
      </w:r>
    </w:p>
    <w:p w14:paraId="1750E556" w14:textId="77777777" w:rsidR="00331977" w:rsidRPr="0086422F" w:rsidRDefault="00331977" w:rsidP="0086422F">
      <w:pPr>
        <w:pStyle w:val="ListParagraph"/>
        <w:ind w:left="0"/>
        <w:jc w:val="both"/>
        <w:rPr>
          <w:rFonts w:ascii="Arial" w:hAnsi="Arial" w:cs="Arial"/>
          <w:sz w:val="24"/>
          <w:szCs w:val="24"/>
        </w:rPr>
      </w:pPr>
    </w:p>
    <w:p w14:paraId="223E502A" w14:textId="2F4F17A8" w:rsidR="00AE4154" w:rsidRPr="0086422F" w:rsidRDefault="00D40F2B" w:rsidP="0086422F">
      <w:pPr>
        <w:pStyle w:val="ListParagraph"/>
        <w:ind w:left="0"/>
        <w:jc w:val="both"/>
        <w:rPr>
          <w:rFonts w:ascii="Arial" w:hAnsi="Arial" w:cs="Arial"/>
          <w:sz w:val="24"/>
          <w:szCs w:val="24"/>
        </w:rPr>
      </w:pPr>
      <w:r>
        <w:rPr>
          <w:rFonts w:ascii="Arial" w:hAnsi="Arial" w:cs="Arial"/>
          <w:sz w:val="24"/>
          <w:szCs w:val="24"/>
        </w:rPr>
        <w:t>The health board have</w:t>
      </w:r>
      <w:r w:rsidR="00AE4154" w:rsidRPr="0086422F">
        <w:rPr>
          <w:rFonts w:ascii="Arial" w:hAnsi="Arial" w:cs="Arial"/>
          <w:sz w:val="24"/>
          <w:szCs w:val="24"/>
        </w:rPr>
        <w:t xml:space="preserve"> established an Improvement Community of Practice (QI Cop)</w:t>
      </w:r>
      <w:r>
        <w:rPr>
          <w:rFonts w:ascii="Arial" w:hAnsi="Arial" w:cs="Arial"/>
          <w:sz w:val="24"/>
          <w:szCs w:val="24"/>
        </w:rPr>
        <w:t xml:space="preserve">.  This </w:t>
      </w:r>
      <w:r w:rsidR="00AE4154" w:rsidRPr="0086422F">
        <w:rPr>
          <w:rFonts w:ascii="Arial" w:hAnsi="Arial" w:cs="Arial"/>
          <w:sz w:val="24"/>
          <w:szCs w:val="24"/>
        </w:rPr>
        <w:t>provide</w:t>
      </w:r>
      <w:r>
        <w:rPr>
          <w:rFonts w:ascii="Arial" w:hAnsi="Arial" w:cs="Arial"/>
          <w:sz w:val="24"/>
          <w:szCs w:val="24"/>
        </w:rPr>
        <w:t>s</w:t>
      </w:r>
      <w:r w:rsidR="00AE4154" w:rsidRPr="0086422F">
        <w:rPr>
          <w:rFonts w:ascii="Arial" w:hAnsi="Arial" w:cs="Arial"/>
          <w:sz w:val="24"/>
          <w:szCs w:val="24"/>
        </w:rPr>
        <w:t xml:space="preserve"> a forum for sharing and learning. The CoP is designed to bring people together, to build confidence and share expertise and experience in Quality Improvement practice. </w:t>
      </w:r>
      <w:r w:rsidR="00F76F83" w:rsidRPr="0086422F">
        <w:rPr>
          <w:rFonts w:ascii="Arial" w:hAnsi="Arial" w:cs="Arial"/>
          <w:sz w:val="24"/>
          <w:szCs w:val="24"/>
        </w:rPr>
        <w:t xml:space="preserve"> </w:t>
      </w:r>
      <w:r w:rsidR="00AE4154" w:rsidRPr="0086422F">
        <w:rPr>
          <w:rFonts w:ascii="Arial" w:hAnsi="Arial" w:cs="Arial"/>
          <w:sz w:val="24"/>
          <w:szCs w:val="24"/>
        </w:rPr>
        <w:t xml:space="preserve">A structured programme has been developed to facilitate face to face meetings and web based collaborative environments. </w:t>
      </w:r>
    </w:p>
    <w:p w14:paraId="4B9622E4" w14:textId="77777777" w:rsidR="00BC197E" w:rsidRPr="0086422F" w:rsidRDefault="00BC197E" w:rsidP="0086422F">
      <w:pPr>
        <w:pStyle w:val="ListParagraph"/>
        <w:ind w:left="0"/>
        <w:jc w:val="both"/>
        <w:rPr>
          <w:rFonts w:ascii="Arial" w:hAnsi="Arial" w:cs="Arial"/>
          <w:sz w:val="24"/>
          <w:szCs w:val="24"/>
        </w:rPr>
      </w:pPr>
      <w:bookmarkStart w:id="0" w:name="_GoBack"/>
      <w:bookmarkEnd w:id="0"/>
    </w:p>
    <w:p w14:paraId="59C5512E" w14:textId="094222E6" w:rsidR="00F76F83" w:rsidRDefault="00BC197E" w:rsidP="0086422F">
      <w:pPr>
        <w:pStyle w:val="ListParagraph"/>
        <w:ind w:left="0"/>
        <w:jc w:val="both"/>
        <w:rPr>
          <w:rFonts w:ascii="Arial" w:hAnsi="Arial" w:cs="Arial"/>
          <w:sz w:val="24"/>
          <w:szCs w:val="24"/>
        </w:rPr>
      </w:pPr>
      <w:r w:rsidRPr="0086422F">
        <w:rPr>
          <w:rFonts w:ascii="Arial" w:hAnsi="Arial" w:cs="Arial"/>
          <w:sz w:val="24"/>
          <w:szCs w:val="24"/>
        </w:rPr>
        <w:t>We c</w:t>
      </w:r>
      <w:r w:rsidR="00F76F83" w:rsidRPr="0086422F">
        <w:rPr>
          <w:rFonts w:ascii="Arial" w:hAnsi="Arial" w:cs="Arial"/>
          <w:sz w:val="24"/>
          <w:szCs w:val="24"/>
        </w:rPr>
        <w:t>ontinue to develop</w:t>
      </w:r>
      <w:r w:rsidRPr="0086422F">
        <w:rPr>
          <w:rFonts w:ascii="Arial" w:hAnsi="Arial" w:cs="Arial"/>
          <w:sz w:val="24"/>
          <w:szCs w:val="24"/>
        </w:rPr>
        <w:t xml:space="preserve"> a</w:t>
      </w:r>
      <w:r w:rsidR="00F76F83" w:rsidRPr="0086422F">
        <w:rPr>
          <w:rFonts w:ascii="Arial" w:hAnsi="Arial" w:cs="Arial"/>
          <w:sz w:val="24"/>
          <w:szCs w:val="24"/>
        </w:rPr>
        <w:t xml:space="preserve"> higher level of Quality Improvement </w:t>
      </w:r>
      <w:r w:rsidRPr="0086422F">
        <w:rPr>
          <w:rFonts w:ascii="Arial" w:hAnsi="Arial" w:cs="Arial"/>
          <w:sz w:val="24"/>
          <w:szCs w:val="24"/>
        </w:rPr>
        <w:t xml:space="preserve">(QI) </w:t>
      </w:r>
      <w:r w:rsidR="00F76F83" w:rsidRPr="0086422F">
        <w:rPr>
          <w:rFonts w:ascii="Arial" w:hAnsi="Arial" w:cs="Arial"/>
          <w:sz w:val="24"/>
          <w:szCs w:val="24"/>
        </w:rPr>
        <w:t>understanding in our workforce through Scottish Improvement Leadership qualification, supported by mentors within our organi</w:t>
      </w:r>
      <w:r w:rsidRPr="0086422F">
        <w:rPr>
          <w:rFonts w:ascii="Arial" w:hAnsi="Arial" w:cs="Arial"/>
          <w:sz w:val="24"/>
          <w:szCs w:val="24"/>
        </w:rPr>
        <w:t>s</w:t>
      </w:r>
      <w:r w:rsidR="00F76F83" w:rsidRPr="0086422F">
        <w:rPr>
          <w:rFonts w:ascii="Arial" w:hAnsi="Arial" w:cs="Arial"/>
          <w:sz w:val="24"/>
          <w:szCs w:val="24"/>
        </w:rPr>
        <w:t>ation to develop our QI culture.</w:t>
      </w:r>
      <w:r w:rsidRPr="0086422F">
        <w:rPr>
          <w:rFonts w:ascii="Arial" w:hAnsi="Arial" w:cs="Arial"/>
          <w:sz w:val="24"/>
          <w:szCs w:val="24"/>
        </w:rPr>
        <w:t xml:space="preserve"> Team based QI training is due to launch in 2024. </w:t>
      </w:r>
    </w:p>
    <w:p w14:paraId="49419A4F" w14:textId="6231C00B" w:rsidR="00D40F2B" w:rsidRDefault="00D40F2B" w:rsidP="0086422F">
      <w:pPr>
        <w:pStyle w:val="ListParagraph"/>
        <w:ind w:left="0"/>
        <w:jc w:val="both"/>
        <w:rPr>
          <w:rFonts w:ascii="Arial" w:hAnsi="Arial" w:cs="Arial"/>
          <w:sz w:val="24"/>
          <w:szCs w:val="24"/>
        </w:rPr>
      </w:pPr>
    </w:p>
    <w:p w14:paraId="2ECE906D" w14:textId="0D7C3265" w:rsidR="00D40F2B" w:rsidRPr="0086422F" w:rsidRDefault="00D40F2B" w:rsidP="00D40F2B">
      <w:pPr>
        <w:pStyle w:val="ListParagraph"/>
        <w:ind w:left="0"/>
        <w:jc w:val="both"/>
        <w:rPr>
          <w:rFonts w:ascii="Arial" w:hAnsi="Arial" w:cs="Arial"/>
          <w:sz w:val="24"/>
          <w:szCs w:val="24"/>
        </w:rPr>
      </w:pPr>
      <w:r>
        <w:rPr>
          <w:rFonts w:ascii="Arial" w:hAnsi="Arial" w:cs="Arial"/>
          <w:sz w:val="24"/>
          <w:szCs w:val="24"/>
        </w:rPr>
        <w:t xml:space="preserve">Finally, it is important for us to make sure that staff can give people the high quality care they expect. </w:t>
      </w:r>
      <w:r w:rsidRPr="00D40F2B">
        <w:rPr>
          <w:rFonts w:ascii="Arial" w:hAnsi="Arial" w:cs="Arial"/>
          <w:sz w:val="24"/>
          <w:szCs w:val="24"/>
        </w:rPr>
        <w:t>Our vision for quality is to reignite our intrinsic commitment to delivery of excellent high quality care that exceeds patient and carer expectations.</w:t>
      </w:r>
      <w:r>
        <w:rPr>
          <w:rFonts w:ascii="Arial" w:hAnsi="Arial" w:cs="Arial"/>
          <w:sz w:val="24"/>
          <w:szCs w:val="24"/>
        </w:rPr>
        <w:t xml:space="preserve"> </w:t>
      </w:r>
      <w:r w:rsidRPr="00D40F2B">
        <w:rPr>
          <w:rFonts w:ascii="Arial" w:hAnsi="Arial" w:cs="Arial"/>
          <w:sz w:val="24"/>
          <w:szCs w:val="24"/>
        </w:rPr>
        <w:t>To deliver this vision we recognise the importance of engaged and empowered patients</w:t>
      </w:r>
      <w:r>
        <w:rPr>
          <w:rFonts w:ascii="Arial" w:hAnsi="Arial" w:cs="Arial"/>
          <w:sz w:val="24"/>
          <w:szCs w:val="24"/>
        </w:rPr>
        <w:t xml:space="preserve"> </w:t>
      </w:r>
      <w:r w:rsidRPr="00D40F2B">
        <w:rPr>
          <w:rFonts w:ascii="Arial" w:hAnsi="Arial" w:cs="Arial"/>
          <w:sz w:val="24"/>
          <w:szCs w:val="24"/>
        </w:rPr>
        <w:t>and staff, who work together to improve the care we provide.</w:t>
      </w:r>
      <w:r>
        <w:rPr>
          <w:rFonts w:ascii="Arial" w:hAnsi="Arial" w:cs="Arial"/>
          <w:sz w:val="24"/>
          <w:szCs w:val="24"/>
        </w:rPr>
        <w:t xml:space="preserve">  </w:t>
      </w:r>
      <w:r w:rsidRPr="00D40F2B">
        <w:rPr>
          <w:rFonts w:ascii="Arial" w:hAnsi="Arial" w:cs="Arial"/>
          <w:sz w:val="24"/>
          <w:szCs w:val="24"/>
        </w:rPr>
        <w:t>We remain determined to improve and this commit</w:t>
      </w:r>
      <w:r>
        <w:rPr>
          <w:rFonts w:ascii="Arial" w:hAnsi="Arial" w:cs="Arial"/>
          <w:sz w:val="24"/>
          <w:szCs w:val="24"/>
        </w:rPr>
        <w:t xml:space="preserve">ment is embedded in our values of </w:t>
      </w:r>
      <w:r w:rsidRPr="00D40F2B">
        <w:rPr>
          <w:rFonts w:ascii="Arial" w:hAnsi="Arial" w:cs="Arial"/>
          <w:sz w:val="24"/>
          <w:szCs w:val="24"/>
        </w:rPr>
        <w:t>caring for each other, working together and always improving</w:t>
      </w:r>
      <w:r>
        <w:rPr>
          <w:rFonts w:ascii="Arial" w:hAnsi="Arial" w:cs="Arial"/>
          <w:sz w:val="24"/>
          <w:szCs w:val="24"/>
        </w:rPr>
        <w:t xml:space="preserve">.  </w:t>
      </w:r>
    </w:p>
    <w:p w14:paraId="01C82F13" w14:textId="77777777" w:rsidR="00BD6574" w:rsidRDefault="00BD6574" w:rsidP="0086422F">
      <w:pPr>
        <w:jc w:val="both"/>
        <w:rPr>
          <w:rFonts w:ascii="Arial" w:hAnsi="Arial" w:cs="Arial"/>
          <w:sz w:val="24"/>
          <w:szCs w:val="24"/>
        </w:rPr>
      </w:pPr>
    </w:p>
    <w:p w14:paraId="5D560DF6" w14:textId="2F17F521" w:rsidR="00BC2E9C" w:rsidRPr="0086422F" w:rsidRDefault="00C57C2F" w:rsidP="0086422F">
      <w:pPr>
        <w:jc w:val="both"/>
        <w:rPr>
          <w:rFonts w:ascii="Arial" w:hAnsi="Arial" w:cs="Arial"/>
          <w:sz w:val="24"/>
          <w:szCs w:val="24"/>
        </w:rPr>
      </w:pPr>
      <w:r>
        <w:rPr>
          <w:rFonts w:ascii="Arial" w:hAnsi="Arial" w:cs="Arial"/>
          <w:sz w:val="24"/>
          <w:szCs w:val="24"/>
        </w:rPr>
        <w:t xml:space="preserve">       </w:t>
      </w:r>
      <w:r w:rsidR="0046770C">
        <w:rPr>
          <w:rFonts w:ascii="Arial" w:hAnsi="Arial" w:cs="Arial"/>
          <w:sz w:val="24"/>
          <w:szCs w:val="24"/>
        </w:rPr>
        <w:t xml:space="preserve">    </w:t>
      </w:r>
      <w:r w:rsidR="0046770C">
        <w:rPr>
          <w:rFonts w:ascii="Arial" w:hAnsi="Arial" w:cs="Arial"/>
          <w:sz w:val="24"/>
          <w:szCs w:val="24"/>
        </w:rPr>
        <w:tab/>
      </w:r>
    </w:p>
    <w:sectPr w:rsidR="00BC2E9C" w:rsidRPr="0086422F">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66D4F3" w14:textId="77777777" w:rsidR="00E035D4" w:rsidRDefault="00E035D4" w:rsidP="00645099">
      <w:pPr>
        <w:spacing w:after="0" w:line="240" w:lineRule="auto"/>
      </w:pPr>
      <w:r>
        <w:separator/>
      </w:r>
    </w:p>
  </w:endnote>
  <w:endnote w:type="continuationSeparator" w:id="0">
    <w:p w14:paraId="4D0DDE13" w14:textId="77777777" w:rsidR="00E035D4" w:rsidRDefault="00E035D4" w:rsidP="006450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72942862"/>
      <w:docPartObj>
        <w:docPartGallery w:val="Page Numbers (Bottom of Page)"/>
        <w:docPartUnique/>
      </w:docPartObj>
    </w:sdtPr>
    <w:sdtEndPr>
      <w:rPr>
        <w:color w:val="7F7F7F" w:themeColor="background1" w:themeShade="7F"/>
        <w:spacing w:val="60"/>
      </w:rPr>
    </w:sdtEndPr>
    <w:sdtContent>
      <w:p w14:paraId="4D672A7F" w14:textId="192DBFF9" w:rsidR="00164D7B" w:rsidRDefault="00164D7B">
        <w:pPr>
          <w:pStyle w:val="Footer"/>
          <w:pBdr>
            <w:top w:val="single" w:sz="4" w:space="1" w:color="D9D9D9" w:themeColor="background1" w:themeShade="D9"/>
          </w:pBdr>
          <w:jc w:val="right"/>
        </w:pPr>
        <w:r>
          <w:fldChar w:fldCharType="begin"/>
        </w:r>
        <w:r>
          <w:instrText xml:space="preserve"> PAGE   \* MERGEFORMAT </w:instrText>
        </w:r>
        <w:r>
          <w:fldChar w:fldCharType="separate"/>
        </w:r>
        <w:r w:rsidR="00D40F2B">
          <w:rPr>
            <w:noProof/>
          </w:rPr>
          <w:t>8</w:t>
        </w:r>
        <w:r>
          <w:rPr>
            <w:noProof/>
          </w:rPr>
          <w:fldChar w:fldCharType="end"/>
        </w:r>
        <w:r>
          <w:t xml:space="preserve"> | </w:t>
        </w:r>
        <w:r>
          <w:rPr>
            <w:color w:val="7F7F7F" w:themeColor="background1" w:themeShade="7F"/>
            <w:spacing w:val="60"/>
          </w:rPr>
          <w:t>Page</w:t>
        </w:r>
      </w:p>
    </w:sdtContent>
  </w:sdt>
  <w:p w14:paraId="09D62687" w14:textId="77777777" w:rsidR="00B0173E" w:rsidRDefault="00B017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10C419" w14:textId="77777777" w:rsidR="00E035D4" w:rsidRDefault="00E035D4" w:rsidP="00645099">
      <w:pPr>
        <w:spacing w:after="0" w:line="240" w:lineRule="auto"/>
      </w:pPr>
      <w:r>
        <w:separator/>
      </w:r>
    </w:p>
  </w:footnote>
  <w:footnote w:type="continuationSeparator" w:id="0">
    <w:p w14:paraId="4103FBA1" w14:textId="77777777" w:rsidR="00E035D4" w:rsidRDefault="00E035D4" w:rsidP="0064509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B6CCE"/>
    <w:multiLevelType w:val="hybridMultilevel"/>
    <w:tmpl w:val="5DEEE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3F59D5"/>
    <w:multiLevelType w:val="hybridMultilevel"/>
    <w:tmpl w:val="336E8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EC7D04"/>
    <w:multiLevelType w:val="hybridMultilevel"/>
    <w:tmpl w:val="024EE94E"/>
    <w:lvl w:ilvl="0" w:tplc="802477D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9E192B"/>
    <w:multiLevelType w:val="hybridMultilevel"/>
    <w:tmpl w:val="9DDC9CB4"/>
    <w:lvl w:ilvl="0" w:tplc="1A4E74E2">
      <w:start w:val="1"/>
      <w:numFmt w:val="bullet"/>
      <w:lvlText w:val=""/>
      <w:lvlJc w:val="left"/>
      <w:pPr>
        <w:tabs>
          <w:tab w:val="num" w:pos="720"/>
        </w:tabs>
        <w:ind w:left="720" w:hanging="360"/>
      </w:pPr>
      <w:rPr>
        <w:rFonts w:ascii="Wingdings" w:hAnsi="Wingdings" w:hint="default"/>
      </w:rPr>
    </w:lvl>
    <w:lvl w:ilvl="1" w:tplc="65E45D94">
      <w:start w:val="1"/>
      <w:numFmt w:val="bullet"/>
      <w:lvlText w:val=""/>
      <w:lvlJc w:val="left"/>
      <w:pPr>
        <w:tabs>
          <w:tab w:val="num" w:pos="1440"/>
        </w:tabs>
        <w:ind w:left="1440" w:hanging="360"/>
      </w:pPr>
      <w:rPr>
        <w:rFonts w:ascii="Wingdings" w:hAnsi="Wingdings" w:hint="default"/>
      </w:rPr>
    </w:lvl>
    <w:lvl w:ilvl="2" w:tplc="5FEA2278" w:tentative="1">
      <w:start w:val="1"/>
      <w:numFmt w:val="bullet"/>
      <w:lvlText w:val=""/>
      <w:lvlJc w:val="left"/>
      <w:pPr>
        <w:tabs>
          <w:tab w:val="num" w:pos="2160"/>
        </w:tabs>
        <w:ind w:left="2160" w:hanging="360"/>
      </w:pPr>
      <w:rPr>
        <w:rFonts w:ascii="Wingdings" w:hAnsi="Wingdings" w:hint="default"/>
      </w:rPr>
    </w:lvl>
    <w:lvl w:ilvl="3" w:tplc="DFD44802" w:tentative="1">
      <w:start w:val="1"/>
      <w:numFmt w:val="bullet"/>
      <w:lvlText w:val=""/>
      <w:lvlJc w:val="left"/>
      <w:pPr>
        <w:tabs>
          <w:tab w:val="num" w:pos="2880"/>
        </w:tabs>
        <w:ind w:left="2880" w:hanging="360"/>
      </w:pPr>
      <w:rPr>
        <w:rFonts w:ascii="Wingdings" w:hAnsi="Wingdings" w:hint="default"/>
      </w:rPr>
    </w:lvl>
    <w:lvl w:ilvl="4" w:tplc="D77AF142" w:tentative="1">
      <w:start w:val="1"/>
      <w:numFmt w:val="bullet"/>
      <w:lvlText w:val=""/>
      <w:lvlJc w:val="left"/>
      <w:pPr>
        <w:tabs>
          <w:tab w:val="num" w:pos="3600"/>
        </w:tabs>
        <w:ind w:left="3600" w:hanging="360"/>
      </w:pPr>
      <w:rPr>
        <w:rFonts w:ascii="Wingdings" w:hAnsi="Wingdings" w:hint="default"/>
      </w:rPr>
    </w:lvl>
    <w:lvl w:ilvl="5" w:tplc="F970E86A" w:tentative="1">
      <w:start w:val="1"/>
      <w:numFmt w:val="bullet"/>
      <w:lvlText w:val=""/>
      <w:lvlJc w:val="left"/>
      <w:pPr>
        <w:tabs>
          <w:tab w:val="num" w:pos="4320"/>
        </w:tabs>
        <w:ind w:left="4320" w:hanging="360"/>
      </w:pPr>
      <w:rPr>
        <w:rFonts w:ascii="Wingdings" w:hAnsi="Wingdings" w:hint="default"/>
      </w:rPr>
    </w:lvl>
    <w:lvl w:ilvl="6" w:tplc="D7465784" w:tentative="1">
      <w:start w:val="1"/>
      <w:numFmt w:val="bullet"/>
      <w:lvlText w:val=""/>
      <w:lvlJc w:val="left"/>
      <w:pPr>
        <w:tabs>
          <w:tab w:val="num" w:pos="5040"/>
        </w:tabs>
        <w:ind w:left="5040" w:hanging="360"/>
      </w:pPr>
      <w:rPr>
        <w:rFonts w:ascii="Wingdings" w:hAnsi="Wingdings" w:hint="default"/>
      </w:rPr>
    </w:lvl>
    <w:lvl w:ilvl="7" w:tplc="B6E025F2" w:tentative="1">
      <w:start w:val="1"/>
      <w:numFmt w:val="bullet"/>
      <w:lvlText w:val=""/>
      <w:lvlJc w:val="left"/>
      <w:pPr>
        <w:tabs>
          <w:tab w:val="num" w:pos="5760"/>
        </w:tabs>
        <w:ind w:left="5760" w:hanging="360"/>
      </w:pPr>
      <w:rPr>
        <w:rFonts w:ascii="Wingdings" w:hAnsi="Wingdings" w:hint="default"/>
      </w:rPr>
    </w:lvl>
    <w:lvl w:ilvl="8" w:tplc="3AAE8426"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66422FA"/>
    <w:multiLevelType w:val="hybridMultilevel"/>
    <w:tmpl w:val="36BAE6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C0530E1"/>
    <w:multiLevelType w:val="hybridMultilevel"/>
    <w:tmpl w:val="5CBCECFA"/>
    <w:lvl w:ilvl="0" w:tplc="97E6EF2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BD105D"/>
    <w:multiLevelType w:val="hybridMultilevel"/>
    <w:tmpl w:val="EA28A712"/>
    <w:lvl w:ilvl="0" w:tplc="FF2A914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ED36D8"/>
    <w:multiLevelType w:val="hybridMultilevel"/>
    <w:tmpl w:val="6A64F038"/>
    <w:lvl w:ilvl="0" w:tplc="0940492C">
      <w:start w:val="8"/>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2E64A7"/>
    <w:multiLevelType w:val="hybridMultilevel"/>
    <w:tmpl w:val="43EE4D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1263EE"/>
    <w:multiLevelType w:val="hybridMultilevel"/>
    <w:tmpl w:val="27425688"/>
    <w:lvl w:ilvl="0" w:tplc="1CFAF156">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6DB2AB3"/>
    <w:multiLevelType w:val="hybridMultilevel"/>
    <w:tmpl w:val="4F6C3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2E4348"/>
    <w:multiLevelType w:val="hybridMultilevel"/>
    <w:tmpl w:val="D768414A"/>
    <w:lvl w:ilvl="0" w:tplc="97E6EF2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0547C5B"/>
    <w:multiLevelType w:val="hybridMultilevel"/>
    <w:tmpl w:val="F5185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854717"/>
    <w:multiLevelType w:val="hybridMultilevel"/>
    <w:tmpl w:val="FE84B46A"/>
    <w:lvl w:ilvl="0" w:tplc="BCBAB0CA">
      <w:start w:val="1"/>
      <w:numFmt w:val="bullet"/>
      <w:lvlText w:val="•"/>
      <w:lvlJc w:val="left"/>
      <w:pPr>
        <w:tabs>
          <w:tab w:val="num" w:pos="720"/>
        </w:tabs>
        <w:ind w:left="720" w:hanging="360"/>
      </w:pPr>
      <w:rPr>
        <w:rFonts w:ascii="Arial" w:hAnsi="Arial" w:hint="default"/>
      </w:rPr>
    </w:lvl>
    <w:lvl w:ilvl="1" w:tplc="E56AB06E" w:tentative="1">
      <w:start w:val="1"/>
      <w:numFmt w:val="bullet"/>
      <w:lvlText w:val="•"/>
      <w:lvlJc w:val="left"/>
      <w:pPr>
        <w:tabs>
          <w:tab w:val="num" w:pos="1440"/>
        </w:tabs>
        <w:ind w:left="1440" w:hanging="360"/>
      </w:pPr>
      <w:rPr>
        <w:rFonts w:ascii="Arial" w:hAnsi="Arial" w:hint="default"/>
      </w:rPr>
    </w:lvl>
    <w:lvl w:ilvl="2" w:tplc="109A4DF8" w:tentative="1">
      <w:start w:val="1"/>
      <w:numFmt w:val="bullet"/>
      <w:lvlText w:val="•"/>
      <w:lvlJc w:val="left"/>
      <w:pPr>
        <w:tabs>
          <w:tab w:val="num" w:pos="2160"/>
        </w:tabs>
        <w:ind w:left="2160" w:hanging="360"/>
      </w:pPr>
      <w:rPr>
        <w:rFonts w:ascii="Arial" w:hAnsi="Arial" w:hint="default"/>
      </w:rPr>
    </w:lvl>
    <w:lvl w:ilvl="3" w:tplc="9968C6CA" w:tentative="1">
      <w:start w:val="1"/>
      <w:numFmt w:val="bullet"/>
      <w:lvlText w:val="•"/>
      <w:lvlJc w:val="left"/>
      <w:pPr>
        <w:tabs>
          <w:tab w:val="num" w:pos="2880"/>
        </w:tabs>
        <w:ind w:left="2880" w:hanging="360"/>
      </w:pPr>
      <w:rPr>
        <w:rFonts w:ascii="Arial" w:hAnsi="Arial" w:hint="default"/>
      </w:rPr>
    </w:lvl>
    <w:lvl w:ilvl="4" w:tplc="E55CBC02" w:tentative="1">
      <w:start w:val="1"/>
      <w:numFmt w:val="bullet"/>
      <w:lvlText w:val="•"/>
      <w:lvlJc w:val="left"/>
      <w:pPr>
        <w:tabs>
          <w:tab w:val="num" w:pos="3600"/>
        </w:tabs>
        <w:ind w:left="3600" w:hanging="360"/>
      </w:pPr>
      <w:rPr>
        <w:rFonts w:ascii="Arial" w:hAnsi="Arial" w:hint="default"/>
      </w:rPr>
    </w:lvl>
    <w:lvl w:ilvl="5" w:tplc="22B4AA92" w:tentative="1">
      <w:start w:val="1"/>
      <w:numFmt w:val="bullet"/>
      <w:lvlText w:val="•"/>
      <w:lvlJc w:val="left"/>
      <w:pPr>
        <w:tabs>
          <w:tab w:val="num" w:pos="4320"/>
        </w:tabs>
        <w:ind w:left="4320" w:hanging="360"/>
      </w:pPr>
      <w:rPr>
        <w:rFonts w:ascii="Arial" w:hAnsi="Arial" w:hint="default"/>
      </w:rPr>
    </w:lvl>
    <w:lvl w:ilvl="6" w:tplc="2C38E386" w:tentative="1">
      <w:start w:val="1"/>
      <w:numFmt w:val="bullet"/>
      <w:lvlText w:val="•"/>
      <w:lvlJc w:val="left"/>
      <w:pPr>
        <w:tabs>
          <w:tab w:val="num" w:pos="5040"/>
        </w:tabs>
        <w:ind w:left="5040" w:hanging="360"/>
      </w:pPr>
      <w:rPr>
        <w:rFonts w:ascii="Arial" w:hAnsi="Arial" w:hint="default"/>
      </w:rPr>
    </w:lvl>
    <w:lvl w:ilvl="7" w:tplc="066CA858" w:tentative="1">
      <w:start w:val="1"/>
      <w:numFmt w:val="bullet"/>
      <w:lvlText w:val="•"/>
      <w:lvlJc w:val="left"/>
      <w:pPr>
        <w:tabs>
          <w:tab w:val="num" w:pos="5760"/>
        </w:tabs>
        <w:ind w:left="5760" w:hanging="360"/>
      </w:pPr>
      <w:rPr>
        <w:rFonts w:ascii="Arial" w:hAnsi="Arial" w:hint="default"/>
      </w:rPr>
    </w:lvl>
    <w:lvl w:ilvl="8" w:tplc="E4A4FD1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51B026A1"/>
    <w:multiLevelType w:val="hybridMultilevel"/>
    <w:tmpl w:val="71B2236E"/>
    <w:lvl w:ilvl="0" w:tplc="A6269462">
      <w:start w:val="1"/>
      <w:numFmt w:val="bullet"/>
      <w:lvlText w:val="-"/>
      <w:lvlJc w:val="left"/>
      <w:pPr>
        <w:tabs>
          <w:tab w:val="num" w:pos="720"/>
        </w:tabs>
        <w:ind w:left="720" w:hanging="360"/>
      </w:pPr>
      <w:rPr>
        <w:rFonts w:ascii="Times New Roman" w:hAnsi="Times New Roman" w:hint="default"/>
      </w:rPr>
    </w:lvl>
    <w:lvl w:ilvl="1" w:tplc="21029086" w:tentative="1">
      <w:start w:val="1"/>
      <w:numFmt w:val="bullet"/>
      <w:lvlText w:val="-"/>
      <w:lvlJc w:val="left"/>
      <w:pPr>
        <w:tabs>
          <w:tab w:val="num" w:pos="1440"/>
        </w:tabs>
        <w:ind w:left="1440" w:hanging="360"/>
      </w:pPr>
      <w:rPr>
        <w:rFonts w:ascii="Times New Roman" w:hAnsi="Times New Roman" w:hint="default"/>
      </w:rPr>
    </w:lvl>
    <w:lvl w:ilvl="2" w:tplc="E2B832EC" w:tentative="1">
      <w:start w:val="1"/>
      <w:numFmt w:val="bullet"/>
      <w:lvlText w:val="-"/>
      <w:lvlJc w:val="left"/>
      <w:pPr>
        <w:tabs>
          <w:tab w:val="num" w:pos="2160"/>
        </w:tabs>
        <w:ind w:left="2160" w:hanging="360"/>
      </w:pPr>
      <w:rPr>
        <w:rFonts w:ascii="Times New Roman" w:hAnsi="Times New Roman" w:hint="default"/>
      </w:rPr>
    </w:lvl>
    <w:lvl w:ilvl="3" w:tplc="088C25E2" w:tentative="1">
      <w:start w:val="1"/>
      <w:numFmt w:val="bullet"/>
      <w:lvlText w:val="-"/>
      <w:lvlJc w:val="left"/>
      <w:pPr>
        <w:tabs>
          <w:tab w:val="num" w:pos="2880"/>
        </w:tabs>
        <w:ind w:left="2880" w:hanging="360"/>
      </w:pPr>
      <w:rPr>
        <w:rFonts w:ascii="Times New Roman" w:hAnsi="Times New Roman" w:hint="default"/>
      </w:rPr>
    </w:lvl>
    <w:lvl w:ilvl="4" w:tplc="A244B6C6" w:tentative="1">
      <w:start w:val="1"/>
      <w:numFmt w:val="bullet"/>
      <w:lvlText w:val="-"/>
      <w:lvlJc w:val="left"/>
      <w:pPr>
        <w:tabs>
          <w:tab w:val="num" w:pos="3600"/>
        </w:tabs>
        <w:ind w:left="3600" w:hanging="360"/>
      </w:pPr>
      <w:rPr>
        <w:rFonts w:ascii="Times New Roman" w:hAnsi="Times New Roman" w:hint="default"/>
      </w:rPr>
    </w:lvl>
    <w:lvl w:ilvl="5" w:tplc="3A10F330" w:tentative="1">
      <w:start w:val="1"/>
      <w:numFmt w:val="bullet"/>
      <w:lvlText w:val="-"/>
      <w:lvlJc w:val="left"/>
      <w:pPr>
        <w:tabs>
          <w:tab w:val="num" w:pos="4320"/>
        </w:tabs>
        <w:ind w:left="4320" w:hanging="360"/>
      </w:pPr>
      <w:rPr>
        <w:rFonts w:ascii="Times New Roman" w:hAnsi="Times New Roman" w:hint="default"/>
      </w:rPr>
    </w:lvl>
    <w:lvl w:ilvl="6" w:tplc="2A264170" w:tentative="1">
      <w:start w:val="1"/>
      <w:numFmt w:val="bullet"/>
      <w:lvlText w:val="-"/>
      <w:lvlJc w:val="left"/>
      <w:pPr>
        <w:tabs>
          <w:tab w:val="num" w:pos="5040"/>
        </w:tabs>
        <w:ind w:left="5040" w:hanging="360"/>
      </w:pPr>
      <w:rPr>
        <w:rFonts w:ascii="Times New Roman" w:hAnsi="Times New Roman" w:hint="default"/>
      </w:rPr>
    </w:lvl>
    <w:lvl w:ilvl="7" w:tplc="B964A0E4" w:tentative="1">
      <w:start w:val="1"/>
      <w:numFmt w:val="bullet"/>
      <w:lvlText w:val="-"/>
      <w:lvlJc w:val="left"/>
      <w:pPr>
        <w:tabs>
          <w:tab w:val="num" w:pos="5760"/>
        </w:tabs>
        <w:ind w:left="5760" w:hanging="360"/>
      </w:pPr>
      <w:rPr>
        <w:rFonts w:ascii="Times New Roman" w:hAnsi="Times New Roman" w:hint="default"/>
      </w:rPr>
    </w:lvl>
    <w:lvl w:ilvl="8" w:tplc="B2B67692"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533B45FA"/>
    <w:multiLevelType w:val="hybridMultilevel"/>
    <w:tmpl w:val="A0B4877C"/>
    <w:lvl w:ilvl="0" w:tplc="1234D47E">
      <w:start w:val="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3C70B0"/>
    <w:multiLevelType w:val="hybridMultilevel"/>
    <w:tmpl w:val="1FE29E98"/>
    <w:lvl w:ilvl="0" w:tplc="97E6EF20">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B433B41"/>
    <w:multiLevelType w:val="hybridMultilevel"/>
    <w:tmpl w:val="C1BAA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C45F88"/>
    <w:multiLevelType w:val="hybridMultilevel"/>
    <w:tmpl w:val="6FB870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A068E6"/>
    <w:multiLevelType w:val="hybridMultilevel"/>
    <w:tmpl w:val="14D69454"/>
    <w:lvl w:ilvl="0" w:tplc="97E6EF20">
      <w:numFmt w:val="bullet"/>
      <w:lvlText w:val="-"/>
      <w:lvlJc w:val="left"/>
      <w:pPr>
        <w:ind w:left="720" w:hanging="360"/>
      </w:pPr>
      <w:rPr>
        <w:rFonts w:ascii="Arial" w:eastAsiaTheme="minorHAnsi" w:hAnsi="Arial" w:cs="Aria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2D77530"/>
    <w:multiLevelType w:val="hybridMultilevel"/>
    <w:tmpl w:val="2D1ACC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7AF4F12"/>
    <w:multiLevelType w:val="hybridMultilevel"/>
    <w:tmpl w:val="F41800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E9020F2"/>
    <w:multiLevelType w:val="hybridMultilevel"/>
    <w:tmpl w:val="F1803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15"/>
  </w:num>
  <w:num w:numId="4">
    <w:abstractNumId w:val="17"/>
  </w:num>
  <w:num w:numId="5">
    <w:abstractNumId w:val="18"/>
  </w:num>
  <w:num w:numId="6">
    <w:abstractNumId w:val="4"/>
  </w:num>
  <w:num w:numId="7">
    <w:abstractNumId w:val="10"/>
  </w:num>
  <w:num w:numId="8">
    <w:abstractNumId w:val="8"/>
  </w:num>
  <w:num w:numId="9">
    <w:abstractNumId w:val="0"/>
  </w:num>
  <w:num w:numId="10">
    <w:abstractNumId w:val="20"/>
  </w:num>
  <w:num w:numId="11">
    <w:abstractNumId w:val="12"/>
  </w:num>
  <w:num w:numId="12">
    <w:abstractNumId w:val="16"/>
  </w:num>
  <w:num w:numId="13">
    <w:abstractNumId w:val="11"/>
  </w:num>
  <w:num w:numId="14">
    <w:abstractNumId w:val="22"/>
  </w:num>
  <w:num w:numId="15">
    <w:abstractNumId w:val="1"/>
  </w:num>
  <w:num w:numId="16">
    <w:abstractNumId w:val="6"/>
  </w:num>
  <w:num w:numId="17">
    <w:abstractNumId w:val="7"/>
  </w:num>
  <w:num w:numId="18">
    <w:abstractNumId w:val="21"/>
  </w:num>
  <w:num w:numId="19">
    <w:abstractNumId w:val="9"/>
  </w:num>
  <w:num w:numId="20">
    <w:abstractNumId w:val="2"/>
  </w:num>
  <w:num w:numId="21">
    <w:abstractNumId w:val="3"/>
  </w:num>
  <w:num w:numId="22">
    <w:abstractNumId w:val="13"/>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020D"/>
    <w:rsid w:val="000559F1"/>
    <w:rsid w:val="000660D7"/>
    <w:rsid w:val="00091B77"/>
    <w:rsid w:val="000A671C"/>
    <w:rsid w:val="000C56DA"/>
    <w:rsid w:val="000D464B"/>
    <w:rsid w:val="00113657"/>
    <w:rsid w:val="00133912"/>
    <w:rsid w:val="00150895"/>
    <w:rsid w:val="00164D7B"/>
    <w:rsid w:val="001B6252"/>
    <w:rsid w:val="00226B68"/>
    <w:rsid w:val="0023209D"/>
    <w:rsid w:val="00232C77"/>
    <w:rsid w:val="00236580"/>
    <w:rsid w:val="002567D9"/>
    <w:rsid w:val="0026352D"/>
    <w:rsid w:val="00287E90"/>
    <w:rsid w:val="002A4D72"/>
    <w:rsid w:val="002A64B8"/>
    <w:rsid w:val="002A7023"/>
    <w:rsid w:val="002E1151"/>
    <w:rsid w:val="002E18AD"/>
    <w:rsid w:val="00331977"/>
    <w:rsid w:val="00331A95"/>
    <w:rsid w:val="00341EDF"/>
    <w:rsid w:val="00347899"/>
    <w:rsid w:val="00350663"/>
    <w:rsid w:val="00362EFC"/>
    <w:rsid w:val="003A4696"/>
    <w:rsid w:val="003A7CC9"/>
    <w:rsid w:val="003B2A2B"/>
    <w:rsid w:val="003C723F"/>
    <w:rsid w:val="003F6617"/>
    <w:rsid w:val="00406572"/>
    <w:rsid w:val="004219A5"/>
    <w:rsid w:val="00426588"/>
    <w:rsid w:val="00443B8A"/>
    <w:rsid w:val="0046289E"/>
    <w:rsid w:val="00465DE3"/>
    <w:rsid w:val="0046770C"/>
    <w:rsid w:val="00470AB2"/>
    <w:rsid w:val="00474161"/>
    <w:rsid w:val="004A0897"/>
    <w:rsid w:val="004C7C8B"/>
    <w:rsid w:val="004E574E"/>
    <w:rsid w:val="00504259"/>
    <w:rsid w:val="00530FE5"/>
    <w:rsid w:val="0053195E"/>
    <w:rsid w:val="00544363"/>
    <w:rsid w:val="00544A65"/>
    <w:rsid w:val="00556B96"/>
    <w:rsid w:val="00570638"/>
    <w:rsid w:val="00573ADD"/>
    <w:rsid w:val="00597D27"/>
    <w:rsid w:val="005C2472"/>
    <w:rsid w:val="005D0162"/>
    <w:rsid w:val="005E09F8"/>
    <w:rsid w:val="00645099"/>
    <w:rsid w:val="0065596F"/>
    <w:rsid w:val="00675271"/>
    <w:rsid w:val="006D7A1E"/>
    <w:rsid w:val="007144E6"/>
    <w:rsid w:val="00726977"/>
    <w:rsid w:val="007524FD"/>
    <w:rsid w:val="00780222"/>
    <w:rsid w:val="007B53BB"/>
    <w:rsid w:val="007C2C7C"/>
    <w:rsid w:val="00822AD4"/>
    <w:rsid w:val="00831521"/>
    <w:rsid w:val="00833E93"/>
    <w:rsid w:val="00843812"/>
    <w:rsid w:val="00845322"/>
    <w:rsid w:val="00862A4E"/>
    <w:rsid w:val="0086422F"/>
    <w:rsid w:val="00872F43"/>
    <w:rsid w:val="008A17CC"/>
    <w:rsid w:val="008A245C"/>
    <w:rsid w:val="008C31FA"/>
    <w:rsid w:val="008D2151"/>
    <w:rsid w:val="008F286E"/>
    <w:rsid w:val="008F38CE"/>
    <w:rsid w:val="009342B3"/>
    <w:rsid w:val="009427DD"/>
    <w:rsid w:val="009468E5"/>
    <w:rsid w:val="00947E61"/>
    <w:rsid w:val="0099580C"/>
    <w:rsid w:val="0099682E"/>
    <w:rsid w:val="009B1BD6"/>
    <w:rsid w:val="00A008F5"/>
    <w:rsid w:val="00A17A45"/>
    <w:rsid w:val="00A35F8A"/>
    <w:rsid w:val="00A37B43"/>
    <w:rsid w:val="00A4465E"/>
    <w:rsid w:val="00A74689"/>
    <w:rsid w:val="00A85744"/>
    <w:rsid w:val="00A86866"/>
    <w:rsid w:val="00A87B15"/>
    <w:rsid w:val="00A87FF4"/>
    <w:rsid w:val="00A931FC"/>
    <w:rsid w:val="00AA2B78"/>
    <w:rsid w:val="00AD4083"/>
    <w:rsid w:val="00AE4154"/>
    <w:rsid w:val="00AF5840"/>
    <w:rsid w:val="00AF6756"/>
    <w:rsid w:val="00B0173E"/>
    <w:rsid w:val="00B21546"/>
    <w:rsid w:val="00B40305"/>
    <w:rsid w:val="00B46607"/>
    <w:rsid w:val="00B52813"/>
    <w:rsid w:val="00B840BC"/>
    <w:rsid w:val="00B866BC"/>
    <w:rsid w:val="00B929DF"/>
    <w:rsid w:val="00B93911"/>
    <w:rsid w:val="00BC197E"/>
    <w:rsid w:val="00BC2E9C"/>
    <w:rsid w:val="00BD6574"/>
    <w:rsid w:val="00BE1335"/>
    <w:rsid w:val="00C07DDD"/>
    <w:rsid w:val="00C24BF5"/>
    <w:rsid w:val="00C3743B"/>
    <w:rsid w:val="00C42BC0"/>
    <w:rsid w:val="00C57C2F"/>
    <w:rsid w:val="00C674C7"/>
    <w:rsid w:val="00C80E92"/>
    <w:rsid w:val="00CB4031"/>
    <w:rsid w:val="00CD53B4"/>
    <w:rsid w:val="00CF1AC4"/>
    <w:rsid w:val="00D057D8"/>
    <w:rsid w:val="00D119D7"/>
    <w:rsid w:val="00D12115"/>
    <w:rsid w:val="00D3290F"/>
    <w:rsid w:val="00D3415D"/>
    <w:rsid w:val="00D40F2B"/>
    <w:rsid w:val="00DA1570"/>
    <w:rsid w:val="00DD6557"/>
    <w:rsid w:val="00E035D4"/>
    <w:rsid w:val="00E05E0A"/>
    <w:rsid w:val="00E300C2"/>
    <w:rsid w:val="00E425D7"/>
    <w:rsid w:val="00E5020D"/>
    <w:rsid w:val="00E5615C"/>
    <w:rsid w:val="00E57C6F"/>
    <w:rsid w:val="00F01D18"/>
    <w:rsid w:val="00F112B8"/>
    <w:rsid w:val="00F210C4"/>
    <w:rsid w:val="00F34D69"/>
    <w:rsid w:val="00F66526"/>
    <w:rsid w:val="00F76076"/>
    <w:rsid w:val="00F76F83"/>
    <w:rsid w:val="00F907A5"/>
    <w:rsid w:val="00FD3C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B91CB0"/>
  <w15:chartTrackingRefBased/>
  <w15:docId w15:val="{298145B9-865A-4F7F-A5EF-EEC1CFA67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L,Dot pt,No Spacing1,List Paragraph Char Char Char,Indicator Text,Numbered Para 1,Bullet Points,MAIN CONTENT,Bullet 1,List Paragraph11,List Paragraph12,OBC Bullet,Colorful List - Accent 11,Bullet Style,B"/>
    <w:basedOn w:val="Normal"/>
    <w:link w:val="ListParagraphChar"/>
    <w:uiPriority w:val="34"/>
    <w:qFormat/>
    <w:rsid w:val="003C723F"/>
    <w:pPr>
      <w:ind w:left="720"/>
      <w:contextualSpacing/>
    </w:pPr>
  </w:style>
  <w:style w:type="table" w:styleId="TableGrid">
    <w:name w:val="Table Grid"/>
    <w:basedOn w:val="TableNormal"/>
    <w:uiPriority w:val="39"/>
    <w:rsid w:val="002A4D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365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6580"/>
    <w:rPr>
      <w:rFonts w:ascii="Segoe UI" w:hAnsi="Segoe UI" w:cs="Segoe UI"/>
      <w:sz w:val="18"/>
      <w:szCs w:val="18"/>
    </w:rPr>
  </w:style>
  <w:style w:type="character" w:styleId="CommentReference">
    <w:name w:val="annotation reference"/>
    <w:basedOn w:val="DefaultParagraphFont"/>
    <w:uiPriority w:val="99"/>
    <w:semiHidden/>
    <w:unhideWhenUsed/>
    <w:rsid w:val="00947E61"/>
    <w:rPr>
      <w:sz w:val="16"/>
      <w:szCs w:val="16"/>
    </w:rPr>
  </w:style>
  <w:style w:type="paragraph" w:styleId="CommentText">
    <w:name w:val="annotation text"/>
    <w:basedOn w:val="Normal"/>
    <w:link w:val="CommentTextChar"/>
    <w:uiPriority w:val="99"/>
    <w:semiHidden/>
    <w:unhideWhenUsed/>
    <w:rsid w:val="00947E61"/>
    <w:pPr>
      <w:spacing w:line="240" w:lineRule="auto"/>
    </w:pPr>
    <w:rPr>
      <w:sz w:val="20"/>
      <w:szCs w:val="20"/>
    </w:rPr>
  </w:style>
  <w:style w:type="character" w:customStyle="1" w:styleId="CommentTextChar">
    <w:name w:val="Comment Text Char"/>
    <w:basedOn w:val="DefaultParagraphFont"/>
    <w:link w:val="CommentText"/>
    <w:uiPriority w:val="99"/>
    <w:semiHidden/>
    <w:rsid w:val="00947E61"/>
    <w:rPr>
      <w:sz w:val="20"/>
      <w:szCs w:val="20"/>
    </w:rPr>
  </w:style>
  <w:style w:type="paragraph" w:styleId="CommentSubject">
    <w:name w:val="annotation subject"/>
    <w:basedOn w:val="CommentText"/>
    <w:next w:val="CommentText"/>
    <w:link w:val="CommentSubjectChar"/>
    <w:uiPriority w:val="99"/>
    <w:semiHidden/>
    <w:unhideWhenUsed/>
    <w:rsid w:val="00947E61"/>
    <w:rPr>
      <w:b/>
      <w:bCs/>
    </w:rPr>
  </w:style>
  <w:style w:type="character" w:customStyle="1" w:styleId="CommentSubjectChar">
    <w:name w:val="Comment Subject Char"/>
    <w:basedOn w:val="CommentTextChar"/>
    <w:link w:val="CommentSubject"/>
    <w:uiPriority w:val="99"/>
    <w:semiHidden/>
    <w:rsid w:val="00947E61"/>
    <w:rPr>
      <w:b/>
      <w:bCs/>
      <w:sz w:val="20"/>
      <w:szCs w:val="20"/>
    </w:rPr>
  </w:style>
  <w:style w:type="paragraph" w:styleId="Header">
    <w:name w:val="header"/>
    <w:basedOn w:val="Normal"/>
    <w:link w:val="HeaderChar"/>
    <w:uiPriority w:val="99"/>
    <w:unhideWhenUsed/>
    <w:rsid w:val="0064509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45099"/>
  </w:style>
  <w:style w:type="paragraph" w:styleId="Footer">
    <w:name w:val="footer"/>
    <w:basedOn w:val="Normal"/>
    <w:link w:val="FooterChar"/>
    <w:uiPriority w:val="99"/>
    <w:unhideWhenUsed/>
    <w:rsid w:val="00645099"/>
    <w:pPr>
      <w:tabs>
        <w:tab w:val="center" w:pos="4513"/>
        <w:tab w:val="right" w:pos="9026"/>
      </w:tabs>
      <w:spacing w:after="0" w:line="240" w:lineRule="auto"/>
    </w:pPr>
  </w:style>
  <w:style w:type="character" w:customStyle="1" w:styleId="FooterChar">
    <w:name w:val="Footer Char"/>
    <w:basedOn w:val="DefaultParagraphFont"/>
    <w:link w:val="Footer"/>
    <w:uiPriority w:val="99"/>
    <w:rsid w:val="00645099"/>
  </w:style>
  <w:style w:type="paragraph" w:styleId="Revision">
    <w:name w:val="Revision"/>
    <w:hidden/>
    <w:uiPriority w:val="99"/>
    <w:semiHidden/>
    <w:rsid w:val="00CD53B4"/>
    <w:pPr>
      <w:spacing w:after="0" w:line="240" w:lineRule="auto"/>
    </w:pPr>
  </w:style>
  <w:style w:type="character" w:customStyle="1" w:styleId="ListParagraphChar">
    <w:name w:val="List Paragraph Char"/>
    <w:aliases w:val="F5 List Paragraph Char,List Paragraph1 Char,L Char,Dot pt Char,No Spacing1 Char,List Paragraph Char Char Char Char,Indicator Text Char,Numbered Para 1 Char,Bullet Points Char,MAIN CONTENT Char,Bullet 1 Char,List Paragraph11 Char"/>
    <w:basedOn w:val="DefaultParagraphFont"/>
    <w:link w:val="ListParagraph"/>
    <w:uiPriority w:val="34"/>
    <w:qFormat/>
    <w:locked/>
    <w:rsid w:val="000C56DA"/>
  </w:style>
  <w:style w:type="paragraph" w:styleId="NoSpacing">
    <w:name w:val="No Spacing"/>
    <w:uiPriority w:val="1"/>
    <w:qFormat/>
    <w:rsid w:val="000C56DA"/>
    <w:pPr>
      <w:spacing w:after="0" w:line="240" w:lineRule="auto"/>
    </w:pPr>
  </w:style>
  <w:style w:type="character" w:styleId="Strong">
    <w:name w:val="Strong"/>
    <w:basedOn w:val="DefaultParagraphFont"/>
    <w:uiPriority w:val="22"/>
    <w:qFormat/>
    <w:rsid w:val="00164D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699917">
      <w:bodyDiv w:val="1"/>
      <w:marLeft w:val="0"/>
      <w:marRight w:val="0"/>
      <w:marTop w:val="0"/>
      <w:marBottom w:val="0"/>
      <w:divBdr>
        <w:top w:val="none" w:sz="0" w:space="0" w:color="auto"/>
        <w:left w:val="none" w:sz="0" w:space="0" w:color="auto"/>
        <w:bottom w:val="none" w:sz="0" w:space="0" w:color="auto"/>
        <w:right w:val="none" w:sz="0" w:space="0" w:color="auto"/>
      </w:divBdr>
    </w:div>
    <w:div w:id="621615240">
      <w:bodyDiv w:val="1"/>
      <w:marLeft w:val="0"/>
      <w:marRight w:val="0"/>
      <w:marTop w:val="0"/>
      <w:marBottom w:val="0"/>
      <w:divBdr>
        <w:top w:val="none" w:sz="0" w:space="0" w:color="auto"/>
        <w:left w:val="none" w:sz="0" w:space="0" w:color="auto"/>
        <w:bottom w:val="none" w:sz="0" w:space="0" w:color="auto"/>
        <w:right w:val="none" w:sz="0" w:space="0" w:color="auto"/>
      </w:divBdr>
    </w:div>
    <w:div w:id="661812067">
      <w:bodyDiv w:val="1"/>
      <w:marLeft w:val="0"/>
      <w:marRight w:val="0"/>
      <w:marTop w:val="0"/>
      <w:marBottom w:val="0"/>
      <w:divBdr>
        <w:top w:val="none" w:sz="0" w:space="0" w:color="auto"/>
        <w:left w:val="none" w:sz="0" w:space="0" w:color="auto"/>
        <w:bottom w:val="none" w:sz="0" w:space="0" w:color="auto"/>
        <w:right w:val="none" w:sz="0" w:space="0" w:color="auto"/>
      </w:divBdr>
    </w:div>
    <w:div w:id="798884552">
      <w:bodyDiv w:val="1"/>
      <w:marLeft w:val="0"/>
      <w:marRight w:val="0"/>
      <w:marTop w:val="0"/>
      <w:marBottom w:val="0"/>
      <w:divBdr>
        <w:top w:val="none" w:sz="0" w:space="0" w:color="auto"/>
        <w:left w:val="none" w:sz="0" w:space="0" w:color="auto"/>
        <w:bottom w:val="none" w:sz="0" w:space="0" w:color="auto"/>
        <w:right w:val="none" w:sz="0" w:space="0" w:color="auto"/>
      </w:divBdr>
    </w:div>
    <w:div w:id="964047742">
      <w:bodyDiv w:val="1"/>
      <w:marLeft w:val="0"/>
      <w:marRight w:val="0"/>
      <w:marTop w:val="0"/>
      <w:marBottom w:val="0"/>
      <w:divBdr>
        <w:top w:val="none" w:sz="0" w:space="0" w:color="auto"/>
        <w:left w:val="none" w:sz="0" w:space="0" w:color="auto"/>
        <w:bottom w:val="none" w:sz="0" w:space="0" w:color="auto"/>
        <w:right w:val="none" w:sz="0" w:space="0" w:color="auto"/>
      </w:divBdr>
    </w:div>
    <w:div w:id="1293361003">
      <w:bodyDiv w:val="1"/>
      <w:marLeft w:val="0"/>
      <w:marRight w:val="0"/>
      <w:marTop w:val="0"/>
      <w:marBottom w:val="0"/>
      <w:divBdr>
        <w:top w:val="none" w:sz="0" w:space="0" w:color="auto"/>
        <w:left w:val="none" w:sz="0" w:space="0" w:color="auto"/>
        <w:bottom w:val="none" w:sz="0" w:space="0" w:color="auto"/>
        <w:right w:val="none" w:sz="0" w:space="0" w:color="auto"/>
      </w:divBdr>
    </w:div>
    <w:div w:id="1445538268">
      <w:bodyDiv w:val="1"/>
      <w:marLeft w:val="0"/>
      <w:marRight w:val="0"/>
      <w:marTop w:val="0"/>
      <w:marBottom w:val="0"/>
      <w:divBdr>
        <w:top w:val="none" w:sz="0" w:space="0" w:color="auto"/>
        <w:left w:val="none" w:sz="0" w:space="0" w:color="auto"/>
        <w:bottom w:val="none" w:sz="0" w:space="0" w:color="auto"/>
        <w:right w:val="none" w:sz="0" w:space="0" w:color="auto"/>
      </w:divBdr>
    </w:div>
    <w:div w:id="1505632227">
      <w:bodyDiv w:val="1"/>
      <w:marLeft w:val="0"/>
      <w:marRight w:val="0"/>
      <w:marTop w:val="0"/>
      <w:marBottom w:val="0"/>
      <w:divBdr>
        <w:top w:val="none" w:sz="0" w:space="0" w:color="auto"/>
        <w:left w:val="none" w:sz="0" w:space="0" w:color="auto"/>
        <w:bottom w:val="none" w:sz="0" w:space="0" w:color="auto"/>
        <w:right w:val="none" w:sz="0" w:space="0" w:color="auto"/>
      </w:divBdr>
    </w:div>
    <w:div w:id="1514148343">
      <w:bodyDiv w:val="1"/>
      <w:marLeft w:val="0"/>
      <w:marRight w:val="0"/>
      <w:marTop w:val="0"/>
      <w:marBottom w:val="0"/>
      <w:divBdr>
        <w:top w:val="none" w:sz="0" w:space="0" w:color="auto"/>
        <w:left w:val="none" w:sz="0" w:space="0" w:color="auto"/>
        <w:bottom w:val="none" w:sz="0" w:space="0" w:color="auto"/>
        <w:right w:val="none" w:sz="0" w:space="0" w:color="auto"/>
      </w:divBdr>
    </w:div>
    <w:div w:id="1695379317">
      <w:bodyDiv w:val="1"/>
      <w:marLeft w:val="0"/>
      <w:marRight w:val="0"/>
      <w:marTop w:val="0"/>
      <w:marBottom w:val="0"/>
      <w:divBdr>
        <w:top w:val="none" w:sz="0" w:space="0" w:color="auto"/>
        <w:left w:val="none" w:sz="0" w:space="0" w:color="auto"/>
        <w:bottom w:val="none" w:sz="0" w:space="0" w:color="auto"/>
        <w:right w:val="none" w:sz="0" w:space="0" w:color="auto"/>
      </w:divBdr>
    </w:div>
    <w:div w:id="2018455150">
      <w:bodyDiv w:val="1"/>
      <w:marLeft w:val="0"/>
      <w:marRight w:val="0"/>
      <w:marTop w:val="0"/>
      <w:marBottom w:val="0"/>
      <w:divBdr>
        <w:top w:val="none" w:sz="0" w:space="0" w:color="auto"/>
        <w:left w:val="none" w:sz="0" w:space="0" w:color="auto"/>
        <w:bottom w:val="none" w:sz="0" w:space="0" w:color="auto"/>
        <w:right w:val="none" w:sz="0" w:space="0" w:color="auto"/>
      </w:divBdr>
      <w:divsChild>
        <w:div w:id="67962769">
          <w:marLeft w:val="547"/>
          <w:marRight w:val="0"/>
          <w:marTop w:val="0"/>
          <w:marBottom w:val="0"/>
          <w:divBdr>
            <w:top w:val="none" w:sz="0" w:space="0" w:color="auto"/>
            <w:left w:val="none" w:sz="0" w:space="0" w:color="auto"/>
            <w:bottom w:val="none" w:sz="0" w:space="0" w:color="auto"/>
            <w:right w:val="none" w:sz="0" w:space="0" w:color="auto"/>
          </w:divBdr>
        </w:div>
        <w:div w:id="1412772136">
          <w:marLeft w:val="547"/>
          <w:marRight w:val="0"/>
          <w:marTop w:val="0"/>
          <w:marBottom w:val="0"/>
          <w:divBdr>
            <w:top w:val="none" w:sz="0" w:space="0" w:color="auto"/>
            <w:left w:val="none" w:sz="0" w:space="0" w:color="auto"/>
            <w:bottom w:val="none" w:sz="0" w:space="0" w:color="auto"/>
            <w:right w:val="none" w:sz="0" w:space="0" w:color="auto"/>
          </w:divBdr>
        </w:div>
        <w:div w:id="2023429915">
          <w:marLeft w:val="547"/>
          <w:marRight w:val="0"/>
          <w:marTop w:val="0"/>
          <w:marBottom w:val="0"/>
          <w:divBdr>
            <w:top w:val="none" w:sz="0" w:space="0" w:color="auto"/>
            <w:left w:val="none" w:sz="0" w:space="0" w:color="auto"/>
            <w:bottom w:val="none" w:sz="0" w:space="0" w:color="auto"/>
            <w:right w:val="none" w:sz="0" w:space="0" w:color="auto"/>
          </w:divBdr>
        </w:div>
      </w:divsChild>
    </w:div>
    <w:div w:id="2040885150">
      <w:bodyDiv w:val="1"/>
      <w:marLeft w:val="0"/>
      <w:marRight w:val="0"/>
      <w:marTop w:val="0"/>
      <w:marBottom w:val="0"/>
      <w:divBdr>
        <w:top w:val="none" w:sz="0" w:space="0" w:color="auto"/>
        <w:left w:val="none" w:sz="0" w:space="0" w:color="auto"/>
        <w:bottom w:val="none" w:sz="0" w:space="0" w:color="auto"/>
        <w:right w:val="none" w:sz="0" w:space="0" w:color="auto"/>
      </w:divBdr>
      <w:divsChild>
        <w:div w:id="1536498205">
          <w:marLeft w:val="547"/>
          <w:marRight w:val="0"/>
          <w:marTop w:val="0"/>
          <w:marBottom w:val="0"/>
          <w:divBdr>
            <w:top w:val="none" w:sz="0" w:space="0" w:color="auto"/>
            <w:left w:val="none" w:sz="0" w:space="0" w:color="auto"/>
            <w:bottom w:val="none" w:sz="0" w:space="0" w:color="auto"/>
            <w:right w:val="none" w:sz="0" w:space="0" w:color="auto"/>
          </w:divBdr>
        </w:div>
        <w:div w:id="1276643614">
          <w:marLeft w:val="547"/>
          <w:marRight w:val="0"/>
          <w:marTop w:val="0"/>
          <w:marBottom w:val="0"/>
          <w:divBdr>
            <w:top w:val="none" w:sz="0" w:space="0" w:color="auto"/>
            <w:left w:val="none" w:sz="0" w:space="0" w:color="auto"/>
            <w:bottom w:val="none" w:sz="0" w:space="0" w:color="auto"/>
            <w:right w:val="none" w:sz="0" w:space="0" w:color="auto"/>
          </w:divBdr>
        </w:div>
        <w:div w:id="1123619378">
          <w:marLeft w:val="547"/>
          <w:marRight w:val="0"/>
          <w:marTop w:val="0"/>
          <w:marBottom w:val="0"/>
          <w:divBdr>
            <w:top w:val="none" w:sz="0" w:space="0" w:color="auto"/>
            <w:left w:val="none" w:sz="0" w:space="0" w:color="auto"/>
            <w:bottom w:val="none" w:sz="0" w:space="0" w:color="auto"/>
            <w:right w:val="none" w:sz="0" w:space="0" w:color="auto"/>
          </w:divBdr>
        </w:div>
        <w:div w:id="1607541403">
          <w:marLeft w:val="547"/>
          <w:marRight w:val="0"/>
          <w:marTop w:val="0"/>
          <w:marBottom w:val="0"/>
          <w:divBdr>
            <w:top w:val="none" w:sz="0" w:space="0" w:color="auto"/>
            <w:left w:val="none" w:sz="0" w:space="0" w:color="auto"/>
            <w:bottom w:val="none" w:sz="0" w:space="0" w:color="auto"/>
            <w:right w:val="none" w:sz="0" w:space="0" w:color="auto"/>
          </w:divBdr>
        </w:div>
        <w:div w:id="1388913467">
          <w:marLeft w:val="547"/>
          <w:marRight w:val="0"/>
          <w:marTop w:val="0"/>
          <w:marBottom w:val="0"/>
          <w:divBdr>
            <w:top w:val="none" w:sz="0" w:space="0" w:color="auto"/>
            <w:left w:val="none" w:sz="0" w:space="0" w:color="auto"/>
            <w:bottom w:val="none" w:sz="0" w:space="0" w:color="auto"/>
            <w:right w:val="none" w:sz="0" w:space="0" w:color="auto"/>
          </w:divBdr>
        </w:div>
        <w:div w:id="818772029">
          <w:marLeft w:val="547"/>
          <w:marRight w:val="0"/>
          <w:marTop w:val="0"/>
          <w:marBottom w:val="0"/>
          <w:divBdr>
            <w:top w:val="none" w:sz="0" w:space="0" w:color="auto"/>
            <w:left w:val="none" w:sz="0" w:space="0" w:color="auto"/>
            <w:bottom w:val="none" w:sz="0" w:space="0" w:color="auto"/>
            <w:right w:val="none" w:sz="0" w:space="0" w:color="auto"/>
          </w:divBdr>
        </w:div>
        <w:div w:id="72707143">
          <w:marLeft w:val="547"/>
          <w:marRight w:val="0"/>
          <w:marTop w:val="0"/>
          <w:marBottom w:val="0"/>
          <w:divBdr>
            <w:top w:val="none" w:sz="0" w:space="0" w:color="auto"/>
            <w:left w:val="none" w:sz="0" w:space="0" w:color="auto"/>
            <w:bottom w:val="none" w:sz="0" w:space="0" w:color="auto"/>
            <w:right w:val="none" w:sz="0" w:space="0" w:color="auto"/>
          </w:divBdr>
        </w:div>
        <w:div w:id="2095470925">
          <w:marLeft w:val="547"/>
          <w:marRight w:val="0"/>
          <w:marTop w:val="0"/>
          <w:marBottom w:val="0"/>
          <w:divBdr>
            <w:top w:val="none" w:sz="0" w:space="0" w:color="auto"/>
            <w:left w:val="none" w:sz="0" w:space="0" w:color="auto"/>
            <w:bottom w:val="none" w:sz="0" w:space="0" w:color="auto"/>
            <w:right w:val="none" w:sz="0" w:space="0" w:color="auto"/>
          </w:divBdr>
        </w:div>
      </w:divsChild>
    </w:div>
    <w:div w:id="2069719860">
      <w:bodyDiv w:val="1"/>
      <w:marLeft w:val="0"/>
      <w:marRight w:val="0"/>
      <w:marTop w:val="0"/>
      <w:marBottom w:val="0"/>
      <w:divBdr>
        <w:top w:val="none" w:sz="0" w:space="0" w:color="auto"/>
        <w:left w:val="none" w:sz="0" w:space="0" w:color="auto"/>
        <w:bottom w:val="none" w:sz="0" w:space="0" w:color="auto"/>
        <w:right w:val="none" w:sz="0" w:space="0" w:color="auto"/>
      </w:divBdr>
    </w:div>
    <w:div w:id="2130076842">
      <w:bodyDiv w:val="1"/>
      <w:marLeft w:val="0"/>
      <w:marRight w:val="0"/>
      <w:marTop w:val="0"/>
      <w:marBottom w:val="0"/>
      <w:divBdr>
        <w:top w:val="none" w:sz="0" w:space="0" w:color="auto"/>
        <w:left w:val="none" w:sz="0" w:space="0" w:color="auto"/>
        <w:bottom w:val="none" w:sz="0" w:space="0" w:color="auto"/>
        <w:right w:val="none" w:sz="0" w:space="0" w:color="auto"/>
      </w:divBdr>
      <w:divsChild>
        <w:div w:id="1959023172">
          <w:marLeft w:val="706"/>
          <w:marRight w:val="0"/>
          <w:marTop w:val="0"/>
          <w:marBottom w:val="0"/>
          <w:divBdr>
            <w:top w:val="none" w:sz="0" w:space="0" w:color="auto"/>
            <w:left w:val="none" w:sz="0" w:space="0" w:color="auto"/>
            <w:bottom w:val="none" w:sz="0" w:space="0" w:color="auto"/>
            <w:right w:val="none" w:sz="0" w:space="0" w:color="auto"/>
          </w:divBdr>
        </w:div>
        <w:div w:id="238105120">
          <w:marLeft w:val="706"/>
          <w:marRight w:val="0"/>
          <w:marTop w:val="0"/>
          <w:marBottom w:val="0"/>
          <w:divBdr>
            <w:top w:val="none" w:sz="0" w:space="0" w:color="auto"/>
            <w:left w:val="none" w:sz="0" w:space="0" w:color="auto"/>
            <w:bottom w:val="none" w:sz="0" w:space="0" w:color="auto"/>
            <w:right w:val="none" w:sz="0" w:space="0" w:color="auto"/>
          </w:divBdr>
        </w:div>
        <w:div w:id="384645308">
          <w:marLeft w:val="706"/>
          <w:marRight w:val="0"/>
          <w:marTop w:val="0"/>
          <w:marBottom w:val="0"/>
          <w:divBdr>
            <w:top w:val="none" w:sz="0" w:space="0" w:color="auto"/>
            <w:left w:val="none" w:sz="0" w:space="0" w:color="auto"/>
            <w:bottom w:val="none" w:sz="0" w:space="0" w:color="auto"/>
            <w:right w:val="none" w:sz="0" w:space="0" w:color="auto"/>
          </w:divBdr>
        </w:div>
        <w:div w:id="2014262520">
          <w:marLeft w:val="706"/>
          <w:marRight w:val="0"/>
          <w:marTop w:val="0"/>
          <w:marBottom w:val="0"/>
          <w:divBdr>
            <w:top w:val="none" w:sz="0" w:space="0" w:color="auto"/>
            <w:left w:val="none" w:sz="0" w:space="0" w:color="auto"/>
            <w:bottom w:val="none" w:sz="0" w:space="0" w:color="auto"/>
            <w:right w:val="none" w:sz="0" w:space="0" w:color="auto"/>
          </w:divBdr>
        </w:div>
        <w:div w:id="22364078">
          <w:marLeft w:val="70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9a1c17ed7aff8235f3b9cfbaa99ed33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70350b21f4ea975f67139d1921f9c1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FAEDB4-2B40-49DC-9017-DB38FC9E6352}">
  <ds:schemaRefs>
    <ds:schemaRef ds:uri="http://www.w3.org/XML/1998/namespace"/>
    <ds:schemaRef ds:uri="258d5018-feb4-45ec-8043-ac7152467c64"/>
    <ds:schemaRef ds:uri="http://schemas.microsoft.com/office/infopath/2007/PartnerControls"/>
    <ds:schemaRef ds:uri="http://schemas.microsoft.com/office/2006/metadata/properties"/>
    <ds:schemaRef ds:uri="http://schemas.microsoft.com/office/2006/documentManagement/types"/>
    <ds:schemaRef ds:uri="2795bbee-07b4-4e79-98d8-0419d9871cad"/>
    <ds:schemaRef ds:uri="http://purl.org/dc/elements/1.1/"/>
    <ds:schemaRef ds:uri="http://schemas.openxmlformats.org/package/2006/metadata/core-properties"/>
    <ds:schemaRef ds:uri="http://purl.org/dc/dcmitype/"/>
    <ds:schemaRef ds:uri="http://purl.org/dc/terms/"/>
  </ds:schemaRefs>
</ds:datastoreItem>
</file>

<file path=customXml/itemProps2.xml><?xml version="1.0" encoding="utf-8"?>
<ds:datastoreItem xmlns:ds="http://schemas.openxmlformats.org/officeDocument/2006/customXml" ds:itemID="{0EC58FCB-7F7D-4D18-834F-9635BD2B14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8559C6F-0137-45F7-BED6-0A849A836D77}">
  <ds:schemaRefs>
    <ds:schemaRef ds:uri="http://schemas.microsoft.com/sharepoint/v3/contenttype/forms"/>
  </ds:schemaRefs>
</ds:datastoreItem>
</file>

<file path=customXml/itemProps4.xml><?xml version="1.0" encoding="utf-8"?>
<ds:datastoreItem xmlns:ds="http://schemas.openxmlformats.org/officeDocument/2006/customXml" ds:itemID="{95528F91-2F81-477F-839F-8F67B5854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2817</Words>
  <Characters>16060</Characters>
  <Application>Microsoft Office Word</Application>
  <DocSecurity>4</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18840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Nicola Anthony (Swansea Bay UHB - Patient Feedback Team )</cp:lastModifiedBy>
  <cp:revision>2</cp:revision>
  <cp:lastPrinted>2024-05-01T07:10:00Z</cp:lastPrinted>
  <dcterms:created xsi:type="dcterms:W3CDTF">2024-06-20T16:05:00Z</dcterms:created>
  <dcterms:modified xsi:type="dcterms:W3CDTF">2024-06-20T16:05:00Z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