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D" w14:textId="2BCF4DE2" w:rsidR="00AD064D" w:rsidRPr="00767E3E" w:rsidRDefault="0072604C" w:rsidP="0062641B">
      <w:pPr>
        <w:adjustRightInd w:val="0"/>
        <w:spacing w:after="0" w:line="240" w:lineRule="auto"/>
        <w:jc w:val="both"/>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p>
    <w:tbl>
      <w:tblPr>
        <w:tblStyle w:val="TableGrid"/>
        <w:tblW w:w="9360" w:type="dxa"/>
        <w:tblInd w:w="-185" w:type="dxa"/>
        <w:tblLayout w:type="fixed"/>
        <w:tblLook w:val="04A0" w:firstRow="1" w:lastRow="0" w:firstColumn="1" w:lastColumn="0" w:noHBand="0" w:noVBand="1"/>
      </w:tblPr>
      <w:tblGrid>
        <w:gridCol w:w="2732"/>
        <w:gridCol w:w="1569"/>
        <w:gridCol w:w="1691"/>
        <w:gridCol w:w="32"/>
        <w:gridCol w:w="1661"/>
        <w:gridCol w:w="675"/>
        <w:gridCol w:w="1000"/>
      </w:tblGrid>
      <w:tr w:rsidR="00083FC0" w:rsidRPr="00F8567E" w14:paraId="6D2903E2" w14:textId="77777777" w:rsidTr="4119269B">
        <w:tc>
          <w:tcPr>
            <w:tcW w:w="2732"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1B430DEA" w:rsidR="00F5082D" w:rsidRPr="00F8567E" w:rsidRDefault="00AD5706" w:rsidP="00FA0CA9">
            <w:pPr>
              <w:rPr>
                <w:rFonts w:ascii="Verdana" w:hAnsi="Verdana" w:cs="Arial"/>
                <w:b/>
                <w:sz w:val="24"/>
                <w:szCs w:val="24"/>
              </w:rPr>
            </w:pPr>
            <w:r>
              <w:rPr>
                <w:rFonts w:ascii="Verdana" w:hAnsi="Verdana" w:cs="Arial"/>
                <w:b/>
                <w:sz w:val="24"/>
                <w:szCs w:val="24"/>
              </w:rPr>
              <w:t>03 July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1000" w:type="dxa"/>
          </w:tcPr>
          <w:p w14:paraId="6D2903E1" w14:textId="76AEDC80" w:rsidR="00F5082D" w:rsidRPr="00F8567E" w:rsidRDefault="00AD5706" w:rsidP="4119269B">
            <w:pPr>
              <w:rPr>
                <w:rFonts w:ascii="Verdana" w:hAnsi="Verdana" w:cs="Arial"/>
                <w:b/>
                <w:bCs/>
                <w:sz w:val="24"/>
                <w:szCs w:val="24"/>
              </w:rPr>
            </w:pPr>
            <w:r w:rsidRPr="4119269B">
              <w:rPr>
                <w:rFonts w:ascii="Verdana" w:hAnsi="Verdana" w:cs="Arial"/>
                <w:b/>
                <w:bCs/>
                <w:sz w:val="24"/>
                <w:szCs w:val="24"/>
              </w:rPr>
              <w:t>3.</w:t>
            </w:r>
            <w:r w:rsidR="4026BE8C" w:rsidRPr="4119269B">
              <w:rPr>
                <w:rFonts w:ascii="Verdana" w:hAnsi="Verdana" w:cs="Arial"/>
                <w:b/>
                <w:bCs/>
                <w:sz w:val="24"/>
                <w:szCs w:val="24"/>
              </w:rPr>
              <w:t>2</w:t>
            </w:r>
          </w:p>
        </w:tc>
      </w:tr>
      <w:tr w:rsidR="00B0479E" w:rsidRPr="00F8567E" w14:paraId="1EEB45B2" w14:textId="77777777" w:rsidTr="4119269B">
        <w:tc>
          <w:tcPr>
            <w:tcW w:w="2732" w:type="dxa"/>
            <w:shd w:val="clear" w:color="auto" w:fill="auto"/>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628" w:type="dxa"/>
            <w:gridSpan w:val="6"/>
          </w:tcPr>
          <w:p w14:paraId="5687483E" w14:textId="1B5ED36F" w:rsidR="00B0479E" w:rsidRPr="00AD5706" w:rsidRDefault="00AD5706" w:rsidP="00FA0CA9">
            <w:pPr>
              <w:rPr>
                <w:rFonts w:ascii="Verdana" w:hAnsi="Verdana" w:cs="Arial"/>
                <w:b/>
                <w:sz w:val="24"/>
                <w:szCs w:val="24"/>
              </w:rPr>
            </w:pPr>
            <w:r w:rsidRPr="00AD5706">
              <w:rPr>
                <w:rFonts w:ascii="Verdana" w:hAnsi="Verdana" w:cs="Arial"/>
                <w:b/>
                <w:sz w:val="24"/>
                <w:szCs w:val="24"/>
              </w:rPr>
              <w:t>Quality &amp; Safety Committee</w:t>
            </w:r>
          </w:p>
        </w:tc>
      </w:tr>
      <w:tr w:rsidR="00083FC0" w:rsidRPr="00F8567E" w14:paraId="6D2903E5" w14:textId="77777777" w:rsidTr="4119269B">
        <w:tc>
          <w:tcPr>
            <w:tcW w:w="2732"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628" w:type="dxa"/>
            <w:gridSpan w:val="6"/>
          </w:tcPr>
          <w:p w14:paraId="6D2903E4" w14:textId="303B3E73" w:rsidR="00034194" w:rsidRPr="00AD5706" w:rsidRDefault="00AD5706" w:rsidP="00FA0CA9">
            <w:pPr>
              <w:rPr>
                <w:rFonts w:ascii="Verdana" w:hAnsi="Verdana" w:cs="Arial"/>
                <w:b/>
                <w:sz w:val="24"/>
                <w:szCs w:val="24"/>
              </w:rPr>
            </w:pPr>
            <w:r>
              <w:rPr>
                <w:rFonts w:ascii="Verdana" w:hAnsi="Verdana" w:cs="Arial"/>
                <w:b/>
                <w:sz w:val="24"/>
                <w:szCs w:val="24"/>
              </w:rPr>
              <w:t xml:space="preserve">Infection Prevention and Control Report, with </w:t>
            </w:r>
            <w:r w:rsidRPr="00AD5706">
              <w:rPr>
                <w:rFonts w:ascii="Verdana" w:hAnsi="Verdana" w:cs="Arial"/>
                <w:b/>
                <w:i/>
                <w:iCs/>
                <w:sz w:val="24"/>
                <w:szCs w:val="24"/>
              </w:rPr>
              <w:t>C. difficile</w:t>
            </w:r>
            <w:r>
              <w:rPr>
                <w:rFonts w:ascii="Verdana" w:hAnsi="Verdana" w:cs="Arial"/>
                <w:b/>
                <w:sz w:val="24"/>
                <w:szCs w:val="24"/>
              </w:rPr>
              <w:t xml:space="preserve"> Standards: Risk Assessment and Governance Framework</w:t>
            </w:r>
          </w:p>
        </w:tc>
      </w:tr>
      <w:tr w:rsidR="00083FC0" w:rsidRPr="00F8567E" w14:paraId="6D2903E8" w14:textId="77777777" w:rsidTr="4119269B">
        <w:tc>
          <w:tcPr>
            <w:tcW w:w="2732"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628" w:type="dxa"/>
            <w:gridSpan w:val="6"/>
          </w:tcPr>
          <w:p w14:paraId="6D2903E7" w14:textId="6820A3B4" w:rsidR="00034194" w:rsidRPr="00AD5706" w:rsidRDefault="00AD5706" w:rsidP="00FA0CA9">
            <w:pPr>
              <w:rPr>
                <w:rFonts w:ascii="Verdana" w:hAnsi="Verdana" w:cs="Arial"/>
                <w:sz w:val="24"/>
                <w:szCs w:val="24"/>
              </w:rPr>
            </w:pPr>
            <w:r>
              <w:rPr>
                <w:rFonts w:ascii="Verdana" w:hAnsi="Verdana" w:cs="Arial"/>
                <w:sz w:val="24"/>
                <w:szCs w:val="24"/>
              </w:rPr>
              <w:t>Delyth Davies, Head of Nursing, Infection Prevention and Control</w:t>
            </w:r>
          </w:p>
        </w:tc>
      </w:tr>
      <w:tr w:rsidR="00762BBE" w:rsidRPr="00F8567E" w14:paraId="6D2903EB" w14:textId="77777777" w:rsidTr="4119269B">
        <w:tc>
          <w:tcPr>
            <w:tcW w:w="2732"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628" w:type="dxa"/>
            <w:gridSpan w:val="6"/>
          </w:tcPr>
          <w:p w14:paraId="329046B3" w14:textId="77777777" w:rsidR="00762BBE" w:rsidRDefault="00AD5706" w:rsidP="00762BBE">
            <w:pPr>
              <w:rPr>
                <w:rFonts w:ascii="Verdana" w:hAnsi="Verdana" w:cs="Arial"/>
                <w:sz w:val="24"/>
                <w:szCs w:val="24"/>
              </w:rPr>
            </w:pPr>
            <w:r>
              <w:rPr>
                <w:rFonts w:ascii="Verdana" w:hAnsi="Verdana" w:cs="Arial"/>
                <w:sz w:val="24"/>
                <w:szCs w:val="24"/>
              </w:rPr>
              <w:t>Richard Evans, Executive Medical Director</w:t>
            </w:r>
          </w:p>
          <w:p w14:paraId="6D2903EA" w14:textId="18F23E1E" w:rsidR="00AD5706" w:rsidRPr="00AD5706" w:rsidRDefault="00AD5706" w:rsidP="00762BBE">
            <w:pPr>
              <w:rPr>
                <w:rFonts w:ascii="Verdana" w:hAnsi="Verdana" w:cs="Arial"/>
                <w:sz w:val="24"/>
                <w:szCs w:val="24"/>
              </w:rPr>
            </w:pPr>
            <w:r>
              <w:rPr>
                <w:rFonts w:ascii="Verdana" w:hAnsi="Verdana" w:cs="Arial"/>
                <w:sz w:val="24"/>
                <w:szCs w:val="24"/>
              </w:rPr>
              <w:t xml:space="preserve">Elizabeth Rix, </w:t>
            </w:r>
            <w:r w:rsidRPr="00AD5706">
              <w:rPr>
                <w:rFonts w:ascii="Verdana" w:hAnsi="Verdana" w:cs="Arial"/>
                <w:sz w:val="24"/>
                <w:szCs w:val="24"/>
              </w:rPr>
              <w:t>Executive Director of Nursing &amp; Patient Experience</w:t>
            </w:r>
          </w:p>
        </w:tc>
      </w:tr>
      <w:tr w:rsidR="00AD5706" w:rsidRPr="00F8567E" w14:paraId="6D2903EE" w14:textId="77777777" w:rsidTr="4119269B">
        <w:tc>
          <w:tcPr>
            <w:tcW w:w="2732" w:type="dxa"/>
          </w:tcPr>
          <w:p w14:paraId="6D2903EC" w14:textId="77777777" w:rsidR="00AD5706" w:rsidRPr="00F8567E" w:rsidRDefault="00AD5706" w:rsidP="00AD5706">
            <w:pPr>
              <w:rPr>
                <w:rFonts w:ascii="Verdana" w:hAnsi="Verdana" w:cs="Arial"/>
                <w:b/>
                <w:sz w:val="24"/>
                <w:szCs w:val="24"/>
              </w:rPr>
            </w:pPr>
            <w:r w:rsidRPr="00F8567E">
              <w:rPr>
                <w:rFonts w:ascii="Verdana" w:hAnsi="Verdana" w:cs="Arial"/>
                <w:b/>
                <w:sz w:val="24"/>
                <w:szCs w:val="24"/>
              </w:rPr>
              <w:t>Presented by</w:t>
            </w:r>
          </w:p>
        </w:tc>
        <w:tc>
          <w:tcPr>
            <w:tcW w:w="6628" w:type="dxa"/>
            <w:gridSpan w:val="6"/>
          </w:tcPr>
          <w:p w14:paraId="6D2903ED" w14:textId="142CDAA0" w:rsidR="00AD5706" w:rsidRPr="00AD5706" w:rsidRDefault="00AD5706" w:rsidP="00AD5706">
            <w:pPr>
              <w:rPr>
                <w:rFonts w:ascii="Verdana" w:hAnsi="Verdana" w:cs="Arial"/>
                <w:sz w:val="24"/>
                <w:szCs w:val="24"/>
              </w:rPr>
            </w:pPr>
            <w:r>
              <w:rPr>
                <w:rFonts w:ascii="Verdana" w:hAnsi="Verdana" w:cs="Arial"/>
                <w:sz w:val="24"/>
                <w:szCs w:val="24"/>
              </w:rPr>
              <w:t>Delyth Davies, Head of Nursing, Infection Prevention and Control</w:t>
            </w:r>
          </w:p>
        </w:tc>
      </w:tr>
      <w:tr w:rsidR="00AD5706" w:rsidRPr="00F8567E" w14:paraId="6D2903F1" w14:textId="77777777" w:rsidTr="4119269B">
        <w:tc>
          <w:tcPr>
            <w:tcW w:w="2732" w:type="dxa"/>
          </w:tcPr>
          <w:p w14:paraId="6D2903EF" w14:textId="77777777" w:rsidR="00AD5706" w:rsidRPr="00F8567E" w:rsidRDefault="00AD5706" w:rsidP="00AD5706">
            <w:pPr>
              <w:rPr>
                <w:rFonts w:ascii="Verdana" w:hAnsi="Verdana" w:cs="Arial"/>
                <w:b/>
                <w:sz w:val="24"/>
                <w:szCs w:val="24"/>
              </w:rPr>
            </w:pPr>
            <w:r w:rsidRPr="00F8567E">
              <w:rPr>
                <w:rFonts w:ascii="Verdana" w:hAnsi="Verdana" w:cs="Arial"/>
                <w:b/>
                <w:sz w:val="24"/>
                <w:szCs w:val="24"/>
              </w:rPr>
              <w:t xml:space="preserve">Freedom of Information </w:t>
            </w:r>
          </w:p>
        </w:tc>
        <w:tc>
          <w:tcPr>
            <w:tcW w:w="6628" w:type="dxa"/>
            <w:gridSpan w:val="6"/>
          </w:tcPr>
          <w:p w14:paraId="6D2903F0" w14:textId="54CA81EC" w:rsidR="00AD5706" w:rsidRPr="00AD5706" w:rsidRDefault="00AD5706" w:rsidP="00AD5706">
            <w:pPr>
              <w:rPr>
                <w:rFonts w:ascii="Verdana" w:hAnsi="Verdana" w:cs="Arial"/>
                <w:sz w:val="24"/>
                <w:szCs w:val="24"/>
              </w:rPr>
            </w:pPr>
            <w:r w:rsidRPr="00AD5706">
              <w:rPr>
                <w:rFonts w:ascii="Verdana" w:hAnsi="Verdana" w:cs="Arial"/>
                <w:sz w:val="24"/>
                <w:szCs w:val="24"/>
              </w:rPr>
              <w:t xml:space="preserve">Open </w:t>
            </w:r>
          </w:p>
        </w:tc>
      </w:tr>
      <w:tr w:rsidR="00AD5706" w:rsidRPr="00F8567E" w14:paraId="6D2903F8" w14:textId="77777777" w:rsidTr="4119269B">
        <w:tc>
          <w:tcPr>
            <w:tcW w:w="2732" w:type="dxa"/>
          </w:tcPr>
          <w:p w14:paraId="6D2903F2" w14:textId="77777777" w:rsidR="00AD5706" w:rsidRPr="00F8567E" w:rsidRDefault="00AD5706" w:rsidP="00AD5706">
            <w:pPr>
              <w:rPr>
                <w:rFonts w:ascii="Verdana" w:hAnsi="Verdana" w:cs="Arial"/>
                <w:b/>
                <w:sz w:val="24"/>
                <w:szCs w:val="24"/>
              </w:rPr>
            </w:pPr>
            <w:r w:rsidRPr="00F8567E">
              <w:rPr>
                <w:rFonts w:ascii="Verdana" w:hAnsi="Verdana" w:cs="Arial"/>
                <w:b/>
                <w:sz w:val="24"/>
                <w:szCs w:val="24"/>
              </w:rPr>
              <w:t>Purpose of the Report</w:t>
            </w:r>
          </w:p>
        </w:tc>
        <w:tc>
          <w:tcPr>
            <w:tcW w:w="6628" w:type="dxa"/>
            <w:gridSpan w:val="6"/>
          </w:tcPr>
          <w:p w14:paraId="6D2903F7" w14:textId="007CDAE4" w:rsidR="00AD5706" w:rsidRPr="0062641B" w:rsidRDefault="00AB7133" w:rsidP="00AB7133">
            <w:pPr>
              <w:spacing w:after="120"/>
              <w:ind w:right="96"/>
              <w:rPr>
                <w:rFonts w:ascii="Verdana" w:hAnsi="Verdana" w:cs="Arial"/>
                <w:sz w:val="24"/>
                <w:szCs w:val="24"/>
              </w:rPr>
            </w:pPr>
            <w:r w:rsidRPr="0062641B">
              <w:rPr>
                <w:rFonts w:ascii="Verdana" w:hAnsi="Verdana" w:cs="Arial"/>
                <w:sz w:val="24"/>
                <w:szCs w:val="24"/>
              </w:rPr>
              <w:t xml:space="preserve">This assurance report provides an update </w:t>
            </w:r>
            <w:r w:rsidR="002E27D2" w:rsidRPr="0062641B">
              <w:rPr>
                <w:rFonts w:ascii="Verdana" w:hAnsi="Verdana" w:cs="Arial"/>
                <w:sz w:val="24"/>
                <w:szCs w:val="24"/>
              </w:rPr>
              <w:t xml:space="preserve">to the end of March 2025 </w:t>
            </w:r>
            <w:r w:rsidRPr="0062641B">
              <w:rPr>
                <w:rFonts w:ascii="Verdana" w:hAnsi="Verdana" w:cs="Arial"/>
                <w:sz w:val="24"/>
                <w:szCs w:val="24"/>
              </w:rPr>
              <w:t xml:space="preserve">on incidence, progress and actions relating to healthcare associated infections (HCAIs) within Swansea Bay University Health. It </w:t>
            </w:r>
            <w:r w:rsidR="007670FF" w:rsidRPr="0062641B">
              <w:rPr>
                <w:rFonts w:ascii="Verdana" w:hAnsi="Verdana" w:cs="Arial"/>
                <w:sz w:val="24"/>
                <w:szCs w:val="24"/>
              </w:rPr>
              <w:t>also presents</w:t>
            </w:r>
            <w:r w:rsidR="002E27D2" w:rsidRPr="0062641B">
              <w:rPr>
                <w:rFonts w:ascii="Verdana" w:hAnsi="Verdana" w:cs="Arial"/>
                <w:sz w:val="24"/>
                <w:szCs w:val="24"/>
              </w:rPr>
              <w:t xml:space="preserve"> </w:t>
            </w:r>
            <w:r w:rsidRPr="0062641B">
              <w:rPr>
                <w:rFonts w:ascii="Verdana" w:hAnsi="Verdana" w:cs="Arial"/>
                <w:sz w:val="24"/>
                <w:szCs w:val="24"/>
              </w:rPr>
              <w:t xml:space="preserve">the new </w:t>
            </w:r>
            <w:r w:rsidRPr="0062641B">
              <w:rPr>
                <w:rFonts w:ascii="Verdana" w:hAnsi="Verdana" w:cs="Arial"/>
                <w:i/>
                <w:iCs/>
                <w:sz w:val="24"/>
                <w:szCs w:val="24"/>
              </w:rPr>
              <w:t>C. difficile</w:t>
            </w:r>
            <w:r w:rsidRPr="0062641B">
              <w:rPr>
                <w:rFonts w:ascii="Verdana" w:hAnsi="Verdana" w:cs="Arial"/>
                <w:sz w:val="24"/>
                <w:szCs w:val="24"/>
              </w:rPr>
              <w:t xml:space="preserve"> Standards: Risk Ass</w:t>
            </w:r>
            <w:r w:rsidR="002E27D2" w:rsidRPr="0062641B">
              <w:rPr>
                <w:rFonts w:ascii="Verdana" w:hAnsi="Verdana" w:cs="Arial"/>
                <w:sz w:val="24"/>
                <w:szCs w:val="24"/>
              </w:rPr>
              <w:t>essment</w:t>
            </w:r>
            <w:r w:rsidRPr="0062641B">
              <w:rPr>
                <w:rFonts w:ascii="Verdana" w:hAnsi="Verdana" w:cs="Arial"/>
                <w:sz w:val="24"/>
                <w:szCs w:val="24"/>
              </w:rPr>
              <w:t xml:space="preserve"> and Governance Framework.</w:t>
            </w:r>
          </w:p>
        </w:tc>
      </w:tr>
      <w:tr w:rsidR="00AD5706" w:rsidRPr="00F8567E" w14:paraId="6D290402" w14:textId="77777777" w:rsidTr="4119269B">
        <w:tc>
          <w:tcPr>
            <w:tcW w:w="2732" w:type="dxa"/>
          </w:tcPr>
          <w:p w14:paraId="6D2903F9" w14:textId="77777777" w:rsidR="00AD5706" w:rsidRPr="00F8567E" w:rsidRDefault="00AD5706" w:rsidP="00AD5706">
            <w:pPr>
              <w:rPr>
                <w:rFonts w:ascii="Verdana" w:hAnsi="Verdana" w:cs="Arial"/>
                <w:b/>
                <w:sz w:val="24"/>
                <w:szCs w:val="24"/>
              </w:rPr>
            </w:pPr>
            <w:r w:rsidRPr="00F8567E">
              <w:rPr>
                <w:rFonts w:ascii="Verdana" w:hAnsi="Verdana" w:cs="Arial"/>
                <w:b/>
                <w:sz w:val="24"/>
                <w:szCs w:val="24"/>
              </w:rPr>
              <w:t>Key Issues</w:t>
            </w:r>
          </w:p>
          <w:p w14:paraId="6D2903FA" w14:textId="77777777" w:rsidR="00AD5706" w:rsidRPr="00F8567E" w:rsidRDefault="00AD5706" w:rsidP="00AD5706">
            <w:pPr>
              <w:rPr>
                <w:rFonts w:ascii="Verdana" w:hAnsi="Verdana" w:cs="Arial"/>
                <w:b/>
                <w:sz w:val="24"/>
                <w:szCs w:val="24"/>
              </w:rPr>
            </w:pPr>
          </w:p>
          <w:p w14:paraId="6D2903FB" w14:textId="77777777" w:rsidR="00AD5706" w:rsidRPr="00F8567E" w:rsidRDefault="00AD5706" w:rsidP="00AD5706">
            <w:pPr>
              <w:rPr>
                <w:rFonts w:ascii="Verdana" w:hAnsi="Verdana" w:cs="Arial"/>
                <w:b/>
                <w:sz w:val="24"/>
                <w:szCs w:val="24"/>
              </w:rPr>
            </w:pPr>
          </w:p>
          <w:p w14:paraId="6D2903FC" w14:textId="77777777" w:rsidR="00AD5706" w:rsidRPr="00F8567E" w:rsidRDefault="00AD5706" w:rsidP="00AD5706">
            <w:pPr>
              <w:rPr>
                <w:rFonts w:ascii="Verdana" w:hAnsi="Verdana" w:cs="Arial"/>
                <w:b/>
                <w:sz w:val="24"/>
                <w:szCs w:val="24"/>
              </w:rPr>
            </w:pPr>
          </w:p>
        </w:tc>
        <w:tc>
          <w:tcPr>
            <w:tcW w:w="6628" w:type="dxa"/>
            <w:gridSpan w:val="6"/>
          </w:tcPr>
          <w:p w14:paraId="6D2903FE" w14:textId="31DAB8D9" w:rsidR="00AD5706" w:rsidRPr="0062641B" w:rsidRDefault="00BA5FFC" w:rsidP="0062641B">
            <w:pPr>
              <w:pStyle w:val="ListParagraph"/>
              <w:numPr>
                <w:ilvl w:val="0"/>
                <w:numId w:val="18"/>
              </w:numPr>
              <w:ind w:left="226" w:hanging="226"/>
              <w:rPr>
                <w:rFonts w:ascii="Verdana" w:hAnsi="Verdana" w:cs="Arial"/>
                <w:sz w:val="24"/>
                <w:szCs w:val="24"/>
              </w:rPr>
            </w:pPr>
            <w:r w:rsidRPr="0062641B">
              <w:rPr>
                <w:rFonts w:ascii="Verdana" w:hAnsi="Verdana" w:cs="Arial"/>
                <w:sz w:val="24"/>
                <w:szCs w:val="24"/>
              </w:rPr>
              <w:t>Hospital onset case numbers for the four infections exceeded the Targeted Intervention de-escalation criteria during the year.</w:t>
            </w:r>
          </w:p>
          <w:p w14:paraId="6D2903FF" w14:textId="1A387594" w:rsidR="00AD5706" w:rsidRPr="0062641B" w:rsidRDefault="00BA5FFC" w:rsidP="0062641B">
            <w:pPr>
              <w:pStyle w:val="ListParagraph"/>
              <w:numPr>
                <w:ilvl w:val="0"/>
                <w:numId w:val="18"/>
              </w:numPr>
              <w:ind w:left="226" w:hanging="226"/>
              <w:rPr>
                <w:rFonts w:ascii="Verdana" w:hAnsi="Verdana" w:cs="Arial"/>
                <w:sz w:val="24"/>
                <w:szCs w:val="24"/>
              </w:rPr>
            </w:pPr>
            <w:r w:rsidRPr="0062641B">
              <w:rPr>
                <w:rFonts w:ascii="Verdana" w:hAnsi="Verdana" w:cs="Arial"/>
                <w:sz w:val="24"/>
                <w:szCs w:val="24"/>
              </w:rPr>
              <w:t xml:space="preserve">SBUHB was an outlier for </w:t>
            </w:r>
            <w:r w:rsidRPr="0062641B">
              <w:rPr>
                <w:rFonts w:ascii="Verdana" w:hAnsi="Verdana" w:cs="Arial"/>
                <w:i/>
                <w:iCs/>
                <w:sz w:val="24"/>
                <w:szCs w:val="24"/>
              </w:rPr>
              <w:t>C. diffficile</w:t>
            </w:r>
            <w:r w:rsidRPr="0062641B">
              <w:rPr>
                <w:rFonts w:ascii="Verdana" w:hAnsi="Verdana" w:cs="Arial"/>
                <w:sz w:val="24"/>
                <w:szCs w:val="24"/>
              </w:rPr>
              <w:t xml:space="preserve"> infection in 2023/24, with the highest rate infection in a comparison of 114 NHS organisations in England and Wales.</w:t>
            </w:r>
          </w:p>
          <w:p w14:paraId="1581F45C" w14:textId="7868AB5C" w:rsidR="00BA5FFC" w:rsidRPr="0062641B" w:rsidRDefault="00BA5FFC" w:rsidP="0062641B">
            <w:pPr>
              <w:pStyle w:val="ListParagraph"/>
              <w:numPr>
                <w:ilvl w:val="0"/>
                <w:numId w:val="18"/>
              </w:numPr>
              <w:ind w:left="226" w:hanging="226"/>
              <w:rPr>
                <w:rFonts w:ascii="Verdana" w:hAnsi="Verdana" w:cs="Arial"/>
                <w:sz w:val="24"/>
                <w:szCs w:val="24"/>
              </w:rPr>
            </w:pPr>
            <w:r w:rsidRPr="0062641B">
              <w:rPr>
                <w:rFonts w:ascii="Verdana" w:hAnsi="Verdana" w:cs="Arial"/>
                <w:sz w:val="24"/>
                <w:szCs w:val="24"/>
              </w:rPr>
              <w:t xml:space="preserve">Datix incident reports of </w:t>
            </w:r>
            <w:r w:rsidRPr="001E7153">
              <w:rPr>
                <w:rFonts w:ascii="Verdana" w:hAnsi="Verdana" w:cs="Arial"/>
                <w:i/>
                <w:iCs/>
                <w:sz w:val="24"/>
                <w:szCs w:val="24"/>
              </w:rPr>
              <w:t>C. diffficile</w:t>
            </w:r>
            <w:r w:rsidRPr="0062641B">
              <w:rPr>
                <w:rFonts w:ascii="Verdana" w:hAnsi="Verdana" w:cs="Arial"/>
                <w:sz w:val="24"/>
                <w:szCs w:val="24"/>
              </w:rPr>
              <w:t xml:space="preserve"> periods of increased incidence and outbreaks have trebled since 2022/23.</w:t>
            </w:r>
          </w:p>
          <w:p w14:paraId="5062D3A1" w14:textId="77777777" w:rsidR="00BA5FFC" w:rsidRPr="0062641B" w:rsidRDefault="00BA5FFC" w:rsidP="0062641B">
            <w:pPr>
              <w:pStyle w:val="ListParagraph"/>
              <w:numPr>
                <w:ilvl w:val="0"/>
                <w:numId w:val="18"/>
              </w:numPr>
              <w:ind w:left="226" w:hanging="226"/>
              <w:rPr>
                <w:rFonts w:ascii="Verdana" w:hAnsi="Verdana" w:cs="Arial"/>
                <w:sz w:val="24"/>
                <w:szCs w:val="24"/>
              </w:rPr>
            </w:pPr>
            <w:r w:rsidRPr="0062641B">
              <w:rPr>
                <w:rFonts w:ascii="Verdana" w:hAnsi="Verdana" w:cs="Arial"/>
                <w:sz w:val="24"/>
                <w:szCs w:val="24"/>
              </w:rPr>
              <w:t xml:space="preserve">A new </w:t>
            </w:r>
            <w:r w:rsidRPr="0062641B">
              <w:rPr>
                <w:rFonts w:ascii="Verdana" w:hAnsi="Verdana" w:cs="Arial"/>
                <w:i/>
                <w:iCs/>
                <w:sz w:val="24"/>
                <w:szCs w:val="24"/>
              </w:rPr>
              <w:t>C. difficile</w:t>
            </w:r>
            <w:r w:rsidRPr="0062641B">
              <w:rPr>
                <w:rFonts w:ascii="Verdana" w:hAnsi="Verdana" w:cs="Arial"/>
                <w:sz w:val="24"/>
                <w:szCs w:val="24"/>
              </w:rPr>
              <w:t xml:space="preserve"> risk assessment and governance framework has been developed to establish standards, oversight, and escalation procedures.</w:t>
            </w:r>
          </w:p>
          <w:p w14:paraId="6D290401" w14:textId="46E8A0F1" w:rsidR="00AD5706" w:rsidRPr="0062641B" w:rsidRDefault="00BA5FFC" w:rsidP="0062641B">
            <w:pPr>
              <w:pStyle w:val="ListParagraph"/>
              <w:numPr>
                <w:ilvl w:val="0"/>
                <w:numId w:val="18"/>
              </w:numPr>
              <w:ind w:left="226" w:hanging="226"/>
              <w:rPr>
                <w:rFonts w:ascii="Verdana" w:hAnsi="Verdana" w:cs="Arial"/>
                <w:sz w:val="24"/>
                <w:szCs w:val="24"/>
              </w:rPr>
            </w:pPr>
            <w:r w:rsidRPr="0062641B">
              <w:rPr>
                <w:rFonts w:ascii="Verdana" w:hAnsi="Verdana" w:cs="Arial"/>
                <w:sz w:val="24"/>
                <w:szCs w:val="24"/>
              </w:rPr>
              <w:t>Additional pre-empt patients on wards currently is a regular occurrence; this over-crowding increases the risk of infection transmission.</w:t>
            </w:r>
          </w:p>
        </w:tc>
      </w:tr>
      <w:tr w:rsidR="00AD5706" w:rsidRPr="00F8567E" w14:paraId="6D290409" w14:textId="77777777" w:rsidTr="4119269B">
        <w:trPr>
          <w:trHeight w:val="97"/>
        </w:trPr>
        <w:tc>
          <w:tcPr>
            <w:tcW w:w="2732" w:type="dxa"/>
            <w:vMerge w:val="restart"/>
          </w:tcPr>
          <w:p w14:paraId="6D290403" w14:textId="77777777" w:rsidR="00AD5706" w:rsidRPr="00F8567E" w:rsidRDefault="00AD5706" w:rsidP="00AD5706">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AD5706" w:rsidRPr="00F8567E" w:rsidRDefault="00AD5706" w:rsidP="00AD5706">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AD5706" w:rsidRPr="00F8567E" w:rsidRDefault="00AD5706" w:rsidP="00AD5706">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AD5706" w:rsidRPr="00F8567E" w:rsidRDefault="00AD5706" w:rsidP="00AD5706">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AD5706" w:rsidRPr="00F8567E" w:rsidRDefault="00AD5706" w:rsidP="00AD5706">
            <w:pPr>
              <w:rPr>
                <w:rFonts w:ascii="Verdana" w:hAnsi="Verdana" w:cs="Arial"/>
                <w:b/>
                <w:sz w:val="24"/>
                <w:szCs w:val="24"/>
              </w:rPr>
            </w:pPr>
            <w:r w:rsidRPr="00F8567E">
              <w:rPr>
                <w:rFonts w:ascii="Verdana" w:hAnsi="Verdana" w:cs="Arial"/>
                <w:b/>
                <w:sz w:val="24"/>
                <w:szCs w:val="24"/>
              </w:rPr>
              <w:t>Assurance</w:t>
            </w:r>
          </w:p>
        </w:tc>
        <w:tc>
          <w:tcPr>
            <w:tcW w:w="1675" w:type="dxa"/>
            <w:gridSpan w:val="2"/>
            <w:shd w:val="clear" w:color="auto" w:fill="D5DCE4" w:themeFill="text2" w:themeFillTint="33"/>
          </w:tcPr>
          <w:p w14:paraId="6D290408" w14:textId="77777777" w:rsidR="00AD5706" w:rsidRPr="00F8567E" w:rsidRDefault="00AD5706" w:rsidP="00AD5706">
            <w:pPr>
              <w:rPr>
                <w:rFonts w:ascii="Verdana" w:hAnsi="Verdana" w:cs="Arial"/>
                <w:b/>
                <w:sz w:val="24"/>
                <w:szCs w:val="24"/>
              </w:rPr>
            </w:pPr>
            <w:r w:rsidRPr="00F8567E">
              <w:rPr>
                <w:rFonts w:ascii="Verdana" w:hAnsi="Verdana" w:cs="Arial"/>
                <w:b/>
                <w:sz w:val="24"/>
                <w:szCs w:val="24"/>
              </w:rPr>
              <w:t>Approval</w:t>
            </w:r>
          </w:p>
        </w:tc>
      </w:tr>
      <w:tr w:rsidR="00AD5706" w:rsidRPr="00F8567E" w14:paraId="6D29040F" w14:textId="77777777" w:rsidTr="4119269B">
        <w:trPr>
          <w:trHeight w:val="96"/>
        </w:trPr>
        <w:tc>
          <w:tcPr>
            <w:tcW w:w="2732" w:type="dxa"/>
            <w:vMerge/>
          </w:tcPr>
          <w:p w14:paraId="6D29040A" w14:textId="77777777" w:rsidR="00AD5706" w:rsidRPr="00F8567E" w:rsidRDefault="00AD5706" w:rsidP="00AD5706">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AD5706" w:rsidRPr="00F8567E" w:rsidRDefault="00AD5706" w:rsidP="00AD5706">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AD5706" w:rsidRPr="00F8567E" w:rsidRDefault="00AD5706" w:rsidP="00AD5706">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0B90DAD6" w:rsidR="00AD5706" w:rsidRPr="00F8567E" w:rsidRDefault="0062641B" w:rsidP="00AD5706">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675" w:type="dxa"/>
                <w:gridSpan w:val="2"/>
              </w:tcPr>
              <w:p w14:paraId="6D29040E" w14:textId="77777777" w:rsidR="00AD5706" w:rsidRPr="00F8567E" w:rsidRDefault="00AD5706" w:rsidP="00AD5706">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AD5706" w:rsidRPr="00F8567E" w14:paraId="6D290418" w14:textId="77777777" w:rsidTr="4119269B">
        <w:tc>
          <w:tcPr>
            <w:tcW w:w="2732" w:type="dxa"/>
          </w:tcPr>
          <w:p w14:paraId="6D290410" w14:textId="77777777" w:rsidR="00AD5706" w:rsidRPr="00F8567E" w:rsidRDefault="00AD5706" w:rsidP="00AD5706">
            <w:pPr>
              <w:rPr>
                <w:rFonts w:ascii="Verdana" w:hAnsi="Verdana" w:cs="Arial"/>
                <w:b/>
                <w:sz w:val="24"/>
                <w:szCs w:val="24"/>
              </w:rPr>
            </w:pPr>
            <w:r w:rsidRPr="00F8567E">
              <w:rPr>
                <w:rFonts w:ascii="Verdana" w:hAnsi="Verdana" w:cs="Arial"/>
                <w:b/>
                <w:sz w:val="24"/>
                <w:szCs w:val="24"/>
              </w:rPr>
              <w:t>Recommendations</w:t>
            </w:r>
          </w:p>
          <w:p w14:paraId="6D290411" w14:textId="77777777" w:rsidR="00AD5706" w:rsidRPr="00F8567E" w:rsidRDefault="00AD5706" w:rsidP="00AD5706">
            <w:pPr>
              <w:rPr>
                <w:rFonts w:ascii="Verdana" w:hAnsi="Verdana" w:cs="Arial"/>
                <w:b/>
                <w:sz w:val="24"/>
                <w:szCs w:val="24"/>
              </w:rPr>
            </w:pPr>
          </w:p>
        </w:tc>
        <w:tc>
          <w:tcPr>
            <w:tcW w:w="6628" w:type="dxa"/>
            <w:gridSpan w:val="6"/>
          </w:tcPr>
          <w:p w14:paraId="6D290412" w14:textId="77777777" w:rsidR="00AD5706" w:rsidRPr="0062641B" w:rsidRDefault="00AD5706" w:rsidP="00AD5706">
            <w:pPr>
              <w:ind w:right="96"/>
              <w:rPr>
                <w:rFonts w:ascii="Verdana" w:hAnsi="Verdana" w:cs="Arial"/>
                <w:sz w:val="24"/>
                <w:szCs w:val="24"/>
              </w:rPr>
            </w:pPr>
            <w:r w:rsidRPr="0062641B">
              <w:rPr>
                <w:rFonts w:ascii="Verdana" w:hAnsi="Verdana" w:cs="Arial"/>
                <w:sz w:val="24"/>
                <w:szCs w:val="24"/>
              </w:rPr>
              <w:t>Members are asked to:</w:t>
            </w:r>
          </w:p>
          <w:p w14:paraId="4A7A405F" w14:textId="77777777" w:rsidR="0062641B" w:rsidRPr="0062641B" w:rsidRDefault="0062641B" w:rsidP="0062641B">
            <w:pPr>
              <w:ind w:left="406" w:right="96" w:hanging="406"/>
              <w:rPr>
                <w:rFonts w:ascii="Verdana" w:hAnsi="Verdana" w:cs="Arial"/>
                <w:sz w:val="24"/>
                <w:szCs w:val="24"/>
              </w:rPr>
            </w:pPr>
            <w:r w:rsidRPr="0062641B">
              <w:rPr>
                <w:rFonts w:ascii="Verdana" w:hAnsi="Verdana" w:cs="Arial"/>
                <w:sz w:val="24"/>
                <w:szCs w:val="24"/>
              </w:rPr>
              <w:t>•</w:t>
            </w:r>
            <w:r w:rsidRPr="0062641B">
              <w:rPr>
                <w:rFonts w:ascii="Verdana" w:hAnsi="Verdana" w:cs="Arial"/>
                <w:sz w:val="24"/>
                <w:szCs w:val="24"/>
              </w:rPr>
              <w:tab/>
            </w:r>
            <w:r w:rsidRPr="0062641B">
              <w:rPr>
                <w:rFonts w:ascii="Verdana" w:hAnsi="Verdana" w:cs="Arial"/>
                <w:b/>
                <w:sz w:val="24"/>
                <w:szCs w:val="24"/>
              </w:rPr>
              <w:t>ACKNOWLEDGE</w:t>
            </w:r>
            <w:r w:rsidRPr="0062641B">
              <w:rPr>
                <w:rFonts w:ascii="Verdana" w:hAnsi="Verdana" w:cs="Arial"/>
                <w:sz w:val="24"/>
                <w:szCs w:val="24"/>
              </w:rPr>
              <w:t xml:space="preserve">: the health board’s end of year position in relation healthcare associated </w:t>
            </w:r>
            <w:r w:rsidRPr="0062641B">
              <w:rPr>
                <w:rFonts w:ascii="Verdana" w:hAnsi="Verdana" w:cs="Arial"/>
                <w:sz w:val="24"/>
                <w:szCs w:val="24"/>
              </w:rPr>
              <w:lastRenderedPageBreak/>
              <w:t>infections and Targeted Interventions, and that the internal and national infection improvement goals were achieved in relation to E. coli and Pseudomonas aeruginosa bacteraemia.</w:t>
            </w:r>
          </w:p>
          <w:p w14:paraId="4F044711" w14:textId="77777777" w:rsidR="0062641B" w:rsidRPr="0062641B" w:rsidRDefault="0062641B" w:rsidP="0062641B">
            <w:pPr>
              <w:ind w:left="406" w:right="96" w:hanging="406"/>
              <w:rPr>
                <w:rFonts w:ascii="Verdana" w:hAnsi="Verdana" w:cs="Arial"/>
                <w:sz w:val="24"/>
                <w:szCs w:val="24"/>
              </w:rPr>
            </w:pPr>
            <w:r w:rsidRPr="0062641B">
              <w:rPr>
                <w:rFonts w:ascii="Verdana" w:hAnsi="Verdana" w:cs="Arial"/>
                <w:sz w:val="24"/>
                <w:szCs w:val="24"/>
              </w:rPr>
              <w:t>•</w:t>
            </w:r>
            <w:r w:rsidRPr="0062641B">
              <w:rPr>
                <w:rFonts w:ascii="Verdana" w:hAnsi="Verdana" w:cs="Arial"/>
                <w:sz w:val="24"/>
                <w:szCs w:val="24"/>
              </w:rPr>
              <w:tab/>
            </w:r>
            <w:r w:rsidRPr="0062641B">
              <w:rPr>
                <w:rFonts w:ascii="Verdana" w:hAnsi="Verdana" w:cs="Arial"/>
                <w:b/>
                <w:bCs/>
                <w:sz w:val="24"/>
                <w:szCs w:val="24"/>
              </w:rPr>
              <w:t>ACKNOWLEDGE</w:t>
            </w:r>
            <w:r w:rsidRPr="0062641B">
              <w:rPr>
                <w:rFonts w:ascii="Verdana" w:hAnsi="Verdana" w:cs="Arial"/>
                <w:sz w:val="24"/>
                <w:szCs w:val="24"/>
              </w:rPr>
              <w:t xml:space="preserve">: the health board continues to have the highest incidence of </w:t>
            </w:r>
            <w:r w:rsidRPr="0062641B">
              <w:rPr>
                <w:rFonts w:ascii="Verdana" w:hAnsi="Verdana" w:cs="Arial"/>
                <w:i/>
                <w:iCs/>
                <w:sz w:val="24"/>
                <w:szCs w:val="24"/>
              </w:rPr>
              <w:t>C. difficile</w:t>
            </w:r>
            <w:r w:rsidRPr="0062641B">
              <w:rPr>
                <w:rFonts w:ascii="Verdana" w:hAnsi="Verdana" w:cs="Arial"/>
                <w:sz w:val="24"/>
                <w:szCs w:val="24"/>
              </w:rPr>
              <w:t xml:space="preserve"> infection and Klebsiella spp. bacteraemia in Wales and was an outlier in 2023/24 in a comparison with 114 NHS organisations in England and Wales.</w:t>
            </w:r>
          </w:p>
          <w:p w14:paraId="722726BF" w14:textId="77777777" w:rsidR="0062641B" w:rsidRPr="0062641B" w:rsidRDefault="0062641B" w:rsidP="0062641B">
            <w:pPr>
              <w:ind w:left="406" w:right="96" w:hanging="406"/>
              <w:rPr>
                <w:rFonts w:ascii="Verdana" w:hAnsi="Verdana" w:cs="Arial"/>
                <w:sz w:val="24"/>
                <w:szCs w:val="24"/>
              </w:rPr>
            </w:pPr>
            <w:r w:rsidRPr="0062641B">
              <w:rPr>
                <w:rFonts w:ascii="Verdana" w:hAnsi="Verdana" w:cs="Arial"/>
                <w:sz w:val="24"/>
                <w:szCs w:val="24"/>
              </w:rPr>
              <w:t>•</w:t>
            </w:r>
            <w:r w:rsidRPr="0062641B">
              <w:rPr>
                <w:rFonts w:ascii="Verdana" w:hAnsi="Verdana" w:cs="Arial"/>
                <w:sz w:val="24"/>
                <w:szCs w:val="24"/>
              </w:rPr>
              <w:tab/>
            </w:r>
            <w:r w:rsidRPr="0062641B">
              <w:rPr>
                <w:rFonts w:ascii="Verdana" w:hAnsi="Verdana" w:cs="Arial"/>
                <w:b/>
                <w:bCs/>
                <w:sz w:val="24"/>
                <w:szCs w:val="24"/>
              </w:rPr>
              <w:t>ACKNOWLEDGE</w:t>
            </w:r>
            <w:r w:rsidRPr="0062641B">
              <w:rPr>
                <w:rFonts w:ascii="Verdana" w:hAnsi="Verdana" w:cs="Arial"/>
                <w:sz w:val="24"/>
                <w:szCs w:val="24"/>
              </w:rPr>
              <w:t>: progress on Infection Prevention &amp; Control Improvement Plan to 31st March 2025.</w:t>
            </w:r>
          </w:p>
          <w:p w14:paraId="630669D7" w14:textId="77777777" w:rsidR="0062641B" w:rsidRPr="0062641B" w:rsidRDefault="0062641B" w:rsidP="0062641B">
            <w:pPr>
              <w:ind w:left="406" w:right="96" w:hanging="406"/>
              <w:rPr>
                <w:rFonts w:ascii="Verdana" w:hAnsi="Verdana" w:cs="Arial"/>
                <w:sz w:val="24"/>
                <w:szCs w:val="24"/>
              </w:rPr>
            </w:pPr>
            <w:r w:rsidRPr="0062641B">
              <w:rPr>
                <w:rFonts w:ascii="Verdana" w:hAnsi="Verdana" w:cs="Arial"/>
                <w:sz w:val="24"/>
                <w:szCs w:val="24"/>
              </w:rPr>
              <w:t>•</w:t>
            </w:r>
            <w:r w:rsidRPr="0062641B">
              <w:rPr>
                <w:rFonts w:ascii="Verdana" w:hAnsi="Verdana" w:cs="Arial"/>
                <w:sz w:val="24"/>
                <w:szCs w:val="24"/>
              </w:rPr>
              <w:tab/>
            </w:r>
            <w:r w:rsidRPr="0062641B">
              <w:rPr>
                <w:rFonts w:ascii="Verdana" w:hAnsi="Verdana" w:cs="Arial"/>
                <w:b/>
                <w:bCs/>
                <w:sz w:val="24"/>
                <w:szCs w:val="24"/>
              </w:rPr>
              <w:t>ACKNOWLEDGE</w:t>
            </w:r>
            <w:r w:rsidRPr="0062641B">
              <w:rPr>
                <w:rFonts w:ascii="Verdana" w:hAnsi="Verdana" w:cs="Arial"/>
                <w:sz w:val="24"/>
                <w:szCs w:val="24"/>
              </w:rPr>
              <w:t xml:space="preserve"> the increasing number of Datix incidents reporting Periods of Increased Incidence and Outbreaks of </w:t>
            </w:r>
            <w:r w:rsidRPr="0062641B">
              <w:rPr>
                <w:rFonts w:ascii="Verdana" w:hAnsi="Verdana" w:cs="Arial"/>
                <w:sz w:val="24"/>
                <w:szCs w:val="24"/>
                <w:u w:val="single"/>
              </w:rPr>
              <w:t>C. difficile</w:t>
            </w:r>
            <w:r w:rsidRPr="0062641B">
              <w:rPr>
                <w:rFonts w:ascii="Verdana" w:hAnsi="Verdana" w:cs="Arial"/>
                <w:sz w:val="24"/>
                <w:szCs w:val="24"/>
              </w:rPr>
              <w:t xml:space="preserve"> in Swansea Bay University Health Board.</w:t>
            </w:r>
          </w:p>
          <w:p w14:paraId="08175213" w14:textId="77777777" w:rsidR="0062641B" w:rsidRPr="0062641B" w:rsidRDefault="0062641B" w:rsidP="0062641B">
            <w:pPr>
              <w:ind w:left="406" w:right="96" w:hanging="406"/>
              <w:rPr>
                <w:rFonts w:ascii="Verdana" w:hAnsi="Verdana" w:cs="Arial"/>
                <w:sz w:val="24"/>
                <w:szCs w:val="24"/>
              </w:rPr>
            </w:pPr>
            <w:r w:rsidRPr="0062641B">
              <w:rPr>
                <w:rFonts w:ascii="Verdana" w:hAnsi="Verdana" w:cs="Arial"/>
                <w:sz w:val="24"/>
                <w:szCs w:val="24"/>
              </w:rPr>
              <w:t>•</w:t>
            </w:r>
            <w:r w:rsidRPr="0062641B">
              <w:rPr>
                <w:rFonts w:ascii="Verdana" w:hAnsi="Verdana" w:cs="Arial"/>
                <w:sz w:val="24"/>
                <w:szCs w:val="24"/>
              </w:rPr>
              <w:tab/>
            </w:r>
            <w:r w:rsidRPr="0062641B">
              <w:rPr>
                <w:rFonts w:ascii="Verdana" w:hAnsi="Verdana" w:cs="Arial"/>
                <w:b/>
                <w:bCs/>
                <w:sz w:val="24"/>
                <w:szCs w:val="24"/>
              </w:rPr>
              <w:t>ACKNOWLEDGE</w:t>
            </w:r>
            <w:r w:rsidRPr="0062641B">
              <w:rPr>
                <w:rFonts w:ascii="Verdana" w:hAnsi="Verdana" w:cs="Arial"/>
                <w:sz w:val="24"/>
                <w:szCs w:val="24"/>
              </w:rPr>
              <w:t>: the challenges and risks within the health board currently and mitigations recorded in the risks recorded in the health board’s Risk Register.</w:t>
            </w:r>
          </w:p>
          <w:p w14:paraId="70AF3DA0" w14:textId="0B593632" w:rsidR="0062641B" w:rsidRPr="0062641B" w:rsidRDefault="0062641B" w:rsidP="0062641B">
            <w:pPr>
              <w:ind w:left="406" w:right="96" w:hanging="406"/>
              <w:rPr>
                <w:rFonts w:ascii="Verdana" w:hAnsi="Verdana" w:cs="Arial"/>
                <w:sz w:val="24"/>
                <w:szCs w:val="24"/>
              </w:rPr>
            </w:pPr>
            <w:r w:rsidRPr="0062641B">
              <w:rPr>
                <w:rFonts w:ascii="Verdana" w:hAnsi="Verdana" w:cs="Arial"/>
                <w:sz w:val="24"/>
                <w:szCs w:val="24"/>
              </w:rPr>
              <w:t>•</w:t>
            </w:r>
            <w:r w:rsidRPr="0062641B">
              <w:rPr>
                <w:rFonts w:ascii="Verdana" w:hAnsi="Verdana" w:cs="Arial"/>
                <w:sz w:val="24"/>
                <w:szCs w:val="24"/>
              </w:rPr>
              <w:tab/>
            </w:r>
            <w:r w:rsidRPr="0062641B">
              <w:rPr>
                <w:rFonts w:ascii="Verdana" w:hAnsi="Verdana" w:cs="Arial"/>
                <w:b/>
                <w:bCs/>
                <w:sz w:val="24"/>
                <w:szCs w:val="24"/>
              </w:rPr>
              <w:t>ACCEPT</w:t>
            </w:r>
            <w:r w:rsidRPr="0062641B">
              <w:rPr>
                <w:rFonts w:ascii="Verdana" w:hAnsi="Verdana" w:cs="Arial"/>
                <w:sz w:val="24"/>
                <w:szCs w:val="24"/>
              </w:rPr>
              <w:t xml:space="preserve"> the </w:t>
            </w:r>
            <w:r w:rsidRPr="0062641B">
              <w:rPr>
                <w:rFonts w:ascii="Verdana" w:hAnsi="Verdana" w:cs="Arial"/>
                <w:i/>
                <w:iCs/>
                <w:sz w:val="24"/>
                <w:szCs w:val="24"/>
              </w:rPr>
              <w:t>Clostridioides difficile</w:t>
            </w:r>
            <w:r w:rsidRPr="0062641B">
              <w:rPr>
                <w:rFonts w:ascii="Verdana" w:hAnsi="Verdana" w:cs="Arial"/>
                <w:sz w:val="24"/>
                <w:szCs w:val="24"/>
              </w:rPr>
              <w:t xml:space="preserve"> (</w:t>
            </w:r>
            <w:r w:rsidRPr="0062641B">
              <w:rPr>
                <w:rFonts w:ascii="Verdana" w:hAnsi="Verdana" w:cs="Arial"/>
                <w:i/>
                <w:iCs/>
                <w:sz w:val="24"/>
                <w:szCs w:val="24"/>
              </w:rPr>
              <w:t>C.diffficile</w:t>
            </w:r>
            <w:r w:rsidRPr="0062641B">
              <w:rPr>
                <w:rFonts w:ascii="Verdana" w:hAnsi="Verdana" w:cs="Arial"/>
                <w:sz w:val="24"/>
                <w:szCs w:val="24"/>
              </w:rPr>
              <w:t>) Standards: Risk Assessment and Governance Framework.</w:t>
            </w:r>
          </w:p>
          <w:p w14:paraId="6D290417" w14:textId="77777777" w:rsidR="00AD5706" w:rsidRPr="0062641B" w:rsidRDefault="00AD5706" w:rsidP="0062641B">
            <w:pPr>
              <w:ind w:right="96"/>
              <w:rPr>
                <w:rFonts w:ascii="Verdana" w:hAnsi="Verdana" w:cs="Arial"/>
              </w:rPr>
            </w:pPr>
          </w:p>
        </w:tc>
      </w:tr>
    </w:tbl>
    <w:p w14:paraId="6D290419" w14:textId="77777777" w:rsidR="0020539A" w:rsidRDefault="0020539A">
      <w:pPr>
        <w:rPr>
          <w:rFonts w:ascii="Verdana" w:hAnsi="Verdana"/>
          <w:sz w:val="24"/>
          <w:szCs w:val="24"/>
        </w:rPr>
      </w:pPr>
    </w:p>
    <w:p w14:paraId="72A904C9" w14:textId="77777777" w:rsidR="002E27D2" w:rsidRDefault="002E27D2" w:rsidP="00653AEC">
      <w:pPr>
        <w:spacing w:after="0" w:line="240" w:lineRule="auto"/>
        <w:jc w:val="center"/>
        <w:rPr>
          <w:rFonts w:ascii="Verdana" w:hAnsi="Verdana"/>
          <w:sz w:val="24"/>
          <w:szCs w:val="24"/>
        </w:rPr>
        <w:sectPr w:rsidR="002E27D2" w:rsidSect="007A57C2">
          <w:headerReference w:type="default" r:id="rId11"/>
          <w:footerReference w:type="default" r:id="rId12"/>
          <w:pgSz w:w="11906" w:h="16838"/>
          <w:pgMar w:top="1702" w:right="1440" w:bottom="1440" w:left="1440" w:header="708" w:footer="708" w:gutter="0"/>
          <w:cols w:space="708"/>
          <w:docGrid w:linePitch="360"/>
        </w:sectPr>
      </w:pPr>
    </w:p>
    <w:p w14:paraId="6402C8D8" w14:textId="77777777" w:rsidR="002E27D2" w:rsidRDefault="002E27D2" w:rsidP="002E27D2">
      <w:pPr>
        <w:tabs>
          <w:tab w:val="left" w:pos="1063"/>
        </w:tabs>
        <w:spacing w:after="120" w:line="240" w:lineRule="auto"/>
        <w:jc w:val="center"/>
        <w:rPr>
          <w:rFonts w:ascii="Verdana" w:hAnsi="Verdana" w:cs="Arial"/>
          <w:b/>
          <w:sz w:val="24"/>
          <w:szCs w:val="24"/>
          <w:u w:val="single"/>
        </w:rPr>
      </w:pPr>
      <w:r w:rsidRPr="002E27D2">
        <w:rPr>
          <w:rFonts w:ascii="Verdana" w:hAnsi="Verdana" w:cs="Arial"/>
          <w:b/>
          <w:sz w:val="24"/>
          <w:szCs w:val="24"/>
          <w:u w:val="single"/>
        </w:rPr>
        <w:lastRenderedPageBreak/>
        <w:t>INFECTION PREVENTION AND CONTROL</w:t>
      </w:r>
      <w:r>
        <w:rPr>
          <w:rFonts w:ascii="Verdana" w:hAnsi="Verdana" w:cs="Arial"/>
          <w:b/>
          <w:sz w:val="24"/>
          <w:szCs w:val="24"/>
          <w:u w:val="single"/>
        </w:rPr>
        <w:t xml:space="preserve"> REPORT, </w:t>
      </w:r>
    </w:p>
    <w:p w14:paraId="082BC07F" w14:textId="7436590A" w:rsidR="002E27D2" w:rsidRPr="002E27D2" w:rsidRDefault="002E27D2" w:rsidP="002E27D2">
      <w:pPr>
        <w:tabs>
          <w:tab w:val="left" w:pos="1063"/>
        </w:tabs>
        <w:spacing w:after="120" w:line="240" w:lineRule="auto"/>
        <w:jc w:val="center"/>
        <w:rPr>
          <w:rFonts w:ascii="Verdana" w:hAnsi="Verdana" w:cs="Arial"/>
          <w:b/>
          <w:sz w:val="24"/>
          <w:szCs w:val="24"/>
        </w:rPr>
      </w:pPr>
      <w:r w:rsidRPr="002E27D2">
        <w:rPr>
          <w:rFonts w:ascii="Verdana" w:hAnsi="Verdana" w:cs="Arial"/>
          <w:b/>
          <w:sz w:val="24"/>
          <w:szCs w:val="24"/>
        </w:rPr>
        <w:t xml:space="preserve">with </w:t>
      </w:r>
      <w:r w:rsidRPr="002E27D2">
        <w:rPr>
          <w:rFonts w:ascii="Verdana" w:hAnsi="Verdana" w:cs="Arial"/>
          <w:b/>
          <w:i/>
          <w:iCs/>
          <w:sz w:val="24"/>
          <w:szCs w:val="24"/>
        </w:rPr>
        <w:t>C. difficile</w:t>
      </w:r>
      <w:r w:rsidRPr="002E27D2">
        <w:rPr>
          <w:rFonts w:ascii="Verdana" w:hAnsi="Verdana" w:cs="Arial"/>
          <w:b/>
          <w:sz w:val="24"/>
          <w:szCs w:val="24"/>
        </w:rPr>
        <w:t xml:space="preserve"> Standards: Risk Assessment and Governance Framework</w:t>
      </w:r>
    </w:p>
    <w:p w14:paraId="201743C6" w14:textId="77777777" w:rsidR="002E27D2" w:rsidRPr="002E27D2" w:rsidRDefault="002E27D2" w:rsidP="002E27D2">
      <w:pPr>
        <w:pStyle w:val="ListParagraph"/>
        <w:numPr>
          <w:ilvl w:val="0"/>
          <w:numId w:val="1"/>
        </w:numPr>
        <w:spacing w:after="120" w:line="240" w:lineRule="auto"/>
        <w:ind w:left="567" w:hanging="567"/>
        <w:contextualSpacing w:val="0"/>
        <w:rPr>
          <w:rFonts w:ascii="Verdana" w:hAnsi="Verdana" w:cs="Arial"/>
          <w:b/>
          <w:sz w:val="24"/>
          <w:szCs w:val="24"/>
        </w:rPr>
      </w:pPr>
      <w:r w:rsidRPr="002E27D2">
        <w:rPr>
          <w:rFonts w:ascii="Verdana" w:hAnsi="Verdana" w:cs="Arial"/>
          <w:b/>
          <w:sz w:val="24"/>
          <w:szCs w:val="24"/>
        </w:rPr>
        <w:t>INTRODUCTION</w:t>
      </w:r>
    </w:p>
    <w:p w14:paraId="378FC1DF" w14:textId="6289175F" w:rsidR="002E27D2" w:rsidRPr="002E27D2" w:rsidRDefault="002E27D2" w:rsidP="002E27D2">
      <w:pPr>
        <w:spacing w:after="120" w:line="240" w:lineRule="auto"/>
        <w:jc w:val="both"/>
        <w:rPr>
          <w:rFonts w:ascii="Verdana" w:hAnsi="Verdana" w:cs="Arial"/>
          <w:sz w:val="24"/>
          <w:szCs w:val="24"/>
        </w:rPr>
      </w:pPr>
      <w:r w:rsidRPr="002E27D2">
        <w:rPr>
          <w:rFonts w:ascii="Verdana" w:hAnsi="Verdana" w:cs="Arial"/>
          <w:sz w:val="24"/>
          <w:szCs w:val="24"/>
        </w:rPr>
        <w:t>This report provides an overview of Swansea Bay University Health Board (SBUHB) progress against Welsh Government Targeted Intervention de-escalation criteria</w:t>
      </w:r>
      <w:r w:rsidR="007670FF" w:rsidRPr="002E27D2">
        <w:rPr>
          <w:rFonts w:ascii="Verdana" w:hAnsi="Verdana" w:cs="Arial"/>
          <w:sz w:val="24"/>
          <w:szCs w:val="24"/>
        </w:rPr>
        <w:t xml:space="preserve">. </w:t>
      </w:r>
      <w:r w:rsidRPr="002E27D2">
        <w:rPr>
          <w:rFonts w:ascii="Verdana" w:hAnsi="Verdana" w:cs="Arial"/>
          <w:sz w:val="24"/>
          <w:szCs w:val="24"/>
        </w:rPr>
        <w:t>The health board additionally had internal reduction goals for healthcare-associated infections (HCAIs), and the report provides a summary of progress against these internal goals also. The reporting period is 1</w:t>
      </w:r>
      <w:r w:rsidRPr="002E27D2">
        <w:rPr>
          <w:rFonts w:ascii="Verdana" w:hAnsi="Verdana" w:cs="Arial"/>
          <w:sz w:val="24"/>
          <w:szCs w:val="24"/>
          <w:vertAlign w:val="superscript"/>
        </w:rPr>
        <w:t>st</w:t>
      </w:r>
      <w:r w:rsidRPr="002E27D2">
        <w:rPr>
          <w:rFonts w:ascii="Verdana" w:hAnsi="Verdana" w:cs="Arial"/>
          <w:sz w:val="24"/>
          <w:szCs w:val="24"/>
        </w:rPr>
        <w:t xml:space="preserve"> April 2024 – 31</w:t>
      </w:r>
      <w:r w:rsidRPr="002E27D2">
        <w:rPr>
          <w:rFonts w:ascii="Verdana" w:hAnsi="Verdana" w:cs="Arial"/>
          <w:sz w:val="24"/>
          <w:szCs w:val="24"/>
          <w:vertAlign w:val="superscript"/>
        </w:rPr>
        <w:t>st</w:t>
      </w:r>
      <w:r w:rsidRPr="002E27D2">
        <w:rPr>
          <w:rFonts w:ascii="Verdana" w:hAnsi="Verdana" w:cs="Arial"/>
          <w:sz w:val="24"/>
          <w:szCs w:val="24"/>
        </w:rPr>
        <w:t xml:space="preserve"> March 2025</w:t>
      </w:r>
      <w:r w:rsidR="007670FF" w:rsidRPr="002E27D2">
        <w:rPr>
          <w:rFonts w:ascii="Verdana" w:hAnsi="Verdana" w:cs="Arial"/>
          <w:sz w:val="24"/>
          <w:szCs w:val="24"/>
        </w:rPr>
        <w:t xml:space="preserve">. </w:t>
      </w:r>
    </w:p>
    <w:p w14:paraId="7A629552" w14:textId="1D2C63FD" w:rsidR="002E27D2" w:rsidRPr="002E27D2" w:rsidRDefault="002E27D2" w:rsidP="002E27D2">
      <w:pPr>
        <w:autoSpaceDE w:val="0"/>
        <w:autoSpaceDN w:val="0"/>
        <w:adjustRightInd w:val="0"/>
        <w:spacing w:after="120" w:line="240" w:lineRule="auto"/>
        <w:jc w:val="both"/>
        <w:rPr>
          <w:rFonts w:ascii="Verdana" w:hAnsi="Verdana" w:cs="Arial"/>
          <w:sz w:val="24"/>
          <w:szCs w:val="24"/>
        </w:rPr>
      </w:pPr>
      <w:r w:rsidRPr="002E27D2">
        <w:rPr>
          <w:rFonts w:ascii="Verdana" w:hAnsi="Verdana" w:cs="Arial"/>
          <w:sz w:val="24"/>
          <w:szCs w:val="24"/>
        </w:rPr>
        <w:t xml:space="preserve">The report provides a summary of the activities </w:t>
      </w:r>
      <w:r w:rsidR="007670FF" w:rsidRPr="002E27D2">
        <w:rPr>
          <w:rFonts w:ascii="Verdana" w:hAnsi="Verdana" w:cs="Arial"/>
          <w:sz w:val="24"/>
          <w:szCs w:val="24"/>
        </w:rPr>
        <w:t>conducted</w:t>
      </w:r>
      <w:r w:rsidRPr="002E27D2">
        <w:rPr>
          <w:rFonts w:ascii="Verdana" w:hAnsi="Verdana" w:cs="Arial"/>
          <w:sz w:val="24"/>
          <w:szCs w:val="24"/>
        </w:rPr>
        <w:t xml:space="preserve"> across the health board in relation to the prevention, </w:t>
      </w:r>
      <w:r w:rsidR="007670FF" w:rsidRPr="002E27D2">
        <w:rPr>
          <w:rFonts w:ascii="Verdana" w:hAnsi="Verdana" w:cs="Arial"/>
          <w:sz w:val="24"/>
          <w:szCs w:val="24"/>
        </w:rPr>
        <w:t>control,</w:t>
      </w:r>
      <w:r w:rsidRPr="002E27D2">
        <w:rPr>
          <w:rFonts w:ascii="Verdana" w:hAnsi="Verdana" w:cs="Arial"/>
          <w:sz w:val="24"/>
          <w:szCs w:val="24"/>
        </w:rPr>
        <w:t xml:space="preserve"> and management of infection. The report also identifies key </w:t>
      </w:r>
      <w:r w:rsidR="00073897" w:rsidRPr="002E27D2">
        <w:rPr>
          <w:rFonts w:ascii="Verdana" w:hAnsi="Verdana" w:cs="Arial"/>
          <w:sz w:val="24"/>
          <w:szCs w:val="24"/>
        </w:rPr>
        <w:t>risks and</w:t>
      </w:r>
      <w:r w:rsidRPr="002E27D2">
        <w:rPr>
          <w:rFonts w:ascii="Verdana" w:hAnsi="Verdana" w:cs="Arial"/>
          <w:sz w:val="24"/>
          <w:szCs w:val="24"/>
        </w:rPr>
        <w:t xml:space="preserve"> makes recommendations to address areas requiring action or improvement. </w:t>
      </w:r>
    </w:p>
    <w:p w14:paraId="330752A4" w14:textId="77777777" w:rsidR="002E27D2" w:rsidRPr="002E27D2" w:rsidRDefault="002E27D2" w:rsidP="002E27D2">
      <w:pPr>
        <w:autoSpaceDE w:val="0"/>
        <w:autoSpaceDN w:val="0"/>
        <w:adjustRightInd w:val="0"/>
        <w:spacing w:after="120" w:line="240" w:lineRule="auto"/>
        <w:jc w:val="both"/>
        <w:rPr>
          <w:rFonts w:ascii="Verdana" w:hAnsi="Verdana" w:cs="Arial"/>
          <w:sz w:val="24"/>
          <w:szCs w:val="24"/>
        </w:rPr>
      </w:pPr>
    </w:p>
    <w:p w14:paraId="3AFA2E20" w14:textId="77777777" w:rsidR="002E27D2" w:rsidRPr="002E27D2" w:rsidRDefault="002E27D2" w:rsidP="002E27D2">
      <w:pPr>
        <w:pStyle w:val="ListParagraph"/>
        <w:numPr>
          <w:ilvl w:val="0"/>
          <w:numId w:val="1"/>
        </w:numPr>
        <w:spacing w:after="120" w:line="240" w:lineRule="auto"/>
        <w:ind w:left="567" w:hanging="567"/>
        <w:contextualSpacing w:val="0"/>
        <w:rPr>
          <w:rFonts w:ascii="Verdana" w:hAnsi="Verdana" w:cs="Arial"/>
          <w:b/>
          <w:sz w:val="24"/>
          <w:szCs w:val="24"/>
        </w:rPr>
      </w:pPr>
      <w:r w:rsidRPr="002E27D2">
        <w:rPr>
          <w:rFonts w:ascii="Verdana" w:hAnsi="Verdana" w:cs="Arial"/>
          <w:b/>
          <w:sz w:val="24"/>
          <w:szCs w:val="24"/>
        </w:rPr>
        <w:t>Progress on key healthcare associated infections (HCAI)</w:t>
      </w:r>
    </w:p>
    <w:p w14:paraId="2AC86595" w14:textId="77777777" w:rsidR="002E27D2" w:rsidRPr="002E27D2" w:rsidRDefault="002E27D2" w:rsidP="002E27D2">
      <w:pPr>
        <w:spacing w:after="120" w:line="240" w:lineRule="auto"/>
        <w:ind w:left="567" w:hanging="567"/>
        <w:rPr>
          <w:rFonts w:ascii="Verdana" w:hAnsi="Verdana" w:cs="Arial"/>
          <w:sz w:val="24"/>
          <w:szCs w:val="24"/>
        </w:rPr>
      </w:pPr>
      <w:r w:rsidRPr="002E27D2">
        <w:rPr>
          <w:rFonts w:ascii="Verdana" w:hAnsi="Verdana" w:cs="Arial"/>
          <w:b/>
          <w:sz w:val="24"/>
          <w:szCs w:val="24"/>
        </w:rPr>
        <w:t>2.1</w:t>
      </w:r>
      <w:r w:rsidRPr="002E27D2">
        <w:rPr>
          <w:rFonts w:ascii="Verdana" w:hAnsi="Verdana" w:cs="Arial"/>
          <w:b/>
          <w:sz w:val="24"/>
          <w:szCs w:val="24"/>
        </w:rPr>
        <w:tab/>
        <w:t xml:space="preserve">Progress against Targeted Intervention </w:t>
      </w:r>
    </w:p>
    <w:p w14:paraId="64EDC471" w14:textId="521B2954" w:rsidR="002E27D2" w:rsidRPr="002E27D2" w:rsidRDefault="002E27D2" w:rsidP="002E27D2">
      <w:pPr>
        <w:spacing w:after="120" w:line="240" w:lineRule="auto"/>
        <w:jc w:val="both"/>
        <w:rPr>
          <w:rFonts w:ascii="Verdana" w:hAnsi="Verdana" w:cs="Arial"/>
          <w:sz w:val="24"/>
          <w:szCs w:val="24"/>
        </w:rPr>
      </w:pPr>
      <w:r w:rsidRPr="002E27D2">
        <w:rPr>
          <w:rFonts w:ascii="Verdana" w:hAnsi="Verdana" w:cs="Arial"/>
          <w:sz w:val="24"/>
          <w:szCs w:val="24"/>
        </w:rPr>
        <w:t>The health board</w:t>
      </w:r>
      <w:r w:rsidR="00277886">
        <w:rPr>
          <w:rFonts w:ascii="Verdana" w:hAnsi="Verdana" w:cs="Arial"/>
          <w:sz w:val="24"/>
          <w:szCs w:val="24"/>
        </w:rPr>
        <w:t xml:space="preserve"> was set </w:t>
      </w:r>
      <w:r w:rsidRPr="002E27D2">
        <w:rPr>
          <w:rFonts w:ascii="Verdana" w:hAnsi="Verdana" w:cs="Arial"/>
          <w:sz w:val="24"/>
          <w:szCs w:val="24"/>
        </w:rPr>
        <w:t xml:space="preserve">Targeted Intervention de-escalation criteria for </w:t>
      </w:r>
      <w:r w:rsidR="00277886">
        <w:rPr>
          <w:rFonts w:ascii="Verdana" w:hAnsi="Verdana" w:cs="Arial"/>
          <w:sz w:val="24"/>
          <w:szCs w:val="24"/>
        </w:rPr>
        <w:t>improvement against healthcare associated infections (HCAI)</w:t>
      </w:r>
      <w:r w:rsidR="007670FF">
        <w:rPr>
          <w:rFonts w:ascii="Verdana" w:hAnsi="Verdana" w:cs="Arial"/>
          <w:sz w:val="24"/>
          <w:szCs w:val="24"/>
        </w:rPr>
        <w:t xml:space="preserve">. </w:t>
      </w:r>
      <w:r w:rsidR="00277886">
        <w:rPr>
          <w:rFonts w:ascii="Verdana" w:hAnsi="Verdana" w:cs="Arial"/>
          <w:sz w:val="24"/>
          <w:szCs w:val="24"/>
        </w:rPr>
        <w:t xml:space="preserve">These criteria related to </w:t>
      </w:r>
      <w:r w:rsidRPr="002E27D2">
        <w:rPr>
          <w:rFonts w:ascii="Verdana" w:hAnsi="Verdana" w:cs="Arial"/>
          <w:sz w:val="24"/>
          <w:szCs w:val="24"/>
        </w:rPr>
        <w:t>hospital onset</w:t>
      </w:r>
      <w:r w:rsidR="00277886">
        <w:rPr>
          <w:rFonts w:ascii="Verdana" w:hAnsi="Verdana" w:cs="Arial"/>
          <w:sz w:val="24"/>
          <w:szCs w:val="24"/>
        </w:rPr>
        <w:t xml:space="preserve"> (HO) cases only, which are </w:t>
      </w:r>
      <w:r w:rsidRPr="002E27D2">
        <w:rPr>
          <w:rFonts w:ascii="Verdana" w:hAnsi="Verdana" w:cs="Arial"/>
          <w:sz w:val="24"/>
          <w:szCs w:val="24"/>
        </w:rPr>
        <w:t xml:space="preserve">defined as a positive microbiology result for a sample collected on day 3 or more of a hospital admission (day 1 being the first day of the admission to an in-patient location). </w:t>
      </w:r>
    </w:p>
    <w:p w14:paraId="3CBA4BD7" w14:textId="1C2EF69C" w:rsidR="002E27D2" w:rsidRPr="002E27D2" w:rsidRDefault="002E27D2" w:rsidP="002E27D2">
      <w:pPr>
        <w:spacing w:after="120" w:line="240" w:lineRule="auto"/>
        <w:jc w:val="both"/>
        <w:rPr>
          <w:rFonts w:ascii="Verdana" w:hAnsi="Verdana" w:cs="Arial"/>
          <w:sz w:val="24"/>
          <w:szCs w:val="24"/>
        </w:rPr>
      </w:pPr>
      <w:r w:rsidRPr="002E27D2">
        <w:rPr>
          <w:rFonts w:ascii="Verdana" w:hAnsi="Verdana" w:cs="Arial"/>
          <w:sz w:val="24"/>
          <w:szCs w:val="24"/>
        </w:rPr>
        <w:t xml:space="preserve">The health board </w:t>
      </w:r>
      <w:r w:rsidR="00277886">
        <w:rPr>
          <w:rFonts w:ascii="Verdana" w:hAnsi="Verdana" w:cs="Arial"/>
          <w:sz w:val="24"/>
          <w:szCs w:val="24"/>
        </w:rPr>
        <w:t xml:space="preserve">did not achieve the de-escalation criteria during 2024/25 financial year. </w:t>
      </w:r>
      <w:r w:rsidRPr="002E27D2">
        <w:rPr>
          <w:rFonts w:ascii="Verdana" w:hAnsi="Verdana" w:cs="Arial"/>
          <w:sz w:val="24"/>
          <w:szCs w:val="24"/>
        </w:rPr>
        <w:t xml:space="preserve">Quality Improvement initiatives continue across primary and secondary care settings </w:t>
      </w:r>
      <w:r w:rsidR="00FD6104">
        <w:rPr>
          <w:rFonts w:ascii="Verdana" w:hAnsi="Verdana" w:cs="Arial"/>
          <w:sz w:val="24"/>
          <w:szCs w:val="24"/>
        </w:rPr>
        <w:t xml:space="preserve">and the </w:t>
      </w:r>
      <w:r w:rsidRPr="002E27D2">
        <w:rPr>
          <w:rFonts w:ascii="Verdana" w:hAnsi="Verdana" w:cs="Arial"/>
          <w:sz w:val="24"/>
          <w:szCs w:val="24"/>
        </w:rPr>
        <w:t>service group</w:t>
      </w:r>
      <w:r w:rsidR="00FD6104">
        <w:rPr>
          <w:rFonts w:ascii="Verdana" w:hAnsi="Verdana" w:cs="Arial"/>
          <w:sz w:val="24"/>
          <w:szCs w:val="24"/>
        </w:rPr>
        <w:t>s</w:t>
      </w:r>
      <w:r w:rsidRPr="002E27D2">
        <w:rPr>
          <w:rFonts w:ascii="Verdana" w:hAnsi="Verdana" w:cs="Arial"/>
          <w:sz w:val="24"/>
          <w:szCs w:val="24"/>
        </w:rPr>
        <w:t xml:space="preserve">’ HCAI Improvement Plans continued to be monitored centrally through the monthly Executive HCAI Scrutiny Group meetings, co-chaired by the Deputy Executive Medical Director and Acting Executive Director of Nursing and Patient Experience. </w:t>
      </w:r>
    </w:p>
    <w:p w14:paraId="2CD8DCFB" w14:textId="3E97B711" w:rsidR="00FD6104" w:rsidRDefault="00FD6104">
      <w:pPr>
        <w:rPr>
          <w:rFonts w:ascii="Verdana" w:hAnsi="Verdana" w:cs="Arial"/>
          <w:b/>
          <w:sz w:val="24"/>
          <w:szCs w:val="24"/>
        </w:rPr>
      </w:pPr>
    </w:p>
    <w:p w14:paraId="583B7FC4" w14:textId="50B78E3F" w:rsidR="002E27D2" w:rsidRPr="002E27D2" w:rsidRDefault="002E27D2" w:rsidP="002E27D2">
      <w:pPr>
        <w:spacing w:after="120" w:line="240" w:lineRule="auto"/>
        <w:ind w:left="567" w:hanging="567"/>
        <w:rPr>
          <w:rFonts w:ascii="Verdana" w:hAnsi="Verdana" w:cs="Arial"/>
          <w:b/>
          <w:sz w:val="24"/>
          <w:szCs w:val="24"/>
        </w:rPr>
      </w:pPr>
      <w:r w:rsidRPr="002E27D2">
        <w:rPr>
          <w:rFonts w:ascii="Verdana" w:hAnsi="Verdana" w:cs="Arial"/>
          <w:b/>
          <w:sz w:val="24"/>
          <w:szCs w:val="24"/>
        </w:rPr>
        <w:t xml:space="preserve">2.2 </w:t>
      </w:r>
      <w:r w:rsidRPr="002E27D2">
        <w:rPr>
          <w:rFonts w:ascii="Verdana" w:hAnsi="Verdana" w:cs="Arial"/>
          <w:b/>
          <w:sz w:val="24"/>
          <w:szCs w:val="24"/>
        </w:rPr>
        <w:tab/>
        <w:t>Progress against internal health board reduction goals for key Healthcare Associated Infections (HCAIs): 1</w:t>
      </w:r>
      <w:r w:rsidRPr="002E27D2">
        <w:rPr>
          <w:rFonts w:ascii="Verdana" w:hAnsi="Verdana" w:cs="Arial"/>
          <w:b/>
          <w:sz w:val="24"/>
          <w:szCs w:val="24"/>
          <w:vertAlign w:val="superscript"/>
        </w:rPr>
        <w:t>st</w:t>
      </w:r>
      <w:r w:rsidRPr="002E27D2">
        <w:rPr>
          <w:rFonts w:ascii="Verdana" w:hAnsi="Verdana" w:cs="Arial"/>
          <w:b/>
          <w:sz w:val="24"/>
          <w:szCs w:val="24"/>
        </w:rPr>
        <w:t xml:space="preserve"> April 2024 – 31</w:t>
      </w:r>
      <w:r w:rsidRPr="002E27D2">
        <w:rPr>
          <w:rFonts w:ascii="Verdana" w:hAnsi="Verdana" w:cs="Arial"/>
          <w:b/>
          <w:sz w:val="24"/>
          <w:szCs w:val="24"/>
          <w:vertAlign w:val="superscript"/>
        </w:rPr>
        <w:t>st</w:t>
      </w:r>
      <w:r w:rsidRPr="002E27D2">
        <w:rPr>
          <w:rFonts w:ascii="Verdana" w:hAnsi="Verdana" w:cs="Arial"/>
          <w:b/>
          <w:sz w:val="24"/>
          <w:szCs w:val="24"/>
        </w:rPr>
        <w:t xml:space="preserve"> March 2025</w:t>
      </w:r>
    </w:p>
    <w:p w14:paraId="7DA161F5" w14:textId="57734001" w:rsidR="002E27D2" w:rsidRPr="002E27D2" w:rsidRDefault="002E27D2" w:rsidP="002E27D2">
      <w:pPr>
        <w:spacing w:after="120" w:line="240" w:lineRule="auto"/>
        <w:jc w:val="both"/>
        <w:rPr>
          <w:rFonts w:ascii="Verdana" w:hAnsi="Verdana" w:cs="Arial"/>
          <w:color w:val="000000" w:themeColor="text1"/>
          <w:sz w:val="24"/>
          <w:szCs w:val="24"/>
        </w:rPr>
      </w:pPr>
      <w:r w:rsidRPr="002E27D2">
        <w:rPr>
          <w:rFonts w:ascii="Verdana" w:hAnsi="Verdana" w:cs="Arial"/>
          <w:color w:val="000000" w:themeColor="text1"/>
          <w:sz w:val="24"/>
          <w:szCs w:val="24"/>
        </w:rPr>
        <w:t xml:space="preserve">Progress against the </w:t>
      </w:r>
      <w:r w:rsidRPr="002E27D2">
        <w:rPr>
          <w:rFonts w:ascii="Verdana" w:hAnsi="Verdana" w:cs="Arial"/>
          <w:b/>
          <w:color w:val="000000" w:themeColor="text1"/>
          <w:sz w:val="24"/>
          <w:szCs w:val="24"/>
        </w:rPr>
        <w:t>internal health board HCAI reduction goals</w:t>
      </w:r>
      <w:r w:rsidRPr="002E27D2">
        <w:rPr>
          <w:rFonts w:ascii="Verdana" w:hAnsi="Verdana" w:cs="Arial"/>
          <w:color w:val="000000" w:themeColor="text1"/>
          <w:sz w:val="24"/>
          <w:szCs w:val="24"/>
        </w:rPr>
        <w:t xml:space="preserve"> (based on the Welsh Government 2023/24 improvement goals) is shown in </w:t>
      </w:r>
      <w:r w:rsidR="008F7ECE">
        <w:rPr>
          <w:rFonts w:ascii="Verdana" w:hAnsi="Verdana" w:cs="Arial"/>
          <w:color w:val="000000" w:themeColor="text1"/>
          <w:sz w:val="24"/>
          <w:szCs w:val="24"/>
        </w:rPr>
        <w:t>Appendix 1</w:t>
      </w:r>
      <w:r w:rsidR="007670FF">
        <w:rPr>
          <w:rFonts w:ascii="Verdana" w:hAnsi="Verdana" w:cs="Arial"/>
          <w:color w:val="000000" w:themeColor="text1"/>
          <w:sz w:val="24"/>
          <w:szCs w:val="24"/>
        </w:rPr>
        <w:t xml:space="preserve">. </w:t>
      </w:r>
      <w:r w:rsidRPr="002E27D2">
        <w:rPr>
          <w:rFonts w:ascii="Verdana" w:hAnsi="Verdana" w:cs="Arial"/>
          <w:color w:val="000000" w:themeColor="text1"/>
          <w:sz w:val="24"/>
          <w:szCs w:val="24"/>
        </w:rPr>
        <w:t>These continue to be monitored and reported within the health board, to maintain a focus on infection reduction for patients in primary care, community, and hospital settings.</w:t>
      </w:r>
    </w:p>
    <w:p w14:paraId="7448AA16" w14:textId="3D532DAC" w:rsidR="002E27D2" w:rsidRPr="002E27D2" w:rsidRDefault="002E27D2" w:rsidP="002E27D2">
      <w:pPr>
        <w:pStyle w:val="ListParagraph"/>
        <w:spacing w:after="120" w:line="240" w:lineRule="auto"/>
        <w:ind w:left="0" w:right="28"/>
        <w:contextualSpacing w:val="0"/>
        <w:jc w:val="both"/>
        <w:rPr>
          <w:rFonts w:ascii="Verdana" w:hAnsi="Verdana" w:cs="Arial"/>
          <w:sz w:val="24"/>
          <w:szCs w:val="24"/>
        </w:rPr>
      </w:pPr>
      <w:r w:rsidRPr="002E27D2">
        <w:rPr>
          <w:rFonts w:ascii="Verdana" w:hAnsi="Verdana" w:cs="Arial"/>
          <w:sz w:val="24"/>
          <w:szCs w:val="24"/>
        </w:rPr>
        <w:lastRenderedPageBreak/>
        <w:t xml:space="preserve">A summary position for service groups is shown in </w:t>
      </w:r>
      <w:r w:rsidRPr="008F7ECE">
        <w:rPr>
          <w:rFonts w:ascii="Verdana" w:hAnsi="Verdana" w:cs="Arial"/>
          <w:sz w:val="24"/>
          <w:szCs w:val="24"/>
        </w:rPr>
        <w:t xml:space="preserve">Table </w:t>
      </w:r>
      <w:r w:rsidR="008F7ECE" w:rsidRPr="008F7ECE">
        <w:rPr>
          <w:rFonts w:ascii="Verdana" w:hAnsi="Verdana" w:cs="Arial"/>
          <w:sz w:val="24"/>
          <w:szCs w:val="24"/>
        </w:rPr>
        <w:t>1</w:t>
      </w:r>
      <w:r w:rsidR="008F7ECE">
        <w:rPr>
          <w:rFonts w:ascii="Verdana" w:hAnsi="Verdana"/>
          <w:sz w:val="24"/>
          <w:szCs w:val="24"/>
        </w:rPr>
        <w:t xml:space="preserve"> in Appendix 1</w:t>
      </w:r>
      <w:r w:rsidRPr="002E27D2">
        <w:rPr>
          <w:rFonts w:ascii="Verdana" w:hAnsi="Verdana" w:cs="Arial"/>
          <w:sz w:val="24"/>
          <w:szCs w:val="24"/>
        </w:rPr>
        <w:t>. This identifies the cumulative number of cases up to the end of March 2025, with the annual increase or reduction shown in brackets.</w:t>
      </w:r>
    </w:p>
    <w:p w14:paraId="5CFECD0F" w14:textId="5C3A602F" w:rsidR="002E27D2" w:rsidRPr="002E27D2" w:rsidRDefault="002E27D2" w:rsidP="002E27D2">
      <w:pPr>
        <w:pStyle w:val="ListParagraph"/>
        <w:spacing w:after="120" w:line="240" w:lineRule="auto"/>
        <w:ind w:left="0"/>
        <w:contextualSpacing w:val="0"/>
        <w:jc w:val="both"/>
        <w:rPr>
          <w:rFonts w:ascii="Verdana" w:hAnsi="Verdana" w:cs="Arial"/>
          <w:color w:val="000000" w:themeColor="text1"/>
          <w:sz w:val="24"/>
          <w:szCs w:val="24"/>
        </w:rPr>
      </w:pPr>
      <w:r w:rsidRPr="008F7ECE">
        <w:rPr>
          <w:rFonts w:ascii="Verdana" w:hAnsi="Verdana" w:cs="Arial"/>
          <w:bCs/>
          <w:sz w:val="24"/>
          <w:szCs w:val="24"/>
        </w:rPr>
        <w:t>Appendix 2</w:t>
      </w:r>
      <w:r w:rsidRPr="008F7ECE">
        <w:rPr>
          <w:rFonts w:ascii="Verdana" w:hAnsi="Verdana" w:cs="Arial"/>
          <w:bCs/>
          <w:color w:val="000000" w:themeColor="text1"/>
          <w:sz w:val="24"/>
          <w:szCs w:val="24"/>
        </w:rPr>
        <w:t xml:space="preserve"> </w:t>
      </w:r>
      <w:r w:rsidRPr="002E27D2">
        <w:rPr>
          <w:rFonts w:ascii="Verdana" w:hAnsi="Verdana" w:cs="Arial"/>
          <w:color w:val="000000" w:themeColor="text1"/>
          <w:sz w:val="24"/>
          <w:szCs w:val="24"/>
        </w:rPr>
        <w:t>provides a comparison with other acute health boards in Wales in relation to incidence of these infections per 100,000 population and per 1,000 admissions</w:t>
      </w:r>
      <w:r w:rsidR="007670FF" w:rsidRPr="002E27D2">
        <w:rPr>
          <w:rFonts w:ascii="Verdana" w:hAnsi="Verdana" w:cs="Arial"/>
          <w:color w:val="000000" w:themeColor="text1"/>
          <w:sz w:val="24"/>
          <w:szCs w:val="24"/>
        </w:rPr>
        <w:t xml:space="preserve">. </w:t>
      </w:r>
      <w:r w:rsidRPr="002E27D2">
        <w:rPr>
          <w:rFonts w:ascii="Verdana" w:hAnsi="Verdana" w:cs="Arial"/>
          <w:color w:val="000000" w:themeColor="text1"/>
          <w:sz w:val="24"/>
          <w:szCs w:val="24"/>
        </w:rPr>
        <w:t xml:space="preserve">Compared with other health boards in Wales, Swansea Bay has the highest incidence per 100,000 population for </w:t>
      </w:r>
      <w:r w:rsidRPr="002E27D2">
        <w:rPr>
          <w:rFonts w:ascii="Verdana" w:hAnsi="Verdana" w:cs="Arial"/>
          <w:i/>
          <w:color w:val="000000" w:themeColor="text1"/>
          <w:sz w:val="24"/>
          <w:szCs w:val="24"/>
        </w:rPr>
        <w:t>C. difficile</w:t>
      </w:r>
      <w:r w:rsidRPr="002E27D2">
        <w:rPr>
          <w:rFonts w:ascii="Verdana" w:hAnsi="Verdana" w:cs="Arial"/>
          <w:color w:val="000000" w:themeColor="text1"/>
          <w:sz w:val="24"/>
          <w:szCs w:val="24"/>
        </w:rPr>
        <w:t xml:space="preserve"> infections and </w:t>
      </w:r>
      <w:r w:rsidRPr="002E27D2">
        <w:rPr>
          <w:rFonts w:ascii="Verdana" w:hAnsi="Verdana" w:cs="Arial"/>
          <w:i/>
          <w:color w:val="000000" w:themeColor="text1"/>
          <w:sz w:val="24"/>
          <w:szCs w:val="24"/>
        </w:rPr>
        <w:t>Klebsiella spp.</w:t>
      </w:r>
      <w:r w:rsidRPr="002E27D2">
        <w:rPr>
          <w:rFonts w:ascii="Verdana" w:hAnsi="Verdana" w:cs="Arial"/>
          <w:color w:val="000000" w:themeColor="text1"/>
          <w:sz w:val="24"/>
          <w:szCs w:val="24"/>
        </w:rPr>
        <w:t xml:space="preserve"> bacteraemia. </w:t>
      </w:r>
    </w:p>
    <w:p w14:paraId="6159B40A" w14:textId="55C97E50" w:rsidR="002E27D2" w:rsidRPr="002E27D2" w:rsidRDefault="002E27D2" w:rsidP="0025504D">
      <w:pPr>
        <w:pStyle w:val="ListParagraph"/>
        <w:numPr>
          <w:ilvl w:val="0"/>
          <w:numId w:val="6"/>
        </w:numPr>
        <w:spacing w:after="120" w:line="240" w:lineRule="auto"/>
        <w:ind w:hanging="720"/>
        <w:contextualSpacing w:val="0"/>
        <w:rPr>
          <w:rFonts w:ascii="Verdana" w:hAnsi="Verdana" w:cs="Arial"/>
          <w:b/>
          <w:i/>
          <w:sz w:val="24"/>
          <w:szCs w:val="24"/>
        </w:rPr>
      </w:pPr>
      <w:r w:rsidRPr="002E27D2">
        <w:rPr>
          <w:rFonts w:ascii="Verdana" w:hAnsi="Verdana" w:cs="Arial"/>
          <w:b/>
          <w:i/>
          <w:sz w:val="24"/>
          <w:szCs w:val="24"/>
        </w:rPr>
        <w:t>Clostridioides difficile</w:t>
      </w:r>
    </w:p>
    <w:p w14:paraId="495CD0F4" w14:textId="07F716AF" w:rsidR="002E27D2" w:rsidRPr="002E27D2" w:rsidRDefault="002E27D2" w:rsidP="002E27D2">
      <w:pPr>
        <w:pStyle w:val="Default"/>
        <w:spacing w:after="120"/>
        <w:jc w:val="both"/>
        <w:rPr>
          <w:rFonts w:ascii="Verdana" w:hAnsi="Verdana" w:cs="Arial"/>
        </w:rPr>
      </w:pPr>
      <w:r w:rsidRPr="002E27D2">
        <w:rPr>
          <w:rFonts w:ascii="Verdana" w:hAnsi="Verdana" w:cs="Arial"/>
          <w:color w:val="auto"/>
        </w:rPr>
        <w:t xml:space="preserve">At the end </w:t>
      </w:r>
      <w:r w:rsidR="00FD6104">
        <w:rPr>
          <w:rFonts w:ascii="Verdana" w:hAnsi="Verdana" w:cs="Arial"/>
          <w:color w:val="auto"/>
        </w:rPr>
        <w:t>2024/25</w:t>
      </w:r>
      <w:r w:rsidRPr="002E27D2">
        <w:rPr>
          <w:rFonts w:ascii="Verdana" w:hAnsi="Verdana" w:cs="Arial"/>
          <w:color w:val="auto"/>
        </w:rPr>
        <w:t xml:space="preserve">, the annual internal infection reduction goal has been exceeded by 181 cases. There has been a </w:t>
      </w:r>
      <w:r w:rsidRPr="002E27D2">
        <w:rPr>
          <w:rFonts w:ascii="Verdana" w:hAnsi="Verdana" w:cs="Arial"/>
        </w:rPr>
        <w:t xml:space="preserve">10% increase in case numbers </w:t>
      </w:r>
      <w:r w:rsidR="00DA23FE">
        <w:rPr>
          <w:rFonts w:ascii="Verdana" w:hAnsi="Verdana" w:cs="Arial"/>
        </w:rPr>
        <w:t xml:space="preserve">annually compared </w:t>
      </w:r>
      <w:r w:rsidRPr="002E27D2">
        <w:rPr>
          <w:rFonts w:ascii="Verdana" w:hAnsi="Verdana" w:cs="Arial"/>
        </w:rPr>
        <w:t>2023/24</w:t>
      </w:r>
      <w:r w:rsidR="007670FF" w:rsidRPr="002E27D2">
        <w:rPr>
          <w:rFonts w:ascii="Verdana" w:hAnsi="Verdana" w:cs="Arial"/>
        </w:rPr>
        <w:t xml:space="preserve">. </w:t>
      </w:r>
    </w:p>
    <w:p w14:paraId="3AF1A7EF" w14:textId="77777777" w:rsidR="00FD6104" w:rsidRPr="00FD6104" w:rsidRDefault="00FD6104" w:rsidP="00FD6104">
      <w:pPr>
        <w:spacing w:after="120"/>
        <w:jc w:val="both"/>
        <w:rPr>
          <w:rFonts w:ascii="Verdana" w:hAnsi="Verdana" w:cs="Arial"/>
          <w:sz w:val="24"/>
          <w:szCs w:val="24"/>
        </w:rPr>
      </w:pPr>
      <w:r w:rsidRPr="00FD6104">
        <w:rPr>
          <w:rFonts w:ascii="Verdana" w:hAnsi="Verdana" w:cs="Arial"/>
          <w:sz w:val="24"/>
          <w:szCs w:val="24"/>
        </w:rPr>
        <w:t xml:space="preserve">The rate per 100,000 population for Swansea Bay University Health Board in 2024/25 was 70.58 (the highest rate since 2010/11). The health board continues to be an outlier in Wales. </w:t>
      </w:r>
    </w:p>
    <w:p w14:paraId="6C762DB2" w14:textId="7ABB71CC" w:rsidR="002E27D2" w:rsidRDefault="00FD6104" w:rsidP="00FD6104">
      <w:pPr>
        <w:spacing w:after="120"/>
        <w:jc w:val="both"/>
        <w:rPr>
          <w:rFonts w:ascii="Verdana" w:hAnsi="Verdana" w:cs="Arial"/>
          <w:sz w:val="24"/>
          <w:szCs w:val="24"/>
        </w:rPr>
      </w:pPr>
      <w:r w:rsidRPr="00FD6104">
        <w:rPr>
          <w:rFonts w:ascii="Verdana" w:hAnsi="Verdana" w:cs="Arial"/>
          <w:sz w:val="24"/>
          <w:szCs w:val="24"/>
        </w:rPr>
        <w:t xml:space="preserve">Wider comparison, using the most recent publication available for NHS England data (for 2023/24), demonstrated that Swansea Bay University Health Board had the highest </w:t>
      </w:r>
      <w:r w:rsidRPr="00FD6104">
        <w:rPr>
          <w:rFonts w:ascii="Verdana" w:hAnsi="Verdana" w:cs="Arial"/>
          <w:i/>
          <w:iCs/>
          <w:sz w:val="24"/>
          <w:szCs w:val="24"/>
        </w:rPr>
        <w:t>C. difficile</w:t>
      </w:r>
      <w:r w:rsidRPr="00FD6104">
        <w:rPr>
          <w:rFonts w:ascii="Verdana" w:hAnsi="Verdana" w:cs="Arial"/>
          <w:sz w:val="24"/>
          <w:szCs w:val="24"/>
        </w:rPr>
        <w:t xml:space="preserve"> infection rates per 100,000 population among 114 healthcare organisations (NHS England Sub-integrated Care Boards and NHS Wales Health Boards and Trusts). </w:t>
      </w:r>
      <w:r w:rsidR="00E91965" w:rsidRPr="00FD6104">
        <w:rPr>
          <w:rFonts w:ascii="Verdana" w:hAnsi="Verdana" w:cs="Arial"/>
          <w:sz w:val="24"/>
          <w:szCs w:val="24"/>
        </w:rPr>
        <w:t xml:space="preserve">Chart </w:t>
      </w:r>
      <w:r w:rsidR="00977CF2" w:rsidRPr="00FD6104">
        <w:rPr>
          <w:rFonts w:ascii="Verdana" w:hAnsi="Verdana" w:cs="Arial"/>
          <w:sz w:val="24"/>
          <w:szCs w:val="24"/>
        </w:rPr>
        <w:t>6</w:t>
      </w:r>
      <w:r w:rsidR="00E91965" w:rsidRPr="00FD6104">
        <w:rPr>
          <w:rFonts w:ascii="Verdana" w:hAnsi="Verdana" w:cs="Arial"/>
          <w:sz w:val="24"/>
          <w:szCs w:val="24"/>
        </w:rPr>
        <w:t xml:space="preserve"> in Appendix 2 shows the comparison of </w:t>
      </w:r>
      <w:r w:rsidR="00E91965" w:rsidRPr="00FD6104">
        <w:rPr>
          <w:rFonts w:ascii="Verdana" w:hAnsi="Verdana" w:cs="Arial"/>
          <w:i/>
          <w:iCs/>
          <w:sz w:val="24"/>
          <w:szCs w:val="24"/>
        </w:rPr>
        <w:t>C. difficile</w:t>
      </w:r>
      <w:r w:rsidR="00E91965" w:rsidRPr="00FD6104">
        <w:rPr>
          <w:rFonts w:ascii="Verdana" w:hAnsi="Verdana" w:cs="Arial"/>
          <w:sz w:val="24"/>
          <w:szCs w:val="24"/>
        </w:rPr>
        <w:t xml:space="preserve"> infection rates per 100,000 population in NHS England Sub-integrated Care Boards and NHS Wales Health Boards and Trusts for financial year 2023/24. Added to the chart is the higher rate seen in Swansea Bay in 2024/25.</w:t>
      </w:r>
    </w:p>
    <w:p w14:paraId="0CC40139" w14:textId="77777777" w:rsidR="002E27D2" w:rsidRPr="002E27D2" w:rsidRDefault="002E27D2" w:rsidP="0025504D">
      <w:pPr>
        <w:pStyle w:val="ListParagraph"/>
        <w:numPr>
          <w:ilvl w:val="0"/>
          <w:numId w:val="6"/>
        </w:numPr>
        <w:spacing w:after="120" w:line="240" w:lineRule="auto"/>
        <w:ind w:left="709" w:hanging="709"/>
        <w:contextualSpacing w:val="0"/>
        <w:jc w:val="both"/>
        <w:outlineLvl w:val="0"/>
        <w:rPr>
          <w:rFonts w:ascii="Verdana" w:hAnsi="Verdana" w:cs="Arial"/>
          <w:b/>
          <w:sz w:val="24"/>
          <w:szCs w:val="24"/>
        </w:rPr>
      </w:pPr>
      <w:r w:rsidRPr="002E27D2">
        <w:rPr>
          <w:rFonts w:ascii="Verdana" w:hAnsi="Verdana" w:cs="Arial"/>
          <w:b/>
          <w:i/>
          <w:sz w:val="24"/>
          <w:szCs w:val="24"/>
        </w:rPr>
        <w:t xml:space="preserve">Staph. aureus </w:t>
      </w:r>
      <w:r w:rsidRPr="002E27D2">
        <w:rPr>
          <w:rFonts w:ascii="Verdana" w:hAnsi="Verdana" w:cs="Arial"/>
          <w:b/>
          <w:sz w:val="24"/>
          <w:szCs w:val="24"/>
        </w:rPr>
        <w:t>bacteraemia</w:t>
      </w:r>
    </w:p>
    <w:p w14:paraId="566FAF6A" w14:textId="46EC8A9A" w:rsidR="002E27D2" w:rsidRDefault="002E27D2" w:rsidP="002E27D2">
      <w:pPr>
        <w:spacing w:after="120" w:line="240" w:lineRule="auto"/>
        <w:jc w:val="both"/>
        <w:outlineLvl w:val="0"/>
        <w:rPr>
          <w:rFonts w:ascii="Verdana" w:hAnsi="Verdana" w:cs="Arial"/>
          <w:sz w:val="24"/>
          <w:szCs w:val="24"/>
        </w:rPr>
      </w:pPr>
      <w:r w:rsidRPr="002E27D2">
        <w:rPr>
          <w:rFonts w:ascii="Verdana" w:hAnsi="Verdana" w:cs="Arial"/>
          <w:sz w:val="24"/>
          <w:szCs w:val="24"/>
        </w:rPr>
        <w:t>The internal improvement goal was exceeded by 63 cases, however, there has been an overall 6% annual reduction in case numbers</w:t>
      </w:r>
      <w:r w:rsidR="007670FF" w:rsidRPr="002E27D2">
        <w:rPr>
          <w:rFonts w:ascii="Verdana" w:hAnsi="Verdana" w:cs="Arial"/>
          <w:sz w:val="24"/>
          <w:szCs w:val="24"/>
        </w:rPr>
        <w:t xml:space="preserve">. </w:t>
      </w:r>
      <w:r w:rsidRPr="002E27D2">
        <w:rPr>
          <w:rFonts w:ascii="Verdana" w:hAnsi="Verdana" w:cs="Arial"/>
          <w:sz w:val="24"/>
          <w:szCs w:val="24"/>
        </w:rPr>
        <w:t xml:space="preserve">All service groups, </w:t>
      </w:r>
      <w:r w:rsidR="007670FF" w:rsidRPr="002E27D2">
        <w:rPr>
          <w:rFonts w:ascii="Verdana" w:hAnsi="Verdana" w:cs="Arial"/>
          <w:sz w:val="24"/>
          <w:szCs w:val="24"/>
        </w:rPr>
        <w:t>except for</w:t>
      </w:r>
      <w:r w:rsidRPr="002E27D2">
        <w:rPr>
          <w:rFonts w:ascii="Verdana" w:hAnsi="Verdana" w:cs="Arial"/>
          <w:sz w:val="24"/>
          <w:szCs w:val="24"/>
        </w:rPr>
        <w:t xml:space="preserve"> Morriston, had less cases reported in 2024/25 than in 2023/24</w:t>
      </w:r>
      <w:r w:rsidR="007670FF" w:rsidRPr="002E27D2">
        <w:rPr>
          <w:rFonts w:ascii="Verdana" w:hAnsi="Verdana" w:cs="Arial"/>
          <w:sz w:val="24"/>
          <w:szCs w:val="24"/>
        </w:rPr>
        <w:t xml:space="preserve">. </w:t>
      </w:r>
      <w:r w:rsidRPr="002E27D2">
        <w:rPr>
          <w:rFonts w:ascii="Verdana" w:hAnsi="Verdana" w:cs="Arial"/>
          <w:sz w:val="24"/>
          <w:szCs w:val="24"/>
        </w:rPr>
        <w:t xml:space="preserve">Sixty percent of the cases </w:t>
      </w:r>
      <w:r w:rsidR="007670FF" w:rsidRPr="002E27D2">
        <w:rPr>
          <w:rFonts w:ascii="Verdana" w:hAnsi="Verdana" w:cs="Arial"/>
          <w:sz w:val="24"/>
          <w:szCs w:val="24"/>
        </w:rPr>
        <w:t>are</w:t>
      </w:r>
      <w:r w:rsidRPr="002E27D2">
        <w:rPr>
          <w:rFonts w:ascii="Verdana" w:hAnsi="Verdana" w:cs="Arial"/>
          <w:sz w:val="24"/>
          <w:szCs w:val="24"/>
        </w:rPr>
        <w:t xml:space="preserve"> hospital-acquired infections (HAI)</w:t>
      </w:r>
      <w:r w:rsidR="007670FF" w:rsidRPr="002E27D2">
        <w:rPr>
          <w:rFonts w:ascii="Verdana" w:hAnsi="Verdana" w:cs="Arial"/>
          <w:sz w:val="24"/>
          <w:szCs w:val="24"/>
        </w:rPr>
        <w:t xml:space="preserve">. </w:t>
      </w:r>
    </w:p>
    <w:p w14:paraId="15A948D5" w14:textId="77777777" w:rsidR="002E27D2" w:rsidRPr="002E27D2" w:rsidRDefault="002E27D2" w:rsidP="0025504D">
      <w:pPr>
        <w:pStyle w:val="ListParagraph"/>
        <w:numPr>
          <w:ilvl w:val="0"/>
          <w:numId w:val="6"/>
        </w:numPr>
        <w:spacing w:after="120" w:line="240" w:lineRule="auto"/>
        <w:ind w:hanging="720"/>
        <w:contextualSpacing w:val="0"/>
        <w:jc w:val="both"/>
        <w:outlineLvl w:val="0"/>
        <w:rPr>
          <w:rFonts w:ascii="Verdana" w:hAnsi="Verdana" w:cs="Arial"/>
          <w:b/>
          <w:sz w:val="24"/>
          <w:szCs w:val="24"/>
        </w:rPr>
      </w:pPr>
      <w:r w:rsidRPr="002E27D2">
        <w:rPr>
          <w:rFonts w:ascii="Verdana" w:hAnsi="Verdana" w:cs="Arial"/>
          <w:b/>
          <w:sz w:val="24"/>
          <w:szCs w:val="24"/>
        </w:rPr>
        <w:t xml:space="preserve">Gram negative bacteraemia </w:t>
      </w:r>
      <w:r w:rsidRPr="002E27D2">
        <w:rPr>
          <w:rFonts w:ascii="Verdana" w:hAnsi="Verdana" w:cs="Arial"/>
          <w:b/>
          <w:i/>
          <w:color w:val="000000" w:themeColor="text1"/>
          <w:sz w:val="24"/>
          <w:szCs w:val="24"/>
        </w:rPr>
        <w:t xml:space="preserve">(E. coli, </w:t>
      </w:r>
      <w:r w:rsidRPr="002E27D2">
        <w:rPr>
          <w:rFonts w:ascii="Verdana" w:hAnsi="Verdana" w:cs="Arial"/>
          <w:b/>
          <w:i/>
          <w:sz w:val="24"/>
          <w:szCs w:val="24"/>
        </w:rPr>
        <w:t>Klebsiella spp</w:t>
      </w:r>
      <w:r w:rsidRPr="002E27D2">
        <w:rPr>
          <w:rFonts w:ascii="Verdana" w:hAnsi="Verdana" w:cs="Arial"/>
          <w:b/>
          <w:sz w:val="24"/>
          <w:szCs w:val="24"/>
        </w:rPr>
        <w:t xml:space="preserve">., </w:t>
      </w:r>
      <w:r w:rsidRPr="002E27D2">
        <w:rPr>
          <w:rFonts w:ascii="Verdana" w:hAnsi="Verdana" w:cs="Arial"/>
          <w:b/>
          <w:i/>
          <w:sz w:val="24"/>
          <w:szCs w:val="24"/>
        </w:rPr>
        <w:t>Pseudomonas aeruginosa</w:t>
      </w:r>
      <w:r w:rsidRPr="002E27D2">
        <w:rPr>
          <w:rFonts w:ascii="Verdana" w:hAnsi="Verdana" w:cs="Arial"/>
          <w:b/>
          <w:sz w:val="24"/>
          <w:szCs w:val="24"/>
        </w:rPr>
        <w:t xml:space="preserve">), </w:t>
      </w:r>
    </w:p>
    <w:p w14:paraId="1A5BC642" w14:textId="331C4B2F" w:rsidR="002E27D2" w:rsidRPr="002E27D2" w:rsidRDefault="002E27D2" w:rsidP="002E27D2">
      <w:pPr>
        <w:spacing w:after="120" w:line="240" w:lineRule="auto"/>
        <w:jc w:val="both"/>
        <w:rPr>
          <w:rFonts w:ascii="Verdana" w:hAnsi="Verdana" w:cs="Arial"/>
          <w:sz w:val="24"/>
          <w:szCs w:val="24"/>
        </w:rPr>
      </w:pPr>
      <w:r w:rsidRPr="002E27D2">
        <w:rPr>
          <w:rFonts w:ascii="Verdana" w:hAnsi="Verdana" w:cs="Arial"/>
          <w:sz w:val="24"/>
          <w:szCs w:val="24"/>
        </w:rPr>
        <w:t>The health board achieved the internal infection reduction goal (≤ 234 cases)</w:t>
      </w:r>
      <w:r w:rsidR="00FD6104">
        <w:rPr>
          <w:rFonts w:ascii="Verdana" w:hAnsi="Verdana" w:cs="Arial"/>
          <w:sz w:val="24"/>
          <w:szCs w:val="24"/>
        </w:rPr>
        <w:t xml:space="preserve"> for </w:t>
      </w:r>
      <w:r w:rsidR="00FD6104" w:rsidRPr="00FD6104">
        <w:rPr>
          <w:rFonts w:ascii="Verdana" w:hAnsi="Verdana" w:cs="Arial"/>
          <w:i/>
          <w:iCs/>
          <w:sz w:val="24"/>
          <w:szCs w:val="24"/>
        </w:rPr>
        <w:t>E. coli</w:t>
      </w:r>
      <w:r w:rsidR="00FD6104">
        <w:rPr>
          <w:rFonts w:ascii="Verdana" w:hAnsi="Verdana" w:cs="Arial"/>
          <w:sz w:val="24"/>
          <w:szCs w:val="24"/>
        </w:rPr>
        <w:t xml:space="preserve"> bacteraemia</w:t>
      </w:r>
      <w:r w:rsidRPr="002E27D2">
        <w:rPr>
          <w:rFonts w:ascii="Verdana" w:hAnsi="Verdana" w:cs="Arial"/>
          <w:sz w:val="24"/>
          <w:szCs w:val="24"/>
        </w:rPr>
        <w:t xml:space="preserve">, with a total number of 224 cases in 2024/25. This represented a 13% annual reduction in cases. </w:t>
      </w:r>
    </w:p>
    <w:p w14:paraId="1D71B442" w14:textId="7247C6E9" w:rsidR="002E27D2" w:rsidRPr="002E27D2" w:rsidRDefault="002E27D2" w:rsidP="002E27D2">
      <w:pPr>
        <w:spacing w:after="120" w:line="240" w:lineRule="auto"/>
        <w:jc w:val="both"/>
        <w:rPr>
          <w:rFonts w:ascii="Verdana" w:hAnsi="Verdana" w:cs="Arial"/>
          <w:sz w:val="24"/>
          <w:szCs w:val="24"/>
        </w:rPr>
      </w:pPr>
      <w:r w:rsidRPr="002E27D2">
        <w:rPr>
          <w:rFonts w:ascii="Verdana" w:hAnsi="Verdana" w:cs="Arial"/>
          <w:sz w:val="24"/>
          <w:szCs w:val="24"/>
        </w:rPr>
        <w:t xml:space="preserve">The total number of </w:t>
      </w:r>
      <w:r w:rsidRPr="002E27D2">
        <w:rPr>
          <w:rFonts w:ascii="Verdana" w:hAnsi="Verdana" w:cs="Arial"/>
          <w:i/>
          <w:sz w:val="24"/>
          <w:szCs w:val="24"/>
        </w:rPr>
        <w:t>Klebsiella spp</w:t>
      </w:r>
      <w:r w:rsidRPr="002E27D2">
        <w:rPr>
          <w:rFonts w:ascii="Verdana" w:hAnsi="Verdana" w:cs="Arial"/>
          <w:sz w:val="24"/>
          <w:szCs w:val="24"/>
        </w:rPr>
        <w:t>. bacteraemia cases exceeded the internal goal (≤ 71 cases)</w:t>
      </w:r>
      <w:r w:rsidR="007670FF" w:rsidRPr="002E27D2">
        <w:rPr>
          <w:rFonts w:ascii="Verdana" w:hAnsi="Verdana" w:cs="Arial"/>
          <w:sz w:val="24"/>
          <w:szCs w:val="24"/>
        </w:rPr>
        <w:t xml:space="preserve">. </w:t>
      </w:r>
      <w:r w:rsidRPr="002E27D2">
        <w:rPr>
          <w:rFonts w:ascii="Verdana" w:hAnsi="Verdana" w:cs="Arial"/>
          <w:sz w:val="24"/>
          <w:szCs w:val="24"/>
        </w:rPr>
        <w:t>There were 120 cases to the end of March 2025, which represented an overall 28% annual increase in case numbers</w:t>
      </w:r>
      <w:r w:rsidR="007670FF" w:rsidRPr="002E27D2">
        <w:rPr>
          <w:rFonts w:ascii="Verdana" w:hAnsi="Verdana" w:cs="Arial"/>
          <w:sz w:val="24"/>
          <w:szCs w:val="24"/>
        </w:rPr>
        <w:t xml:space="preserve">. </w:t>
      </w:r>
    </w:p>
    <w:p w14:paraId="2E1DF888" w14:textId="5C36592F" w:rsidR="000E5FEB" w:rsidRDefault="002E27D2" w:rsidP="0062641B">
      <w:pPr>
        <w:spacing w:after="120" w:line="240" w:lineRule="auto"/>
        <w:jc w:val="both"/>
        <w:outlineLvl w:val="0"/>
        <w:rPr>
          <w:rFonts w:ascii="Verdana" w:hAnsi="Verdana" w:cs="Arial"/>
          <w:b/>
          <w:bCs/>
          <w:color w:val="000000" w:themeColor="text1"/>
          <w:sz w:val="24"/>
          <w:szCs w:val="24"/>
        </w:rPr>
      </w:pPr>
      <w:r w:rsidRPr="002E27D2">
        <w:rPr>
          <w:rFonts w:ascii="Verdana" w:hAnsi="Verdana" w:cs="Arial"/>
          <w:sz w:val="24"/>
          <w:szCs w:val="24"/>
        </w:rPr>
        <w:lastRenderedPageBreak/>
        <w:t>The health board achieved the internal infection reduction goal for</w:t>
      </w:r>
      <w:r w:rsidRPr="002E27D2">
        <w:rPr>
          <w:rFonts w:ascii="Verdana" w:hAnsi="Verdana" w:cs="Arial"/>
          <w:i/>
          <w:sz w:val="24"/>
          <w:szCs w:val="24"/>
        </w:rPr>
        <w:t xml:space="preserve"> Pseudomonas aeruginosa</w:t>
      </w:r>
      <w:r w:rsidRPr="002E27D2">
        <w:rPr>
          <w:rFonts w:ascii="Verdana" w:hAnsi="Verdana" w:cs="Arial"/>
          <w:sz w:val="24"/>
          <w:szCs w:val="24"/>
        </w:rPr>
        <w:t xml:space="preserve"> bacteraemia (≤ 21 cases), with a total number of 18 cases in 2024/25</w:t>
      </w:r>
      <w:r w:rsidR="007670FF" w:rsidRPr="002E27D2">
        <w:rPr>
          <w:rFonts w:ascii="Verdana" w:hAnsi="Verdana" w:cs="Arial"/>
          <w:sz w:val="24"/>
          <w:szCs w:val="24"/>
        </w:rPr>
        <w:t xml:space="preserve">. </w:t>
      </w:r>
      <w:r w:rsidRPr="002E27D2">
        <w:rPr>
          <w:rFonts w:ascii="Verdana" w:hAnsi="Verdana" w:cs="Arial"/>
          <w:sz w:val="24"/>
          <w:szCs w:val="24"/>
        </w:rPr>
        <w:t>This was a 14% annual reduction in cases</w:t>
      </w:r>
      <w:r w:rsidR="007670FF" w:rsidRPr="002E27D2">
        <w:rPr>
          <w:rFonts w:ascii="Verdana" w:hAnsi="Verdana" w:cs="Arial"/>
          <w:sz w:val="24"/>
          <w:szCs w:val="24"/>
        </w:rPr>
        <w:t>.</w:t>
      </w:r>
      <w:bookmarkStart w:id="0" w:name="Table4"/>
    </w:p>
    <w:p w14:paraId="7DD7AAFB" w14:textId="556F690D" w:rsidR="002E27D2" w:rsidRPr="002E27D2" w:rsidRDefault="002E27D2" w:rsidP="002E27D2">
      <w:pPr>
        <w:pStyle w:val="ListParagraph"/>
        <w:spacing w:after="120" w:line="240" w:lineRule="auto"/>
        <w:ind w:left="0"/>
        <w:contextualSpacing w:val="0"/>
        <w:jc w:val="both"/>
        <w:rPr>
          <w:rFonts w:ascii="Verdana" w:hAnsi="Verdana" w:cs="Arial"/>
          <w:b/>
          <w:bCs/>
          <w:color w:val="000000" w:themeColor="text1"/>
          <w:sz w:val="24"/>
          <w:szCs w:val="24"/>
        </w:rPr>
      </w:pPr>
      <w:r w:rsidRPr="002E27D2">
        <w:rPr>
          <w:rFonts w:ascii="Verdana" w:hAnsi="Verdana" w:cs="Arial"/>
          <w:b/>
          <w:bCs/>
          <w:color w:val="000000" w:themeColor="text1"/>
          <w:sz w:val="24"/>
          <w:szCs w:val="24"/>
        </w:rPr>
        <w:t>National infection improvement goals</w:t>
      </w:r>
    </w:p>
    <w:p w14:paraId="149AA381" w14:textId="65E9D88F" w:rsidR="00977CF2" w:rsidRPr="002E27D2" w:rsidRDefault="002E27D2" w:rsidP="00977CF2">
      <w:pPr>
        <w:pStyle w:val="ListParagraph"/>
        <w:spacing w:after="120" w:line="240" w:lineRule="auto"/>
        <w:ind w:left="0"/>
        <w:contextualSpacing w:val="0"/>
        <w:jc w:val="both"/>
        <w:rPr>
          <w:rFonts w:ascii="Verdana" w:hAnsi="Verdana" w:cs="Arial"/>
          <w:color w:val="00B050"/>
          <w:sz w:val="24"/>
          <w:szCs w:val="24"/>
        </w:rPr>
      </w:pPr>
      <w:r w:rsidRPr="002E27D2">
        <w:rPr>
          <w:rFonts w:ascii="Verdana" w:hAnsi="Verdana" w:cs="Arial"/>
          <w:color w:val="000000" w:themeColor="text1"/>
          <w:sz w:val="24"/>
          <w:szCs w:val="24"/>
        </w:rPr>
        <w:t>Improvement goals for 2024/25 were published in a Welsh Health Circular in September 2024 (WHC (2024) 038)</w:t>
      </w:r>
      <w:r w:rsidR="007670FF" w:rsidRPr="002E27D2">
        <w:rPr>
          <w:rFonts w:ascii="Verdana" w:hAnsi="Verdana" w:cs="Arial"/>
          <w:color w:val="000000" w:themeColor="text1"/>
          <w:sz w:val="24"/>
          <w:szCs w:val="24"/>
        </w:rPr>
        <w:t xml:space="preserve">. </w:t>
      </w:r>
      <w:r w:rsidR="00977CF2" w:rsidRPr="002E27D2">
        <w:rPr>
          <w:rFonts w:ascii="Verdana" w:hAnsi="Verdana" w:cs="Arial"/>
          <w:color w:val="000000" w:themeColor="text1"/>
          <w:sz w:val="24"/>
          <w:szCs w:val="24"/>
        </w:rPr>
        <w:t xml:space="preserve">The health board achieved the improvement goals for </w:t>
      </w:r>
      <w:r w:rsidR="00977CF2" w:rsidRPr="002E27D2">
        <w:rPr>
          <w:rFonts w:ascii="Verdana" w:hAnsi="Verdana" w:cs="Arial"/>
          <w:i/>
          <w:iCs/>
          <w:color w:val="000000" w:themeColor="text1"/>
          <w:sz w:val="24"/>
          <w:szCs w:val="24"/>
        </w:rPr>
        <w:t>Pseudomonas</w:t>
      </w:r>
      <w:r w:rsidR="00977CF2" w:rsidRPr="002E27D2">
        <w:rPr>
          <w:rFonts w:ascii="Verdana" w:hAnsi="Verdana" w:cs="Arial"/>
          <w:color w:val="000000" w:themeColor="text1"/>
          <w:sz w:val="24"/>
          <w:szCs w:val="24"/>
        </w:rPr>
        <w:t xml:space="preserve">, </w:t>
      </w:r>
      <w:r w:rsidR="00977CF2" w:rsidRPr="002E27D2">
        <w:rPr>
          <w:rFonts w:ascii="Verdana" w:hAnsi="Verdana" w:cs="Arial"/>
          <w:i/>
          <w:iCs/>
          <w:color w:val="000000" w:themeColor="text1"/>
          <w:sz w:val="24"/>
          <w:szCs w:val="24"/>
        </w:rPr>
        <w:t>E coli</w:t>
      </w:r>
      <w:r w:rsidR="00977CF2" w:rsidRPr="002E27D2">
        <w:rPr>
          <w:rFonts w:ascii="Verdana" w:hAnsi="Verdana" w:cs="Arial"/>
          <w:color w:val="000000" w:themeColor="text1"/>
          <w:sz w:val="24"/>
          <w:szCs w:val="24"/>
        </w:rPr>
        <w:t xml:space="preserve"> and MRSA bacteraemias.</w:t>
      </w:r>
    </w:p>
    <w:p w14:paraId="66507032" w14:textId="63D8B964" w:rsidR="00977CF2" w:rsidRDefault="002E27D2" w:rsidP="002E27D2">
      <w:pPr>
        <w:pStyle w:val="ListParagraph"/>
        <w:spacing w:after="120" w:line="240" w:lineRule="auto"/>
        <w:ind w:left="0"/>
        <w:contextualSpacing w:val="0"/>
        <w:jc w:val="both"/>
        <w:rPr>
          <w:rFonts w:ascii="Verdana" w:hAnsi="Verdana" w:cs="Arial"/>
          <w:b/>
          <w:bCs/>
          <w:color w:val="000000" w:themeColor="text1"/>
          <w:sz w:val="24"/>
          <w:szCs w:val="24"/>
        </w:rPr>
      </w:pPr>
      <w:r w:rsidRPr="002E27D2">
        <w:rPr>
          <w:rFonts w:ascii="Verdana" w:hAnsi="Verdana" w:cs="Arial"/>
          <w:color w:val="000000" w:themeColor="text1"/>
          <w:sz w:val="24"/>
          <w:szCs w:val="24"/>
        </w:rPr>
        <w:t xml:space="preserve">The end of year position for the infection improvement goals is shown in </w:t>
      </w:r>
      <w:r w:rsidR="00977CF2">
        <w:rPr>
          <w:rFonts w:ascii="Verdana" w:hAnsi="Verdana" w:cs="Arial"/>
          <w:color w:val="000000" w:themeColor="text1"/>
          <w:sz w:val="24"/>
          <w:szCs w:val="24"/>
        </w:rPr>
        <w:t>the table below</w:t>
      </w:r>
      <w:bookmarkEnd w:id="0"/>
      <w:r w:rsidR="007670FF" w:rsidRPr="002E27D2">
        <w:rPr>
          <w:rFonts w:ascii="Verdana" w:hAnsi="Verdana" w:cs="Arial"/>
          <w:color w:val="000000" w:themeColor="text1"/>
          <w:sz w:val="24"/>
          <w:szCs w:val="24"/>
        </w:rPr>
        <w:t xml:space="preserve">. </w:t>
      </w:r>
    </w:p>
    <w:p w14:paraId="55C76DC5" w14:textId="0F69BBA5" w:rsidR="002E27D2" w:rsidRPr="00977CF2" w:rsidRDefault="002E27D2" w:rsidP="002E27D2">
      <w:pPr>
        <w:pStyle w:val="ListParagraph"/>
        <w:spacing w:after="120" w:line="240" w:lineRule="auto"/>
        <w:ind w:left="0"/>
        <w:contextualSpacing w:val="0"/>
        <w:jc w:val="both"/>
        <w:rPr>
          <w:rFonts w:ascii="Verdana" w:hAnsi="Verdana" w:cs="Arial"/>
          <w:color w:val="000000" w:themeColor="text1"/>
        </w:rPr>
      </w:pPr>
      <w:r w:rsidRPr="00977CF2">
        <w:rPr>
          <w:rFonts w:ascii="Verdana" w:hAnsi="Verdana" w:cs="Arial"/>
          <w:b/>
          <w:bCs/>
          <w:color w:val="000000" w:themeColor="text1"/>
        </w:rPr>
        <w:t xml:space="preserve">Progress against WHC (2024)038 Improvement Goals, by acute health board, April 2024 </w:t>
      </w:r>
      <w:r w:rsidRPr="00977CF2">
        <w:rPr>
          <w:rFonts w:ascii="Verdana" w:hAnsi="Verdana" w:cs="Arial"/>
          <w:b/>
          <w:bCs/>
        </w:rPr>
        <w:t>– March 2025</w:t>
      </w:r>
      <w:r w:rsidRPr="00977CF2">
        <w:rPr>
          <w:rFonts w:ascii="Verdana" w:hAnsi="Verdana" w:cs="Arial"/>
        </w:rPr>
        <w:t>.</w:t>
      </w:r>
      <w:r w:rsidRPr="00977CF2">
        <w:rPr>
          <w:rFonts w:ascii="Verdana" w:hAnsi="Verdana" w:cs="Arial"/>
          <w:color w:val="000000" w:themeColor="text1"/>
        </w:rPr>
        <w:t xml:space="preserve"> </w:t>
      </w:r>
    </w:p>
    <w:p w14:paraId="2F79D37C" w14:textId="295303A0" w:rsidR="002E27D2" w:rsidRPr="002E27D2" w:rsidRDefault="00977CF2" w:rsidP="002E27D2">
      <w:pPr>
        <w:pStyle w:val="ListParagraph"/>
        <w:spacing w:after="120" w:line="240" w:lineRule="auto"/>
        <w:ind w:left="0"/>
        <w:contextualSpacing w:val="0"/>
        <w:jc w:val="both"/>
        <w:rPr>
          <w:rFonts w:ascii="Verdana" w:hAnsi="Verdana" w:cs="Arial"/>
          <w:color w:val="00B050"/>
          <w:sz w:val="24"/>
          <w:szCs w:val="24"/>
        </w:rPr>
      </w:pPr>
      <w:r>
        <w:rPr>
          <w:rFonts w:ascii="Verdana" w:hAnsi="Verdana" w:cs="Arial"/>
          <w:noProof/>
          <w:color w:val="00B050"/>
          <w:sz w:val="24"/>
          <w:szCs w:val="24"/>
        </w:rPr>
        <w:drawing>
          <wp:inline distT="0" distB="0" distL="0" distR="0" wp14:anchorId="43E650B0" wp14:editId="0C4C8C12">
            <wp:extent cx="5828815" cy="2819400"/>
            <wp:effectExtent l="0" t="0" r="635" b="0"/>
            <wp:docPr id="7721153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45892" cy="2827660"/>
                    </a:xfrm>
                    <a:prstGeom prst="rect">
                      <a:avLst/>
                    </a:prstGeom>
                    <a:noFill/>
                  </pic:spPr>
                </pic:pic>
              </a:graphicData>
            </a:graphic>
          </wp:inline>
        </w:drawing>
      </w:r>
    </w:p>
    <w:p w14:paraId="6FB3015A" w14:textId="77777777" w:rsidR="002E27D2" w:rsidRDefault="002E27D2" w:rsidP="002E27D2">
      <w:pPr>
        <w:spacing w:after="120" w:line="240" w:lineRule="auto"/>
        <w:jc w:val="both"/>
        <w:outlineLvl w:val="0"/>
        <w:rPr>
          <w:rFonts w:ascii="Verdana" w:hAnsi="Verdana" w:cs="Arial"/>
          <w:b/>
          <w:color w:val="000000"/>
          <w:sz w:val="24"/>
          <w:szCs w:val="24"/>
        </w:rPr>
      </w:pPr>
    </w:p>
    <w:p w14:paraId="4147DA92" w14:textId="5F7D0604" w:rsidR="002E27D2" w:rsidRPr="002E27D2" w:rsidRDefault="002E27D2" w:rsidP="002E27D2">
      <w:pPr>
        <w:pStyle w:val="Default"/>
        <w:numPr>
          <w:ilvl w:val="0"/>
          <w:numId w:val="1"/>
        </w:numPr>
        <w:spacing w:after="120"/>
        <w:ind w:left="357" w:hanging="357"/>
        <w:jc w:val="both"/>
        <w:rPr>
          <w:rFonts w:ascii="Verdana" w:hAnsi="Verdana" w:cs="Arial"/>
          <w:b/>
        </w:rPr>
      </w:pPr>
      <w:r w:rsidRPr="002E27D2">
        <w:rPr>
          <w:rFonts w:ascii="Verdana" w:hAnsi="Verdana" w:cs="Arial"/>
          <w:b/>
        </w:rPr>
        <w:t xml:space="preserve">Infection Prevention &amp; Control Improvement Plan </w:t>
      </w:r>
    </w:p>
    <w:p w14:paraId="7C98FD0F" w14:textId="77777777" w:rsidR="002E27D2" w:rsidRPr="002E27D2" w:rsidRDefault="002E27D2" w:rsidP="002E27D2">
      <w:pPr>
        <w:pStyle w:val="Default"/>
        <w:numPr>
          <w:ilvl w:val="1"/>
          <w:numId w:val="1"/>
        </w:numPr>
        <w:spacing w:after="120"/>
        <w:ind w:left="431" w:hanging="431"/>
        <w:jc w:val="both"/>
        <w:rPr>
          <w:rFonts w:ascii="Verdana" w:hAnsi="Verdana" w:cs="Arial"/>
          <w:b/>
        </w:rPr>
      </w:pPr>
      <w:r w:rsidRPr="002E27D2">
        <w:rPr>
          <w:rFonts w:ascii="Verdana" w:hAnsi="Verdana" w:cs="Arial"/>
          <w:b/>
          <w:u w:val="single"/>
        </w:rPr>
        <w:t>Overarching 2024/25 Infection Prevention Improvement Plan</w:t>
      </w:r>
    </w:p>
    <w:p w14:paraId="1431297B" w14:textId="044A6FEF" w:rsidR="002E27D2" w:rsidRPr="002E27D2" w:rsidRDefault="002E27D2" w:rsidP="002E27D2">
      <w:pPr>
        <w:pStyle w:val="Default"/>
        <w:spacing w:after="120"/>
        <w:jc w:val="both"/>
        <w:rPr>
          <w:rFonts w:ascii="Verdana" w:hAnsi="Verdana" w:cs="Arial"/>
        </w:rPr>
      </w:pPr>
      <w:r w:rsidRPr="002E27D2">
        <w:rPr>
          <w:rFonts w:ascii="Verdana" w:hAnsi="Verdana" w:cs="Arial"/>
        </w:rPr>
        <w:t>The infection prevention improvement plan for 2024/25 focussed on core themes to support improvement and reduce episodes of harm caused by healthcare associated infections (HCAI)</w:t>
      </w:r>
      <w:r w:rsidR="007670FF" w:rsidRPr="002E27D2">
        <w:rPr>
          <w:rFonts w:ascii="Verdana" w:hAnsi="Verdana" w:cs="Arial"/>
        </w:rPr>
        <w:t xml:space="preserve">. </w:t>
      </w:r>
    </w:p>
    <w:p w14:paraId="3D10FF11" w14:textId="00D92799" w:rsidR="002E27D2" w:rsidRPr="00FD6104" w:rsidRDefault="002E27D2" w:rsidP="002E27D2">
      <w:pPr>
        <w:pStyle w:val="Default"/>
        <w:spacing w:after="120"/>
        <w:jc w:val="both"/>
        <w:rPr>
          <w:rFonts w:ascii="Verdana" w:hAnsi="Verdana" w:cs="Arial"/>
        </w:rPr>
      </w:pPr>
      <w:r w:rsidRPr="002E27D2">
        <w:rPr>
          <w:rFonts w:ascii="Verdana" w:hAnsi="Verdana" w:cs="Arial"/>
        </w:rPr>
        <w:t xml:space="preserve">Progress to the end of Quarter 4 is presented in </w:t>
      </w:r>
      <w:r w:rsidRPr="00FD6104">
        <w:rPr>
          <w:rFonts w:ascii="Verdana" w:hAnsi="Verdana" w:cs="Arial"/>
        </w:rPr>
        <w:t>Appendix 3</w:t>
      </w:r>
      <w:r w:rsidR="00977CF2" w:rsidRPr="00FD6104">
        <w:rPr>
          <w:rFonts w:ascii="Verdana" w:hAnsi="Verdana" w:cs="Arial"/>
        </w:rPr>
        <w:t>.</w:t>
      </w:r>
    </w:p>
    <w:p w14:paraId="0BFF37E8" w14:textId="4ED446F5" w:rsidR="00886111" w:rsidRDefault="00886111">
      <w:pPr>
        <w:rPr>
          <w:rFonts w:ascii="Verdana" w:hAnsi="Verdana" w:cs="Arial"/>
          <w:b/>
          <w:sz w:val="24"/>
          <w:szCs w:val="24"/>
        </w:rPr>
      </w:pPr>
    </w:p>
    <w:p w14:paraId="795EC4DF" w14:textId="2DC57AA8" w:rsidR="002E27D2" w:rsidRPr="002E27D2" w:rsidRDefault="002E27D2" w:rsidP="002E27D2">
      <w:pPr>
        <w:pStyle w:val="ListParagraph"/>
        <w:numPr>
          <w:ilvl w:val="0"/>
          <w:numId w:val="1"/>
        </w:numPr>
        <w:spacing w:after="120" w:line="240" w:lineRule="auto"/>
        <w:ind w:left="357" w:hanging="357"/>
        <w:contextualSpacing w:val="0"/>
        <w:jc w:val="both"/>
        <w:rPr>
          <w:rFonts w:ascii="Verdana" w:hAnsi="Verdana" w:cs="Arial"/>
          <w:b/>
          <w:sz w:val="24"/>
          <w:szCs w:val="24"/>
        </w:rPr>
      </w:pPr>
      <w:r w:rsidRPr="002E27D2">
        <w:rPr>
          <w:rFonts w:ascii="Verdana" w:hAnsi="Verdana" w:cs="Arial"/>
          <w:b/>
          <w:sz w:val="24"/>
          <w:szCs w:val="24"/>
        </w:rPr>
        <w:t xml:space="preserve">Outbreaks and clusters, untoward incidents, </w:t>
      </w:r>
      <w:r w:rsidRPr="002E27D2">
        <w:rPr>
          <w:rFonts w:ascii="Verdana" w:eastAsia="Arial" w:hAnsi="Verdana" w:cs="Arial"/>
          <w:b/>
          <w:sz w:val="24"/>
          <w:szCs w:val="24"/>
        </w:rPr>
        <w:t>Periods of Increased Incidence (PII), and ward/bay closures from diarrhoea and vomiting</w:t>
      </w:r>
    </w:p>
    <w:p w14:paraId="61F5491D" w14:textId="77777777" w:rsidR="00FD6104" w:rsidRPr="00CE2BE3" w:rsidRDefault="00FD6104" w:rsidP="00FD6104">
      <w:pPr>
        <w:spacing w:after="120" w:line="240" w:lineRule="auto"/>
        <w:jc w:val="both"/>
        <w:rPr>
          <w:rFonts w:ascii="Verdana" w:hAnsi="Verdana" w:cs="Arial"/>
          <w:bCs/>
          <w:sz w:val="24"/>
          <w:szCs w:val="24"/>
        </w:rPr>
      </w:pPr>
      <w:bookmarkStart w:id="1" w:name="Section4_2"/>
      <w:r w:rsidRPr="00FD6104">
        <w:rPr>
          <w:rFonts w:ascii="Verdana" w:hAnsi="Verdana" w:cs="Arial"/>
          <w:sz w:val="24"/>
          <w:szCs w:val="24"/>
        </w:rPr>
        <w:t xml:space="preserve">Over the last two financial years, the number of Datix reports of </w:t>
      </w:r>
      <w:r w:rsidRPr="00FD6104">
        <w:rPr>
          <w:rFonts w:ascii="Verdana" w:hAnsi="Verdana" w:cs="Arial"/>
          <w:i/>
          <w:iCs/>
          <w:sz w:val="24"/>
          <w:szCs w:val="24"/>
        </w:rPr>
        <w:t>C. difficile</w:t>
      </w:r>
      <w:r w:rsidRPr="00FD6104">
        <w:rPr>
          <w:rFonts w:ascii="Verdana" w:hAnsi="Verdana" w:cs="Arial"/>
          <w:sz w:val="24"/>
          <w:szCs w:val="24"/>
        </w:rPr>
        <w:t xml:space="preserve"> Periods of Increased Incidence (two or more hospital onset cases associated </w:t>
      </w:r>
      <w:r w:rsidRPr="00FD6104">
        <w:rPr>
          <w:rFonts w:ascii="Verdana" w:hAnsi="Verdana" w:cs="Arial"/>
          <w:sz w:val="24"/>
          <w:szCs w:val="24"/>
        </w:rPr>
        <w:lastRenderedPageBreak/>
        <w:t>with the same ward within a 28-day period) have more than trebled</w:t>
      </w:r>
      <w:r>
        <w:rPr>
          <w:rFonts w:ascii="Verdana" w:hAnsi="Verdana" w:cs="Arial"/>
          <w:sz w:val="24"/>
          <w:szCs w:val="24"/>
        </w:rPr>
        <w:t xml:space="preserve"> (Chart 7, Appendix 4)</w:t>
      </w:r>
      <w:r w:rsidRPr="00FD6104">
        <w:rPr>
          <w:rFonts w:ascii="Verdana" w:hAnsi="Verdana" w:cs="Arial"/>
          <w:sz w:val="24"/>
          <w:szCs w:val="24"/>
        </w:rPr>
        <w:t xml:space="preserve">. </w:t>
      </w:r>
      <w:r w:rsidRPr="00CE2BE3">
        <w:rPr>
          <w:rFonts w:ascii="Verdana" w:hAnsi="Verdana" w:cs="Arial"/>
          <w:bCs/>
          <w:sz w:val="24"/>
          <w:szCs w:val="24"/>
        </w:rPr>
        <w:t xml:space="preserve">Review of the Statistical Process Control (SPC) Chart </w:t>
      </w:r>
      <w:r>
        <w:rPr>
          <w:rFonts w:ascii="Verdana" w:hAnsi="Verdana" w:cs="Arial"/>
          <w:bCs/>
          <w:sz w:val="24"/>
          <w:szCs w:val="24"/>
        </w:rPr>
        <w:t>7</w:t>
      </w:r>
      <w:r w:rsidRPr="00CE2BE3">
        <w:rPr>
          <w:rFonts w:ascii="Verdana" w:hAnsi="Verdana" w:cs="Arial"/>
          <w:bCs/>
          <w:sz w:val="24"/>
          <w:szCs w:val="24"/>
        </w:rPr>
        <w:t xml:space="preserve"> indicates a concerning trend, with the last nine consecutive data points being above the mean. This pattern shows a statistically significant variation, suggesting a sustained shift in performance that requires an appropriate response by the health board.</w:t>
      </w:r>
    </w:p>
    <w:p w14:paraId="2EDAEC0D" w14:textId="512D883B" w:rsidR="00FD6104" w:rsidRPr="00FD6104" w:rsidRDefault="00FD6104" w:rsidP="00FD6104">
      <w:pPr>
        <w:spacing w:after="120"/>
        <w:jc w:val="both"/>
        <w:rPr>
          <w:rFonts w:ascii="Verdana" w:hAnsi="Verdana" w:cs="Arial"/>
          <w:sz w:val="24"/>
          <w:szCs w:val="24"/>
        </w:rPr>
      </w:pPr>
      <w:r w:rsidRPr="00FD6104">
        <w:rPr>
          <w:rFonts w:ascii="Verdana" w:hAnsi="Verdana" w:cs="Arial"/>
          <w:sz w:val="24"/>
          <w:szCs w:val="24"/>
        </w:rPr>
        <w:t xml:space="preserve">Of particular concern is the increasing number of incidents where transmission has occurred between patients within our hospital settings. An outbreak is confirmed when there are two or more patients with the same strain of </w:t>
      </w:r>
      <w:r w:rsidRPr="00FD6104">
        <w:rPr>
          <w:rFonts w:ascii="Verdana" w:hAnsi="Verdana" w:cs="Arial"/>
          <w:i/>
          <w:iCs/>
          <w:sz w:val="24"/>
          <w:szCs w:val="24"/>
        </w:rPr>
        <w:t>C. difficile</w:t>
      </w:r>
      <w:r w:rsidRPr="00FD6104">
        <w:rPr>
          <w:rFonts w:ascii="Verdana" w:hAnsi="Verdana" w:cs="Arial"/>
          <w:sz w:val="24"/>
          <w:szCs w:val="24"/>
        </w:rPr>
        <w:t xml:space="preserve"> (same Whole Genome Sequence code) who have been on the same ward or unit during a defined time</w:t>
      </w:r>
      <w:r w:rsidR="007670FF" w:rsidRPr="00FD6104">
        <w:rPr>
          <w:rFonts w:ascii="Verdana" w:hAnsi="Verdana" w:cs="Arial"/>
          <w:sz w:val="24"/>
          <w:szCs w:val="24"/>
        </w:rPr>
        <w:t xml:space="preserve">. </w:t>
      </w:r>
      <w:r w:rsidRPr="00FD6104">
        <w:rPr>
          <w:rFonts w:ascii="Verdana" w:hAnsi="Verdana" w:cs="Arial"/>
          <w:sz w:val="24"/>
          <w:szCs w:val="24"/>
        </w:rPr>
        <w:t>In Financial Year 2022/23, the average number of outbreaks reported in Datix per month was 0.8; this increased in 2023/24 to a monthly average of 1.6 outbreaks; it increased further to a monthly average of 2.9 outbreaks in 2024/25</w:t>
      </w:r>
      <w:r>
        <w:rPr>
          <w:rFonts w:ascii="Verdana" w:hAnsi="Verdana" w:cs="Arial"/>
          <w:sz w:val="24"/>
          <w:szCs w:val="24"/>
        </w:rPr>
        <w:t xml:space="preserve"> (Chart 8, Appendix </w:t>
      </w:r>
      <w:r w:rsidR="00957513">
        <w:rPr>
          <w:rFonts w:ascii="Verdana" w:hAnsi="Verdana" w:cs="Arial"/>
          <w:sz w:val="24"/>
          <w:szCs w:val="24"/>
        </w:rPr>
        <w:t>4</w:t>
      </w:r>
      <w:r>
        <w:rPr>
          <w:rFonts w:ascii="Verdana" w:hAnsi="Verdana" w:cs="Arial"/>
          <w:sz w:val="24"/>
          <w:szCs w:val="24"/>
        </w:rPr>
        <w:t>)</w:t>
      </w:r>
      <w:r w:rsidRPr="00FD6104">
        <w:rPr>
          <w:rFonts w:ascii="Verdana" w:hAnsi="Verdana" w:cs="Arial"/>
          <w:sz w:val="24"/>
          <w:szCs w:val="24"/>
        </w:rPr>
        <w:t xml:space="preserve">. </w:t>
      </w:r>
    </w:p>
    <w:p w14:paraId="0E6E221B" w14:textId="603A329F" w:rsidR="00CE2BE3" w:rsidRDefault="00CE2BE3" w:rsidP="00CE2BE3">
      <w:pPr>
        <w:spacing w:after="120" w:line="240" w:lineRule="auto"/>
        <w:jc w:val="both"/>
        <w:rPr>
          <w:rFonts w:ascii="Verdana" w:hAnsi="Verdana" w:cs="Arial"/>
          <w:bCs/>
          <w:sz w:val="24"/>
          <w:szCs w:val="24"/>
        </w:rPr>
      </w:pPr>
      <w:r w:rsidRPr="00CE2BE3">
        <w:rPr>
          <w:rFonts w:ascii="Verdana" w:hAnsi="Verdana" w:cs="Arial"/>
          <w:bCs/>
          <w:sz w:val="24"/>
          <w:szCs w:val="24"/>
        </w:rPr>
        <w:t xml:space="preserve">This represents a troubling trend for a health board already identified as having the highest incidence of </w:t>
      </w:r>
      <w:r w:rsidRPr="00A62954">
        <w:rPr>
          <w:rFonts w:ascii="Verdana" w:hAnsi="Verdana" w:cs="Arial"/>
          <w:bCs/>
          <w:i/>
          <w:iCs/>
          <w:sz w:val="24"/>
          <w:szCs w:val="24"/>
        </w:rPr>
        <w:t>C. difficile</w:t>
      </w:r>
      <w:r w:rsidRPr="00CE2BE3">
        <w:rPr>
          <w:rFonts w:ascii="Verdana" w:hAnsi="Verdana" w:cs="Arial"/>
          <w:bCs/>
          <w:sz w:val="24"/>
          <w:szCs w:val="24"/>
        </w:rPr>
        <w:t xml:space="preserve"> infection across England and Wales in 2023/24. The evidence points to a sustained and systemic issue that requires a focussed response to safeguard patient safety.</w:t>
      </w:r>
    </w:p>
    <w:p w14:paraId="1E461463" w14:textId="17AEFA45" w:rsidR="00886111" w:rsidRPr="002E27D2" w:rsidRDefault="00886111" w:rsidP="00886111">
      <w:pPr>
        <w:pStyle w:val="ListParagraph"/>
        <w:spacing w:after="120" w:line="240" w:lineRule="auto"/>
        <w:ind w:left="0" w:right="120"/>
        <w:contextualSpacing w:val="0"/>
        <w:jc w:val="both"/>
        <w:rPr>
          <w:rFonts w:ascii="Verdana" w:hAnsi="Verdana" w:cs="Arial"/>
          <w:sz w:val="24"/>
          <w:szCs w:val="24"/>
        </w:rPr>
      </w:pPr>
      <w:r w:rsidRPr="00DA23FE">
        <w:rPr>
          <w:rFonts w:ascii="Verdana" w:hAnsi="Verdana" w:cs="Arial"/>
          <w:sz w:val="24"/>
          <w:szCs w:val="24"/>
        </w:rPr>
        <w:t xml:space="preserve">To address the rising burden of </w:t>
      </w:r>
      <w:r w:rsidRPr="00DA23FE">
        <w:rPr>
          <w:rFonts w:ascii="Verdana" w:hAnsi="Verdana" w:cs="Arial"/>
          <w:i/>
          <w:iCs/>
          <w:sz w:val="24"/>
          <w:szCs w:val="24"/>
        </w:rPr>
        <w:t>C. difficile</w:t>
      </w:r>
      <w:r w:rsidRPr="00DA23FE">
        <w:rPr>
          <w:rFonts w:ascii="Verdana" w:hAnsi="Verdana" w:cs="Arial"/>
          <w:sz w:val="24"/>
          <w:szCs w:val="24"/>
        </w:rPr>
        <w:t xml:space="preserve"> in the health board, the Gold </w:t>
      </w:r>
      <w:r w:rsidRPr="00DA23FE">
        <w:rPr>
          <w:rFonts w:ascii="Verdana" w:hAnsi="Verdana" w:cs="Arial"/>
          <w:i/>
          <w:iCs/>
          <w:sz w:val="24"/>
          <w:szCs w:val="24"/>
        </w:rPr>
        <w:t>C. difficile</w:t>
      </w:r>
      <w:r w:rsidRPr="00DA23FE">
        <w:rPr>
          <w:rFonts w:ascii="Verdana" w:hAnsi="Verdana" w:cs="Arial"/>
          <w:sz w:val="24"/>
          <w:szCs w:val="24"/>
        </w:rPr>
        <w:t xml:space="preserve"> High Incidence Management Group commissioned the development of clear health board standards for </w:t>
      </w:r>
      <w:r w:rsidRPr="00DA23FE">
        <w:rPr>
          <w:rFonts w:ascii="Verdana" w:hAnsi="Verdana" w:cs="Arial"/>
          <w:i/>
          <w:iCs/>
          <w:sz w:val="24"/>
          <w:szCs w:val="24"/>
        </w:rPr>
        <w:t>C. difficile</w:t>
      </w:r>
      <w:r w:rsidRPr="00DA23FE">
        <w:rPr>
          <w:rFonts w:ascii="Verdana" w:hAnsi="Verdana" w:cs="Arial"/>
          <w:sz w:val="24"/>
          <w:szCs w:val="24"/>
        </w:rPr>
        <w:t xml:space="preserve">. The </w:t>
      </w:r>
      <w:r w:rsidRPr="00DA23FE">
        <w:rPr>
          <w:rFonts w:ascii="Verdana" w:hAnsi="Verdana" w:cs="Arial"/>
          <w:b/>
          <w:bCs/>
          <w:i/>
          <w:iCs/>
          <w:sz w:val="24"/>
          <w:szCs w:val="24"/>
        </w:rPr>
        <w:t>Clostridioides difficile</w:t>
      </w:r>
      <w:r w:rsidRPr="00DA23FE">
        <w:rPr>
          <w:rFonts w:ascii="Verdana" w:hAnsi="Verdana" w:cs="Arial"/>
          <w:b/>
          <w:bCs/>
          <w:sz w:val="24"/>
          <w:szCs w:val="24"/>
        </w:rPr>
        <w:t xml:space="preserve"> (</w:t>
      </w:r>
      <w:r w:rsidRPr="00DA23FE">
        <w:rPr>
          <w:rFonts w:ascii="Verdana" w:hAnsi="Verdana" w:cs="Arial"/>
          <w:b/>
          <w:bCs/>
          <w:i/>
          <w:iCs/>
          <w:sz w:val="24"/>
          <w:szCs w:val="24"/>
        </w:rPr>
        <w:t>C. diffficile</w:t>
      </w:r>
      <w:r w:rsidRPr="00DA23FE">
        <w:rPr>
          <w:rFonts w:ascii="Verdana" w:hAnsi="Verdana" w:cs="Arial"/>
          <w:b/>
          <w:bCs/>
          <w:sz w:val="24"/>
          <w:szCs w:val="24"/>
        </w:rPr>
        <w:t>) Standards: Risk Assessment and Governance Framework</w:t>
      </w:r>
      <w:r w:rsidRPr="00DA23FE">
        <w:rPr>
          <w:rFonts w:ascii="Verdana" w:hAnsi="Verdana" w:cs="Arial"/>
          <w:sz w:val="24"/>
          <w:szCs w:val="24"/>
        </w:rPr>
        <w:t xml:space="preserve"> (Appendix 5) details standards based on national guidance and best practice guides. The document includes a risk assessment and governance framework to support compliance with the standards, promoting robust oversight, reporting, and escalation processes in the management of </w:t>
      </w:r>
      <w:r w:rsidRPr="00DA23FE">
        <w:rPr>
          <w:rFonts w:ascii="Verdana" w:hAnsi="Verdana" w:cs="Arial"/>
          <w:i/>
          <w:iCs/>
          <w:sz w:val="24"/>
          <w:szCs w:val="24"/>
        </w:rPr>
        <w:t>C. difficile</w:t>
      </w:r>
      <w:r w:rsidRPr="00DA23FE">
        <w:rPr>
          <w:rFonts w:ascii="Verdana" w:hAnsi="Verdana" w:cs="Arial"/>
          <w:sz w:val="24"/>
          <w:szCs w:val="24"/>
        </w:rPr>
        <w:t xml:space="preserve"> in the health board.</w:t>
      </w:r>
      <w:r w:rsidR="001032BE">
        <w:rPr>
          <w:rFonts w:ascii="Verdana" w:hAnsi="Verdana" w:cs="Arial"/>
          <w:sz w:val="24"/>
          <w:szCs w:val="24"/>
        </w:rPr>
        <w:t xml:space="preserve"> This document was presented to and agreed by Management Board on 21 May 2025, and will be presented to Nursing and Midwifery Group on 19 June 2025.</w:t>
      </w:r>
    </w:p>
    <w:p w14:paraId="2D34E33A" w14:textId="203F8E36" w:rsidR="002E27D2" w:rsidRPr="00572DC0" w:rsidRDefault="002E27D2" w:rsidP="00572DC0">
      <w:pPr>
        <w:spacing w:after="120" w:line="240" w:lineRule="auto"/>
        <w:jc w:val="both"/>
        <w:rPr>
          <w:rFonts w:ascii="Verdana" w:hAnsi="Verdana" w:cs="Arial"/>
          <w:b/>
          <w:bCs/>
          <w:iCs/>
          <w:sz w:val="24"/>
          <w:szCs w:val="24"/>
        </w:rPr>
      </w:pPr>
    </w:p>
    <w:p w14:paraId="23D1E82C" w14:textId="77777777" w:rsidR="002E27D2" w:rsidRPr="002E27D2" w:rsidRDefault="002E27D2" w:rsidP="0025504D">
      <w:pPr>
        <w:pStyle w:val="ListParagraph"/>
        <w:numPr>
          <w:ilvl w:val="0"/>
          <w:numId w:val="9"/>
        </w:numPr>
        <w:spacing w:after="120" w:line="240" w:lineRule="auto"/>
        <w:ind w:left="284" w:hanging="284"/>
        <w:contextualSpacing w:val="0"/>
        <w:jc w:val="both"/>
        <w:outlineLvl w:val="0"/>
        <w:rPr>
          <w:rFonts w:ascii="Verdana" w:hAnsi="Verdana" w:cs="Arial"/>
          <w:b/>
          <w:sz w:val="24"/>
          <w:szCs w:val="24"/>
        </w:rPr>
      </w:pPr>
      <w:bookmarkStart w:id="2" w:name="Section5"/>
      <w:bookmarkEnd w:id="1"/>
      <w:r w:rsidRPr="002E27D2">
        <w:rPr>
          <w:rFonts w:ascii="Verdana" w:hAnsi="Verdana" w:cs="Arial"/>
          <w:b/>
          <w:sz w:val="24"/>
          <w:szCs w:val="24"/>
        </w:rPr>
        <w:t>Education &amp; Training</w:t>
      </w:r>
    </w:p>
    <w:bookmarkEnd w:id="2"/>
    <w:p w14:paraId="46C4A598" w14:textId="77777777" w:rsidR="002E27D2" w:rsidRPr="002E27D2" w:rsidRDefault="002E27D2" w:rsidP="002E27D2">
      <w:pPr>
        <w:autoSpaceDE w:val="0"/>
        <w:autoSpaceDN w:val="0"/>
        <w:adjustRightInd w:val="0"/>
        <w:spacing w:after="120" w:line="240" w:lineRule="auto"/>
        <w:ind w:right="-613"/>
        <w:rPr>
          <w:rFonts w:ascii="Verdana" w:hAnsi="Verdana" w:cs="Arial"/>
          <w:b/>
          <w:bCs/>
          <w:i/>
          <w:sz w:val="24"/>
          <w:szCs w:val="24"/>
          <w:u w:val="single"/>
        </w:rPr>
      </w:pPr>
      <w:r w:rsidRPr="002E27D2">
        <w:rPr>
          <w:rFonts w:ascii="Verdana" w:hAnsi="Verdana" w:cs="Arial"/>
          <w:b/>
          <w:bCs/>
          <w:i/>
          <w:sz w:val="24"/>
          <w:szCs w:val="24"/>
          <w:u w:val="single"/>
        </w:rPr>
        <w:t>Training compliance</w:t>
      </w:r>
    </w:p>
    <w:p w14:paraId="18A48C11" w14:textId="2654001C" w:rsidR="002E27D2" w:rsidRPr="002E27D2" w:rsidRDefault="002E27D2" w:rsidP="002E27D2">
      <w:pPr>
        <w:spacing w:after="120" w:line="240" w:lineRule="auto"/>
        <w:jc w:val="both"/>
        <w:rPr>
          <w:rFonts w:ascii="Verdana" w:eastAsia="Times New Roman" w:hAnsi="Verdana" w:cs="Arial"/>
          <w:bCs/>
          <w:sz w:val="24"/>
          <w:szCs w:val="24"/>
          <w:lang w:eastAsia="en-GB"/>
        </w:rPr>
      </w:pPr>
      <w:r w:rsidRPr="002E27D2">
        <w:rPr>
          <w:rFonts w:ascii="Verdana" w:hAnsi="Verdana" w:cs="Arial"/>
          <w:sz w:val="24"/>
          <w:szCs w:val="24"/>
        </w:rPr>
        <w:t xml:space="preserve">The tables in </w:t>
      </w:r>
      <w:r w:rsidRPr="00A62954">
        <w:rPr>
          <w:rFonts w:ascii="Verdana" w:hAnsi="Verdana" w:cs="Arial"/>
          <w:sz w:val="24"/>
          <w:szCs w:val="24"/>
        </w:rPr>
        <w:t xml:space="preserve">Appendix </w:t>
      </w:r>
      <w:r w:rsidR="00A62954" w:rsidRPr="00A62954">
        <w:rPr>
          <w:rFonts w:ascii="Verdana" w:hAnsi="Verdana" w:cs="Arial"/>
          <w:sz w:val="24"/>
          <w:szCs w:val="24"/>
        </w:rPr>
        <w:t>5</w:t>
      </w:r>
      <w:r w:rsidRPr="002E27D2">
        <w:rPr>
          <w:rFonts w:ascii="Verdana" w:hAnsi="Verdana" w:cs="Arial"/>
          <w:sz w:val="24"/>
          <w:szCs w:val="24"/>
        </w:rPr>
        <w:t xml:space="preserve"> identify the numbers of staff (with percentage compliance where available) that have undertaken IPC-related training to 31</w:t>
      </w:r>
      <w:r w:rsidRPr="002E27D2">
        <w:rPr>
          <w:rFonts w:ascii="Verdana" w:hAnsi="Verdana" w:cs="Arial"/>
          <w:sz w:val="24"/>
          <w:szCs w:val="24"/>
          <w:vertAlign w:val="superscript"/>
        </w:rPr>
        <w:t>st</w:t>
      </w:r>
      <w:r w:rsidRPr="002E27D2">
        <w:rPr>
          <w:rFonts w:ascii="Verdana" w:hAnsi="Verdana" w:cs="Arial"/>
          <w:sz w:val="24"/>
          <w:szCs w:val="24"/>
        </w:rPr>
        <w:t xml:space="preserve"> March 2025</w:t>
      </w:r>
      <w:r w:rsidRPr="002E27D2">
        <w:rPr>
          <w:rFonts w:ascii="Verdana" w:eastAsia="Times New Roman" w:hAnsi="Verdana" w:cs="Arial"/>
          <w:bCs/>
          <w:sz w:val="24"/>
          <w:szCs w:val="24"/>
          <w:lang w:eastAsia="en-GB"/>
        </w:rPr>
        <w:t xml:space="preserve">. </w:t>
      </w:r>
    </w:p>
    <w:p w14:paraId="7BF0CED4" w14:textId="5C655DA3" w:rsidR="002E27D2" w:rsidRPr="002E27D2" w:rsidRDefault="002E27D2" w:rsidP="002E27D2">
      <w:pPr>
        <w:spacing w:after="120" w:line="240" w:lineRule="auto"/>
        <w:jc w:val="both"/>
        <w:rPr>
          <w:rFonts w:ascii="Verdana" w:hAnsi="Verdana" w:cs="Arial"/>
          <w:sz w:val="24"/>
          <w:szCs w:val="24"/>
        </w:rPr>
      </w:pPr>
      <w:r w:rsidRPr="00A62954">
        <w:rPr>
          <w:rFonts w:ascii="Verdana" w:hAnsi="Verdana" w:cs="Arial"/>
          <w:sz w:val="24"/>
          <w:szCs w:val="24"/>
          <w:u w:val="single"/>
        </w:rPr>
        <w:t xml:space="preserve">Level 1 and Level 2 Infection Prevention &amp; Control Training (Table </w:t>
      </w:r>
      <w:r w:rsidR="00A62954" w:rsidRPr="00A62954">
        <w:rPr>
          <w:rFonts w:ascii="Verdana" w:hAnsi="Verdana" w:cs="Arial"/>
          <w:sz w:val="24"/>
          <w:szCs w:val="24"/>
          <w:u w:val="single"/>
        </w:rPr>
        <w:t>2</w:t>
      </w:r>
      <w:r w:rsidRPr="00A62954">
        <w:rPr>
          <w:rFonts w:ascii="Verdana" w:hAnsi="Verdana" w:cs="Arial"/>
          <w:sz w:val="24"/>
          <w:szCs w:val="24"/>
          <w:u w:val="single"/>
        </w:rPr>
        <w:t xml:space="preserve"> and Table</w:t>
      </w:r>
      <w:r w:rsidR="00A62954" w:rsidRPr="00A62954">
        <w:rPr>
          <w:rFonts w:ascii="Verdana" w:hAnsi="Verdana" w:cs="Arial"/>
          <w:sz w:val="24"/>
          <w:szCs w:val="24"/>
          <w:u w:val="single"/>
        </w:rPr>
        <w:t xml:space="preserve"> 3</w:t>
      </w:r>
      <w:r w:rsidRPr="002E27D2">
        <w:rPr>
          <w:rFonts w:ascii="Verdana" w:hAnsi="Verdana" w:cs="Arial"/>
          <w:sz w:val="24"/>
          <w:szCs w:val="24"/>
          <w:u w:val="single"/>
        </w:rPr>
        <w:t>)</w:t>
      </w:r>
      <w:r w:rsidRPr="002E27D2">
        <w:rPr>
          <w:rFonts w:ascii="Verdana" w:hAnsi="Verdana" w:cs="Arial"/>
          <w:sz w:val="24"/>
          <w:szCs w:val="24"/>
        </w:rPr>
        <w:t>:</w:t>
      </w:r>
    </w:p>
    <w:p w14:paraId="603B9CDD" w14:textId="7FD5FC86" w:rsidR="002E27D2" w:rsidRPr="002E27D2" w:rsidRDefault="002E27D2" w:rsidP="0025504D">
      <w:pPr>
        <w:pStyle w:val="ListParagraph"/>
        <w:numPr>
          <w:ilvl w:val="0"/>
          <w:numId w:val="11"/>
        </w:numPr>
        <w:spacing w:after="120" w:line="240" w:lineRule="auto"/>
        <w:ind w:left="284" w:hanging="284"/>
        <w:contextualSpacing w:val="0"/>
        <w:jc w:val="both"/>
        <w:rPr>
          <w:rFonts w:ascii="Verdana" w:hAnsi="Verdana" w:cs="Arial"/>
          <w:sz w:val="24"/>
          <w:szCs w:val="24"/>
        </w:rPr>
      </w:pPr>
      <w:r w:rsidRPr="002E27D2">
        <w:rPr>
          <w:rFonts w:ascii="Verdana" w:hAnsi="Verdana" w:cs="Arial"/>
          <w:sz w:val="24"/>
          <w:szCs w:val="24"/>
        </w:rPr>
        <w:lastRenderedPageBreak/>
        <w:t>Compliance to 31</w:t>
      </w:r>
      <w:r w:rsidRPr="002E27D2">
        <w:rPr>
          <w:rFonts w:ascii="Verdana" w:hAnsi="Verdana" w:cs="Arial"/>
          <w:sz w:val="24"/>
          <w:szCs w:val="24"/>
          <w:vertAlign w:val="superscript"/>
        </w:rPr>
        <w:t>st</w:t>
      </w:r>
      <w:r w:rsidRPr="002E27D2">
        <w:rPr>
          <w:rFonts w:ascii="Verdana" w:hAnsi="Verdana" w:cs="Arial"/>
          <w:sz w:val="24"/>
          <w:szCs w:val="24"/>
        </w:rPr>
        <w:t xml:space="preserve"> March 2025 for Level 1 training was 89.11% and for Level 2 training was 78.88%</w:t>
      </w:r>
      <w:r w:rsidR="007670FF" w:rsidRPr="002E27D2">
        <w:rPr>
          <w:rFonts w:ascii="Verdana" w:hAnsi="Verdana" w:cs="Arial"/>
          <w:sz w:val="24"/>
          <w:szCs w:val="24"/>
        </w:rPr>
        <w:t xml:space="preserve">. </w:t>
      </w:r>
    </w:p>
    <w:p w14:paraId="4711BD4F" w14:textId="2F8A72FC" w:rsidR="002E27D2" w:rsidRPr="00A62954" w:rsidRDefault="002E27D2" w:rsidP="00886111">
      <w:pPr>
        <w:spacing w:before="120" w:after="120" w:line="240" w:lineRule="auto"/>
        <w:ind w:right="-23"/>
        <w:jc w:val="both"/>
        <w:rPr>
          <w:rFonts w:ascii="Verdana" w:hAnsi="Verdana" w:cs="Arial"/>
          <w:bCs/>
          <w:sz w:val="24"/>
          <w:szCs w:val="24"/>
          <w:u w:val="single"/>
        </w:rPr>
      </w:pPr>
      <w:r w:rsidRPr="00A62954">
        <w:rPr>
          <w:rFonts w:ascii="Verdana" w:hAnsi="Verdana" w:cs="Arial"/>
          <w:bCs/>
          <w:sz w:val="24"/>
          <w:szCs w:val="24"/>
          <w:u w:val="single"/>
        </w:rPr>
        <w:t xml:space="preserve">Hand Hygiene Practice Assessment and Hand Hygiene Assessors (Table </w:t>
      </w:r>
      <w:r w:rsidR="00A62954" w:rsidRPr="00A62954">
        <w:rPr>
          <w:rFonts w:ascii="Verdana" w:hAnsi="Verdana" w:cs="Arial"/>
          <w:bCs/>
          <w:sz w:val="24"/>
          <w:szCs w:val="24"/>
          <w:u w:val="single"/>
        </w:rPr>
        <w:t>4</w:t>
      </w:r>
      <w:r w:rsidRPr="00A62954">
        <w:rPr>
          <w:rFonts w:ascii="Verdana" w:hAnsi="Verdana" w:cs="Arial"/>
          <w:bCs/>
          <w:sz w:val="24"/>
          <w:szCs w:val="24"/>
          <w:u w:val="single"/>
        </w:rPr>
        <w:t>)</w:t>
      </w:r>
    </w:p>
    <w:p w14:paraId="049061BE" w14:textId="3DE64817" w:rsidR="002E27D2" w:rsidRPr="002E27D2" w:rsidRDefault="002E27D2" w:rsidP="0025504D">
      <w:pPr>
        <w:pStyle w:val="ListParagraph"/>
        <w:numPr>
          <w:ilvl w:val="0"/>
          <w:numId w:val="11"/>
        </w:numPr>
        <w:spacing w:after="120" w:line="240" w:lineRule="auto"/>
        <w:ind w:left="284" w:right="-23" w:hanging="284"/>
        <w:contextualSpacing w:val="0"/>
        <w:jc w:val="both"/>
        <w:rPr>
          <w:rFonts w:ascii="Verdana" w:hAnsi="Verdana" w:cs="Arial"/>
          <w:sz w:val="24"/>
          <w:szCs w:val="24"/>
        </w:rPr>
      </w:pPr>
      <w:r w:rsidRPr="002E27D2">
        <w:rPr>
          <w:rFonts w:ascii="Verdana" w:eastAsia="Times New Roman" w:hAnsi="Verdana" w:cs="Arial"/>
          <w:sz w:val="24"/>
          <w:szCs w:val="24"/>
          <w:lang w:eastAsia="en-GB"/>
        </w:rPr>
        <w:t>ESR reports Hand Hygiene Competence compliance within the health board as 26.67%</w:t>
      </w:r>
      <w:r w:rsidR="007670FF" w:rsidRPr="002E27D2">
        <w:rPr>
          <w:rFonts w:ascii="Verdana" w:eastAsia="Times New Roman" w:hAnsi="Verdana" w:cs="Arial"/>
          <w:sz w:val="24"/>
          <w:szCs w:val="24"/>
          <w:lang w:eastAsia="en-GB"/>
        </w:rPr>
        <w:t xml:space="preserve">. </w:t>
      </w:r>
      <w:r w:rsidRPr="002E27D2">
        <w:rPr>
          <w:rFonts w:ascii="Verdana" w:eastAsia="Times New Roman" w:hAnsi="Verdana" w:cs="Arial"/>
          <w:sz w:val="24"/>
          <w:szCs w:val="24"/>
          <w:lang w:eastAsia="en-GB"/>
        </w:rPr>
        <w:t xml:space="preserve">This information in ESR is </w:t>
      </w:r>
      <w:r w:rsidRPr="002E27D2">
        <w:rPr>
          <w:rFonts w:ascii="Verdana" w:eastAsia="Times New Roman" w:hAnsi="Verdana" w:cs="Arial"/>
          <w:bCs/>
          <w:sz w:val="24"/>
          <w:szCs w:val="24"/>
          <w:lang w:eastAsia="en-GB"/>
        </w:rPr>
        <w:t>considered unreliable and service groups may wish to consider alternative methods of recording practice assessments</w:t>
      </w:r>
      <w:r w:rsidRPr="002E27D2">
        <w:rPr>
          <w:rFonts w:ascii="Verdana" w:eastAsia="Times New Roman" w:hAnsi="Verdana" w:cs="Arial"/>
          <w:sz w:val="24"/>
          <w:szCs w:val="24"/>
          <w:lang w:eastAsia="en-GB"/>
        </w:rPr>
        <w:t xml:space="preserve"> (</w:t>
      </w:r>
      <w:r w:rsidRPr="00A62954">
        <w:rPr>
          <w:rFonts w:ascii="Verdana" w:eastAsia="Times New Roman" w:hAnsi="Verdana" w:cs="Arial"/>
          <w:sz w:val="24"/>
          <w:szCs w:val="24"/>
          <w:lang w:eastAsia="en-GB"/>
        </w:rPr>
        <w:t xml:space="preserve">Table </w:t>
      </w:r>
      <w:r w:rsidR="00A62954" w:rsidRPr="00A62954">
        <w:rPr>
          <w:rFonts w:ascii="Verdana" w:eastAsia="Times New Roman" w:hAnsi="Verdana" w:cs="Arial"/>
          <w:sz w:val="24"/>
          <w:szCs w:val="24"/>
          <w:lang w:eastAsia="en-GB"/>
        </w:rPr>
        <w:t>5</w:t>
      </w:r>
      <w:r w:rsidR="00A62954">
        <w:rPr>
          <w:rFonts w:ascii="Verdana" w:eastAsia="Times New Roman" w:hAnsi="Verdana" w:cs="Arial"/>
          <w:sz w:val="24"/>
          <w:szCs w:val="24"/>
          <w:lang w:eastAsia="en-GB"/>
        </w:rPr>
        <w:t>)</w:t>
      </w:r>
      <w:r w:rsidRPr="002E27D2">
        <w:rPr>
          <w:rFonts w:ascii="Verdana" w:eastAsia="Times New Roman" w:hAnsi="Verdana" w:cs="Arial"/>
          <w:bCs/>
          <w:sz w:val="24"/>
          <w:szCs w:val="24"/>
          <w:lang w:eastAsia="en-GB"/>
        </w:rPr>
        <w:t>.</w:t>
      </w:r>
    </w:p>
    <w:p w14:paraId="32025F29" w14:textId="77777777" w:rsidR="002E27D2" w:rsidRPr="002E27D2" w:rsidRDefault="002E27D2" w:rsidP="0025504D">
      <w:pPr>
        <w:pStyle w:val="ListParagraph"/>
        <w:numPr>
          <w:ilvl w:val="0"/>
          <w:numId w:val="11"/>
        </w:numPr>
        <w:spacing w:after="120" w:line="240" w:lineRule="auto"/>
        <w:ind w:left="284" w:right="-23" w:hanging="284"/>
        <w:contextualSpacing w:val="0"/>
        <w:jc w:val="both"/>
        <w:rPr>
          <w:rFonts w:ascii="Verdana" w:hAnsi="Verdana" w:cs="Arial"/>
          <w:bCs/>
          <w:sz w:val="24"/>
          <w:szCs w:val="24"/>
          <w:u w:val="single"/>
        </w:rPr>
      </w:pPr>
      <w:r w:rsidRPr="002E27D2">
        <w:rPr>
          <w:rFonts w:ascii="Verdana" w:hAnsi="Verdana" w:cs="Arial"/>
          <w:sz w:val="24"/>
          <w:szCs w:val="24"/>
        </w:rPr>
        <w:t>Over the last three years (1</w:t>
      </w:r>
      <w:r w:rsidRPr="002E27D2">
        <w:rPr>
          <w:rFonts w:ascii="Verdana" w:hAnsi="Verdana" w:cs="Arial"/>
          <w:sz w:val="24"/>
          <w:szCs w:val="24"/>
          <w:vertAlign w:val="superscript"/>
        </w:rPr>
        <w:t>st</w:t>
      </w:r>
      <w:r w:rsidRPr="002E27D2">
        <w:rPr>
          <w:rFonts w:ascii="Verdana" w:hAnsi="Verdana" w:cs="Arial"/>
          <w:sz w:val="24"/>
          <w:szCs w:val="24"/>
        </w:rPr>
        <w:t xml:space="preserve"> April 2022 to 31</w:t>
      </w:r>
      <w:r w:rsidRPr="002E27D2">
        <w:rPr>
          <w:rFonts w:ascii="Verdana" w:hAnsi="Verdana" w:cs="Arial"/>
          <w:sz w:val="24"/>
          <w:szCs w:val="24"/>
          <w:vertAlign w:val="superscript"/>
        </w:rPr>
        <w:t>st</w:t>
      </w:r>
      <w:r w:rsidRPr="002E27D2">
        <w:rPr>
          <w:rFonts w:ascii="Verdana" w:hAnsi="Verdana" w:cs="Arial"/>
          <w:sz w:val="24"/>
          <w:szCs w:val="24"/>
        </w:rPr>
        <w:t xml:space="preserve"> March 2025), the IPCT has trained </w:t>
      </w:r>
      <w:r w:rsidRPr="002E27D2">
        <w:rPr>
          <w:rFonts w:ascii="Verdana" w:hAnsi="Verdana" w:cs="Arial"/>
          <w:bCs/>
          <w:sz w:val="24"/>
          <w:szCs w:val="24"/>
        </w:rPr>
        <w:t>613</w:t>
      </w:r>
      <w:r w:rsidRPr="002E27D2">
        <w:rPr>
          <w:rFonts w:ascii="Verdana" w:hAnsi="Verdana" w:cs="Arial"/>
          <w:strike/>
          <w:sz w:val="24"/>
          <w:szCs w:val="24"/>
        </w:rPr>
        <w:t xml:space="preserve"> </w:t>
      </w:r>
      <w:r w:rsidRPr="002E27D2">
        <w:rPr>
          <w:rFonts w:ascii="Verdana" w:hAnsi="Verdana" w:cs="Arial"/>
          <w:sz w:val="24"/>
          <w:szCs w:val="24"/>
        </w:rPr>
        <w:t>Hand Hygiene Assessors within the service groups.</w:t>
      </w:r>
      <w:r w:rsidRPr="002E27D2">
        <w:rPr>
          <w:rFonts w:ascii="Verdana" w:eastAsia="Times New Roman" w:hAnsi="Verdana" w:cs="Arial"/>
          <w:bCs/>
          <w:sz w:val="24"/>
          <w:szCs w:val="24"/>
          <w:lang w:eastAsia="en-GB"/>
        </w:rPr>
        <w:t xml:space="preserve"> Detailed information regarding Hand Hygiene Assessors is available for each service group.</w:t>
      </w:r>
    </w:p>
    <w:p w14:paraId="2627CD77" w14:textId="195C525C" w:rsidR="002E27D2" w:rsidRPr="0025504D" w:rsidRDefault="002E27D2" w:rsidP="002E27D2">
      <w:pPr>
        <w:spacing w:after="120" w:line="240" w:lineRule="auto"/>
        <w:ind w:right="-23"/>
        <w:jc w:val="both"/>
        <w:rPr>
          <w:rFonts w:ascii="Verdana" w:eastAsia="Times New Roman" w:hAnsi="Verdana" w:cs="Arial"/>
          <w:sz w:val="24"/>
          <w:szCs w:val="24"/>
          <w:u w:val="single"/>
          <w:lang w:eastAsia="en-GB"/>
        </w:rPr>
      </w:pPr>
      <w:r w:rsidRPr="0025504D">
        <w:rPr>
          <w:rFonts w:ascii="Verdana" w:eastAsia="Times New Roman" w:hAnsi="Verdana" w:cs="Arial"/>
          <w:sz w:val="24"/>
          <w:szCs w:val="24"/>
          <w:u w:val="single"/>
          <w:lang w:eastAsia="en-GB"/>
        </w:rPr>
        <w:t xml:space="preserve">Aseptic Non-Touch Technique (ANTT) (Table </w:t>
      </w:r>
      <w:r w:rsidR="00A62954" w:rsidRPr="0025504D">
        <w:rPr>
          <w:rFonts w:ascii="Verdana" w:eastAsia="Times New Roman" w:hAnsi="Verdana" w:cs="Arial"/>
          <w:sz w:val="24"/>
          <w:szCs w:val="24"/>
          <w:u w:val="single"/>
          <w:lang w:eastAsia="en-GB"/>
        </w:rPr>
        <w:t>6</w:t>
      </w:r>
      <w:r w:rsidRPr="0025504D">
        <w:rPr>
          <w:rFonts w:ascii="Verdana" w:eastAsia="Times New Roman" w:hAnsi="Verdana" w:cs="Arial"/>
          <w:sz w:val="24"/>
          <w:szCs w:val="24"/>
          <w:u w:val="single"/>
          <w:lang w:eastAsia="en-GB"/>
        </w:rPr>
        <w:t>)</w:t>
      </w:r>
    </w:p>
    <w:p w14:paraId="60020F1E" w14:textId="77777777" w:rsidR="002E27D2" w:rsidRPr="002E27D2" w:rsidRDefault="002E27D2" w:rsidP="0025504D">
      <w:pPr>
        <w:pStyle w:val="ListParagraph"/>
        <w:numPr>
          <w:ilvl w:val="0"/>
          <w:numId w:val="12"/>
        </w:numPr>
        <w:spacing w:after="120" w:line="240" w:lineRule="auto"/>
        <w:ind w:left="284" w:right="-23" w:hanging="284"/>
        <w:contextualSpacing w:val="0"/>
        <w:jc w:val="both"/>
        <w:rPr>
          <w:rFonts w:ascii="Verdana" w:eastAsia="Times New Roman" w:hAnsi="Verdana" w:cs="Arial"/>
          <w:bCs/>
          <w:sz w:val="24"/>
          <w:szCs w:val="24"/>
          <w:lang w:eastAsia="en-GB"/>
        </w:rPr>
      </w:pPr>
      <w:r w:rsidRPr="002E27D2">
        <w:rPr>
          <w:rFonts w:ascii="Verdana" w:eastAsia="Times New Roman" w:hAnsi="Verdana" w:cs="Arial"/>
          <w:bCs/>
          <w:sz w:val="24"/>
          <w:szCs w:val="24"/>
          <w:lang w:eastAsia="en-GB"/>
        </w:rPr>
        <w:t xml:space="preserve">Compliance with ANTT training to </w:t>
      </w:r>
      <w:r w:rsidRPr="002E27D2">
        <w:rPr>
          <w:rFonts w:ascii="Verdana" w:eastAsia="Times New Roman" w:hAnsi="Verdana" w:cs="Arial"/>
          <w:sz w:val="24"/>
          <w:szCs w:val="24"/>
          <w:lang w:eastAsia="en-GB"/>
        </w:rPr>
        <w:t>31</w:t>
      </w:r>
      <w:r w:rsidRPr="002E27D2">
        <w:rPr>
          <w:rFonts w:ascii="Verdana" w:eastAsia="Times New Roman" w:hAnsi="Verdana" w:cs="Arial"/>
          <w:sz w:val="24"/>
          <w:szCs w:val="24"/>
          <w:vertAlign w:val="superscript"/>
          <w:lang w:eastAsia="en-GB"/>
        </w:rPr>
        <w:t>st</w:t>
      </w:r>
      <w:r w:rsidRPr="002E27D2">
        <w:rPr>
          <w:rFonts w:ascii="Verdana" w:eastAsia="Times New Roman" w:hAnsi="Verdana" w:cs="Arial"/>
          <w:sz w:val="24"/>
          <w:szCs w:val="24"/>
          <w:lang w:eastAsia="en-GB"/>
        </w:rPr>
        <w:t xml:space="preserve"> March 2025</w:t>
      </w:r>
      <w:r w:rsidRPr="002E27D2">
        <w:rPr>
          <w:rFonts w:ascii="Verdana" w:eastAsia="Times New Roman" w:hAnsi="Verdana" w:cs="Arial"/>
          <w:bCs/>
          <w:sz w:val="24"/>
          <w:szCs w:val="24"/>
          <w:lang w:eastAsia="en-GB"/>
        </w:rPr>
        <w:t xml:space="preserve"> is recorded in ESR as 30.60% for the ANTT e-learning course, and competence assessment compliance as 17.37%.</w:t>
      </w:r>
    </w:p>
    <w:p w14:paraId="7A17C06D" w14:textId="3E5521F9" w:rsidR="002E27D2" w:rsidRPr="0025504D" w:rsidRDefault="002E27D2" w:rsidP="002E27D2">
      <w:pPr>
        <w:spacing w:after="120" w:line="240" w:lineRule="auto"/>
        <w:ind w:right="-23"/>
        <w:jc w:val="both"/>
        <w:rPr>
          <w:rFonts w:ascii="Verdana" w:eastAsia="Times New Roman" w:hAnsi="Verdana" w:cs="Arial"/>
          <w:bCs/>
          <w:sz w:val="24"/>
          <w:szCs w:val="24"/>
          <w:u w:val="single"/>
          <w:lang w:eastAsia="en-GB"/>
        </w:rPr>
      </w:pPr>
      <w:r w:rsidRPr="0025504D">
        <w:rPr>
          <w:rFonts w:ascii="Verdana" w:eastAsia="Times New Roman" w:hAnsi="Verdana" w:cs="Arial"/>
          <w:bCs/>
          <w:sz w:val="24"/>
          <w:szCs w:val="24"/>
          <w:u w:val="single"/>
          <w:lang w:eastAsia="en-GB"/>
        </w:rPr>
        <w:t xml:space="preserve">HCID PPE Training (Table </w:t>
      </w:r>
      <w:r w:rsidR="00A62954" w:rsidRPr="0025504D">
        <w:rPr>
          <w:rFonts w:ascii="Verdana" w:eastAsia="Times New Roman" w:hAnsi="Verdana" w:cs="Arial"/>
          <w:bCs/>
          <w:sz w:val="24"/>
          <w:szCs w:val="24"/>
          <w:u w:val="single"/>
          <w:lang w:eastAsia="en-GB"/>
        </w:rPr>
        <w:t>7</w:t>
      </w:r>
      <w:r w:rsidRPr="0025504D">
        <w:rPr>
          <w:rFonts w:ascii="Verdana" w:eastAsia="Times New Roman" w:hAnsi="Verdana" w:cs="Arial"/>
          <w:bCs/>
          <w:sz w:val="24"/>
          <w:szCs w:val="24"/>
          <w:u w:val="single"/>
          <w:lang w:eastAsia="en-GB"/>
        </w:rPr>
        <w:t>)</w:t>
      </w:r>
    </w:p>
    <w:p w14:paraId="75FF3DF9" w14:textId="2EA92612" w:rsidR="002E27D2" w:rsidRPr="000E5FEB" w:rsidRDefault="002E27D2" w:rsidP="004A412C">
      <w:pPr>
        <w:pStyle w:val="ListParagraph"/>
        <w:numPr>
          <w:ilvl w:val="2"/>
          <w:numId w:val="10"/>
        </w:numPr>
        <w:spacing w:after="120" w:line="240" w:lineRule="auto"/>
        <w:ind w:left="284" w:right="-23" w:hanging="284"/>
        <w:contextualSpacing w:val="0"/>
        <w:jc w:val="both"/>
        <w:rPr>
          <w:rFonts w:ascii="Verdana" w:eastAsia="Times New Roman" w:hAnsi="Verdana" w:cs="Arial"/>
          <w:bCs/>
          <w:sz w:val="24"/>
          <w:szCs w:val="24"/>
          <w:lang w:eastAsia="en-GB"/>
        </w:rPr>
      </w:pPr>
      <w:r w:rsidRPr="000E5FEB">
        <w:rPr>
          <w:rFonts w:ascii="Verdana" w:eastAsia="Times New Roman" w:hAnsi="Verdana" w:cs="Arial"/>
          <w:bCs/>
          <w:sz w:val="24"/>
          <w:szCs w:val="24"/>
          <w:lang w:eastAsia="en-GB"/>
        </w:rPr>
        <w:t>Since October 2024, five staff have attended the HCID PPE Train the Trainers course in Mexborough</w:t>
      </w:r>
      <w:r w:rsidR="007670FF" w:rsidRPr="000E5FEB">
        <w:rPr>
          <w:rFonts w:ascii="Verdana" w:eastAsia="Times New Roman" w:hAnsi="Verdana" w:cs="Arial"/>
          <w:bCs/>
          <w:sz w:val="24"/>
          <w:szCs w:val="24"/>
          <w:lang w:eastAsia="en-GB"/>
        </w:rPr>
        <w:t xml:space="preserve">. </w:t>
      </w:r>
      <w:r w:rsidRPr="000E5FEB">
        <w:rPr>
          <w:rFonts w:ascii="Verdana" w:eastAsia="Times New Roman" w:hAnsi="Verdana" w:cs="Arial"/>
          <w:bCs/>
          <w:sz w:val="24"/>
          <w:szCs w:val="24"/>
          <w:lang w:eastAsia="en-GB"/>
        </w:rPr>
        <w:t xml:space="preserve">Swansea Bay UHB now has </w:t>
      </w:r>
      <w:r w:rsidR="007670FF" w:rsidRPr="000E5FEB">
        <w:rPr>
          <w:rFonts w:ascii="Verdana" w:eastAsia="Times New Roman" w:hAnsi="Verdana" w:cs="Arial"/>
          <w:bCs/>
          <w:sz w:val="24"/>
          <w:szCs w:val="24"/>
          <w:lang w:eastAsia="en-GB"/>
        </w:rPr>
        <w:t>four</w:t>
      </w:r>
      <w:r w:rsidRPr="000E5FEB">
        <w:rPr>
          <w:rFonts w:ascii="Verdana" w:eastAsia="Times New Roman" w:hAnsi="Verdana" w:cs="Arial"/>
          <w:bCs/>
          <w:sz w:val="24"/>
          <w:szCs w:val="24"/>
          <w:lang w:eastAsia="en-GB"/>
        </w:rPr>
        <w:t xml:space="preserve"> qualified HCID PPE Trainers (one has subsequently left the organisation).</w:t>
      </w:r>
      <w:r w:rsidR="000E5FEB" w:rsidRPr="000E5FEB">
        <w:rPr>
          <w:rFonts w:ascii="Verdana" w:eastAsia="Times New Roman" w:hAnsi="Verdana" w:cs="Arial"/>
          <w:bCs/>
          <w:sz w:val="24"/>
          <w:szCs w:val="24"/>
          <w:lang w:eastAsia="en-GB"/>
        </w:rPr>
        <w:t xml:space="preserve"> </w:t>
      </w:r>
      <w:r w:rsidRPr="000E5FEB">
        <w:rPr>
          <w:rFonts w:ascii="Verdana" w:eastAsia="Times New Roman" w:hAnsi="Verdana" w:cs="Arial"/>
          <w:bCs/>
          <w:sz w:val="24"/>
          <w:szCs w:val="24"/>
          <w:lang w:eastAsia="en-GB"/>
        </w:rPr>
        <w:t>Classes have now been set up on ESR to record all HCID PPE Training records, and to date the HCID PPE training has been provided to 36 members of staff.</w:t>
      </w:r>
    </w:p>
    <w:p w14:paraId="5BF95E62" w14:textId="77777777" w:rsidR="002E27D2" w:rsidRPr="002E27D2" w:rsidRDefault="002E27D2" w:rsidP="002E27D2">
      <w:pPr>
        <w:spacing w:after="120" w:line="240" w:lineRule="auto"/>
        <w:ind w:right="-23"/>
        <w:jc w:val="both"/>
        <w:rPr>
          <w:rFonts w:ascii="Verdana" w:eastAsia="Times New Roman" w:hAnsi="Verdana" w:cs="Arial"/>
          <w:bCs/>
          <w:sz w:val="24"/>
          <w:szCs w:val="24"/>
          <w:lang w:eastAsia="en-GB"/>
        </w:rPr>
      </w:pPr>
    </w:p>
    <w:p w14:paraId="4B1CB515" w14:textId="77777777" w:rsidR="002E27D2" w:rsidRDefault="002E27D2" w:rsidP="00957513">
      <w:pPr>
        <w:pStyle w:val="ListParagraph"/>
        <w:numPr>
          <w:ilvl w:val="0"/>
          <w:numId w:val="16"/>
        </w:numPr>
        <w:spacing w:after="120" w:line="240" w:lineRule="auto"/>
        <w:contextualSpacing w:val="0"/>
        <w:jc w:val="both"/>
        <w:rPr>
          <w:rFonts w:ascii="Verdana" w:hAnsi="Verdana" w:cs="Arial"/>
          <w:b/>
          <w:sz w:val="24"/>
          <w:szCs w:val="24"/>
          <w:u w:val="single"/>
        </w:rPr>
      </w:pPr>
      <w:r w:rsidRPr="002E27D2">
        <w:rPr>
          <w:rFonts w:ascii="Verdana" w:hAnsi="Verdana" w:cs="Arial"/>
          <w:b/>
          <w:sz w:val="24"/>
          <w:szCs w:val="24"/>
          <w:u w:val="single"/>
        </w:rPr>
        <w:t>Infection Prevention Team Audit Programme</w:t>
      </w:r>
    </w:p>
    <w:p w14:paraId="1DC44E4C" w14:textId="40902814" w:rsidR="00886111" w:rsidRPr="00886111" w:rsidRDefault="00886111" w:rsidP="00886111">
      <w:pPr>
        <w:spacing w:after="120" w:line="240" w:lineRule="auto"/>
        <w:jc w:val="both"/>
        <w:rPr>
          <w:rFonts w:ascii="Verdana" w:eastAsia="Times New Roman" w:hAnsi="Verdana" w:cs="Arial"/>
          <w:sz w:val="24"/>
          <w:szCs w:val="24"/>
          <w:lang w:eastAsia="en-GB"/>
        </w:rPr>
      </w:pPr>
      <w:r w:rsidRPr="00886111">
        <w:rPr>
          <w:rFonts w:ascii="Verdana" w:eastAsia="Times New Roman" w:hAnsi="Verdana" w:cs="Arial"/>
          <w:sz w:val="24"/>
          <w:szCs w:val="24"/>
          <w:lang w:eastAsia="en-GB"/>
        </w:rPr>
        <w:t>The IPC annual audit programme includes undertaking annual and biannual audits of Standard Precautions Practice. During Q</w:t>
      </w:r>
      <w:r>
        <w:rPr>
          <w:rFonts w:ascii="Verdana" w:eastAsia="Times New Roman" w:hAnsi="Verdana" w:cs="Arial"/>
          <w:sz w:val="24"/>
          <w:szCs w:val="24"/>
          <w:lang w:eastAsia="en-GB"/>
        </w:rPr>
        <w:t xml:space="preserve">uarter </w:t>
      </w:r>
      <w:r w:rsidRPr="00886111">
        <w:rPr>
          <w:rFonts w:ascii="Verdana" w:eastAsia="Times New Roman" w:hAnsi="Verdana" w:cs="Arial"/>
          <w:sz w:val="24"/>
          <w:szCs w:val="24"/>
          <w:lang w:eastAsia="en-GB"/>
        </w:rPr>
        <w:t xml:space="preserve">4, sixty audits were completed in Audit Management and Tracking (AMaT) with compliance scores ranging from 32 to 100%. The areas audited receive immediate verbal feedback and then complete their own action plan in AMaT. </w:t>
      </w:r>
    </w:p>
    <w:p w14:paraId="5D41C78F" w14:textId="77777777" w:rsidR="00886111" w:rsidRDefault="00886111" w:rsidP="00886111">
      <w:pPr>
        <w:pStyle w:val="ListParagraph"/>
        <w:spacing w:after="120" w:line="240" w:lineRule="auto"/>
        <w:ind w:left="357"/>
        <w:contextualSpacing w:val="0"/>
        <w:jc w:val="both"/>
        <w:rPr>
          <w:rFonts w:ascii="Verdana" w:hAnsi="Verdana" w:cs="Arial"/>
          <w:b/>
          <w:sz w:val="24"/>
          <w:szCs w:val="24"/>
          <w:u w:val="single"/>
        </w:rPr>
      </w:pPr>
    </w:p>
    <w:p w14:paraId="10C22A63" w14:textId="77777777" w:rsidR="00886111" w:rsidRDefault="00886111" w:rsidP="00957513">
      <w:pPr>
        <w:pStyle w:val="ListParagraph"/>
        <w:numPr>
          <w:ilvl w:val="0"/>
          <w:numId w:val="16"/>
        </w:numPr>
        <w:spacing w:after="120" w:line="240" w:lineRule="auto"/>
        <w:rPr>
          <w:rFonts w:ascii="Verdana" w:hAnsi="Verdana" w:cs="Arial"/>
          <w:b/>
          <w:sz w:val="24"/>
          <w:szCs w:val="24"/>
        </w:rPr>
      </w:pPr>
      <w:r w:rsidRPr="00886111">
        <w:rPr>
          <w:rFonts w:ascii="Verdana" w:hAnsi="Verdana" w:cs="Arial"/>
          <w:b/>
          <w:sz w:val="24"/>
          <w:szCs w:val="24"/>
        </w:rPr>
        <w:t>CHALLENGES, RISKS AND MITIGATION</w:t>
      </w:r>
    </w:p>
    <w:p w14:paraId="40717BB1" w14:textId="77777777" w:rsidR="00886111" w:rsidRPr="002E27D2" w:rsidRDefault="00886111" w:rsidP="00886111">
      <w:pPr>
        <w:spacing w:after="120" w:line="240" w:lineRule="auto"/>
        <w:ind w:right="-22"/>
        <w:jc w:val="both"/>
        <w:rPr>
          <w:rFonts w:ascii="Verdana" w:hAnsi="Verdana" w:cs="Arial"/>
          <w:b/>
          <w:sz w:val="24"/>
          <w:szCs w:val="24"/>
          <w:u w:val="single"/>
        </w:rPr>
      </w:pPr>
      <w:r w:rsidRPr="002E27D2">
        <w:rPr>
          <w:rFonts w:ascii="Verdana" w:hAnsi="Verdana" w:cs="Arial"/>
          <w:b/>
          <w:sz w:val="24"/>
          <w:szCs w:val="24"/>
          <w:u w:val="single"/>
        </w:rPr>
        <w:t>HCAI</w:t>
      </w:r>
    </w:p>
    <w:p w14:paraId="5CA303C0" w14:textId="6DB4F24F" w:rsidR="00886111" w:rsidRPr="002E27D2" w:rsidRDefault="00886111" w:rsidP="00886111">
      <w:pPr>
        <w:pStyle w:val="ListParagraph"/>
        <w:numPr>
          <w:ilvl w:val="0"/>
          <w:numId w:val="5"/>
        </w:numPr>
        <w:spacing w:after="120" w:line="240" w:lineRule="auto"/>
        <w:ind w:left="284" w:right="120" w:hanging="284"/>
        <w:contextualSpacing w:val="0"/>
        <w:jc w:val="both"/>
        <w:rPr>
          <w:rFonts w:ascii="Verdana" w:hAnsi="Verdana" w:cs="Arial"/>
          <w:sz w:val="24"/>
          <w:szCs w:val="24"/>
        </w:rPr>
      </w:pPr>
      <w:r w:rsidRPr="002E27D2">
        <w:rPr>
          <w:rFonts w:ascii="Verdana" w:hAnsi="Verdana" w:cs="Arial"/>
          <w:sz w:val="24"/>
          <w:szCs w:val="24"/>
        </w:rPr>
        <w:t>Lack of a dedicated decant facility (</w:t>
      </w:r>
      <w:r w:rsidRPr="002E27D2">
        <w:rPr>
          <w:rFonts w:ascii="Verdana" w:hAnsi="Verdana" w:cs="Arial"/>
          <w:b/>
          <w:sz w:val="24"/>
          <w:szCs w:val="24"/>
        </w:rPr>
        <w:t>Datix Risk ID 2210</w:t>
      </w:r>
      <w:r w:rsidRPr="002E27D2">
        <w:rPr>
          <w:rFonts w:ascii="Verdana" w:hAnsi="Verdana" w:cs="Arial"/>
          <w:sz w:val="24"/>
          <w:szCs w:val="24"/>
        </w:rPr>
        <w:t>)</w:t>
      </w:r>
      <w:r w:rsidR="001032BE">
        <w:rPr>
          <w:rFonts w:ascii="Verdana" w:hAnsi="Verdana" w:cs="Arial"/>
          <w:sz w:val="24"/>
          <w:szCs w:val="24"/>
        </w:rPr>
        <w:t xml:space="preserve">, which compromises effective cleaning and disinfection following identification of cases of </w:t>
      </w:r>
      <w:r w:rsidR="001032BE" w:rsidRPr="001032BE">
        <w:rPr>
          <w:rFonts w:ascii="Verdana" w:hAnsi="Verdana" w:cs="Arial"/>
          <w:i/>
          <w:iCs/>
          <w:sz w:val="24"/>
          <w:szCs w:val="24"/>
        </w:rPr>
        <w:t>C. difficile</w:t>
      </w:r>
      <w:r w:rsidRPr="002E27D2">
        <w:rPr>
          <w:rFonts w:ascii="Verdana" w:hAnsi="Verdana" w:cs="Arial"/>
          <w:sz w:val="24"/>
          <w:szCs w:val="24"/>
        </w:rPr>
        <w:t xml:space="preserve">. </w:t>
      </w:r>
    </w:p>
    <w:p w14:paraId="74D3BD68" w14:textId="4F1B18CB" w:rsidR="00886111" w:rsidRPr="002E27D2" w:rsidRDefault="00886111" w:rsidP="00886111">
      <w:pPr>
        <w:pStyle w:val="ListParagraph"/>
        <w:numPr>
          <w:ilvl w:val="0"/>
          <w:numId w:val="5"/>
        </w:numPr>
        <w:spacing w:after="120" w:line="240" w:lineRule="auto"/>
        <w:ind w:left="284" w:right="120" w:hanging="284"/>
        <w:contextualSpacing w:val="0"/>
        <w:jc w:val="both"/>
        <w:rPr>
          <w:rFonts w:ascii="Verdana" w:hAnsi="Verdana" w:cs="Arial"/>
          <w:sz w:val="24"/>
          <w:szCs w:val="24"/>
        </w:rPr>
      </w:pPr>
      <w:r w:rsidRPr="002E27D2">
        <w:rPr>
          <w:rFonts w:ascii="Verdana" w:hAnsi="Verdana" w:cs="Arial"/>
          <w:sz w:val="24"/>
          <w:szCs w:val="24"/>
        </w:rPr>
        <w:t xml:space="preserve">Increased risk to patients for acquisition of </w:t>
      </w:r>
      <w:r w:rsidRPr="002E27D2">
        <w:rPr>
          <w:rFonts w:ascii="Verdana" w:hAnsi="Verdana" w:cs="Arial"/>
          <w:i/>
          <w:sz w:val="24"/>
          <w:szCs w:val="24"/>
        </w:rPr>
        <w:t>C. difficile</w:t>
      </w:r>
      <w:r w:rsidRPr="002E27D2">
        <w:rPr>
          <w:rFonts w:ascii="Verdana" w:hAnsi="Verdana" w:cs="Arial"/>
          <w:sz w:val="24"/>
          <w:szCs w:val="24"/>
        </w:rPr>
        <w:t xml:space="preserve"> infection (</w:t>
      </w:r>
      <w:r w:rsidRPr="002E27D2">
        <w:rPr>
          <w:rFonts w:ascii="Verdana" w:hAnsi="Verdana" w:cs="Arial"/>
          <w:b/>
          <w:sz w:val="24"/>
          <w:szCs w:val="24"/>
        </w:rPr>
        <w:t>Datix Risk ID 2286</w:t>
      </w:r>
      <w:r w:rsidRPr="002E27D2">
        <w:rPr>
          <w:rFonts w:ascii="Verdana" w:hAnsi="Verdana" w:cs="Arial"/>
          <w:sz w:val="24"/>
          <w:szCs w:val="24"/>
        </w:rPr>
        <w:t>). Morriston has completed HPV disinfection of 20 wards across the hospital</w:t>
      </w:r>
      <w:r w:rsidR="007670FF" w:rsidRPr="002E27D2">
        <w:rPr>
          <w:rFonts w:ascii="Verdana" w:hAnsi="Verdana" w:cs="Arial"/>
          <w:sz w:val="24"/>
          <w:szCs w:val="24"/>
        </w:rPr>
        <w:t xml:space="preserve">. </w:t>
      </w:r>
    </w:p>
    <w:p w14:paraId="3F78F951" w14:textId="0B73E8EF" w:rsidR="00886111" w:rsidRPr="002E27D2" w:rsidRDefault="00886111" w:rsidP="00886111">
      <w:pPr>
        <w:pStyle w:val="ListParagraph"/>
        <w:numPr>
          <w:ilvl w:val="0"/>
          <w:numId w:val="5"/>
        </w:numPr>
        <w:spacing w:after="120" w:line="240" w:lineRule="auto"/>
        <w:ind w:left="284" w:right="120" w:hanging="284"/>
        <w:contextualSpacing w:val="0"/>
        <w:jc w:val="both"/>
        <w:rPr>
          <w:rFonts w:ascii="Verdana" w:hAnsi="Verdana" w:cs="Arial"/>
          <w:sz w:val="24"/>
          <w:szCs w:val="24"/>
        </w:rPr>
      </w:pPr>
      <w:r w:rsidRPr="002E27D2">
        <w:rPr>
          <w:rFonts w:ascii="Verdana" w:hAnsi="Verdana" w:cs="Arial"/>
          <w:sz w:val="24"/>
          <w:szCs w:val="24"/>
        </w:rPr>
        <w:lastRenderedPageBreak/>
        <w:t xml:space="preserve">The limited availability of single room isolation facilities </w:t>
      </w:r>
      <w:r w:rsidR="001032BE">
        <w:rPr>
          <w:rFonts w:ascii="Verdana" w:hAnsi="Verdana" w:cs="Arial"/>
          <w:sz w:val="24"/>
          <w:szCs w:val="24"/>
        </w:rPr>
        <w:t>compromises</w:t>
      </w:r>
      <w:r w:rsidRPr="002E27D2">
        <w:rPr>
          <w:rFonts w:ascii="Verdana" w:hAnsi="Verdana" w:cs="Arial"/>
          <w:sz w:val="24"/>
          <w:szCs w:val="24"/>
        </w:rPr>
        <w:t xml:space="preserve"> the appropriate management of patients with suspected or confirmed infections, resulting in a risk of extended exposure of other patient contacts to the risk of transmissible infections</w:t>
      </w:r>
      <w:r w:rsidR="001032BE">
        <w:rPr>
          <w:rFonts w:ascii="Verdana" w:hAnsi="Verdana" w:cs="Arial"/>
          <w:sz w:val="24"/>
          <w:szCs w:val="24"/>
        </w:rPr>
        <w:t>. Delays in isolation</w:t>
      </w:r>
      <w:r w:rsidRPr="002E27D2">
        <w:rPr>
          <w:rFonts w:ascii="Verdana" w:hAnsi="Verdana" w:cs="Arial"/>
          <w:sz w:val="24"/>
          <w:szCs w:val="24"/>
        </w:rPr>
        <w:t xml:space="preserve"> may add to the exposure risk for other patients– </w:t>
      </w:r>
      <w:r w:rsidRPr="002E27D2">
        <w:rPr>
          <w:rFonts w:ascii="Verdana" w:hAnsi="Verdana" w:cs="Arial"/>
          <w:b/>
          <w:sz w:val="24"/>
          <w:szCs w:val="24"/>
        </w:rPr>
        <w:t>HBR 4 (Datix Risk ID – 739, 1750, 535, 797</w:t>
      </w:r>
      <w:r w:rsidRPr="002E27D2">
        <w:rPr>
          <w:rFonts w:ascii="Verdana" w:hAnsi="Verdana" w:cs="Arial"/>
          <w:sz w:val="24"/>
          <w:szCs w:val="24"/>
        </w:rPr>
        <w:t xml:space="preserve">). </w:t>
      </w:r>
    </w:p>
    <w:p w14:paraId="335C96B8" w14:textId="0A50B758" w:rsidR="002E27D2" w:rsidRDefault="00886111" w:rsidP="00886111">
      <w:pPr>
        <w:pStyle w:val="ListParagraph"/>
        <w:numPr>
          <w:ilvl w:val="0"/>
          <w:numId w:val="5"/>
        </w:numPr>
        <w:spacing w:after="120" w:line="240" w:lineRule="auto"/>
        <w:ind w:left="284" w:right="120" w:hanging="284"/>
        <w:contextualSpacing w:val="0"/>
        <w:jc w:val="both"/>
        <w:rPr>
          <w:rFonts w:ascii="Verdana" w:hAnsi="Verdana" w:cs="Arial"/>
          <w:sz w:val="24"/>
          <w:szCs w:val="24"/>
        </w:rPr>
      </w:pPr>
      <w:r w:rsidRPr="002E27D2">
        <w:rPr>
          <w:rFonts w:ascii="Verdana" w:hAnsi="Verdana" w:cs="Arial"/>
          <w:sz w:val="24"/>
          <w:szCs w:val="24"/>
        </w:rPr>
        <w:t>The high numbers of clinically optimised patients awaiting packages of care continues to put increased pressure on bed capacity in the acute sites. The</w:t>
      </w:r>
      <w:r w:rsidR="00BA5FFC">
        <w:rPr>
          <w:rFonts w:ascii="Verdana" w:hAnsi="Verdana" w:cs="Arial"/>
          <w:sz w:val="24"/>
          <w:szCs w:val="24"/>
        </w:rPr>
        <w:t xml:space="preserve"> practice of pre-empting</w:t>
      </w:r>
      <w:r w:rsidRPr="002E27D2">
        <w:rPr>
          <w:rFonts w:ascii="Verdana" w:hAnsi="Verdana" w:cs="Arial"/>
          <w:sz w:val="24"/>
          <w:szCs w:val="24"/>
        </w:rPr>
        <w:t xml:space="preserve"> </w:t>
      </w:r>
      <w:r w:rsidR="00BA5FFC">
        <w:rPr>
          <w:rFonts w:ascii="Verdana" w:hAnsi="Verdana" w:cs="Arial"/>
          <w:sz w:val="24"/>
          <w:szCs w:val="24"/>
        </w:rPr>
        <w:t xml:space="preserve">(‘boarding’) </w:t>
      </w:r>
      <w:r w:rsidRPr="002E27D2">
        <w:rPr>
          <w:rFonts w:ascii="Verdana" w:hAnsi="Verdana" w:cs="Arial"/>
          <w:sz w:val="24"/>
          <w:szCs w:val="24"/>
        </w:rPr>
        <w:t>additional patients on most wards</w:t>
      </w:r>
      <w:r w:rsidR="001032BE">
        <w:rPr>
          <w:rFonts w:ascii="Verdana" w:hAnsi="Verdana" w:cs="Arial"/>
          <w:sz w:val="24"/>
          <w:szCs w:val="24"/>
        </w:rPr>
        <w:t xml:space="preserve"> increases infection risks for patient</w:t>
      </w:r>
      <w:r w:rsidR="00E605F6">
        <w:rPr>
          <w:rFonts w:ascii="Verdana" w:hAnsi="Verdana" w:cs="Arial"/>
          <w:sz w:val="24"/>
          <w:szCs w:val="24"/>
        </w:rPr>
        <w:t xml:space="preserve">s </w:t>
      </w:r>
      <w:r w:rsidRPr="002E27D2">
        <w:rPr>
          <w:rFonts w:ascii="Verdana" w:hAnsi="Verdana" w:cs="Arial"/>
          <w:sz w:val="24"/>
          <w:szCs w:val="24"/>
        </w:rPr>
        <w:t>due to non-compliance with bed spacing guidance (</w:t>
      </w:r>
      <w:r w:rsidRPr="002E27D2">
        <w:rPr>
          <w:rFonts w:ascii="Verdana" w:hAnsi="Verdana" w:cs="Arial"/>
          <w:b/>
          <w:sz w:val="24"/>
          <w:szCs w:val="24"/>
        </w:rPr>
        <w:t>Datix Risk ID – 2488</w:t>
      </w:r>
      <w:r w:rsidRPr="002E27D2">
        <w:rPr>
          <w:rFonts w:ascii="Verdana" w:hAnsi="Verdana" w:cs="Arial"/>
          <w:sz w:val="24"/>
          <w:szCs w:val="24"/>
        </w:rPr>
        <w:t xml:space="preserve">). </w:t>
      </w:r>
    </w:p>
    <w:p w14:paraId="0160BC8A" w14:textId="77777777" w:rsidR="00631039" w:rsidRPr="00E605F6" w:rsidRDefault="00631039" w:rsidP="00631039">
      <w:pPr>
        <w:pStyle w:val="ListParagraph"/>
        <w:spacing w:after="120" w:line="240" w:lineRule="auto"/>
        <w:ind w:left="284" w:right="120"/>
        <w:contextualSpacing w:val="0"/>
        <w:jc w:val="both"/>
        <w:rPr>
          <w:rFonts w:ascii="Verdana" w:hAnsi="Verdana" w:cs="Arial"/>
          <w:sz w:val="24"/>
          <w:szCs w:val="24"/>
        </w:rPr>
      </w:pPr>
    </w:p>
    <w:p w14:paraId="020ED3E9" w14:textId="14005806" w:rsidR="002E27D2" w:rsidRPr="002E27D2" w:rsidRDefault="002E27D2" w:rsidP="00957513">
      <w:pPr>
        <w:pStyle w:val="ListParagraph"/>
        <w:numPr>
          <w:ilvl w:val="0"/>
          <w:numId w:val="16"/>
        </w:numPr>
        <w:spacing w:after="120" w:line="240" w:lineRule="auto"/>
        <w:ind w:left="425" w:hanging="425"/>
        <w:contextualSpacing w:val="0"/>
        <w:rPr>
          <w:rFonts w:ascii="Verdana" w:hAnsi="Verdana" w:cs="Arial"/>
          <w:b/>
          <w:sz w:val="24"/>
          <w:szCs w:val="24"/>
        </w:rPr>
      </w:pPr>
      <w:r w:rsidRPr="002E27D2">
        <w:rPr>
          <w:rFonts w:ascii="Verdana" w:hAnsi="Verdana" w:cs="Arial"/>
          <w:b/>
          <w:sz w:val="24"/>
          <w:szCs w:val="24"/>
        </w:rPr>
        <w:t>GOVERNANCE AND RISK ISSUES</w:t>
      </w:r>
    </w:p>
    <w:p w14:paraId="0DE43491" w14:textId="528ED392" w:rsidR="002E27D2" w:rsidRPr="002E27D2" w:rsidRDefault="002E27D2" w:rsidP="002E27D2">
      <w:pPr>
        <w:spacing w:after="120" w:line="240" w:lineRule="auto"/>
        <w:jc w:val="both"/>
        <w:rPr>
          <w:rFonts w:ascii="Verdana" w:hAnsi="Verdana" w:cs="Arial"/>
          <w:sz w:val="24"/>
          <w:szCs w:val="24"/>
        </w:rPr>
      </w:pPr>
      <w:r w:rsidRPr="002E27D2">
        <w:rPr>
          <w:rFonts w:ascii="Verdana" w:hAnsi="Verdana" w:cs="Arial"/>
          <w:sz w:val="24"/>
          <w:szCs w:val="24"/>
        </w:rPr>
        <w:t xml:space="preserve">Healthcare associated infections are associated with poor patient </w:t>
      </w:r>
      <w:r w:rsidR="007670FF" w:rsidRPr="002E27D2">
        <w:rPr>
          <w:rFonts w:ascii="Verdana" w:hAnsi="Verdana" w:cs="Arial"/>
          <w:sz w:val="24"/>
          <w:szCs w:val="24"/>
        </w:rPr>
        <w:t>outcomes and</w:t>
      </w:r>
      <w:r w:rsidRPr="002E27D2">
        <w:rPr>
          <w:rFonts w:ascii="Verdana" w:hAnsi="Verdana" w:cs="Arial"/>
          <w:sz w:val="24"/>
          <w:szCs w:val="24"/>
        </w:rPr>
        <w:t xml:space="preserve"> are significant quality and safety issues</w:t>
      </w:r>
      <w:r w:rsidR="007670FF" w:rsidRPr="002E27D2">
        <w:rPr>
          <w:rFonts w:ascii="Verdana" w:hAnsi="Verdana" w:cs="Arial"/>
          <w:sz w:val="24"/>
          <w:szCs w:val="24"/>
        </w:rPr>
        <w:t xml:space="preserve">. </w:t>
      </w:r>
      <w:r w:rsidRPr="002E27D2">
        <w:rPr>
          <w:rFonts w:ascii="Verdana" w:hAnsi="Verdana" w:cs="Arial"/>
          <w:sz w:val="24"/>
          <w:szCs w:val="24"/>
        </w:rPr>
        <w:t>Continuing failure to achieve the infection reduction improvements is an unacceptable position for our patients (</w:t>
      </w:r>
      <w:r w:rsidRPr="002E27D2">
        <w:rPr>
          <w:rFonts w:ascii="Verdana" w:hAnsi="Verdana" w:cs="Arial"/>
          <w:b/>
          <w:sz w:val="24"/>
          <w:szCs w:val="24"/>
        </w:rPr>
        <w:t>HBR 4</w:t>
      </w:r>
      <w:r w:rsidR="007670FF" w:rsidRPr="002E27D2">
        <w:rPr>
          <w:rFonts w:ascii="Verdana" w:hAnsi="Verdana" w:cs="Arial"/>
          <w:sz w:val="24"/>
          <w:szCs w:val="24"/>
        </w:rPr>
        <w:t>) and</w:t>
      </w:r>
      <w:r w:rsidRPr="002E27D2">
        <w:rPr>
          <w:rFonts w:ascii="Verdana" w:hAnsi="Verdana" w:cs="Arial"/>
          <w:sz w:val="24"/>
          <w:szCs w:val="24"/>
        </w:rPr>
        <w:t xml:space="preserve"> has resulted in an escalation from Enhanced Monitoring to Targeted Intervention</w:t>
      </w:r>
      <w:r w:rsidR="007670FF" w:rsidRPr="002E27D2">
        <w:rPr>
          <w:rFonts w:ascii="Verdana" w:hAnsi="Verdana" w:cs="Arial"/>
          <w:sz w:val="24"/>
          <w:szCs w:val="24"/>
        </w:rPr>
        <w:t xml:space="preserve">. </w:t>
      </w:r>
    </w:p>
    <w:p w14:paraId="06C14485" w14:textId="77777777" w:rsidR="002E27D2" w:rsidRPr="002E27D2" w:rsidRDefault="002E27D2" w:rsidP="002E27D2">
      <w:pPr>
        <w:spacing w:after="120" w:line="240" w:lineRule="auto"/>
        <w:jc w:val="both"/>
        <w:rPr>
          <w:rFonts w:ascii="Verdana" w:hAnsi="Verdana" w:cs="Arial"/>
          <w:sz w:val="24"/>
          <w:szCs w:val="24"/>
        </w:rPr>
      </w:pPr>
    </w:p>
    <w:p w14:paraId="3F6E6261" w14:textId="77777777" w:rsidR="002E27D2" w:rsidRPr="002E27D2" w:rsidRDefault="002E27D2" w:rsidP="00957513">
      <w:pPr>
        <w:pStyle w:val="ListParagraph"/>
        <w:numPr>
          <w:ilvl w:val="0"/>
          <w:numId w:val="16"/>
        </w:numPr>
        <w:spacing w:after="120" w:line="240" w:lineRule="auto"/>
        <w:ind w:left="425" w:hanging="425"/>
        <w:contextualSpacing w:val="0"/>
        <w:rPr>
          <w:rFonts w:ascii="Verdana" w:hAnsi="Verdana" w:cs="Arial"/>
          <w:b/>
          <w:sz w:val="24"/>
          <w:szCs w:val="24"/>
        </w:rPr>
      </w:pPr>
      <w:r w:rsidRPr="002E27D2">
        <w:rPr>
          <w:rFonts w:ascii="Verdana" w:hAnsi="Verdana" w:cs="Arial"/>
          <w:b/>
          <w:sz w:val="24"/>
          <w:szCs w:val="24"/>
        </w:rPr>
        <w:t>FINANCIAL IMPLICATIONS</w:t>
      </w:r>
    </w:p>
    <w:p w14:paraId="08C108B2" w14:textId="77777777" w:rsidR="002E27D2" w:rsidRPr="002E27D2" w:rsidRDefault="002E27D2" w:rsidP="002E27D2">
      <w:pPr>
        <w:pStyle w:val="Default"/>
        <w:spacing w:after="120"/>
        <w:jc w:val="both"/>
        <w:rPr>
          <w:rFonts w:ascii="Verdana" w:hAnsi="Verdana" w:cs="Arial"/>
        </w:rPr>
      </w:pPr>
      <w:r w:rsidRPr="002E27D2">
        <w:rPr>
          <w:rFonts w:ascii="Verdana" w:hAnsi="Verdana" w:cs="Arial"/>
          <w:color w:val="auto"/>
        </w:rPr>
        <w:t xml:space="preserve">A Department of Health impact assessment report (IA No. 5014, 20/12/2010) stated that the best estimate of costs to the NHS associated with a case of </w:t>
      </w:r>
      <w:r w:rsidRPr="002E27D2">
        <w:rPr>
          <w:rFonts w:ascii="Verdana" w:hAnsi="Verdana" w:cs="Arial"/>
          <w:i/>
          <w:color w:val="auto"/>
        </w:rPr>
        <w:t>Clostridioides difficile</w:t>
      </w:r>
      <w:r w:rsidRPr="002E27D2">
        <w:rPr>
          <w:rFonts w:ascii="Verdana" w:hAnsi="Verdana" w:cs="Arial"/>
          <w:color w:val="auto"/>
        </w:rPr>
        <w:t xml:space="preserve"> infection is approximately </w:t>
      </w:r>
      <w:r w:rsidRPr="002E27D2">
        <w:rPr>
          <w:rFonts w:ascii="Verdana" w:hAnsi="Verdana" w:cs="Arial"/>
          <w:b/>
          <w:color w:val="auto"/>
        </w:rPr>
        <w:t>£10,000</w:t>
      </w:r>
      <w:r w:rsidRPr="002E27D2">
        <w:rPr>
          <w:rFonts w:ascii="Verdana" w:hAnsi="Verdana" w:cs="Arial"/>
          <w:color w:val="auto"/>
        </w:rPr>
        <w:t xml:space="preserve">. The estimated cost to the NHS of treating an individual cost of MRSA bacteraemia is </w:t>
      </w:r>
      <w:r w:rsidRPr="002E27D2">
        <w:rPr>
          <w:rFonts w:ascii="Verdana" w:hAnsi="Verdana" w:cs="Arial"/>
          <w:b/>
          <w:color w:val="auto"/>
        </w:rPr>
        <w:t>£7,000</w:t>
      </w:r>
      <w:r w:rsidRPr="002E27D2">
        <w:rPr>
          <w:rFonts w:ascii="Verdana" w:hAnsi="Verdana" w:cs="Arial"/>
          <w:color w:val="auto"/>
        </w:rPr>
        <w:t xml:space="preserve"> (the cost of MSSA bacteraemia could be less due to the availability of a wider choice of antibiotics). In an NHS Improvement indicative tool, the estimated cost of an </w:t>
      </w:r>
      <w:r w:rsidRPr="002E27D2">
        <w:rPr>
          <w:rFonts w:ascii="Verdana" w:hAnsi="Verdana" w:cs="Arial"/>
          <w:i/>
          <w:color w:val="auto"/>
        </w:rPr>
        <w:t>E. coli</w:t>
      </w:r>
      <w:r w:rsidRPr="002E27D2">
        <w:rPr>
          <w:rFonts w:ascii="Verdana" w:hAnsi="Verdana" w:cs="Arial"/>
          <w:color w:val="auto"/>
        </w:rPr>
        <w:t xml:space="preserve"> bacteraemia is between </w:t>
      </w:r>
      <w:r w:rsidRPr="002E27D2">
        <w:rPr>
          <w:rFonts w:ascii="Verdana" w:hAnsi="Verdana" w:cs="Arial"/>
          <w:b/>
          <w:color w:val="auto"/>
        </w:rPr>
        <w:t>£1,100</w:t>
      </w:r>
      <w:r w:rsidRPr="002E27D2">
        <w:rPr>
          <w:rFonts w:ascii="Verdana" w:hAnsi="Verdana" w:cs="Arial"/>
          <w:color w:val="auto"/>
        </w:rPr>
        <w:t xml:space="preserve"> and </w:t>
      </w:r>
      <w:r w:rsidRPr="002E27D2">
        <w:rPr>
          <w:rFonts w:ascii="Verdana" w:hAnsi="Verdana" w:cs="Arial"/>
          <w:b/>
          <w:color w:val="auto"/>
        </w:rPr>
        <w:t>£1,400</w:t>
      </w:r>
      <w:r w:rsidRPr="002E27D2">
        <w:rPr>
          <w:rFonts w:ascii="Verdana" w:hAnsi="Verdana" w:cs="Arial"/>
          <w:color w:val="auto"/>
        </w:rPr>
        <w:t xml:space="preserve">, depending on whether the </w:t>
      </w:r>
      <w:r w:rsidRPr="002E27D2">
        <w:rPr>
          <w:rFonts w:ascii="Verdana" w:hAnsi="Verdana" w:cs="Arial"/>
          <w:i/>
          <w:color w:val="auto"/>
        </w:rPr>
        <w:t>E. coli</w:t>
      </w:r>
      <w:r w:rsidRPr="002E27D2">
        <w:rPr>
          <w:rFonts w:ascii="Verdana" w:hAnsi="Verdana" w:cs="Arial"/>
          <w:color w:val="auto"/>
        </w:rPr>
        <w:t xml:space="preserve"> is antimicrobial resistant. </w:t>
      </w:r>
      <w:r w:rsidRPr="002E27D2">
        <w:rPr>
          <w:rFonts w:ascii="Verdana" w:hAnsi="Verdana" w:cs="Arial"/>
        </w:rPr>
        <w:t xml:space="preserve">Estimated costs related to healthcare associated infections, from 01 April 2024 to 31 March 2025, is as follows: </w:t>
      </w:r>
      <w:r w:rsidRPr="002E27D2">
        <w:rPr>
          <w:rFonts w:ascii="Verdana" w:hAnsi="Verdana" w:cs="Arial"/>
          <w:i/>
        </w:rPr>
        <w:t>C. difficile</w:t>
      </w:r>
      <w:r w:rsidRPr="002E27D2">
        <w:rPr>
          <w:rFonts w:ascii="Verdana" w:hAnsi="Verdana" w:cs="Arial"/>
        </w:rPr>
        <w:t xml:space="preserve"> - £2,760,000; </w:t>
      </w:r>
      <w:r w:rsidRPr="002E27D2">
        <w:rPr>
          <w:rFonts w:ascii="Verdana" w:hAnsi="Verdana" w:cs="Arial"/>
          <w:i/>
        </w:rPr>
        <w:t>Staph. aureus</w:t>
      </w:r>
      <w:r w:rsidRPr="002E27D2">
        <w:rPr>
          <w:rFonts w:ascii="Verdana" w:hAnsi="Verdana" w:cs="Arial"/>
        </w:rPr>
        <w:t xml:space="preserve"> bacteraemia - £938,000; </w:t>
      </w:r>
      <w:r w:rsidRPr="002E27D2">
        <w:rPr>
          <w:rFonts w:ascii="Verdana" w:hAnsi="Verdana" w:cs="Arial"/>
          <w:i/>
        </w:rPr>
        <w:t>E. coli</w:t>
      </w:r>
      <w:r w:rsidRPr="002E27D2">
        <w:rPr>
          <w:rFonts w:ascii="Verdana" w:hAnsi="Verdana" w:cs="Arial"/>
        </w:rPr>
        <w:t xml:space="preserve"> bacteraemia - £257,200; therefore, a total cost of </w:t>
      </w:r>
      <w:r w:rsidRPr="002E27D2">
        <w:rPr>
          <w:rFonts w:ascii="Verdana" w:hAnsi="Verdana" w:cs="Arial"/>
          <w:b/>
        </w:rPr>
        <w:t>£3,955,200</w:t>
      </w:r>
      <w:r w:rsidRPr="002E27D2">
        <w:rPr>
          <w:rFonts w:ascii="Verdana" w:hAnsi="Verdana" w:cs="Arial"/>
        </w:rPr>
        <w:t>.</w:t>
      </w:r>
    </w:p>
    <w:p w14:paraId="707745E4" w14:textId="77777777" w:rsidR="002E27D2" w:rsidRPr="002E27D2" w:rsidRDefault="002E27D2" w:rsidP="002E27D2">
      <w:pPr>
        <w:pStyle w:val="Default"/>
        <w:spacing w:after="120"/>
        <w:ind w:left="357"/>
        <w:jc w:val="both"/>
        <w:rPr>
          <w:rFonts w:ascii="Verdana" w:hAnsi="Verdana" w:cs="Arial"/>
        </w:rPr>
      </w:pPr>
    </w:p>
    <w:p w14:paraId="2AC122A2" w14:textId="77777777" w:rsidR="002E27D2" w:rsidRPr="002E27D2" w:rsidRDefault="002E27D2" w:rsidP="00957513">
      <w:pPr>
        <w:pStyle w:val="ListParagraph"/>
        <w:numPr>
          <w:ilvl w:val="0"/>
          <w:numId w:val="16"/>
        </w:numPr>
        <w:spacing w:after="120" w:line="240" w:lineRule="auto"/>
        <w:ind w:left="425" w:hanging="425"/>
        <w:contextualSpacing w:val="0"/>
        <w:rPr>
          <w:rFonts w:ascii="Verdana" w:hAnsi="Verdana" w:cs="Arial"/>
          <w:b/>
          <w:sz w:val="24"/>
          <w:szCs w:val="24"/>
        </w:rPr>
      </w:pPr>
      <w:r w:rsidRPr="002E27D2">
        <w:rPr>
          <w:rFonts w:ascii="Verdana" w:hAnsi="Verdana" w:cs="Arial"/>
          <w:b/>
          <w:sz w:val="24"/>
          <w:szCs w:val="24"/>
        </w:rPr>
        <w:t>RECOMMENDATION</w:t>
      </w:r>
    </w:p>
    <w:p w14:paraId="4E5A5C6B" w14:textId="77395190" w:rsidR="002E27D2" w:rsidRPr="002E27D2" w:rsidRDefault="002E27D2" w:rsidP="002E27D2">
      <w:pPr>
        <w:spacing w:after="120" w:line="240" w:lineRule="auto"/>
        <w:jc w:val="both"/>
        <w:rPr>
          <w:rFonts w:ascii="Verdana" w:hAnsi="Verdana" w:cs="Arial"/>
          <w:sz w:val="24"/>
          <w:szCs w:val="24"/>
        </w:rPr>
      </w:pPr>
      <w:r w:rsidRPr="002E27D2">
        <w:rPr>
          <w:rFonts w:ascii="Verdana" w:hAnsi="Verdana" w:cs="Arial"/>
          <w:sz w:val="24"/>
          <w:szCs w:val="24"/>
        </w:rPr>
        <w:t xml:space="preserve">The </w:t>
      </w:r>
      <w:r w:rsidR="00DA23FE">
        <w:rPr>
          <w:rFonts w:ascii="Verdana" w:hAnsi="Verdana" w:cs="Arial"/>
          <w:sz w:val="24"/>
          <w:szCs w:val="24"/>
        </w:rPr>
        <w:t>Quality and Safety Committee</w:t>
      </w:r>
      <w:r w:rsidRPr="002E27D2">
        <w:rPr>
          <w:rFonts w:ascii="Verdana" w:hAnsi="Verdana" w:cs="Arial"/>
          <w:sz w:val="24"/>
          <w:szCs w:val="24"/>
        </w:rPr>
        <w:t xml:space="preserve"> is asked to:</w:t>
      </w:r>
    </w:p>
    <w:p w14:paraId="7B985E38" w14:textId="0E6F9670" w:rsidR="002E27D2" w:rsidRPr="002E27D2" w:rsidRDefault="00DA23FE" w:rsidP="0025504D">
      <w:pPr>
        <w:pStyle w:val="ListParagraph"/>
        <w:numPr>
          <w:ilvl w:val="0"/>
          <w:numId w:val="7"/>
        </w:numPr>
        <w:spacing w:after="120" w:line="240" w:lineRule="auto"/>
        <w:ind w:left="317" w:right="-22" w:hanging="283"/>
        <w:contextualSpacing w:val="0"/>
        <w:jc w:val="both"/>
        <w:rPr>
          <w:rFonts w:ascii="Verdana" w:eastAsia="Times New Roman" w:hAnsi="Verdana" w:cs="Arial"/>
          <w:bCs/>
          <w:sz w:val="24"/>
          <w:szCs w:val="24"/>
          <w:lang w:eastAsia="en-GB"/>
        </w:rPr>
      </w:pPr>
      <w:r>
        <w:rPr>
          <w:rFonts w:ascii="Verdana" w:eastAsia="Times New Roman" w:hAnsi="Verdana" w:cs="Arial"/>
          <w:b/>
          <w:bCs/>
          <w:sz w:val="24"/>
          <w:szCs w:val="24"/>
          <w:lang w:eastAsia="en-GB"/>
        </w:rPr>
        <w:t>ACKNOWLEDGE</w:t>
      </w:r>
      <w:r w:rsidR="002E27D2" w:rsidRPr="002E27D2">
        <w:rPr>
          <w:rFonts w:ascii="Verdana" w:eastAsia="Times New Roman" w:hAnsi="Verdana" w:cs="Arial"/>
          <w:b/>
          <w:bCs/>
          <w:sz w:val="24"/>
          <w:szCs w:val="24"/>
          <w:lang w:eastAsia="en-GB"/>
        </w:rPr>
        <w:t>:</w:t>
      </w:r>
      <w:r w:rsidR="002E27D2" w:rsidRPr="002E27D2">
        <w:rPr>
          <w:rFonts w:ascii="Verdana" w:eastAsia="Times New Roman" w:hAnsi="Verdana" w:cs="Arial"/>
          <w:bCs/>
          <w:sz w:val="24"/>
          <w:szCs w:val="24"/>
          <w:lang w:eastAsia="en-GB"/>
        </w:rPr>
        <w:t xml:space="preserve"> the health board’s end of year position in relation healthcare associated infections</w:t>
      </w:r>
      <w:r w:rsidR="00957513">
        <w:rPr>
          <w:rFonts w:ascii="Verdana" w:eastAsia="Times New Roman" w:hAnsi="Verdana" w:cs="Arial"/>
          <w:bCs/>
          <w:sz w:val="24"/>
          <w:szCs w:val="24"/>
          <w:lang w:eastAsia="en-GB"/>
        </w:rPr>
        <w:t xml:space="preserve"> and Targeted Interventions</w:t>
      </w:r>
      <w:r w:rsidR="002E27D2" w:rsidRPr="002E27D2">
        <w:rPr>
          <w:rFonts w:ascii="Verdana" w:eastAsia="Times New Roman" w:hAnsi="Verdana" w:cs="Arial"/>
          <w:bCs/>
          <w:sz w:val="24"/>
          <w:szCs w:val="24"/>
          <w:lang w:eastAsia="en-GB"/>
        </w:rPr>
        <w:t xml:space="preserve">, and that the internal and national infection improvement goals were achieved in relation to </w:t>
      </w:r>
      <w:r w:rsidR="002E27D2" w:rsidRPr="002E27D2">
        <w:rPr>
          <w:rFonts w:ascii="Verdana" w:eastAsia="Times New Roman" w:hAnsi="Verdana" w:cs="Arial"/>
          <w:bCs/>
          <w:i/>
          <w:iCs/>
          <w:sz w:val="24"/>
          <w:szCs w:val="24"/>
          <w:lang w:eastAsia="en-GB"/>
        </w:rPr>
        <w:t>E. coli</w:t>
      </w:r>
      <w:r w:rsidR="002E27D2" w:rsidRPr="002E27D2">
        <w:rPr>
          <w:rFonts w:ascii="Verdana" w:eastAsia="Times New Roman" w:hAnsi="Verdana" w:cs="Arial"/>
          <w:bCs/>
          <w:sz w:val="24"/>
          <w:szCs w:val="24"/>
          <w:lang w:eastAsia="en-GB"/>
        </w:rPr>
        <w:t xml:space="preserve"> and </w:t>
      </w:r>
      <w:r w:rsidR="002E27D2" w:rsidRPr="002E27D2">
        <w:rPr>
          <w:rFonts w:ascii="Verdana" w:eastAsia="Times New Roman" w:hAnsi="Verdana" w:cs="Arial"/>
          <w:bCs/>
          <w:i/>
          <w:iCs/>
          <w:sz w:val="24"/>
          <w:szCs w:val="24"/>
          <w:lang w:eastAsia="en-GB"/>
        </w:rPr>
        <w:t>Pseudomonas aeruginosa</w:t>
      </w:r>
      <w:r w:rsidR="002E27D2" w:rsidRPr="002E27D2">
        <w:rPr>
          <w:rFonts w:ascii="Verdana" w:eastAsia="Times New Roman" w:hAnsi="Verdana" w:cs="Arial"/>
          <w:bCs/>
          <w:sz w:val="24"/>
          <w:szCs w:val="24"/>
          <w:lang w:eastAsia="en-GB"/>
        </w:rPr>
        <w:t xml:space="preserve"> bacteraemia.</w:t>
      </w:r>
    </w:p>
    <w:p w14:paraId="778ECAEA" w14:textId="2DE6B318" w:rsidR="000E5FEB" w:rsidRPr="000E5FEB" w:rsidRDefault="00DA23FE" w:rsidP="000E5FEB">
      <w:pPr>
        <w:pStyle w:val="ListParagraph"/>
        <w:numPr>
          <w:ilvl w:val="0"/>
          <w:numId w:val="7"/>
        </w:numPr>
        <w:spacing w:after="120" w:line="240" w:lineRule="auto"/>
        <w:ind w:left="317" w:right="-22" w:hanging="283"/>
        <w:contextualSpacing w:val="0"/>
        <w:jc w:val="both"/>
        <w:rPr>
          <w:rFonts w:ascii="Verdana" w:eastAsia="Times New Roman" w:hAnsi="Verdana" w:cs="Arial"/>
          <w:bCs/>
          <w:sz w:val="24"/>
          <w:szCs w:val="24"/>
          <w:lang w:eastAsia="en-GB"/>
        </w:rPr>
      </w:pPr>
      <w:r>
        <w:rPr>
          <w:rFonts w:ascii="Verdana" w:eastAsia="Times New Roman" w:hAnsi="Verdana" w:cs="Arial"/>
          <w:b/>
          <w:bCs/>
          <w:sz w:val="24"/>
          <w:szCs w:val="24"/>
          <w:lang w:eastAsia="en-GB"/>
        </w:rPr>
        <w:lastRenderedPageBreak/>
        <w:t>ACKNOWLEDGE</w:t>
      </w:r>
      <w:r w:rsidR="002E27D2" w:rsidRPr="002E27D2">
        <w:rPr>
          <w:rFonts w:ascii="Verdana" w:eastAsia="Times New Roman" w:hAnsi="Verdana" w:cs="Arial"/>
          <w:b/>
          <w:bCs/>
          <w:sz w:val="24"/>
          <w:szCs w:val="24"/>
          <w:lang w:eastAsia="en-GB"/>
        </w:rPr>
        <w:t xml:space="preserve">: </w:t>
      </w:r>
      <w:r w:rsidR="002E27D2" w:rsidRPr="002E27D2">
        <w:rPr>
          <w:rFonts w:ascii="Verdana" w:eastAsia="Times New Roman" w:hAnsi="Verdana" w:cs="Arial"/>
          <w:sz w:val="24"/>
          <w:szCs w:val="24"/>
          <w:lang w:eastAsia="en-GB"/>
        </w:rPr>
        <w:t xml:space="preserve">the health board continues to have the highest incidence of </w:t>
      </w:r>
      <w:r w:rsidR="002E27D2" w:rsidRPr="002E27D2">
        <w:rPr>
          <w:rFonts w:ascii="Verdana" w:eastAsia="Times New Roman" w:hAnsi="Verdana" w:cs="Arial"/>
          <w:i/>
          <w:iCs/>
          <w:sz w:val="24"/>
          <w:szCs w:val="24"/>
          <w:lang w:eastAsia="en-GB"/>
        </w:rPr>
        <w:t>C. difficile</w:t>
      </w:r>
      <w:r w:rsidR="002E27D2" w:rsidRPr="002E27D2">
        <w:rPr>
          <w:rFonts w:ascii="Verdana" w:eastAsia="Times New Roman" w:hAnsi="Verdana" w:cs="Arial"/>
          <w:sz w:val="24"/>
          <w:szCs w:val="24"/>
          <w:lang w:eastAsia="en-GB"/>
        </w:rPr>
        <w:t xml:space="preserve"> infection and </w:t>
      </w:r>
      <w:r w:rsidR="002E27D2" w:rsidRPr="002E27D2">
        <w:rPr>
          <w:rFonts w:ascii="Verdana" w:eastAsia="Times New Roman" w:hAnsi="Verdana" w:cs="Arial"/>
          <w:i/>
          <w:iCs/>
          <w:sz w:val="24"/>
          <w:szCs w:val="24"/>
          <w:lang w:eastAsia="en-GB"/>
        </w:rPr>
        <w:t>Klebsiella spp</w:t>
      </w:r>
      <w:r w:rsidR="002E27D2" w:rsidRPr="002E27D2">
        <w:rPr>
          <w:rFonts w:ascii="Verdana" w:eastAsia="Times New Roman" w:hAnsi="Verdana" w:cs="Arial"/>
          <w:sz w:val="24"/>
          <w:szCs w:val="24"/>
          <w:lang w:eastAsia="en-GB"/>
        </w:rPr>
        <w:t xml:space="preserve">. bacteraemia in </w:t>
      </w:r>
      <w:r w:rsidR="001032BE" w:rsidRPr="002E27D2">
        <w:rPr>
          <w:rFonts w:ascii="Verdana" w:eastAsia="Times New Roman" w:hAnsi="Verdana" w:cs="Arial"/>
          <w:sz w:val="24"/>
          <w:szCs w:val="24"/>
          <w:lang w:eastAsia="en-GB"/>
        </w:rPr>
        <w:t>Wales</w:t>
      </w:r>
      <w:r w:rsidR="001032BE">
        <w:rPr>
          <w:rFonts w:ascii="Verdana" w:eastAsia="Times New Roman" w:hAnsi="Verdana" w:cs="Arial"/>
          <w:sz w:val="24"/>
          <w:szCs w:val="24"/>
          <w:lang w:eastAsia="en-GB"/>
        </w:rPr>
        <w:t xml:space="preserve"> and</w:t>
      </w:r>
      <w:r w:rsidR="000E5FEB">
        <w:rPr>
          <w:rFonts w:ascii="Verdana" w:eastAsia="Times New Roman" w:hAnsi="Verdana" w:cs="Arial"/>
          <w:sz w:val="24"/>
          <w:szCs w:val="24"/>
          <w:lang w:eastAsia="en-GB"/>
        </w:rPr>
        <w:t xml:space="preserve"> was an outlier in 2023/24 in a </w:t>
      </w:r>
      <w:r w:rsidR="000E5FEB" w:rsidRPr="000E5FEB">
        <w:rPr>
          <w:rFonts w:ascii="Verdana" w:eastAsia="Times New Roman" w:hAnsi="Verdana" w:cs="Arial"/>
          <w:sz w:val="24"/>
          <w:szCs w:val="24"/>
          <w:lang w:eastAsia="en-GB"/>
        </w:rPr>
        <w:t>comparison with 114 NHS organisations in England and Wales</w:t>
      </w:r>
      <w:r w:rsidR="002E27D2" w:rsidRPr="002E27D2">
        <w:rPr>
          <w:rFonts w:ascii="Verdana" w:eastAsia="Times New Roman" w:hAnsi="Verdana" w:cs="Arial"/>
          <w:sz w:val="24"/>
          <w:szCs w:val="24"/>
          <w:lang w:eastAsia="en-GB"/>
        </w:rPr>
        <w:t>.</w:t>
      </w:r>
    </w:p>
    <w:p w14:paraId="1B935071" w14:textId="77777777" w:rsidR="001032BE" w:rsidRPr="002E27D2" w:rsidRDefault="001032BE" w:rsidP="001032BE">
      <w:pPr>
        <w:pStyle w:val="ListParagraph"/>
        <w:numPr>
          <w:ilvl w:val="0"/>
          <w:numId w:val="7"/>
        </w:numPr>
        <w:spacing w:after="120" w:line="240" w:lineRule="auto"/>
        <w:ind w:left="317" w:right="-22" w:hanging="283"/>
        <w:contextualSpacing w:val="0"/>
        <w:jc w:val="both"/>
        <w:rPr>
          <w:rFonts w:ascii="Verdana" w:eastAsia="Times New Roman" w:hAnsi="Verdana" w:cs="Arial"/>
          <w:bCs/>
          <w:sz w:val="24"/>
          <w:szCs w:val="24"/>
          <w:lang w:eastAsia="en-GB"/>
        </w:rPr>
      </w:pPr>
      <w:r>
        <w:rPr>
          <w:rFonts w:ascii="Verdana" w:eastAsia="Times New Roman" w:hAnsi="Verdana" w:cs="Arial"/>
          <w:b/>
          <w:bCs/>
          <w:sz w:val="24"/>
          <w:szCs w:val="24"/>
          <w:lang w:eastAsia="en-GB"/>
        </w:rPr>
        <w:t>ACKNOWLEDGE</w:t>
      </w:r>
      <w:r w:rsidRPr="002E27D2">
        <w:rPr>
          <w:rFonts w:ascii="Verdana" w:eastAsia="Times New Roman" w:hAnsi="Verdana" w:cs="Arial"/>
          <w:b/>
          <w:bCs/>
          <w:sz w:val="24"/>
          <w:szCs w:val="24"/>
          <w:lang w:eastAsia="en-GB"/>
        </w:rPr>
        <w:t>:</w:t>
      </w:r>
      <w:r w:rsidRPr="002E27D2">
        <w:rPr>
          <w:rFonts w:ascii="Verdana" w:eastAsia="Times New Roman" w:hAnsi="Verdana" w:cs="Arial"/>
          <w:bCs/>
          <w:sz w:val="24"/>
          <w:szCs w:val="24"/>
          <w:lang w:eastAsia="en-GB"/>
        </w:rPr>
        <w:t xml:space="preserve"> progress on Infection Prevention &amp; Control Improvement Plan to 31</w:t>
      </w:r>
      <w:r w:rsidRPr="002E27D2">
        <w:rPr>
          <w:rFonts w:ascii="Verdana" w:eastAsia="Times New Roman" w:hAnsi="Verdana" w:cs="Arial"/>
          <w:bCs/>
          <w:sz w:val="24"/>
          <w:szCs w:val="24"/>
          <w:vertAlign w:val="superscript"/>
          <w:lang w:eastAsia="en-GB"/>
        </w:rPr>
        <w:t>st</w:t>
      </w:r>
      <w:r w:rsidRPr="002E27D2">
        <w:rPr>
          <w:rFonts w:ascii="Verdana" w:eastAsia="Times New Roman" w:hAnsi="Verdana" w:cs="Arial"/>
          <w:bCs/>
          <w:sz w:val="24"/>
          <w:szCs w:val="24"/>
          <w:lang w:eastAsia="en-GB"/>
        </w:rPr>
        <w:t xml:space="preserve"> March 2025.</w:t>
      </w:r>
    </w:p>
    <w:p w14:paraId="3944F31E" w14:textId="5765CDA3" w:rsidR="000E5FEB" w:rsidRPr="001032BE" w:rsidRDefault="000E5FEB" w:rsidP="000E5FEB">
      <w:pPr>
        <w:pStyle w:val="ListParagraph"/>
        <w:numPr>
          <w:ilvl w:val="0"/>
          <w:numId w:val="7"/>
        </w:numPr>
        <w:spacing w:after="120" w:line="240" w:lineRule="auto"/>
        <w:ind w:left="317" w:right="-22" w:hanging="283"/>
        <w:contextualSpacing w:val="0"/>
        <w:jc w:val="both"/>
        <w:rPr>
          <w:rFonts w:ascii="Verdana" w:eastAsia="Times New Roman" w:hAnsi="Verdana" w:cs="Arial"/>
          <w:bCs/>
          <w:sz w:val="24"/>
          <w:szCs w:val="24"/>
          <w:lang w:eastAsia="en-GB"/>
        </w:rPr>
      </w:pPr>
      <w:r w:rsidRPr="000E5FEB">
        <w:rPr>
          <w:rFonts w:ascii="Verdana" w:eastAsia="Times New Roman" w:hAnsi="Verdana" w:cs="Arial"/>
          <w:b/>
          <w:bCs/>
          <w:sz w:val="24"/>
          <w:szCs w:val="24"/>
          <w:lang w:eastAsia="en-GB"/>
        </w:rPr>
        <w:t xml:space="preserve">ACKNOWLEDGE </w:t>
      </w:r>
      <w:r w:rsidRPr="000E5FEB">
        <w:rPr>
          <w:rFonts w:ascii="Verdana" w:eastAsia="Times New Roman" w:hAnsi="Verdana" w:cs="Arial"/>
          <w:sz w:val="24"/>
          <w:szCs w:val="24"/>
          <w:lang w:eastAsia="en-GB"/>
        </w:rPr>
        <w:t xml:space="preserve">the increasing number of Datix incidents reporting Periods of Increased Incidence and Outbreaks of </w:t>
      </w:r>
      <w:r w:rsidRPr="000E5FEB">
        <w:rPr>
          <w:rFonts w:ascii="Verdana" w:eastAsia="Times New Roman" w:hAnsi="Verdana" w:cs="Arial"/>
          <w:i/>
          <w:iCs/>
          <w:sz w:val="24"/>
          <w:szCs w:val="24"/>
          <w:lang w:eastAsia="en-GB"/>
        </w:rPr>
        <w:t>C. difficile</w:t>
      </w:r>
      <w:r w:rsidRPr="000E5FEB">
        <w:rPr>
          <w:rFonts w:ascii="Verdana" w:eastAsia="Times New Roman" w:hAnsi="Verdana" w:cs="Arial"/>
          <w:sz w:val="24"/>
          <w:szCs w:val="24"/>
          <w:lang w:eastAsia="en-GB"/>
        </w:rPr>
        <w:t xml:space="preserve"> in Swansea Bay University Health Board.</w:t>
      </w:r>
    </w:p>
    <w:p w14:paraId="4820CDF8" w14:textId="77777777" w:rsidR="001032BE" w:rsidRPr="00DA23FE" w:rsidRDefault="001032BE" w:rsidP="001032BE">
      <w:pPr>
        <w:pStyle w:val="ListParagraph"/>
        <w:numPr>
          <w:ilvl w:val="0"/>
          <w:numId w:val="7"/>
        </w:numPr>
        <w:spacing w:after="120" w:line="240" w:lineRule="auto"/>
        <w:ind w:left="317" w:right="-22" w:hanging="283"/>
        <w:contextualSpacing w:val="0"/>
        <w:jc w:val="both"/>
        <w:rPr>
          <w:rFonts w:ascii="Verdana" w:eastAsia="Times New Roman" w:hAnsi="Verdana" w:cs="Arial"/>
          <w:sz w:val="24"/>
          <w:szCs w:val="24"/>
          <w:lang w:eastAsia="en-GB"/>
        </w:rPr>
      </w:pPr>
      <w:r w:rsidRPr="00DA23FE">
        <w:rPr>
          <w:rFonts w:ascii="Verdana" w:eastAsia="Times New Roman" w:hAnsi="Verdana" w:cs="Arial"/>
          <w:b/>
          <w:bCs/>
          <w:sz w:val="24"/>
          <w:szCs w:val="24"/>
          <w:lang w:eastAsia="en-GB"/>
        </w:rPr>
        <w:t>ACKNOWLEDGE:</w:t>
      </w:r>
      <w:r w:rsidRPr="00DA23FE">
        <w:rPr>
          <w:rFonts w:ascii="Verdana" w:eastAsia="Times New Roman" w:hAnsi="Verdana" w:cs="Arial"/>
          <w:bCs/>
          <w:sz w:val="24"/>
          <w:szCs w:val="24"/>
          <w:lang w:eastAsia="en-GB"/>
        </w:rPr>
        <w:t xml:space="preserve"> the challenges and risks within the health board currently and mitigations recorded in the risks recorded in the health board’s Risk Register.</w:t>
      </w:r>
    </w:p>
    <w:p w14:paraId="1EF6F802" w14:textId="631AFB89" w:rsidR="001032BE" w:rsidRPr="001032BE" w:rsidRDefault="001032BE" w:rsidP="000E5FEB">
      <w:pPr>
        <w:pStyle w:val="ListParagraph"/>
        <w:numPr>
          <w:ilvl w:val="0"/>
          <w:numId w:val="7"/>
        </w:numPr>
        <w:spacing w:after="120" w:line="240" w:lineRule="auto"/>
        <w:ind w:left="317" w:right="-22" w:hanging="283"/>
        <w:contextualSpacing w:val="0"/>
        <w:jc w:val="both"/>
        <w:rPr>
          <w:rFonts w:ascii="Verdana" w:eastAsia="Times New Roman" w:hAnsi="Verdana" w:cs="Arial"/>
          <w:sz w:val="24"/>
          <w:szCs w:val="24"/>
          <w:lang w:eastAsia="en-GB"/>
        </w:rPr>
      </w:pPr>
      <w:r>
        <w:rPr>
          <w:rFonts w:ascii="Verdana" w:eastAsia="Times New Roman" w:hAnsi="Verdana" w:cs="Arial"/>
          <w:b/>
          <w:bCs/>
          <w:sz w:val="24"/>
          <w:szCs w:val="24"/>
          <w:lang w:eastAsia="en-GB"/>
        </w:rPr>
        <w:t xml:space="preserve">ACCEPT </w:t>
      </w:r>
      <w:r w:rsidRPr="001032BE">
        <w:rPr>
          <w:rFonts w:ascii="Verdana" w:eastAsia="Times New Roman" w:hAnsi="Verdana" w:cs="Arial"/>
          <w:sz w:val="24"/>
          <w:szCs w:val="24"/>
          <w:lang w:eastAsia="en-GB"/>
        </w:rPr>
        <w:t xml:space="preserve">the </w:t>
      </w:r>
      <w:r w:rsidRPr="001032BE">
        <w:rPr>
          <w:rFonts w:ascii="Verdana" w:eastAsia="Times New Roman" w:hAnsi="Verdana" w:cs="Arial"/>
          <w:i/>
          <w:iCs/>
          <w:sz w:val="24"/>
          <w:szCs w:val="24"/>
          <w:lang w:eastAsia="en-GB"/>
        </w:rPr>
        <w:t>Clostridioides difficile</w:t>
      </w:r>
      <w:r w:rsidRPr="001032BE">
        <w:rPr>
          <w:rFonts w:ascii="Verdana" w:eastAsia="Times New Roman" w:hAnsi="Verdana" w:cs="Arial"/>
          <w:sz w:val="24"/>
          <w:szCs w:val="24"/>
          <w:lang w:eastAsia="en-GB"/>
        </w:rPr>
        <w:t xml:space="preserve"> (</w:t>
      </w:r>
      <w:r w:rsidRPr="001032BE">
        <w:rPr>
          <w:rFonts w:ascii="Verdana" w:eastAsia="Times New Roman" w:hAnsi="Verdana" w:cs="Arial"/>
          <w:i/>
          <w:iCs/>
          <w:sz w:val="24"/>
          <w:szCs w:val="24"/>
          <w:lang w:eastAsia="en-GB"/>
        </w:rPr>
        <w:t>C. diffficile</w:t>
      </w:r>
      <w:r w:rsidRPr="001032BE">
        <w:rPr>
          <w:rFonts w:ascii="Verdana" w:eastAsia="Times New Roman" w:hAnsi="Verdana" w:cs="Arial"/>
          <w:sz w:val="24"/>
          <w:szCs w:val="24"/>
          <w:lang w:eastAsia="en-GB"/>
        </w:rPr>
        <w:t>) Standards: Risk Assessment and Governance Framework</w:t>
      </w:r>
      <w:r>
        <w:rPr>
          <w:rFonts w:ascii="Verdana" w:eastAsia="Times New Roman" w:hAnsi="Verdana" w:cs="Arial"/>
          <w:sz w:val="24"/>
          <w:szCs w:val="24"/>
          <w:lang w:eastAsia="en-GB"/>
        </w:rPr>
        <w:t>.</w:t>
      </w:r>
    </w:p>
    <w:p w14:paraId="6D29042B" w14:textId="15DC2A88" w:rsidR="00653AEC" w:rsidRPr="00F8567E" w:rsidRDefault="0020539A" w:rsidP="00E605F6">
      <w:pPr>
        <w:spacing w:after="120" w:line="240" w:lineRule="auto"/>
        <w:jc w:val="center"/>
        <w:rPr>
          <w:rFonts w:ascii="Verdana" w:hAnsi="Verdana" w:cs="Arial"/>
          <w:color w:val="FF0000"/>
        </w:rPr>
      </w:pPr>
      <w:r w:rsidRPr="002E27D2">
        <w:rPr>
          <w:rFonts w:ascii="Verdana" w:hAnsi="Verdana"/>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418D3FD7" w:rsidR="00F5324A" w:rsidRPr="00F8567E" w:rsidRDefault="00AB7133"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69F8CB2C" w:rsidR="00F5324A" w:rsidRPr="00F8567E" w:rsidRDefault="00AB713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00B19E2B" w:rsidR="00F5324A" w:rsidRPr="00F8567E" w:rsidRDefault="007670FF"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1624" w:type="dxa"/>
              </w:tcPr>
              <w:p w14:paraId="6D29047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69E48F74" w:rsidR="00F5324A" w:rsidRPr="00F8567E" w:rsidRDefault="00E605F6" w:rsidP="00E605F6">
            <w:pPr>
              <w:rPr>
                <w:rFonts w:ascii="Verdana" w:hAnsi="Verdana" w:cs="Arial"/>
                <w:b/>
                <w:sz w:val="24"/>
                <w:szCs w:val="24"/>
              </w:rPr>
            </w:pPr>
            <w:r w:rsidRPr="00E605F6">
              <w:rPr>
                <w:rFonts w:ascii="Verdana" w:hAnsi="Verdana" w:cs="Arial"/>
                <w:sz w:val="24"/>
                <w:szCs w:val="24"/>
              </w:rPr>
              <w:t>Effective infection prevention and control needs to be everybody’s business and must be part of everyday healthcare practice and be based on the best available evidence so that people are protected from preventable healthcare associated infections.</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7C397991" w14:textId="77777777" w:rsidR="00E605F6" w:rsidRPr="002A72BD" w:rsidRDefault="00E605F6" w:rsidP="00E605F6">
            <w:pPr>
              <w:pStyle w:val="Default"/>
              <w:spacing w:line="276" w:lineRule="auto"/>
              <w:jc w:val="both"/>
              <w:rPr>
                <w:rFonts w:ascii="Arial" w:hAnsi="Arial" w:cs="Arial"/>
                <w:color w:val="auto"/>
              </w:rPr>
            </w:pPr>
            <w:r w:rsidRPr="002A72BD">
              <w:rPr>
                <w:rFonts w:ascii="Arial" w:hAnsi="Arial" w:cs="Arial"/>
                <w:color w:val="auto"/>
              </w:rPr>
              <w:t xml:space="preserve">A Department of Health impact assessment report (IA No. 5014, 20/12/2010) stated that the best estimate of costs to the NHS associated with a case of </w:t>
            </w:r>
            <w:r w:rsidRPr="002A72BD">
              <w:rPr>
                <w:rFonts w:ascii="Arial" w:hAnsi="Arial" w:cs="Arial"/>
                <w:i/>
                <w:color w:val="auto"/>
              </w:rPr>
              <w:t>Clostridioides difficile</w:t>
            </w:r>
            <w:r w:rsidRPr="002A72BD">
              <w:rPr>
                <w:rFonts w:ascii="Arial" w:hAnsi="Arial" w:cs="Arial"/>
                <w:color w:val="auto"/>
              </w:rPr>
              <w:t xml:space="preserve"> infection is approximately </w:t>
            </w:r>
            <w:r w:rsidRPr="002A72BD">
              <w:rPr>
                <w:rFonts w:ascii="Arial" w:hAnsi="Arial" w:cs="Arial"/>
                <w:b/>
                <w:color w:val="auto"/>
              </w:rPr>
              <w:t>£10,000</w:t>
            </w:r>
            <w:r w:rsidRPr="002A72BD">
              <w:rPr>
                <w:rFonts w:ascii="Arial" w:hAnsi="Arial" w:cs="Arial"/>
                <w:color w:val="auto"/>
              </w:rPr>
              <w:t xml:space="preserve">. The estimated cost to the NHS of treating an individual cost of MRSA bacteraemia is </w:t>
            </w:r>
            <w:r w:rsidRPr="002A72BD">
              <w:rPr>
                <w:rFonts w:ascii="Arial" w:hAnsi="Arial" w:cs="Arial"/>
                <w:b/>
                <w:color w:val="auto"/>
              </w:rPr>
              <w:t>£7,000</w:t>
            </w:r>
            <w:r w:rsidRPr="002A72BD">
              <w:rPr>
                <w:rFonts w:ascii="Arial" w:hAnsi="Arial" w:cs="Arial"/>
                <w:color w:val="auto"/>
              </w:rPr>
              <w:t xml:space="preserve"> (the cost of MSSA bacteraemia could be less due to the availability of a wider choice of antibiotics). In an NHS Improvement indicative tool, the estimated cost of an </w:t>
            </w:r>
            <w:r w:rsidRPr="002A72BD">
              <w:rPr>
                <w:rFonts w:ascii="Arial" w:hAnsi="Arial" w:cs="Arial"/>
                <w:i/>
                <w:color w:val="auto"/>
              </w:rPr>
              <w:t>E. coli</w:t>
            </w:r>
            <w:r w:rsidRPr="002A72BD">
              <w:rPr>
                <w:rFonts w:ascii="Arial" w:hAnsi="Arial" w:cs="Arial"/>
                <w:color w:val="auto"/>
              </w:rPr>
              <w:t xml:space="preserve"> bacteraemia is between </w:t>
            </w:r>
            <w:r w:rsidRPr="002A72BD">
              <w:rPr>
                <w:rFonts w:ascii="Arial" w:hAnsi="Arial" w:cs="Arial"/>
                <w:b/>
                <w:color w:val="auto"/>
              </w:rPr>
              <w:t>£1,100</w:t>
            </w:r>
            <w:r w:rsidRPr="002A72BD">
              <w:rPr>
                <w:rFonts w:ascii="Arial" w:hAnsi="Arial" w:cs="Arial"/>
                <w:color w:val="auto"/>
              </w:rPr>
              <w:t xml:space="preserve"> and </w:t>
            </w:r>
            <w:r w:rsidRPr="002A72BD">
              <w:rPr>
                <w:rFonts w:ascii="Arial" w:hAnsi="Arial" w:cs="Arial"/>
                <w:b/>
                <w:color w:val="auto"/>
              </w:rPr>
              <w:t>£1,400</w:t>
            </w:r>
            <w:r w:rsidRPr="002A72BD">
              <w:rPr>
                <w:rFonts w:ascii="Arial" w:hAnsi="Arial" w:cs="Arial"/>
                <w:color w:val="auto"/>
              </w:rPr>
              <w:t xml:space="preserve">, depending on whether the </w:t>
            </w:r>
            <w:r w:rsidRPr="002A72BD">
              <w:rPr>
                <w:rFonts w:ascii="Arial" w:hAnsi="Arial" w:cs="Arial"/>
                <w:i/>
                <w:color w:val="auto"/>
              </w:rPr>
              <w:t>E. coli</w:t>
            </w:r>
            <w:r w:rsidRPr="002A72BD">
              <w:rPr>
                <w:rFonts w:ascii="Arial" w:hAnsi="Arial" w:cs="Arial"/>
                <w:color w:val="auto"/>
              </w:rPr>
              <w:t xml:space="preserve"> is antimicrobial resistant. (</w:t>
            </w:r>
            <w:r w:rsidRPr="002A72BD">
              <w:rPr>
                <w:rFonts w:ascii="Arial" w:hAnsi="Arial" w:cs="Arial"/>
                <w:bCs/>
                <w:i/>
                <w:color w:val="auto"/>
                <w:lang w:val="en"/>
              </w:rPr>
              <w:t>Trust and CCG level impact of E. coli BSIs</w:t>
            </w:r>
            <w:r w:rsidRPr="002A72BD">
              <w:rPr>
                <w:rFonts w:ascii="Arial" w:hAnsi="Arial" w:cs="Arial"/>
                <w:bCs/>
                <w:color w:val="auto"/>
                <w:lang w:val="en"/>
              </w:rPr>
              <w:t xml:space="preserve"> </w:t>
            </w:r>
            <w:r w:rsidRPr="002A72BD">
              <w:rPr>
                <w:rFonts w:ascii="Arial" w:hAnsi="Arial" w:cs="Arial"/>
                <w:color w:val="auto"/>
              </w:rPr>
              <w:t>accessed online at:</w:t>
            </w:r>
          </w:p>
          <w:p w14:paraId="43F9A709" w14:textId="77777777" w:rsidR="00E605F6" w:rsidRPr="002A72BD" w:rsidRDefault="00E605F6" w:rsidP="00E605F6">
            <w:pPr>
              <w:pStyle w:val="Default"/>
              <w:spacing w:line="276" w:lineRule="auto"/>
              <w:rPr>
                <w:rFonts w:ascii="Arial" w:hAnsi="Arial" w:cs="Arial"/>
                <w:color w:val="auto"/>
              </w:rPr>
            </w:pPr>
            <w:hyperlink r:id="rId14" w:history="1">
              <w:r w:rsidRPr="002A72BD">
                <w:rPr>
                  <w:rStyle w:val="Hyperlink"/>
                  <w:rFonts w:ascii="Arial" w:hAnsi="Arial" w:cs="Arial"/>
                  <w:color w:val="auto"/>
                </w:rPr>
                <w:t>https://improvement.nhs.uk/resources/preventing-gram-negative-bloodstream-infections/</w:t>
              </w:r>
            </w:hyperlink>
            <w:r w:rsidRPr="002A72BD">
              <w:rPr>
                <w:rStyle w:val="Hyperlink"/>
                <w:rFonts w:ascii="Arial" w:hAnsi="Arial" w:cs="Arial"/>
                <w:color w:val="auto"/>
              </w:rPr>
              <w:t xml:space="preserve"> </w:t>
            </w:r>
            <w:r w:rsidRPr="002A72BD">
              <w:rPr>
                <w:rFonts w:ascii="Arial" w:hAnsi="Arial" w:cs="Arial"/>
                <w:color w:val="auto"/>
              </w:rPr>
              <w:t>).</w:t>
            </w:r>
          </w:p>
          <w:p w14:paraId="6D290486" w14:textId="5B89EBBF" w:rsidR="00F5324A" w:rsidRPr="00F8567E" w:rsidRDefault="00E605F6" w:rsidP="00E605F6">
            <w:pPr>
              <w:ind w:right="96"/>
              <w:rPr>
                <w:rFonts w:ascii="Verdana" w:hAnsi="Verdana" w:cs="Arial"/>
                <w:color w:val="FF0000"/>
                <w:sz w:val="24"/>
                <w:szCs w:val="24"/>
              </w:rPr>
            </w:pPr>
            <w:r w:rsidRPr="002A72BD">
              <w:rPr>
                <w:rFonts w:ascii="Arial" w:hAnsi="Arial" w:cs="Arial"/>
              </w:rPr>
              <w:lastRenderedPageBreak/>
              <w:t xml:space="preserve">Estimated costs related to healthcare associated infections, from 01 April 2024 to the end of March 2025 is as follows: </w:t>
            </w:r>
            <w:r w:rsidRPr="002A72BD">
              <w:rPr>
                <w:rFonts w:ascii="Arial" w:hAnsi="Arial" w:cs="Arial"/>
                <w:i/>
              </w:rPr>
              <w:t>C. difficile</w:t>
            </w:r>
            <w:r w:rsidRPr="002A72BD">
              <w:rPr>
                <w:rFonts w:ascii="Arial" w:hAnsi="Arial" w:cs="Arial"/>
              </w:rPr>
              <w:t xml:space="preserve"> - £2,760,000; </w:t>
            </w:r>
            <w:r w:rsidRPr="002A72BD">
              <w:rPr>
                <w:rFonts w:ascii="Arial" w:hAnsi="Arial" w:cs="Arial"/>
                <w:i/>
              </w:rPr>
              <w:t>Staph. aureus</w:t>
            </w:r>
            <w:r w:rsidRPr="002A72BD">
              <w:rPr>
                <w:rFonts w:ascii="Arial" w:hAnsi="Arial" w:cs="Arial"/>
              </w:rPr>
              <w:t xml:space="preserve"> bacteraemia - £938,000; </w:t>
            </w:r>
            <w:r w:rsidRPr="002A72BD">
              <w:rPr>
                <w:rFonts w:ascii="Arial" w:hAnsi="Arial" w:cs="Arial"/>
                <w:i/>
              </w:rPr>
              <w:t>E. coli</w:t>
            </w:r>
            <w:r w:rsidRPr="002A72BD">
              <w:rPr>
                <w:rFonts w:ascii="Arial" w:hAnsi="Arial" w:cs="Arial"/>
              </w:rPr>
              <w:t xml:space="preserve"> bacteraemia - £257,200; therefore, a total cost of </w:t>
            </w:r>
            <w:r w:rsidRPr="002A72BD">
              <w:rPr>
                <w:rFonts w:ascii="Arial" w:hAnsi="Arial" w:cs="Arial"/>
                <w:b/>
              </w:rPr>
              <w:t>£3,955,200</w:t>
            </w:r>
            <w:r w:rsidRPr="002A72BD">
              <w:rPr>
                <w:rFonts w:ascii="Arial" w:hAnsi="Arial" w:cs="Arial"/>
              </w:rPr>
              <w:t>.</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D29048B" w14:textId="150AB2F0" w:rsidR="00F5324A" w:rsidRPr="00F8567E" w:rsidRDefault="00E605F6" w:rsidP="00F5324A">
            <w:pPr>
              <w:ind w:right="96"/>
              <w:rPr>
                <w:rFonts w:ascii="Verdana" w:hAnsi="Verdana" w:cs="Arial"/>
                <w:color w:val="FF0000"/>
                <w:sz w:val="24"/>
                <w:szCs w:val="24"/>
              </w:rPr>
            </w:pPr>
            <w:r w:rsidRPr="00584040">
              <w:rPr>
                <w:rFonts w:ascii="Arial" w:hAnsi="Arial" w:cs="Arial"/>
                <w:szCs w:val="24"/>
              </w:rPr>
              <w:t>Potential litigation in relation to avoidable healthcare associated infection.</w:t>
            </w: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E605F6" w14:paraId="6D290491" w14:textId="77777777" w:rsidTr="00C95B3C">
        <w:tc>
          <w:tcPr>
            <w:tcW w:w="9245" w:type="dxa"/>
            <w:gridSpan w:val="4"/>
          </w:tcPr>
          <w:p w14:paraId="6D29048F" w14:textId="429EC162" w:rsidR="00653AEC" w:rsidRPr="00E605F6" w:rsidRDefault="00E605F6" w:rsidP="00653AEC">
            <w:pPr>
              <w:ind w:right="96"/>
              <w:rPr>
                <w:rFonts w:ascii="Verdana" w:hAnsi="Verdana" w:cs="Arial"/>
                <w:sz w:val="24"/>
                <w:szCs w:val="24"/>
              </w:rPr>
            </w:pPr>
            <w:r w:rsidRPr="00E605F6">
              <w:rPr>
                <w:rFonts w:ascii="Verdana" w:hAnsi="Verdana" w:cs="Arial"/>
                <w:sz w:val="24"/>
                <w:szCs w:val="24"/>
              </w:rPr>
              <w:t xml:space="preserve">None </w:t>
            </w:r>
            <w:r w:rsidR="007670FF" w:rsidRPr="00E605F6">
              <w:rPr>
                <w:rFonts w:ascii="Verdana" w:hAnsi="Verdana" w:cs="Arial"/>
                <w:sz w:val="24"/>
                <w:szCs w:val="24"/>
              </w:rPr>
              <w:t>identified.</w:t>
            </w:r>
          </w:p>
          <w:p w14:paraId="6D290490" w14:textId="77777777" w:rsidR="00F5324A" w:rsidRPr="00E605F6" w:rsidRDefault="00F5324A" w:rsidP="00762BBE">
            <w:pPr>
              <w:ind w:right="96"/>
              <w:rPr>
                <w:rFonts w:ascii="Verdana" w:hAnsi="Verdana" w:cs="Arial"/>
                <w:sz w:val="24"/>
                <w:szCs w:val="24"/>
              </w:rPr>
            </w:pP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E605F6" w14:paraId="6D290496" w14:textId="77777777" w:rsidTr="00C95B3C">
        <w:tc>
          <w:tcPr>
            <w:tcW w:w="9245" w:type="dxa"/>
            <w:gridSpan w:val="4"/>
          </w:tcPr>
          <w:p w14:paraId="6D290495" w14:textId="4B9BE554" w:rsidR="00F5324A" w:rsidRPr="00E605F6" w:rsidRDefault="00E605F6" w:rsidP="00F5324A">
            <w:pPr>
              <w:ind w:right="96"/>
              <w:rPr>
                <w:rFonts w:ascii="Verdana" w:hAnsi="Verdana" w:cs="Arial"/>
                <w:sz w:val="24"/>
                <w:szCs w:val="28"/>
              </w:rPr>
            </w:pPr>
            <w:r w:rsidRPr="00E605F6">
              <w:rPr>
                <w:rFonts w:ascii="Verdana" w:hAnsi="Verdana" w:cs="Arial"/>
                <w:sz w:val="24"/>
                <w:szCs w:val="28"/>
              </w:rPr>
              <w:t>A healthier Wales: preventing infections</w:t>
            </w: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3DAE2B2B" w:rsidR="00653AEC" w:rsidRPr="00E605F6" w:rsidRDefault="00E605F6" w:rsidP="00E605F6">
            <w:pPr>
              <w:ind w:right="96"/>
              <w:rPr>
                <w:rFonts w:ascii="Verdana" w:hAnsi="Verdana" w:cs="Arial"/>
                <w:sz w:val="24"/>
                <w:szCs w:val="24"/>
              </w:rPr>
            </w:pPr>
            <w:r>
              <w:rPr>
                <w:rFonts w:ascii="Verdana" w:hAnsi="Verdana" w:cs="Arial"/>
                <w:sz w:val="24"/>
                <w:szCs w:val="24"/>
              </w:rPr>
              <w:t>Previous IPC Report - 25 March 2025</w:t>
            </w: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709449B3" w14:textId="77777777" w:rsidR="00E605F6" w:rsidRPr="00E605F6" w:rsidRDefault="00E605F6" w:rsidP="00E605F6">
            <w:pPr>
              <w:ind w:right="96"/>
              <w:rPr>
                <w:rFonts w:ascii="Verdana" w:hAnsi="Verdana" w:cs="Arial"/>
                <w:sz w:val="24"/>
                <w:szCs w:val="24"/>
              </w:rPr>
            </w:pPr>
            <w:r w:rsidRPr="0062641B">
              <w:rPr>
                <w:rFonts w:ascii="Verdana" w:hAnsi="Verdana" w:cs="Arial"/>
                <w:b/>
                <w:bCs/>
                <w:sz w:val="24"/>
                <w:szCs w:val="24"/>
              </w:rPr>
              <w:t>Appendix 1</w:t>
            </w:r>
            <w:r w:rsidRPr="00E605F6">
              <w:rPr>
                <w:rFonts w:ascii="Verdana" w:hAnsi="Verdana" w:cs="Arial"/>
                <w:sz w:val="24"/>
                <w:szCs w:val="24"/>
              </w:rPr>
              <w:t>. HB &amp; SG Infection reduction trajectory charts.</w:t>
            </w:r>
          </w:p>
          <w:p w14:paraId="03DC3B3D" w14:textId="3C257FBF" w:rsidR="00E605F6" w:rsidRPr="00E605F6" w:rsidRDefault="00E605F6" w:rsidP="00E605F6">
            <w:pPr>
              <w:ind w:right="96"/>
              <w:rPr>
                <w:rFonts w:ascii="Verdana" w:hAnsi="Verdana" w:cs="Arial"/>
                <w:sz w:val="24"/>
                <w:szCs w:val="24"/>
              </w:rPr>
            </w:pPr>
            <w:r w:rsidRPr="0062641B">
              <w:rPr>
                <w:rFonts w:ascii="Verdana" w:hAnsi="Verdana" w:cs="Arial"/>
                <w:b/>
                <w:bCs/>
                <w:sz w:val="24"/>
                <w:szCs w:val="24"/>
              </w:rPr>
              <w:t>Appendix 2</w:t>
            </w:r>
            <w:r w:rsidRPr="00E605F6">
              <w:rPr>
                <w:rFonts w:ascii="Verdana" w:hAnsi="Verdana" w:cs="Arial"/>
                <w:sz w:val="24"/>
                <w:szCs w:val="24"/>
              </w:rPr>
              <w:t xml:space="preserve">. </w:t>
            </w:r>
            <w:r>
              <w:rPr>
                <w:rFonts w:ascii="Verdana" w:hAnsi="Verdana" w:cs="Arial"/>
                <w:sz w:val="24"/>
                <w:szCs w:val="24"/>
              </w:rPr>
              <w:t>NHS Wales and NHS England Comparisons</w:t>
            </w:r>
          </w:p>
          <w:p w14:paraId="32D93328" w14:textId="77777777" w:rsidR="00E605F6" w:rsidRPr="00E605F6" w:rsidRDefault="00E605F6" w:rsidP="00E605F6">
            <w:pPr>
              <w:ind w:right="96"/>
              <w:rPr>
                <w:rFonts w:ascii="Verdana" w:hAnsi="Verdana" w:cs="Arial"/>
                <w:sz w:val="24"/>
                <w:szCs w:val="24"/>
              </w:rPr>
            </w:pPr>
            <w:r w:rsidRPr="0062641B">
              <w:rPr>
                <w:rFonts w:ascii="Verdana" w:hAnsi="Verdana" w:cs="Arial"/>
                <w:b/>
                <w:bCs/>
                <w:sz w:val="24"/>
                <w:szCs w:val="24"/>
              </w:rPr>
              <w:t>Appendix 3</w:t>
            </w:r>
            <w:r w:rsidRPr="00E605F6">
              <w:rPr>
                <w:rFonts w:ascii="Verdana" w:hAnsi="Verdana" w:cs="Arial"/>
                <w:sz w:val="24"/>
                <w:szCs w:val="24"/>
              </w:rPr>
              <w:t>. HB Improvement Plan 2024_25 to end Q4, 2024/25.</w:t>
            </w:r>
          </w:p>
          <w:p w14:paraId="518C4E83" w14:textId="060702F0" w:rsidR="00E605F6" w:rsidRPr="00E605F6" w:rsidRDefault="00E605F6" w:rsidP="00E605F6">
            <w:pPr>
              <w:ind w:right="96"/>
              <w:rPr>
                <w:rFonts w:ascii="Verdana" w:hAnsi="Verdana" w:cs="Arial"/>
                <w:sz w:val="24"/>
                <w:szCs w:val="24"/>
              </w:rPr>
            </w:pPr>
            <w:r w:rsidRPr="0062641B">
              <w:rPr>
                <w:rFonts w:ascii="Verdana" w:hAnsi="Verdana" w:cs="Arial"/>
                <w:b/>
                <w:bCs/>
                <w:sz w:val="24"/>
                <w:szCs w:val="24"/>
              </w:rPr>
              <w:t>Appendix 4.</w:t>
            </w:r>
            <w:r w:rsidRPr="00E605F6">
              <w:rPr>
                <w:rFonts w:ascii="Verdana" w:hAnsi="Verdana" w:cs="Arial"/>
                <w:sz w:val="24"/>
                <w:szCs w:val="24"/>
              </w:rPr>
              <w:t xml:space="preserve"> </w:t>
            </w:r>
            <w:r w:rsidR="007670FF">
              <w:rPr>
                <w:rFonts w:ascii="Verdana" w:hAnsi="Verdana" w:cs="Arial"/>
                <w:sz w:val="24"/>
                <w:szCs w:val="24"/>
              </w:rPr>
              <w:t>Datix Period of Increased Incidence and Outbreaks</w:t>
            </w:r>
            <w:r w:rsidRPr="00E605F6">
              <w:rPr>
                <w:rFonts w:ascii="Verdana" w:hAnsi="Verdana" w:cs="Arial"/>
                <w:sz w:val="24"/>
                <w:szCs w:val="24"/>
              </w:rPr>
              <w:t>.</w:t>
            </w:r>
          </w:p>
          <w:p w14:paraId="0EACCE49" w14:textId="375A0D81" w:rsidR="00E605F6" w:rsidRPr="00E605F6" w:rsidRDefault="00E605F6" w:rsidP="00E605F6">
            <w:pPr>
              <w:ind w:right="96"/>
              <w:rPr>
                <w:rFonts w:ascii="Verdana" w:hAnsi="Verdana" w:cs="Arial"/>
                <w:sz w:val="24"/>
                <w:szCs w:val="24"/>
              </w:rPr>
            </w:pPr>
            <w:r w:rsidRPr="0062641B">
              <w:rPr>
                <w:rFonts w:ascii="Verdana" w:hAnsi="Verdana" w:cs="Arial"/>
                <w:b/>
                <w:bCs/>
                <w:sz w:val="24"/>
                <w:szCs w:val="24"/>
              </w:rPr>
              <w:t>Appendix 5</w:t>
            </w:r>
            <w:r w:rsidRPr="00E605F6">
              <w:rPr>
                <w:rFonts w:ascii="Verdana" w:hAnsi="Verdana" w:cs="Arial"/>
                <w:sz w:val="24"/>
                <w:szCs w:val="24"/>
              </w:rPr>
              <w:t xml:space="preserve">. </w:t>
            </w:r>
            <w:r w:rsidR="007670FF">
              <w:rPr>
                <w:rFonts w:ascii="Verdana" w:hAnsi="Verdana" w:cs="Arial"/>
                <w:sz w:val="24"/>
                <w:szCs w:val="24"/>
              </w:rPr>
              <w:t>C. difficile Standards: Risk Assessment and Governance Framework.</w:t>
            </w:r>
          </w:p>
          <w:p w14:paraId="6D29049E" w14:textId="16728011" w:rsidR="00653AEC" w:rsidRPr="00E605F6" w:rsidRDefault="00E605F6" w:rsidP="00E605F6">
            <w:pPr>
              <w:ind w:right="96"/>
              <w:rPr>
                <w:rFonts w:ascii="Verdana" w:hAnsi="Verdana" w:cs="Arial"/>
                <w:sz w:val="24"/>
                <w:szCs w:val="24"/>
              </w:rPr>
            </w:pPr>
            <w:r w:rsidRPr="0062641B">
              <w:rPr>
                <w:rFonts w:ascii="Verdana" w:hAnsi="Verdana" w:cs="Arial"/>
                <w:b/>
                <w:bCs/>
                <w:sz w:val="24"/>
                <w:szCs w:val="24"/>
              </w:rPr>
              <w:t>Appendix 6</w:t>
            </w:r>
            <w:r w:rsidRPr="00E605F6">
              <w:rPr>
                <w:rFonts w:ascii="Verdana" w:hAnsi="Verdana" w:cs="Arial"/>
                <w:sz w:val="24"/>
                <w:szCs w:val="24"/>
              </w:rPr>
              <w:t>. Infection Prevention &amp; Control-related Education.</w:t>
            </w:r>
          </w:p>
        </w:tc>
      </w:tr>
    </w:tbl>
    <w:p w14:paraId="6D2904A0" w14:textId="77777777" w:rsidR="00034194" w:rsidRPr="00F8567E" w:rsidRDefault="00034194">
      <w:pPr>
        <w:rPr>
          <w:rFonts w:ascii="Verdana" w:hAnsi="Verdana"/>
          <w:sz w:val="24"/>
          <w:szCs w:val="24"/>
        </w:rPr>
      </w:pPr>
    </w:p>
    <w:sectPr w:rsidR="00034194" w:rsidRPr="00F8567E" w:rsidSect="007A57C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65144C" w14:textId="77777777" w:rsidR="00CA789D" w:rsidRDefault="00CA789D" w:rsidP="00C107F2">
      <w:pPr>
        <w:spacing w:after="0" w:line="240" w:lineRule="auto"/>
      </w:pPr>
      <w:r>
        <w:separator/>
      </w:r>
    </w:p>
  </w:endnote>
  <w:endnote w:type="continuationSeparator" w:id="0">
    <w:p w14:paraId="723A3201" w14:textId="77777777" w:rsidR="00CA789D" w:rsidRDefault="00CA789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3408855"/>
      <w:docPartObj>
        <w:docPartGallery w:val="Page Numbers (Bottom of Page)"/>
        <w:docPartUnique/>
      </w:docPartObj>
    </w:sdtPr>
    <w:sdtContent>
      <w:sdt>
        <w:sdtPr>
          <w:id w:val="-1769616900"/>
          <w:docPartObj>
            <w:docPartGallery w:val="Page Numbers (Top of Page)"/>
            <w:docPartUnique/>
          </w:docPartObj>
        </w:sdtPr>
        <w:sdtContent>
          <w:p w14:paraId="18384C04" w14:textId="77777777" w:rsidR="0062641B" w:rsidRDefault="0062641B" w:rsidP="0062641B">
            <w:r w:rsidRPr="00767E3E">
              <w:rPr>
                <w:noProof/>
                <w:lang w:eastAsia="en-GB"/>
              </w:rPr>
              <w:drawing>
                <wp:anchor distT="0" distB="0" distL="114300" distR="114300" simplePos="0" relativeHeight="251661312" behindDoc="0" locked="0" layoutInCell="1" allowOverlap="1" wp14:anchorId="3DEC90C0" wp14:editId="661F227F">
                  <wp:simplePos x="0" y="0"/>
                  <wp:positionH relativeFrom="margin">
                    <wp:posOffset>-457200</wp:posOffset>
                  </wp:positionH>
                  <wp:positionV relativeFrom="paragraph">
                    <wp:posOffset>273685</wp:posOffset>
                  </wp:positionV>
                  <wp:extent cx="1933200" cy="590400"/>
                  <wp:effectExtent l="0" t="0" r="0" b="635"/>
                  <wp:wrapNone/>
                  <wp:docPr id="765608680" name="Picture 76560868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74A18F" w14:textId="32C4AB4E" w:rsidR="0062641B" w:rsidRDefault="0062641B">
            <w:pPr>
              <w:pStyle w:val="Footer"/>
              <w:jc w:val="right"/>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019CA023" w14:textId="77777777" w:rsidR="0062641B" w:rsidRDefault="0062641B" w:rsidP="0062641B">
    <w:pPr>
      <w:pStyle w:val="Footer"/>
      <w:jc w:val="right"/>
    </w:pPr>
    <w:r>
      <w:t>Quality and Safety Committee – 03 July 2025</w:t>
    </w:r>
  </w:p>
  <w:p w14:paraId="5EE9C96C" w14:textId="336C7296" w:rsidR="0032747D" w:rsidRDefault="0032747D">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19B6A8" w14:textId="77777777" w:rsidR="00CA789D" w:rsidRDefault="00CA789D" w:rsidP="00C107F2">
      <w:pPr>
        <w:spacing w:after="0" w:line="240" w:lineRule="auto"/>
      </w:pPr>
      <w:r>
        <w:separator/>
      </w:r>
    </w:p>
  </w:footnote>
  <w:footnote w:type="continuationSeparator" w:id="0">
    <w:p w14:paraId="0EE5A8EE" w14:textId="77777777" w:rsidR="00CA789D" w:rsidRDefault="00CA789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7F29A745">
          <wp:simplePos x="0" y="0"/>
          <wp:positionH relativeFrom="column">
            <wp:posOffset>1600200</wp:posOffset>
          </wp:positionH>
          <wp:positionV relativeFrom="paragraph">
            <wp:posOffset>-287655</wp:posOffset>
          </wp:positionV>
          <wp:extent cx="2743200" cy="659130"/>
          <wp:effectExtent l="0" t="0" r="0" b="7620"/>
          <wp:wrapNone/>
          <wp:docPr id="1609802193" name="Picture 160980219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43200" cy="65913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44B98"/>
    <w:multiLevelType w:val="multilevel"/>
    <w:tmpl w:val="467C91CC"/>
    <w:lvl w:ilvl="0">
      <w:start w:val="6"/>
      <w:numFmt w:val="decimal"/>
      <w:lvlText w:val="%1."/>
      <w:lvlJc w:val="left"/>
      <w:pPr>
        <w:ind w:left="360" w:hanging="360"/>
      </w:pPr>
      <w:rPr>
        <w:rFonts w:hint="default"/>
      </w:rPr>
    </w:lvl>
    <w:lvl w:ilvl="1">
      <w:start w:val="1"/>
      <w:numFmt w:val="decimal"/>
      <w:lvlText w:val="%1.%2."/>
      <w:lvlJc w:val="left"/>
      <w:pPr>
        <w:ind w:left="432" w:hanging="432"/>
      </w:pPr>
      <w:rPr>
        <w:rFonts w:hint="default"/>
        <w:b/>
        <w:sz w:val="24"/>
      </w:rPr>
    </w:lvl>
    <w:lvl w:ilvl="2">
      <w:start w:val="1"/>
      <w:numFmt w:val="bullet"/>
      <w:lvlText w:val=""/>
      <w:lvlJc w:val="left"/>
      <w:pPr>
        <w:ind w:left="1072" w:hanging="504"/>
      </w:pPr>
      <w:rPr>
        <w:rFonts w:ascii="Symbol" w:hAnsi="Symbol"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3B0B92"/>
    <w:multiLevelType w:val="hybridMultilevel"/>
    <w:tmpl w:val="B7C0DFE0"/>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2D3579"/>
    <w:multiLevelType w:val="hybridMultilevel"/>
    <w:tmpl w:val="2FD448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D44FCC"/>
    <w:multiLevelType w:val="hybridMultilevel"/>
    <w:tmpl w:val="ED2E7FA2"/>
    <w:lvl w:ilvl="0" w:tplc="CB44AA70">
      <w:start w:val="1"/>
      <w:numFmt w:val="bullet"/>
      <w:lvlText w:val=""/>
      <w:lvlJc w:val="left"/>
      <w:pPr>
        <w:ind w:left="720" w:hanging="360"/>
      </w:pPr>
      <w:rPr>
        <w:rFonts w:ascii="Symbol" w:hAnsi="Symbol" w:hint="default"/>
        <w:strike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9D68CD"/>
    <w:multiLevelType w:val="hybridMultilevel"/>
    <w:tmpl w:val="84984A80"/>
    <w:lvl w:ilvl="0" w:tplc="6E4CC642">
      <w:start w:val="1"/>
      <w:numFmt w:val="lowerLetter"/>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A35B9E"/>
    <w:multiLevelType w:val="hybridMultilevel"/>
    <w:tmpl w:val="81F4F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4114CF"/>
    <w:multiLevelType w:val="hybridMultilevel"/>
    <w:tmpl w:val="DAEE8A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9081A02"/>
    <w:multiLevelType w:val="hybridMultilevel"/>
    <w:tmpl w:val="FB00E43C"/>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15:restartNumberingAfterBreak="0">
    <w:nsid w:val="43537B7F"/>
    <w:multiLevelType w:val="hybridMultilevel"/>
    <w:tmpl w:val="F7FAF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E6144D"/>
    <w:multiLevelType w:val="multilevel"/>
    <w:tmpl w:val="98E642B2"/>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643181F"/>
    <w:multiLevelType w:val="multilevel"/>
    <w:tmpl w:val="467C91CC"/>
    <w:lvl w:ilvl="0">
      <w:start w:val="6"/>
      <w:numFmt w:val="decimal"/>
      <w:lvlText w:val="%1."/>
      <w:lvlJc w:val="left"/>
      <w:pPr>
        <w:ind w:left="360" w:hanging="360"/>
      </w:pPr>
      <w:rPr>
        <w:rFonts w:hint="default"/>
      </w:rPr>
    </w:lvl>
    <w:lvl w:ilvl="1">
      <w:start w:val="1"/>
      <w:numFmt w:val="decimal"/>
      <w:lvlText w:val="%1.%2."/>
      <w:lvlJc w:val="left"/>
      <w:pPr>
        <w:ind w:left="432" w:hanging="432"/>
      </w:pPr>
      <w:rPr>
        <w:rFonts w:hint="default"/>
        <w:b/>
        <w:sz w:val="24"/>
      </w:rPr>
    </w:lvl>
    <w:lvl w:ilvl="2">
      <w:start w:val="1"/>
      <w:numFmt w:val="bullet"/>
      <w:lvlText w:val=""/>
      <w:lvlJc w:val="left"/>
      <w:pPr>
        <w:ind w:left="1072" w:hanging="504"/>
      </w:pPr>
      <w:rPr>
        <w:rFonts w:ascii="Symbol" w:hAnsi="Symbol"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580D3221"/>
    <w:multiLevelType w:val="hybridMultilevel"/>
    <w:tmpl w:val="F626D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70F7C7B"/>
    <w:multiLevelType w:val="multilevel"/>
    <w:tmpl w:val="99F82E32"/>
    <w:lvl w:ilvl="0">
      <w:start w:val="1"/>
      <w:numFmt w:val="bullet"/>
      <w:lvlText w:val=""/>
      <w:lvlJc w:val="left"/>
      <w:pPr>
        <w:ind w:left="644"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67BD02C1"/>
    <w:multiLevelType w:val="hybridMultilevel"/>
    <w:tmpl w:val="92C8A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2381998"/>
    <w:multiLevelType w:val="hybridMultilevel"/>
    <w:tmpl w:val="F49CB2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A7125BE"/>
    <w:multiLevelType w:val="hybridMultilevel"/>
    <w:tmpl w:val="62FAA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C104109"/>
    <w:multiLevelType w:val="hybridMultilevel"/>
    <w:tmpl w:val="BD40EA08"/>
    <w:lvl w:ilvl="0" w:tplc="6AB29684">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04521321">
    <w:abstractNumId w:val="1"/>
  </w:num>
  <w:num w:numId="2" w16cid:durableId="1874800944">
    <w:abstractNumId w:val="16"/>
  </w:num>
  <w:num w:numId="3" w16cid:durableId="1690330068">
    <w:abstractNumId w:val="4"/>
  </w:num>
  <w:num w:numId="4" w16cid:durableId="1536431323">
    <w:abstractNumId w:val="9"/>
  </w:num>
  <w:num w:numId="5" w16cid:durableId="687289374">
    <w:abstractNumId w:val="12"/>
  </w:num>
  <w:num w:numId="6" w16cid:durableId="709457314">
    <w:abstractNumId w:val="14"/>
  </w:num>
  <w:num w:numId="7" w16cid:durableId="1961909442">
    <w:abstractNumId w:val="3"/>
  </w:num>
  <w:num w:numId="8" w16cid:durableId="343434434">
    <w:abstractNumId w:val="7"/>
  </w:num>
  <w:num w:numId="9" w16cid:durableId="373651419">
    <w:abstractNumId w:val="17"/>
  </w:num>
  <w:num w:numId="10" w16cid:durableId="1742093110">
    <w:abstractNumId w:val="10"/>
  </w:num>
  <w:num w:numId="11" w16cid:durableId="1161849170">
    <w:abstractNumId w:val="5"/>
  </w:num>
  <w:num w:numId="12" w16cid:durableId="565916887">
    <w:abstractNumId w:val="11"/>
  </w:num>
  <w:num w:numId="13" w16cid:durableId="1704399502">
    <w:abstractNumId w:val="2"/>
  </w:num>
  <w:num w:numId="14" w16cid:durableId="933591758">
    <w:abstractNumId w:val="13"/>
  </w:num>
  <w:num w:numId="15" w16cid:durableId="157430796">
    <w:abstractNumId w:val="6"/>
  </w:num>
  <w:num w:numId="16" w16cid:durableId="1098674149">
    <w:abstractNumId w:val="0"/>
  </w:num>
  <w:num w:numId="17" w16cid:durableId="199320007">
    <w:abstractNumId w:val="8"/>
  </w:num>
  <w:num w:numId="18" w16cid:durableId="247545659">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73897"/>
    <w:rsid w:val="00083FC0"/>
    <w:rsid w:val="000E5FEB"/>
    <w:rsid w:val="000F361B"/>
    <w:rsid w:val="001032BE"/>
    <w:rsid w:val="00133EA1"/>
    <w:rsid w:val="0016096B"/>
    <w:rsid w:val="001737A3"/>
    <w:rsid w:val="001E7153"/>
    <w:rsid w:val="0020539A"/>
    <w:rsid w:val="00233330"/>
    <w:rsid w:val="002412B8"/>
    <w:rsid w:val="00241662"/>
    <w:rsid w:val="002518B7"/>
    <w:rsid w:val="0025504D"/>
    <w:rsid w:val="00277886"/>
    <w:rsid w:val="002950FF"/>
    <w:rsid w:val="00296CD9"/>
    <w:rsid w:val="002B7C9A"/>
    <w:rsid w:val="002C3DD6"/>
    <w:rsid w:val="002E27D2"/>
    <w:rsid w:val="0030192D"/>
    <w:rsid w:val="0032747D"/>
    <w:rsid w:val="003324CB"/>
    <w:rsid w:val="003C0FF8"/>
    <w:rsid w:val="00414894"/>
    <w:rsid w:val="00461835"/>
    <w:rsid w:val="0052297E"/>
    <w:rsid w:val="00572DC0"/>
    <w:rsid w:val="00574BCF"/>
    <w:rsid w:val="00585277"/>
    <w:rsid w:val="00586755"/>
    <w:rsid w:val="005D1652"/>
    <w:rsid w:val="005D2C4A"/>
    <w:rsid w:val="005D3DF1"/>
    <w:rsid w:val="006201D0"/>
    <w:rsid w:val="0062641B"/>
    <w:rsid w:val="00631039"/>
    <w:rsid w:val="00653AEC"/>
    <w:rsid w:val="00655190"/>
    <w:rsid w:val="00662218"/>
    <w:rsid w:val="00685AE0"/>
    <w:rsid w:val="006A57FA"/>
    <w:rsid w:val="006D1998"/>
    <w:rsid w:val="00703D77"/>
    <w:rsid w:val="00711095"/>
    <w:rsid w:val="0072604C"/>
    <w:rsid w:val="00762BBE"/>
    <w:rsid w:val="007670FF"/>
    <w:rsid w:val="00767E3E"/>
    <w:rsid w:val="007A57C2"/>
    <w:rsid w:val="00820546"/>
    <w:rsid w:val="008637C0"/>
    <w:rsid w:val="008829B8"/>
    <w:rsid w:val="00886111"/>
    <w:rsid w:val="008C15D9"/>
    <w:rsid w:val="008D0747"/>
    <w:rsid w:val="008F7ECE"/>
    <w:rsid w:val="009112DC"/>
    <w:rsid w:val="00957513"/>
    <w:rsid w:val="00977CF2"/>
    <w:rsid w:val="00996159"/>
    <w:rsid w:val="009E7AF7"/>
    <w:rsid w:val="00A62954"/>
    <w:rsid w:val="00A83E54"/>
    <w:rsid w:val="00AB7133"/>
    <w:rsid w:val="00AD064D"/>
    <w:rsid w:val="00AD5706"/>
    <w:rsid w:val="00AD71BC"/>
    <w:rsid w:val="00B0479E"/>
    <w:rsid w:val="00B0564E"/>
    <w:rsid w:val="00B11778"/>
    <w:rsid w:val="00B224D7"/>
    <w:rsid w:val="00B35ECC"/>
    <w:rsid w:val="00B925CC"/>
    <w:rsid w:val="00BA2507"/>
    <w:rsid w:val="00BA5FFC"/>
    <w:rsid w:val="00BB764F"/>
    <w:rsid w:val="00BC241D"/>
    <w:rsid w:val="00BD609D"/>
    <w:rsid w:val="00C107F2"/>
    <w:rsid w:val="00C2143D"/>
    <w:rsid w:val="00C33A04"/>
    <w:rsid w:val="00C56152"/>
    <w:rsid w:val="00C61319"/>
    <w:rsid w:val="00C61658"/>
    <w:rsid w:val="00C90B27"/>
    <w:rsid w:val="00C95B3C"/>
    <w:rsid w:val="00CA6D65"/>
    <w:rsid w:val="00CA789D"/>
    <w:rsid w:val="00CB1C7D"/>
    <w:rsid w:val="00CD7AA5"/>
    <w:rsid w:val="00CE2BE3"/>
    <w:rsid w:val="00D4245E"/>
    <w:rsid w:val="00DA23FE"/>
    <w:rsid w:val="00DA76AD"/>
    <w:rsid w:val="00E242E5"/>
    <w:rsid w:val="00E605F6"/>
    <w:rsid w:val="00E91965"/>
    <w:rsid w:val="00EF31AD"/>
    <w:rsid w:val="00F06D6F"/>
    <w:rsid w:val="00F11CD2"/>
    <w:rsid w:val="00F5082D"/>
    <w:rsid w:val="00F531BD"/>
    <w:rsid w:val="00F5324A"/>
    <w:rsid w:val="00F55629"/>
    <w:rsid w:val="00F57042"/>
    <w:rsid w:val="00F57C68"/>
    <w:rsid w:val="00F7130A"/>
    <w:rsid w:val="00F8567E"/>
    <w:rsid w:val="00FA0CA9"/>
    <w:rsid w:val="00FD6104"/>
    <w:rsid w:val="4026BE8C"/>
    <w:rsid w:val="4119269B"/>
    <w:rsid w:val="48646F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FFE570C9-C376-433A-A48B-CC7F33C1F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link w:val="Heading1Char"/>
    <w:uiPriority w:val="9"/>
    <w:qFormat/>
    <w:rsid w:val="002E27D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2E27D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2E27D2"/>
    <w:rPr>
      <w:rFonts w:ascii="Times New Roman" w:eastAsia="Times New Roman" w:hAnsi="Times New Roman" w:cs="Times New Roman"/>
      <w:b/>
      <w:bCs/>
      <w:kern w:val="36"/>
      <w:sz w:val="48"/>
      <w:szCs w:val="48"/>
      <w:lang w:eastAsia="en-GB"/>
    </w:rPr>
  </w:style>
  <w:style w:type="character" w:customStyle="1" w:styleId="Heading3Char">
    <w:name w:val="Heading 3 Char"/>
    <w:basedOn w:val="DefaultParagraphFont"/>
    <w:link w:val="Heading3"/>
    <w:uiPriority w:val="9"/>
    <w:semiHidden/>
    <w:rsid w:val="002E27D2"/>
    <w:rPr>
      <w:rFonts w:asciiTheme="majorHAnsi" w:eastAsiaTheme="majorEastAsia" w:hAnsiTheme="majorHAnsi" w:cstheme="majorBidi"/>
      <w:color w:val="1F4D78" w:themeColor="accent1" w:themeShade="7F"/>
      <w:sz w:val="24"/>
      <w:szCs w:val="24"/>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2E27D2"/>
  </w:style>
  <w:style w:type="paragraph" w:customStyle="1" w:styleId="xmsolistparagraph">
    <w:name w:val="x_msolistparagraph"/>
    <w:basedOn w:val="Normal"/>
    <w:rsid w:val="002E27D2"/>
    <w:pPr>
      <w:spacing w:after="0" w:line="240" w:lineRule="auto"/>
      <w:ind w:left="720"/>
    </w:pPr>
    <w:rPr>
      <w:rFonts w:ascii="Calibri" w:hAnsi="Calibri" w:cs="Calibri"/>
      <w:lang w:eastAsia="en-GB"/>
    </w:rPr>
  </w:style>
  <w:style w:type="character" w:customStyle="1" w:styleId="acopre1">
    <w:name w:val="acopre1"/>
    <w:basedOn w:val="DefaultParagraphFont"/>
    <w:rsid w:val="002E27D2"/>
  </w:style>
  <w:style w:type="character" w:styleId="FollowedHyperlink">
    <w:name w:val="FollowedHyperlink"/>
    <w:basedOn w:val="DefaultParagraphFont"/>
    <w:uiPriority w:val="99"/>
    <w:semiHidden/>
    <w:unhideWhenUsed/>
    <w:rsid w:val="002E27D2"/>
    <w:rPr>
      <w:color w:val="954F72" w:themeColor="followedHyperlink"/>
      <w:u w:val="single"/>
    </w:rPr>
  </w:style>
  <w:style w:type="paragraph" w:customStyle="1" w:styleId="paragraph">
    <w:name w:val="paragraph"/>
    <w:basedOn w:val="Normal"/>
    <w:rsid w:val="002E27D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2E27D2"/>
  </w:style>
  <w:style w:type="table" w:customStyle="1" w:styleId="TableGrid1">
    <w:name w:val="Table Grid1"/>
    <w:basedOn w:val="TableNormal"/>
    <w:next w:val="TableGrid"/>
    <w:uiPriority w:val="39"/>
    <w:rsid w:val="002E27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2E27D2"/>
    <w:pPr>
      <w:widowControl w:val="0"/>
      <w:autoSpaceDE w:val="0"/>
      <w:autoSpaceDN w:val="0"/>
      <w:spacing w:after="0" w:line="240" w:lineRule="auto"/>
      <w:ind w:left="103"/>
    </w:pPr>
    <w:rPr>
      <w:rFonts w:ascii="Arial" w:eastAsia="Arial" w:hAnsi="Arial" w:cs="Arial"/>
      <w:lang w:val="en-US"/>
    </w:rPr>
  </w:style>
  <w:style w:type="character" w:customStyle="1" w:styleId="eop">
    <w:name w:val="eop"/>
    <w:basedOn w:val="DefaultParagraphFont"/>
    <w:rsid w:val="002E27D2"/>
  </w:style>
  <w:style w:type="character" w:customStyle="1" w:styleId="spellingerrorsuperscript">
    <w:name w:val="spellingerrorsuperscript"/>
    <w:basedOn w:val="DefaultParagraphFont"/>
    <w:rsid w:val="002E27D2"/>
  </w:style>
  <w:style w:type="table" w:customStyle="1" w:styleId="TableGrid0">
    <w:name w:val="TableGrid"/>
    <w:rsid w:val="002E27D2"/>
    <w:pPr>
      <w:spacing w:after="0" w:line="240" w:lineRule="auto"/>
    </w:pPr>
    <w:rPr>
      <w:rFonts w:eastAsiaTheme="minorEastAsia"/>
      <w:lang w:eastAsia="en-GB"/>
    </w:rPr>
    <w:tblPr>
      <w:tblCellMar>
        <w:top w:w="0" w:type="dxa"/>
        <w:left w:w="0" w:type="dxa"/>
        <w:bottom w:w="0" w:type="dxa"/>
        <w:right w:w="0" w:type="dxa"/>
      </w:tblCellMar>
    </w:tblPr>
  </w:style>
  <w:style w:type="character" w:customStyle="1" w:styleId="ui-provider">
    <w:name w:val="ui-provider"/>
    <w:basedOn w:val="DefaultParagraphFont"/>
    <w:rsid w:val="002E27D2"/>
  </w:style>
  <w:style w:type="numbering" w:customStyle="1" w:styleId="NoList1">
    <w:name w:val="No List1"/>
    <w:next w:val="NoList"/>
    <w:uiPriority w:val="99"/>
    <w:semiHidden/>
    <w:unhideWhenUsed/>
    <w:rsid w:val="002E27D2"/>
  </w:style>
  <w:style w:type="table" w:customStyle="1" w:styleId="TableGrid2">
    <w:name w:val="Table Grid2"/>
    <w:basedOn w:val="TableNormal"/>
    <w:next w:val="TableGrid"/>
    <w:uiPriority w:val="39"/>
    <w:rsid w:val="002E27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2E27D2"/>
    <w:rPr>
      <w:color w:val="605E5C"/>
      <w:shd w:val="clear" w:color="auto" w:fill="E1DFDD"/>
    </w:rPr>
  </w:style>
  <w:style w:type="character" w:customStyle="1" w:styleId="UnresolvedMention2">
    <w:name w:val="Unresolved Mention2"/>
    <w:basedOn w:val="DefaultParagraphFont"/>
    <w:uiPriority w:val="99"/>
    <w:semiHidden/>
    <w:unhideWhenUsed/>
    <w:rsid w:val="002E27D2"/>
    <w:rPr>
      <w:color w:val="605E5C"/>
      <w:shd w:val="clear" w:color="auto" w:fill="E1DFDD"/>
    </w:rPr>
  </w:style>
  <w:style w:type="character" w:customStyle="1" w:styleId="UnresolvedMention3">
    <w:name w:val="Unresolved Mention3"/>
    <w:basedOn w:val="DefaultParagraphFont"/>
    <w:uiPriority w:val="99"/>
    <w:semiHidden/>
    <w:unhideWhenUsed/>
    <w:rsid w:val="002E27D2"/>
    <w:rPr>
      <w:color w:val="605E5C"/>
      <w:shd w:val="clear" w:color="auto" w:fill="E1DFDD"/>
    </w:rPr>
  </w:style>
  <w:style w:type="character" w:styleId="UnresolvedMention">
    <w:name w:val="Unresolved Mention"/>
    <w:basedOn w:val="DefaultParagraphFont"/>
    <w:uiPriority w:val="99"/>
    <w:semiHidden/>
    <w:unhideWhenUsed/>
    <w:rsid w:val="002E27D2"/>
    <w:rPr>
      <w:color w:val="605E5C"/>
      <w:shd w:val="clear" w:color="auto" w:fill="E1DFDD"/>
    </w:rPr>
  </w:style>
  <w:style w:type="paragraph" w:styleId="Revision">
    <w:name w:val="Revision"/>
    <w:hidden/>
    <w:uiPriority w:val="99"/>
    <w:semiHidden/>
    <w:rsid w:val="002E27D2"/>
    <w:pPr>
      <w:spacing w:after="0" w:line="240" w:lineRule="auto"/>
    </w:pPr>
    <w:rPr>
      <w:rFonts w:ascii="Verdana" w:hAnsi="Verdana"/>
      <w:sz w:val="24"/>
      <w:szCs w:val="20"/>
    </w:rPr>
  </w:style>
  <w:style w:type="paragraph" w:customStyle="1" w:styleId="NoSpacing1">
    <w:name w:val="No Spacing1"/>
    <w:uiPriority w:val="1"/>
    <w:qFormat/>
    <w:rsid w:val="00FD6104"/>
    <w:pPr>
      <w:spacing w:after="0"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mprovement.nhs.uk/resources/preventing-gram-negative-bloodstream-infection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9C3A382-FDFD-4B78-B530-95013167A1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2805</Words>
  <Characters>15992</Characters>
  <Application>Microsoft Office Word</Application>
  <DocSecurity>0</DocSecurity>
  <Lines>133</Lines>
  <Paragraphs>37</Paragraphs>
  <ScaleCrop>false</ScaleCrop>
  <Company>ABM LHB</Company>
  <LinksUpToDate>false</LinksUpToDate>
  <CharactersWithSpaces>18760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6</cp:revision>
  <dcterms:created xsi:type="dcterms:W3CDTF">2025-06-24T14:13:00Z</dcterms:created>
  <dcterms:modified xsi:type="dcterms:W3CDTF">2025-06-27T11:53:00Z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