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9021" w:type="dxa"/>
        <w:tblInd w:w="720" w:type="dxa"/>
        <w:tblLook w:val="04A0" w:firstRow="1" w:lastRow="0" w:firstColumn="1" w:lastColumn="0" w:noHBand="0" w:noVBand="1"/>
      </w:tblPr>
      <w:tblGrid>
        <w:gridCol w:w="3435"/>
        <w:gridCol w:w="5227"/>
        <w:gridCol w:w="359"/>
      </w:tblGrid>
      <w:tr w:rsidR="003E273E" w:rsidTr="00964685">
        <w:trPr>
          <w:trHeight w:val="1853"/>
        </w:trPr>
        <w:tc>
          <w:tcPr>
            <w:tcW w:w="3435" w:type="dxa"/>
            <w:shd w:val="clear" w:color="auto" w:fill="DAE9F7" w:themeFill="text2" w:themeFillTint="1A"/>
          </w:tcPr>
          <w:p w:rsidR="003E273E" w:rsidRPr="00964685" w:rsidRDefault="003E273E" w:rsidP="00B340A5">
            <w:pPr>
              <w:tabs>
                <w:tab w:val="num" w:pos="720"/>
              </w:tabs>
              <w:rPr>
                <w:sz w:val="30"/>
                <w:szCs w:val="28"/>
              </w:rPr>
            </w:pPr>
            <w:r w:rsidRPr="00964685">
              <w:rPr>
                <w:sz w:val="30"/>
                <w:szCs w:val="28"/>
              </w:rPr>
              <w:t>Swansea Bay University Health Board</w:t>
            </w:r>
          </w:p>
          <w:p w:rsidR="003E273E" w:rsidRPr="00964685" w:rsidRDefault="003E273E" w:rsidP="00B340A5">
            <w:pPr>
              <w:tabs>
                <w:tab w:val="num" w:pos="720"/>
              </w:tabs>
              <w:rPr>
                <w:sz w:val="30"/>
                <w:szCs w:val="28"/>
              </w:rPr>
            </w:pPr>
          </w:p>
          <w:p w:rsidR="009305AF" w:rsidRPr="00964685" w:rsidRDefault="009305AF" w:rsidP="009305AF">
            <w:pPr>
              <w:tabs>
                <w:tab w:val="num" w:pos="720"/>
              </w:tabs>
              <w:rPr>
                <w:sz w:val="30"/>
                <w:szCs w:val="28"/>
              </w:rPr>
            </w:pPr>
            <w:r w:rsidRPr="00964685">
              <w:rPr>
                <w:sz w:val="30"/>
                <w:szCs w:val="28"/>
              </w:rPr>
              <w:t>Standard Operating Procedure</w:t>
            </w:r>
          </w:p>
        </w:tc>
        <w:tc>
          <w:tcPr>
            <w:tcW w:w="5227" w:type="dxa"/>
            <w:shd w:val="clear" w:color="auto" w:fill="F2CEED" w:themeFill="accent5" w:themeFillTint="33"/>
          </w:tcPr>
          <w:p w:rsidR="003E273E" w:rsidRPr="00964685" w:rsidRDefault="003E273E" w:rsidP="00B340A5">
            <w:pPr>
              <w:tabs>
                <w:tab w:val="num" w:pos="720"/>
              </w:tabs>
              <w:rPr>
                <w:b/>
                <w:bCs/>
                <w:sz w:val="30"/>
                <w:szCs w:val="28"/>
              </w:rPr>
            </w:pPr>
            <w:r w:rsidRPr="00964685">
              <w:rPr>
                <w:b/>
                <w:bCs/>
                <w:sz w:val="30"/>
                <w:szCs w:val="28"/>
              </w:rPr>
              <w:t>Right Care</w:t>
            </w:r>
            <w:r w:rsidR="00AB6E60" w:rsidRPr="00964685">
              <w:rPr>
                <w:b/>
                <w:bCs/>
                <w:sz w:val="30"/>
                <w:szCs w:val="28"/>
              </w:rPr>
              <w:t xml:space="preserve">, </w:t>
            </w:r>
            <w:r w:rsidRPr="00964685">
              <w:rPr>
                <w:b/>
                <w:bCs/>
                <w:sz w:val="30"/>
                <w:szCs w:val="28"/>
              </w:rPr>
              <w:t>Right Person</w:t>
            </w:r>
          </w:p>
          <w:p w:rsidR="003E273E" w:rsidRPr="00964685" w:rsidRDefault="003E273E" w:rsidP="00B340A5">
            <w:pPr>
              <w:tabs>
                <w:tab w:val="num" w:pos="720"/>
              </w:tabs>
              <w:rPr>
                <w:sz w:val="30"/>
                <w:szCs w:val="28"/>
              </w:rPr>
            </w:pPr>
          </w:p>
          <w:p w:rsidR="006C717C" w:rsidRPr="00964685" w:rsidRDefault="006C717C" w:rsidP="00B340A5">
            <w:pPr>
              <w:tabs>
                <w:tab w:val="num" w:pos="720"/>
              </w:tabs>
              <w:rPr>
                <w:sz w:val="30"/>
                <w:szCs w:val="28"/>
              </w:rPr>
            </w:pPr>
          </w:p>
          <w:p w:rsidR="003E273E" w:rsidRPr="00964685" w:rsidRDefault="003E273E" w:rsidP="00B340A5">
            <w:pPr>
              <w:tabs>
                <w:tab w:val="num" w:pos="720"/>
              </w:tabs>
              <w:rPr>
                <w:b/>
                <w:bCs/>
                <w:sz w:val="30"/>
                <w:szCs w:val="28"/>
              </w:rPr>
            </w:pPr>
            <w:r w:rsidRPr="00964685">
              <w:rPr>
                <w:b/>
                <w:bCs/>
                <w:sz w:val="30"/>
                <w:szCs w:val="28"/>
              </w:rPr>
              <w:t>Phase 2 – AWOL</w:t>
            </w:r>
            <w:r w:rsidR="00E46C9F" w:rsidRPr="00964685">
              <w:rPr>
                <w:b/>
                <w:bCs/>
                <w:sz w:val="30"/>
                <w:szCs w:val="28"/>
              </w:rPr>
              <w:t>/Absconding</w:t>
            </w:r>
            <w:r w:rsidRPr="00964685">
              <w:rPr>
                <w:b/>
                <w:bCs/>
                <w:sz w:val="30"/>
                <w:szCs w:val="28"/>
              </w:rPr>
              <w:t xml:space="preserve"> Patients</w:t>
            </w:r>
          </w:p>
          <w:p w:rsidR="00AB6E60" w:rsidRPr="00964685" w:rsidRDefault="00AB6E60" w:rsidP="00AB6E60">
            <w:pPr>
              <w:tabs>
                <w:tab w:val="left" w:pos="1741"/>
              </w:tabs>
              <w:rPr>
                <w:sz w:val="30"/>
                <w:szCs w:val="28"/>
              </w:rPr>
            </w:pPr>
            <w:r w:rsidRPr="00964685">
              <w:rPr>
                <w:sz w:val="30"/>
                <w:szCs w:val="28"/>
              </w:rPr>
              <w:tab/>
            </w:r>
          </w:p>
        </w:tc>
        <w:tc>
          <w:tcPr>
            <w:tcW w:w="359" w:type="dxa"/>
            <w:tcBorders>
              <w:top w:val="nil"/>
              <w:bottom w:val="nil"/>
              <w:right w:val="nil"/>
            </w:tcBorders>
          </w:tcPr>
          <w:p w:rsidR="003E273E" w:rsidRDefault="003E273E" w:rsidP="00B340A5">
            <w:pPr>
              <w:tabs>
                <w:tab w:val="num" w:pos="720"/>
              </w:tabs>
              <w:jc w:val="right"/>
            </w:pPr>
          </w:p>
        </w:tc>
      </w:tr>
    </w:tbl>
    <w:p w:rsidR="00793129" w:rsidRDefault="00793129"/>
    <w:sdt>
      <w:sdtPr>
        <w:rPr>
          <w:rFonts w:asciiTheme="minorHAnsi" w:eastAsiaTheme="minorEastAsia" w:hAnsiTheme="minorHAnsi" w:cstheme="minorBidi"/>
          <w:color w:val="auto"/>
          <w:kern w:val="2"/>
          <w:sz w:val="24"/>
          <w:szCs w:val="24"/>
          <w:lang w:eastAsia="en-US"/>
          <w14:ligatures w14:val="standardContextual"/>
        </w:rPr>
        <w:id w:val="2010864994"/>
        <w:docPartObj>
          <w:docPartGallery w:val="Table of Contents"/>
          <w:docPartUnique/>
        </w:docPartObj>
      </w:sdtPr>
      <w:sdtEndPr>
        <w:rPr>
          <w:b/>
          <w:bCs/>
        </w:rPr>
      </w:sdtEndPr>
      <w:sdtContent>
        <w:p w:rsidR="0082513B" w:rsidRDefault="0082513B">
          <w:pPr>
            <w:pStyle w:val="TOCHeading"/>
          </w:pPr>
          <w:r>
            <w:t>Contents</w:t>
          </w:r>
        </w:p>
        <w:p w:rsidR="00583865" w:rsidRDefault="0082513B">
          <w:pPr>
            <w:pStyle w:val="TOC1"/>
            <w:rPr>
              <w:rFonts w:eastAsiaTheme="minorEastAsia"/>
              <w:noProof/>
              <w:kern w:val="0"/>
              <w:sz w:val="22"/>
              <w:szCs w:val="22"/>
              <w:lang w:eastAsia="en-GB"/>
              <w14:ligatures w14:val="none"/>
            </w:rPr>
          </w:pPr>
          <w:r>
            <w:fldChar w:fldCharType="begin"/>
          </w:r>
          <w:r>
            <w:instrText xml:space="preserve"> TOC \o "1-3" \h \z \u </w:instrText>
          </w:r>
          <w:r>
            <w:fldChar w:fldCharType="separate"/>
          </w:r>
          <w:hyperlink w:anchor="_Toc181033089" w:history="1">
            <w:r w:rsidR="00583865" w:rsidRPr="008C2052">
              <w:rPr>
                <w:rStyle w:val="Hyperlink"/>
                <w:noProof/>
              </w:rPr>
              <w:t>Version Control Log</w:t>
            </w:r>
            <w:r w:rsidR="00583865">
              <w:rPr>
                <w:noProof/>
                <w:webHidden/>
              </w:rPr>
              <w:tab/>
            </w:r>
            <w:r w:rsidR="00583865">
              <w:rPr>
                <w:noProof/>
                <w:webHidden/>
              </w:rPr>
              <w:fldChar w:fldCharType="begin"/>
            </w:r>
            <w:r w:rsidR="00583865">
              <w:rPr>
                <w:noProof/>
                <w:webHidden/>
              </w:rPr>
              <w:instrText xml:space="preserve"> PAGEREF _Toc181033089 \h </w:instrText>
            </w:r>
            <w:r w:rsidR="00583865">
              <w:rPr>
                <w:noProof/>
                <w:webHidden/>
              </w:rPr>
            </w:r>
            <w:r w:rsidR="00583865">
              <w:rPr>
                <w:noProof/>
                <w:webHidden/>
              </w:rPr>
              <w:fldChar w:fldCharType="separate"/>
            </w:r>
            <w:r w:rsidR="00583865">
              <w:rPr>
                <w:noProof/>
                <w:webHidden/>
              </w:rPr>
              <w:t>2</w:t>
            </w:r>
            <w:r w:rsidR="00583865">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090" w:history="1">
            <w:r w:rsidRPr="008C2052">
              <w:rPr>
                <w:rStyle w:val="Hyperlink"/>
                <w:noProof/>
              </w:rPr>
              <w:t>Approval</w:t>
            </w:r>
            <w:r>
              <w:rPr>
                <w:noProof/>
                <w:webHidden/>
              </w:rPr>
              <w:tab/>
            </w:r>
            <w:r>
              <w:rPr>
                <w:noProof/>
                <w:webHidden/>
              </w:rPr>
              <w:fldChar w:fldCharType="begin"/>
            </w:r>
            <w:r>
              <w:rPr>
                <w:noProof/>
                <w:webHidden/>
              </w:rPr>
              <w:instrText xml:space="preserve"> PAGEREF _Toc181033090 \h </w:instrText>
            </w:r>
            <w:r>
              <w:rPr>
                <w:noProof/>
                <w:webHidden/>
              </w:rPr>
            </w:r>
            <w:r>
              <w:rPr>
                <w:noProof/>
                <w:webHidden/>
              </w:rPr>
              <w:fldChar w:fldCharType="separate"/>
            </w:r>
            <w:r>
              <w:rPr>
                <w:noProof/>
                <w:webHidden/>
              </w:rPr>
              <w:t>2</w:t>
            </w:r>
            <w:r>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091" w:history="1">
            <w:r w:rsidRPr="008C2052">
              <w:rPr>
                <w:rStyle w:val="Hyperlink"/>
                <w:noProof/>
              </w:rPr>
              <w:t>1. Background to Right Care Right Person</w:t>
            </w:r>
            <w:r>
              <w:rPr>
                <w:noProof/>
                <w:webHidden/>
              </w:rPr>
              <w:tab/>
            </w:r>
            <w:r>
              <w:rPr>
                <w:noProof/>
                <w:webHidden/>
              </w:rPr>
              <w:fldChar w:fldCharType="begin"/>
            </w:r>
            <w:r>
              <w:rPr>
                <w:noProof/>
                <w:webHidden/>
              </w:rPr>
              <w:instrText xml:space="preserve"> PAGEREF _Toc181033091 \h </w:instrText>
            </w:r>
            <w:r>
              <w:rPr>
                <w:noProof/>
                <w:webHidden/>
              </w:rPr>
            </w:r>
            <w:r>
              <w:rPr>
                <w:noProof/>
                <w:webHidden/>
              </w:rPr>
              <w:fldChar w:fldCharType="separate"/>
            </w:r>
            <w:r>
              <w:rPr>
                <w:noProof/>
                <w:webHidden/>
              </w:rPr>
              <w:t>2</w:t>
            </w:r>
            <w:r>
              <w:rPr>
                <w:noProof/>
                <w:webHidden/>
              </w:rPr>
              <w:fldChar w:fldCharType="end"/>
            </w:r>
          </w:hyperlink>
        </w:p>
        <w:p w:rsidR="00583865" w:rsidRDefault="00583865">
          <w:pPr>
            <w:pStyle w:val="TOC2"/>
            <w:tabs>
              <w:tab w:val="right" w:leader="dot" w:pos="9736"/>
            </w:tabs>
            <w:rPr>
              <w:rFonts w:eastAsiaTheme="minorEastAsia"/>
              <w:noProof/>
              <w:kern w:val="0"/>
              <w:sz w:val="22"/>
              <w:szCs w:val="22"/>
              <w:lang w:eastAsia="en-GB"/>
              <w14:ligatures w14:val="none"/>
            </w:rPr>
          </w:pPr>
          <w:hyperlink w:anchor="_Toc181033092" w:history="1">
            <w:r w:rsidRPr="008C2052">
              <w:rPr>
                <w:rStyle w:val="Hyperlink"/>
                <w:noProof/>
                <w:lang w:val="en-US"/>
              </w:rPr>
              <w:t>1.1. Implementation of Right Care Right Person</w:t>
            </w:r>
            <w:r>
              <w:rPr>
                <w:noProof/>
                <w:webHidden/>
              </w:rPr>
              <w:tab/>
            </w:r>
            <w:r>
              <w:rPr>
                <w:noProof/>
                <w:webHidden/>
              </w:rPr>
              <w:fldChar w:fldCharType="begin"/>
            </w:r>
            <w:r>
              <w:rPr>
                <w:noProof/>
                <w:webHidden/>
              </w:rPr>
              <w:instrText xml:space="preserve"> PAGEREF _Toc181033092 \h </w:instrText>
            </w:r>
            <w:r>
              <w:rPr>
                <w:noProof/>
                <w:webHidden/>
              </w:rPr>
            </w:r>
            <w:r>
              <w:rPr>
                <w:noProof/>
                <w:webHidden/>
              </w:rPr>
              <w:fldChar w:fldCharType="separate"/>
            </w:r>
            <w:r>
              <w:rPr>
                <w:noProof/>
                <w:webHidden/>
              </w:rPr>
              <w:t>2</w:t>
            </w:r>
            <w:r>
              <w:rPr>
                <w:noProof/>
                <w:webHidden/>
              </w:rPr>
              <w:fldChar w:fldCharType="end"/>
            </w:r>
          </w:hyperlink>
        </w:p>
        <w:p w:rsidR="00583865" w:rsidRDefault="00583865">
          <w:pPr>
            <w:pStyle w:val="TOC2"/>
            <w:tabs>
              <w:tab w:val="right" w:leader="dot" w:pos="9736"/>
            </w:tabs>
            <w:rPr>
              <w:rFonts w:eastAsiaTheme="minorEastAsia"/>
              <w:noProof/>
              <w:kern w:val="0"/>
              <w:sz w:val="22"/>
              <w:szCs w:val="22"/>
              <w:lang w:eastAsia="en-GB"/>
              <w14:ligatures w14:val="none"/>
            </w:rPr>
          </w:pPr>
          <w:hyperlink w:anchor="_Toc181033093" w:history="1">
            <w:r w:rsidRPr="008C2052">
              <w:rPr>
                <w:rStyle w:val="Hyperlink"/>
                <w:noProof/>
              </w:rPr>
              <w:t>1.2. Changes to South Wales Police deployment process</w:t>
            </w:r>
            <w:r>
              <w:rPr>
                <w:noProof/>
                <w:webHidden/>
              </w:rPr>
              <w:tab/>
            </w:r>
            <w:r>
              <w:rPr>
                <w:noProof/>
                <w:webHidden/>
              </w:rPr>
              <w:fldChar w:fldCharType="begin"/>
            </w:r>
            <w:r>
              <w:rPr>
                <w:noProof/>
                <w:webHidden/>
              </w:rPr>
              <w:instrText xml:space="preserve"> PAGEREF _Toc181033093 \h </w:instrText>
            </w:r>
            <w:r>
              <w:rPr>
                <w:noProof/>
                <w:webHidden/>
              </w:rPr>
            </w:r>
            <w:r>
              <w:rPr>
                <w:noProof/>
                <w:webHidden/>
              </w:rPr>
              <w:fldChar w:fldCharType="separate"/>
            </w:r>
            <w:r>
              <w:rPr>
                <w:noProof/>
                <w:webHidden/>
              </w:rPr>
              <w:t>3</w:t>
            </w:r>
            <w:r>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094" w:history="1">
            <w:r w:rsidRPr="008C2052">
              <w:rPr>
                <w:rStyle w:val="Hyperlink"/>
                <w:noProof/>
              </w:rPr>
              <w:t>2. Purpose of the Standard Operating Procedure</w:t>
            </w:r>
            <w:r>
              <w:rPr>
                <w:noProof/>
                <w:webHidden/>
              </w:rPr>
              <w:tab/>
            </w:r>
            <w:r>
              <w:rPr>
                <w:noProof/>
                <w:webHidden/>
              </w:rPr>
              <w:fldChar w:fldCharType="begin"/>
            </w:r>
            <w:r>
              <w:rPr>
                <w:noProof/>
                <w:webHidden/>
              </w:rPr>
              <w:instrText xml:space="preserve"> PAGEREF _Toc181033094 \h </w:instrText>
            </w:r>
            <w:r>
              <w:rPr>
                <w:noProof/>
                <w:webHidden/>
              </w:rPr>
            </w:r>
            <w:r>
              <w:rPr>
                <w:noProof/>
                <w:webHidden/>
              </w:rPr>
              <w:fldChar w:fldCharType="separate"/>
            </w:r>
            <w:r>
              <w:rPr>
                <w:noProof/>
                <w:webHidden/>
              </w:rPr>
              <w:t>3</w:t>
            </w:r>
            <w:r>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095" w:history="1">
            <w:r w:rsidRPr="008C2052">
              <w:rPr>
                <w:rStyle w:val="Hyperlink"/>
                <w:noProof/>
              </w:rPr>
              <w:t>3. Roles &amp; Responsibilities</w:t>
            </w:r>
            <w:r>
              <w:rPr>
                <w:noProof/>
                <w:webHidden/>
              </w:rPr>
              <w:tab/>
            </w:r>
            <w:r>
              <w:rPr>
                <w:noProof/>
                <w:webHidden/>
              </w:rPr>
              <w:fldChar w:fldCharType="begin"/>
            </w:r>
            <w:r>
              <w:rPr>
                <w:noProof/>
                <w:webHidden/>
              </w:rPr>
              <w:instrText xml:space="preserve"> PAGEREF _Toc181033095 \h </w:instrText>
            </w:r>
            <w:r>
              <w:rPr>
                <w:noProof/>
                <w:webHidden/>
              </w:rPr>
            </w:r>
            <w:r>
              <w:rPr>
                <w:noProof/>
                <w:webHidden/>
              </w:rPr>
              <w:fldChar w:fldCharType="separate"/>
            </w:r>
            <w:r>
              <w:rPr>
                <w:noProof/>
                <w:webHidden/>
              </w:rPr>
              <w:t>4</w:t>
            </w:r>
            <w:r>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096" w:history="1">
            <w:r w:rsidRPr="008C2052">
              <w:rPr>
                <w:rStyle w:val="Hyperlink"/>
                <w:noProof/>
              </w:rPr>
              <w:t>4. Procedure to be Followed</w:t>
            </w:r>
            <w:r>
              <w:rPr>
                <w:noProof/>
                <w:webHidden/>
              </w:rPr>
              <w:tab/>
            </w:r>
            <w:r>
              <w:rPr>
                <w:noProof/>
                <w:webHidden/>
              </w:rPr>
              <w:fldChar w:fldCharType="begin"/>
            </w:r>
            <w:r>
              <w:rPr>
                <w:noProof/>
                <w:webHidden/>
              </w:rPr>
              <w:instrText xml:space="preserve"> PAGEREF _Toc181033096 \h </w:instrText>
            </w:r>
            <w:r>
              <w:rPr>
                <w:noProof/>
                <w:webHidden/>
              </w:rPr>
            </w:r>
            <w:r>
              <w:rPr>
                <w:noProof/>
                <w:webHidden/>
              </w:rPr>
              <w:fldChar w:fldCharType="separate"/>
            </w:r>
            <w:r>
              <w:rPr>
                <w:noProof/>
                <w:webHidden/>
              </w:rPr>
              <w:t>5</w:t>
            </w:r>
            <w:r>
              <w:rPr>
                <w:noProof/>
                <w:webHidden/>
              </w:rPr>
              <w:fldChar w:fldCharType="end"/>
            </w:r>
          </w:hyperlink>
        </w:p>
        <w:p w:rsidR="00583865" w:rsidRDefault="00583865">
          <w:pPr>
            <w:pStyle w:val="TOC2"/>
            <w:tabs>
              <w:tab w:val="right" w:leader="dot" w:pos="9736"/>
            </w:tabs>
            <w:rPr>
              <w:rFonts w:eastAsiaTheme="minorEastAsia"/>
              <w:noProof/>
              <w:kern w:val="0"/>
              <w:sz w:val="22"/>
              <w:szCs w:val="22"/>
              <w:lang w:eastAsia="en-GB"/>
              <w14:ligatures w14:val="none"/>
            </w:rPr>
          </w:pPr>
          <w:hyperlink w:anchor="_Toc181033097" w:history="1">
            <w:r w:rsidRPr="008C2052">
              <w:rPr>
                <w:rStyle w:val="Hyperlink"/>
                <w:noProof/>
              </w:rPr>
              <w:t>4.1. Action Card Detail</w:t>
            </w:r>
            <w:r>
              <w:rPr>
                <w:noProof/>
                <w:webHidden/>
              </w:rPr>
              <w:tab/>
            </w:r>
            <w:r>
              <w:rPr>
                <w:noProof/>
                <w:webHidden/>
              </w:rPr>
              <w:fldChar w:fldCharType="begin"/>
            </w:r>
            <w:r>
              <w:rPr>
                <w:noProof/>
                <w:webHidden/>
              </w:rPr>
              <w:instrText xml:space="preserve"> PAGEREF _Toc181033097 \h </w:instrText>
            </w:r>
            <w:r>
              <w:rPr>
                <w:noProof/>
                <w:webHidden/>
              </w:rPr>
            </w:r>
            <w:r>
              <w:rPr>
                <w:noProof/>
                <w:webHidden/>
              </w:rPr>
              <w:fldChar w:fldCharType="separate"/>
            </w:r>
            <w:r>
              <w:rPr>
                <w:noProof/>
                <w:webHidden/>
              </w:rPr>
              <w:t>5</w:t>
            </w:r>
            <w:r>
              <w:rPr>
                <w:noProof/>
                <w:webHidden/>
              </w:rPr>
              <w:fldChar w:fldCharType="end"/>
            </w:r>
          </w:hyperlink>
        </w:p>
        <w:p w:rsidR="00583865" w:rsidRDefault="00583865">
          <w:pPr>
            <w:pStyle w:val="TOC2"/>
            <w:tabs>
              <w:tab w:val="right" w:leader="dot" w:pos="9736"/>
            </w:tabs>
            <w:rPr>
              <w:rFonts w:eastAsiaTheme="minorEastAsia"/>
              <w:noProof/>
              <w:kern w:val="0"/>
              <w:sz w:val="22"/>
              <w:szCs w:val="22"/>
              <w:lang w:eastAsia="en-GB"/>
              <w14:ligatures w14:val="none"/>
            </w:rPr>
          </w:pPr>
          <w:hyperlink w:anchor="_Toc181033098" w:history="1">
            <w:r w:rsidRPr="008C2052">
              <w:rPr>
                <w:rStyle w:val="Hyperlink"/>
                <w:noProof/>
              </w:rPr>
              <w:t>4.2. Flow</w:t>
            </w:r>
            <w:r>
              <w:rPr>
                <w:noProof/>
                <w:webHidden/>
              </w:rPr>
              <w:tab/>
            </w:r>
            <w:r>
              <w:rPr>
                <w:noProof/>
                <w:webHidden/>
              </w:rPr>
              <w:fldChar w:fldCharType="begin"/>
            </w:r>
            <w:r>
              <w:rPr>
                <w:noProof/>
                <w:webHidden/>
              </w:rPr>
              <w:instrText xml:space="preserve"> PAGEREF _Toc181033098 \h </w:instrText>
            </w:r>
            <w:r>
              <w:rPr>
                <w:noProof/>
                <w:webHidden/>
              </w:rPr>
            </w:r>
            <w:r>
              <w:rPr>
                <w:noProof/>
                <w:webHidden/>
              </w:rPr>
              <w:fldChar w:fldCharType="separate"/>
            </w:r>
            <w:r>
              <w:rPr>
                <w:noProof/>
                <w:webHidden/>
              </w:rPr>
              <w:t>5</w:t>
            </w:r>
            <w:r>
              <w:rPr>
                <w:noProof/>
                <w:webHidden/>
              </w:rPr>
              <w:fldChar w:fldCharType="end"/>
            </w:r>
          </w:hyperlink>
        </w:p>
        <w:p w:rsidR="00583865" w:rsidRDefault="00583865">
          <w:pPr>
            <w:pStyle w:val="TOC2"/>
            <w:tabs>
              <w:tab w:val="right" w:leader="dot" w:pos="9736"/>
            </w:tabs>
            <w:rPr>
              <w:rFonts w:eastAsiaTheme="minorEastAsia"/>
              <w:noProof/>
              <w:kern w:val="0"/>
              <w:sz w:val="22"/>
              <w:szCs w:val="22"/>
              <w:lang w:eastAsia="en-GB"/>
              <w14:ligatures w14:val="none"/>
            </w:rPr>
          </w:pPr>
          <w:hyperlink w:anchor="_Toc181033099" w:history="1">
            <w:r w:rsidRPr="008C2052">
              <w:rPr>
                <w:rStyle w:val="Hyperlink"/>
                <w:noProof/>
              </w:rPr>
              <w:t>4.3. Recording of Incidents</w:t>
            </w:r>
            <w:r>
              <w:rPr>
                <w:noProof/>
                <w:webHidden/>
              </w:rPr>
              <w:tab/>
            </w:r>
            <w:r>
              <w:rPr>
                <w:noProof/>
                <w:webHidden/>
              </w:rPr>
              <w:fldChar w:fldCharType="begin"/>
            </w:r>
            <w:r>
              <w:rPr>
                <w:noProof/>
                <w:webHidden/>
              </w:rPr>
              <w:instrText xml:space="preserve"> PAGEREF _Toc181033099 \h </w:instrText>
            </w:r>
            <w:r>
              <w:rPr>
                <w:noProof/>
                <w:webHidden/>
              </w:rPr>
            </w:r>
            <w:r>
              <w:rPr>
                <w:noProof/>
                <w:webHidden/>
              </w:rPr>
              <w:fldChar w:fldCharType="separate"/>
            </w:r>
            <w:r>
              <w:rPr>
                <w:noProof/>
                <w:webHidden/>
              </w:rPr>
              <w:t>5</w:t>
            </w:r>
            <w:r>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100" w:history="1">
            <w:r w:rsidRPr="008C2052">
              <w:rPr>
                <w:rStyle w:val="Hyperlink"/>
                <w:noProof/>
              </w:rPr>
              <w:t>5. Escalation Process to be Followed</w:t>
            </w:r>
            <w:r>
              <w:rPr>
                <w:noProof/>
                <w:webHidden/>
              </w:rPr>
              <w:tab/>
            </w:r>
            <w:r>
              <w:rPr>
                <w:noProof/>
                <w:webHidden/>
              </w:rPr>
              <w:fldChar w:fldCharType="begin"/>
            </w:r>
            <w:r>
              <w:rPr>
                <w:noProof/>
                <w:webHidden/>
              </w:rPr>
              <w:instrText xml:space="preserve"> PAGEREF _Toc181033100 \h </w:instrText>
            </w:r>
            <w:r>
              <w:rPr>
                <w:noProof/>
                <w:webHidden/>
              </w:rPr>
            </w:r>
            <w:r>
              <w:rPr>
                <w:noProof/>
                <w:webHidden/>
              </w:rPr>
              <w:fldChar w:fldCharType="separate"/>
            </w:r>
            <w:r>
              <w:rPr>
                <w:noProof/>
                <w:webHidden/>
              </w:rPr>
              <w:t>6</w:t>
            </w:r>
            <w:r>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101" w:history="1">
            <w:r w:rsidRPr="008C2052">
              <w:rPr>
                <w:rStyle w:val="Hyperlink"/>
                <w:noProof/>
              </w:rPr>
              <w:t>6. Governance</w:t>
            </w:r>
            <w:r>
              <w:rPr>
                <w:noProof/>
                <w:webHidden/>
              </w:rPr>
              <w:tab/>
            </w:r>
            <w:r>
              <w:rPr>
                <w:noProof/>
                <w:webHidden/>
              </w:rPr>
              <w:fldChar w:fldCharType="begin"/>
            </w:r>
            <w:r>
              <w:rPr>
                <w:noProof/>
                <w:webHidden/>
              </w:rPr>
              <w:instrText xml:space="preserve"> PAGEREF _Toc181033101 \h </w:instrText>
            </w:r>
            <w:r>
              <w:rPr>
                <w:noProof/>
                <w:webHidden/>
              </w:rPr>
            </w:r>
            <w:r>
              <w:rPr>
                <w:noProof/>
                <w:webHidden/>
              </w:rPr>
              <w:fldChar w:fldCharType="separate"/>
            </w:r>
            <w:r>
              <w:rPr>
                <w:noProof/>
                <w:webHidden/>
              </w:rPr>
              <w:t>6</w:t>
            </w:r>
            <w:r>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102" w:history="1">
            <w:r w:rsidRPr="008C2052">
              <w:rPr>
                <w:rStyle w:val="Hyperlink"/>
                <w:noProof/>
              </w:rPr>
              <w:t>7. SOP review timeline</w:t>
            </w:r>
            <w:r>
              <w:rPr>
                <w:noProof/>
                <w:webHidden/>
              </w:rPr>
              <w:tab/>
            </w:r>
            <w:r>
              <w:rPr>
                <w:noProof/>
                <w:webHidden/>
              </w:rPr>
              <w:fldChar w:fldCharType="begin"/>
            </w:r>
            <w:r>
              <w:rPr>
                <w:noProof/>
                <w:webHidden/>
              </w:rPr>
              <w:instrText xml:space="preserve"> PAGEREF _Toc181033102 \h </w:instrText>
            </w:r>
            <w:r>
              <w:rPr>
                <w:noProof/>
                <w:webHidden/>
              </w:rPr>
            </w:r>
            <w:r>
              <w:rPr>
                <w:noProof/>
                <w:webHidden/>
              </w:rPr>
              <w:fldChar w:fldCharType="separate"/>
            </w:r>
            <w:r>
              <w:rPr>
                <w:noProof/>
                <w:webHidden/>
              </w:rPr>
              <w:t>6</w:t>
            </w:r>
            <w:r>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103" w:history="1">
            <w:r w:rsidRPr="008C2052">
              <w:rPr>
                <w:rStyle w:val="Hyperlink"/>
                <w:noProof/>
              </w:rPr>
              <w:t>8. Glossary of Terms</w:t>
            </w:r>
            <w:r>
              <w:rPr>
                <w:noProof/>
                <w:webHidden/>
              </w:rPr>
              <w:tab/>
            </w:r>
            <w:r>
              <w:rPr>
                <w:noProof/>
                <w:webHidden/>
              </w:rPr>
              <w:fldChar w:fldCharType="begin"/>
            </w:r>
            <w:r>
              <w:rPr>
                <w:noProof/>
                <w:webHidden/>
              </w:rPr>
              <w:instrText xml:space="preserve"> PAGEREF _Toc181033103 \h </w:instrText>
            </w:r>
            <w:r>
              <w:rPr>
                <w:noProof/>
                <w:webHidden/>
              </w:rPr>
            </w:r>
            <w:r>
              <w:rPr>
                <w:noProof/>
                <w:webHidden/>
              </w:rPr>
              <w:fldChar w:fldCharType="separate"/>
            </w:r>
            <w:r>
              <w:rPr>
                <w:noProof/>
                <w:webHidden/>
              </w:rPr>
              <w:t>6</w:t>
            </w:r>
            <w:r>
              <w:rPr>
                <w:noProof/>
                <w:webHidden/>
              </w:rPr>
              <w:fldChar w:fldCharType="end"/>
            </w:r>
          </w:hyperlink>
        </w:p>
        <w:p w:rsidR="00583865" w:rsidRDefault="00583865">
          <w:pPr>
            <w:pStyle w:val="TOC1"/>
            <w:rPr>
              <w:rFonts w:eastAsiaTheme="minorEastAsia"/>
              <w:noProof/>
              <w:kern w:val="0"/>
              <w:sz w:val="22"/>
              <w:szCs w:val="22"/>
              <w:lang w:eastAsia="en-GB"/>
              <w14:ligatures w14:val="none"/>
            </w:rPr>
          </w:pPr>
          <w:hyperlink w:anchor="_Toc181033104" w:history="1">
            <w:r w:rsidRPr="008C2052">
              <w:rPr>
                <w:rStyle w:val="Hyperlink"/>
                <w:noProof/>
              </w:rPr>
              <w:t>Appendices</w:t>
            </w:r>
            <w:r>
              <w:rPr>
                <w:noProof/>
                <w:webHidden/>
              </w:rPr>
              <w:tab/>
            </w:r>
            <w:r>
              <w:rPr>
                <w:noProof/>
                <w:webHidden/>
              </w:rPr>
              <w:fldChar w:fldCharType="begin"/>
            </w:r>
            <w:r>
              <w:rPr>
                <w:noProof/>
                <w:webHidden/>
              </w:rPr>
              <w:instrText xml:space="preserve"> PAGEREF _Toc181033104 \h </w:instrText>
            </w:r>
            <w:r>
              <w:rPr>
                <w:noProof/>
                <w:webHidden/>
              </w:rPr>
            </w:r>
            <w:r>
              <w:rPr>
                <w:noProof/>
                <w:webHidden/>
              </w:rPr>
              <w:fldChar w:fldCharType="separate"/>
            </w:r>
            <w:r>
              <w:rPr>
                <w:noProof/>
                <w:webHidden/>
              </w:rPr>
              <w:t>8</w:t>
            </w:r>
            <w:r>
              <w:rPr>
                <w:noProof/>
                <w:webHidden/>
              </w:rPr>
              <w:fldChar w:fldCharType="end"/>
            </w:r>
          </w:hyperlink>
        </w:p>
        <w:p w:rsidR="00583865" w:rsidRDefault="00583865">
          <w:pPr>
            <w:pStyle w:val="TOC2"/>
            <w:tabs>
              <w:tab w:val="right" w:leader="dot" w:pos="9736"/>
            </w:tabs>
            <w:rPr>
              <w:rFonts w:eastAsiaTheme="minorEastAsia"/>
              <w:noProof/>
              <w:kern w:val="0"/>
              <w:sz w:val="22"/>
              <w:szCs w:val="22"/>
              <w:lang w:eastAsia="en-GB"/>
              <w14:ligatures w14:val="none"/>
            </w:rPr>
          </w:pPr>
          <w:hyperlink w:anchor="_Toc181033105" w:history="1">
            <w:r w:rsidRPr="008C2052">
              <w:rPr>
                <w:rStyle w:val="Hyperlink"/>
                <w:noProof/>
              </w:rPr>
              <w:t>Appendix 1. Action Card</w:t>
            </w:r>
            <w:r>
              <w:rPr>
                <w:noProof/>
                <w:webHidden/>
              </w:rPr>
              <w:tab/>
            </w:r>
            <w:r>
              <w:rPr>
                <w:noProof/>
                <w:webHidden/>
              </w:rPr>
              <w:fldChar w:fldCharType="begin"/>
            </w:r>
            <w:r>
              <w:rPr>
                <w:noProof/>
                <w:webHidden/>
              </w:rPr>
              <w:instrText xml:space="preserve"> PAGEREF _Toc181033105 \h </w:instrText>
            </w:r>
            <w:r>
              <w:rPr>
                <w:noProof/>
                <w:webHidden/>
              </w:rPr>
            </w:r>
            <w:r>
              <w:rPr>
                <w:noProof/>
                <w:webHidden/>
              </w:rPr>
              <w:fldChar w:fldCharType="separate"/>
            </w:r>
            <w:r>
              <w:rPr>
                <w:noProof/>
                <w:webHidden/>
              </w:rPr>
              <w:t>8</w:t>
            </w:r>
            <w:r>
              <w:rPr>
                <w:noProof/>
                <w:webHidden/>
              </w:rPr>
              <w:fldChar w:fldCharType="end"/>
            </w:r>
          </w:hyperlink>
        </w:p>
        <w:p w:rsidR="00583865" w:rsidRDefault="00583865">
          <w:pPr>
            <w:pStyle w:val="TOC2"/>
            <w:tabs>
              <w:tab w:val="right" w:leader="dot" w:pos="9736"/>
            </w:tabs>
            <w:rPr>
              <w:rFonts w:eastAsiaTheme="minorEastAsia"/>
              <w:noProof/>
              <w:kern w:val="0"/>
              <w:sz w:val="22"/>
              <w:szCs w:val="22"/>
              <w:lang w:eastAsia="en-GB"/>
              <w14:ligatures w14:val="none"/>
            </w:rPr>
          </w:pPr>
          <w:hyperlink w:anchor="_Toc181033106" w:history="1">
            <w:r w:rsidRPr="008C2052">
              <w:rPr>
                <w:rStyle w:val="Hyperlink"/>
                <w:noProof/>
              </w:rPr>
              <w:t>Appendix 2. Flow Chart</w:t>
            </w:r>
            <w:r>
              <w:rPr>
                <w:noProof/>
                <w:webHidden/>
              </w:rPr>
              <w:tab/>
            </w:r>
            <w:r>
              <w:rPr>
                <w:noProof/>
                <w:webHidden/>
              </w:rPr>
              <w:fldChar w:fldCharType="begin"/>
            </w:r>
            <w:r>
              <w:rPr>
                <w:noProof/>
                <w:webHidden/>
              </w:rPr>
              <w:instrText xml:space="preserve"> PAGEREF _Toc181033106 \h </w:instrText>
            </w:r>
            <w:r>
              <w:rPr>
                <w:noProof/>
                <w:webHidden/>
              </w:rPr>
            </w:r>
            <w:r>
              <w:rPr>
                <w:noProof/>
                <w:webHidden/>
              </w:rPr>
              <w:fldChar w:fldCharType="separate"/>
            </w:r>
            <w:r>
              <w:rPr>
                <w:noProof/>
                <w:webHidden/>
              </w:rPr>
              <w:t>9</w:t>
            </w:r>
            <w:r>
              <w:rPr>
                <w:noProof/>
                <w:webHidden/>
              </w:rPr>
              <w:fldChar w:fldCharType="end"/>
            </w:r>
          </w:hyperlink>
        </w:p>
        <w:p w:rsidR="00583865" w:rsidRDefault="00583865">
          <w:pPr>
            <w:pStyle w:val="TOC2"/>
            <w:tabs>
              <w:tab w:val="right" w:leader="dot" w:pos="9736"/>
            </w:tabs>
            <w:rPr>
              <w:rFonts w:eastAsiaTheme="minorEastAsia"/>
              <w:noProof/>
              <w:kern w:val="0"/>
              <w:sz w:val="22"/>
              <w:szCs w:val="22"/>
              <w:lang w:eastAsia="en-GB"/>
              <w14:ligatures w14:val="none"/>
            </w:rPr>
          </w:pPr>
          <w:hyperlink w:anchor="_Toc181033107" w:history="1">
            <w:r w:rsidRPr="008C2052">
              <w:rPr>
                <w:rStyle w:val="Hyperlink"/>
                <w:noProof/>
              </w:rPr>
              <w:t>Appendix 3. Related Documents/Sites</w:t>
            </w:r>
            <w:r>
              <w:rPr>
                <w:noProof/>
                <w:webHidden/>
              </w:rPr>
              <w:tab/>
            </w:r>
            <w:r>
              <w:rPr>
                <w:noProof/>
                <w:webHidden/>
              </w:rPr>
              <w:fldChar w:fldCharType="begin"/>
            </w:r>
            <w:r>
              <w:rPr>
                <w:noProof/>
                <w:webHidden/>
              </w:rPr>
              <w:instrText xml:space="preserve"> PAGEREF _Toc181033107 \h </w:instrText>
            </w:r>
            <w:r>
              <w:rPr>
                <w:noProof/>
                <w:webHidden/>
              </w:rPr>
            </w:r>
            <w:r>
              <w:rPr>
                <w:noProof/>
                <w:webHidden/>
              </w:rPr>
              <w:fldChar w:fldCharType="separate"/>
            </w:r>
            <w:r>
              <w:rPr>
                <w:noProof/>
                <w:webHidden/>
              </w:rPr>
              <w:t>10</w:t>
            </w:r>
            <w:r>
              <w:rPr>
                <w:noProof/>
                <w:webHidden/>
              </w:rPr>
              <w:fldChar w:fldCharType="end"/>
            </w:r>
          </w:hyperlink>
        </w:p>
        <w:p w:rsidR="0082513B" w:rsidRDefault="0082513B">
          <w:r>
            <w:rPr>
              <w:b/>
              <w:bCs/>
            </w:rPr>
            <w:fldChar w:fldCharType="end"/>
          </w:r>
        </w:p>
      </w:sdtContent>
    </w:sdt>
    <w:p w:rsidR="00583865" w:rsidRDefault="00583865">
      <w:pPr>
        <w:rPr>
          <w:rFonts w:asciiTheme="majorHAnsi" w:eastAsiaTheme="majorEastAsia" w:hAnsiTheme="majorHAnsi" w:cstheme="majorBidi"/>
          <w:color w:val="0F4761" w:themeColor="accent1" w:themeShade="BF"/>
          <w:sz w:val="40"/>
          <w:szCs w:val="40"/>
        </w:rPr>
      </w:pPr>
      <w:r>
        <w:br w:type="page"/>
      </w:r>
    </w:p>
    <w:p w:rsidR="0082513B" w:rsidRDefault="0082513B" w:rsidP="0082513B">
      <w:pPr>
        <w:pStyle w:val="Heading1"/>
      </w:pPr>
      <w:bookmarkStart w:id="0" w:name="_Toc181033089"/>
      <w:r>
        <w:t>Version Control Log</w:t>
      </w:r>
      <w:bookmarkEnd w:id="0"/>
    </w:p>
    <w:tbl>
      <w:tblPr>
        <w:tblStyle w:val="TableGrid"/>
        <w:tblW w:w="0" w:type="auto"/>
        <w:tblInd w:w="-289" w:type="dxa"/>
        <w:tblLook w:val="04A0" w:firstRow="1" w:lastRow="0" w:firstColumn="1" w:lastColumn="0" w:noHBand="0" w:noVBand="1"/>
      </w:tblPr>
      <w:tblGrid>
        <w:gridCol w:w="1277"/>
        <w:gridCol w:w="1701"/>
        <w:gridCol w:w="1701"/>
        <w:gridCol w:w="5346"/>
      </w:tblGrid>
      <w:tr w:rsidR="00982811" w:rsidTr="3D30A315">
        <w:tc>
          <w:tcPr>
            <w:tcW w:w="1277" w:type="dxa"/>
          </w:tcPr>
          <w:p w:rsidR="00982811" w:rsidRPr="00982811" w:rsidRDefault="00982811" w:rsidP="00B340A5">
            <w:pPr>
              <w:tabs>
                <w:tab w:val="num" w:pos="720"/>
              </w:tabs>
              <w:rPr>
                <w:b/>
                <w:bCs/>
              </w:rPr>
            </w:pPr>
            <w:r w:rsidRPr="00982811">
              <w:rPr>
                <w:b/>
                <w:bCs/>
              </w:rPr>
              <w:t>Version Number</w:t>
            </w:r>
          </w:p>
        </w:tc>
        <w:tc>
          <w:tcPr>
            <w:tcW w:w="1701" w:type="dxa"/>
          </w:tcPr>
          <w:p w:rsidR="00982811" w:rsidRPr="004C5450" w:rsidRDefault="004C5450" w:rsidP="00B340A5">
            <w:pPr>
              <w:tabs>
                <w:tab w:val="num" w:pos="720"/>
              </w:tabs>
              <w:rPr>
                <w:b/>
                <w:bCs/>
              </w:rPr>
            </w:pPr>
            <w:r w:rsidRPr="004C5450">
              <w:rPr>
                <w:b/>
                <w:bCs/>
              </w:rPr>
              <w:t>Version Name</w:t>
            </w:r>
          </w:p>
        </w:tc>
        <w:tc>
          <w:tcPr>
            <w:tcW w:w="1701" w:type="dxa"/>
          </w:tcPr>
          <w:p w:rsidR="00982811" w:rsidRPr="004C5450" w:rsidRDefault="004C5450" w:rsidP="00B340A5">
            <w:pPr>
              <w:tabs>
                <w:tab w:val="num" w:pos="720"/>
              </w:tabs>
              <w:rPr>
                <w:b/>
                <w:bCs/>
              </w:rPr>
            </w:pPr>
            <w:r w:rsidRPr="004C5450">
              <w:rPr>
                <w:b/>
                <w:bCs/>
              </w:rPr>
              <w:t>Date Updated</w:t>
            </w:r>
          </w:p>
        </w:tc>
        <w:tc>
          <w:tcPr>
            <w:tcW w:w="5346" w:type="dxa"/>
          </w:tcPr>
          <w:p w:rsidR="00982811" w:rsidRPr="004C5450" w:rsidRDefault="004C5450" w:rsidP="00B340A5">
            <w:pPr>
              <w:tabs>
                <w:tab w:val="num" w:pos="720"/>
              </w:tabs>
              <w:rPr>
                <w:b/>
                <w:bCs/>
              </w:rPr>
            </w:pPr>
            <w:r w:rsidRPr="004C5450">
              <w:rPr>
                <w:b/>
                <w:bCs/>
              </w:rPr>
              <w:t>Detail</w:t>
            </w:r>
          </w:p>
        </w:tc>
      </w:tr>
      <w:tr w:rsidR="00982811" w:rsidTr="3D30A315">
        <w:tc>
          <w:tcPr>
            <w:tcW w:w="1277" w:type="dxa"/>
          </w:tcPr>
          <w:p w:rsidR="00982811" w:rsidRDefault="00982811" w:rsidP="00B340A5">
            <w:pPr>
              <w:tabs>
                <w:tab w:val="num" w:pos="720"/>
              </w:tabs>
            </w:pPr>
            <w:r>
              <w:t>Version 1</w:t>
            </w:r>
          </w:p>
        </w:tc>
        <w:tc>
          <w:tcPr>
            <w:tcW w:w="1701" w:type="dxa"/>
          </w:tcPr>
          <w:p w:rsidR="00982811" w:rsidRDefault="00982811" w:rsidP="00B340A5">
            <w:pPr>
              <w:tabs>
                <w:tab w:val="num" w:pos="720"/>
              </w:tabs>
            </w:pPr>
            <w:r>
              <w:t>First draft</w:t>
            </w:r>
          </w:p>
        </w:tc>
        <w:tc>
          <w:tcPr>
            <w:tcW w:w="1701" w:type="dxa"/>
          </w:tcPr>
          <w:p w:rsidR="00982811" w:rsidRDefault="00982811" w:rsidP="00B340A5">
            <w:pPr>
              <w:tabs>
                <w:tab w:val="num" w:pos="720"/>
              </w:tabs>
            </w:pPr>
            <w:r>
              <w:t>07.10.24</w:t>
            </w:r>
          </w:p>
        </w:tc>
        <w:tc>
          <w:tcPr>
            <w:tcW w:w="5346" w:type="dxa"/>
          </w:tcPr>
          <w:p w:rsidR="00982811" w:rsidRDefault="004C5450" w:rsidP="00B340A5">
            <w:pPr>
              <w:tabs>
                <w:tab w:val="num" w:pos="720"/>
              </w:tabs>
            </w:pPr>
            <w:r>
              <w:t>Created</w:t>
            </w:r>
          </w:p>
        </w:tc>
      </w:tr>
      <w:tr w:rsidR="00982811" w:rsidTr="3D30A315">
        <w:tc>
          <w:tcPr>
            <w:tcW w:w="1277" w:type="dxa"/>
          </w:tcPr>
          <w:p w:rsidR="00982811" w:rsidRDefault="00982811" w:rsidP="00B340A5">
            <w:pPr>
              <w:tabs>
                <w:tab w:val="num" w:pos="720"/>
              </w:tabs>
            </w:pPr>
            <w:r>
              <w:t>Version 2</w:t>
            </w:r>
          </w:p>
        </w:tc>
        <w:tc>
          <w:tcPr>
            <w:tcW w:w="1701" w:type="dxa"/>
          </w:tcPr>
          <w:p w:rsidR="00982811" w:rsidRDefault="00982811" w:rsidP="00B340A5">
            <w:pPr>
              <w:tabs>
                <w:tab w:val="num" w:pos="720"/>
              </w:tabs>
            </w:pPr>
            <w:r>
              <w:t>Second draft</w:t>
            </w:r>
          </w:p>
        </w:tc>
        <w:tc>
          <w:tcPr>
            <w:tcW w:w="1701" w:type="dxa"/>
          </w:tcPr>
          <w:p w:rsidR="00982811" w:rsidRDefault="00982811" w:rsidP="00B340A5">
            <w:pPr>
              <w:tabs>
                <w:tab w:val="num" w:pos="720"/>
              </w:tabs>
            </w:pPr>
            <w:r>
              <w:t>14.10.24</w:t>
            </w:r>
          </w:p>
        </w:tc>
        <w:tc>
          <w:tcPr>
            <w:tcW w:w="5346" w:type="dxa"/>
          </w:tcPr>
          <w:p w:rsidR="00982811" w:rsidRDefault="00982811" w:rsidP="00B340A5">
            <w:pPr>
              <w:tabs>
                <w:tab w:val="num" w:pos="720"/>
              </w:tabs>
            </w:pPr>
            <w:r>
              <w:t>Updated as per requests from RCRP T&amp;F Group</w:t>
            </w:r>
          </w:p>
        </w:tc>
      </w:tr>
      <w:tr w:rsidR="00982811" w:rsidTr="3D30A315">
        <w:tc>
          <w:tcPr>
            <w:tcW w:w="1277" w:type="dxa"/>
          </w:tcPr>
          <w:p w:rsidR="00982811" w:rsidRDefault="00982811" w:rsidP="00B340A5">
            <w:pPr>
              <w:tabs>
                <w:tab w:val="num" w:pos="720"/>
              </w:tabs>
            </w:pPr>
            <w:r>
              <w:t>Version 3</w:t>
            </w:r>
          </w:p>
        </w:tc>
        <w:tc>
          <w:tcPr>
            <w:tcW w:w="1701" w:type="dxa"/>
          </w:tcPr>
          <w:p w:rsidR="00982811" w:rsidRDefault="00982811" w:rsidP="00B340A5">
            <w:pPr>
              <w:tabs>
                <w:tab w:val="num" w:pos="720"/>
              </w:tabs>
            </w:pPr>
            <w:r>
              <w:t>Third draft</w:t>
            </w:r>
          </w:p>
        </w:tc>
        <w:tc>
          <w:tcPr>
            <w:tcW w:w="1701" w:type="dxa"/>
          </w:tcPr>
          <w:p w:rsidR="00982811" w:rsidRDefault="00982811" w:rsidP="00B340A5">
            <w:pPr>
              <w:tabs>
                <w:tab w:val="num" w:pos="720"/>
              </w:tabs>
            </w:pPr>
            <w:r>
              <w:t>22.10.24</w:t>
            </w:r>
          </w:p>
        </w:tc>
        <w:tc>
          <w:tcPr>
            <w:tcW w:w="5346" w:type="dxa"/>
          </w:tcPr>
          <w:p w:rsidR="00982811" w:rsidRDefault="00982811" w:rsidP="00B340A5">
            <w:pPr>
              <w:tabs>
                <w:tab w:val="num" w:pos="720"/>
              </w:tabs>
            </w:pPr>
            <w:r>
              <w:t>Updated as per requests from RCRP T&amp;F Group</w:t>
            </w:r>
          </w:p>
        </w:tc>
      </w:tr>
      <w:tr w:rsidR="3D30A315" w:rsidTr="3D30A315">
        <w:trPr>
          <w:trHeight w:val="300"/>
        </w:trPr>
        <w:tc>
          <w:tcPr>
            <w:tcW w:w="1277" w:type="dxa"/>
          </w:tcPr>
          <w:p w:rsidR="4AC68E91" w:rsidRDefault="4AC68E91" w:rsidP="3D30A315">
            <w:r>
              <w:t>Version 4</w:t>
            </w:r>
          </w:p>
        </w:tc>
        <w:tc>
          <w:tcPr>
            <w:tcW w:w="1701" w:type="dxa"/>
          </w:tcPr>
          <w:p w:rsidR="4AC68E91" w:rsidRDefault="4AC68E91" w:rsidP="3D30A315">
            <w:r>
              <w:t>Fourth Draft</w:t>
            </w:r>
          </w:p>
        </w:tc>
        <w:tc>
          <w:tcPr>
            <w:tcW w:w="1701" w:type="dxa"/>
          </w:tcPr>
          <w:p w:rsidR="4AC68E91" w:rsidRDefault="4AC68E91" w:rsidP="3D30A315">
            <w:r>
              <w:t>28.10.24</w:t>
            </w:r>
          </w:p>
        </w:tc>
        <w:tc>
          <w:tcPr>
            <w:tcW w:w="5346" w:type="dxa"/>
          </w:tcPr>
          <w:p w:rsidR="4AC68E91" w:rsidRDefault="4AC68E91" w:rsidP="3D30A315">
            <w:r>
              <w:t>Updates as per requests from RCRP T&amp;F Group</w:t>
            </w:r>
          </w:p>
        </w:tc>
      </w:tr>
    </w:tbl>
    <w:p w:rsidR="003E273E" w:rsidRDefault="0082513B" w:rsidP="0082513B">
      <w:pPr>
        <w:pStyle w:val="Heading1"/>
      </w:pPr>
      <w:bookmarkStart w:id="1" w:name="_Toc181033090"/>
      <w:r>
        <w:t>Approval</w:t>
      </w:r>
      <w:bookmarkEnd w:id="1"/>
    </w:p>
    <w:tbl>
      <w:tblPr>
        <w:tblStyle w:val="TableGrid"/>
        <w:tblW w:w="9032" w:type="dxa"/>
        <w:tblInd w:w="704" w:type="dxa"/>
        <w:tblLook w:val="04A0" w:firstRow="1" w:lastRow="0" w:firstColumn="1" w:lastColumn="0" w:noHBand="0" w:noVBand="1"/>
      </w:tblPr>
      <w:tblGrid>
        <w:gridCol w:w="2205"/>
        <w:gridCol w:w="6827"/>
      </w:tblGrid>
      <w:tr w:rsidR="008C7647" w:rsidTr="7865DF31">
        <w:tc>
          <w:tcPr>
            <w:tcW w:w="2205" w:type="dxa"/>
          </w:tcPr>
          <w:p w:rsidR="008C7647" w:rsidRDefault="008C7647">
            <w:r>
              <w:t>Approved by:</w:t>
            </w:r>
          </w:p>
        </w:tc>
        <w:tc>
          <w:tcPr>
            <w:tcW w:w="6827" w:type="dxa"/>
          </w:tcPr>
          <w:p w:rsidR="008C7647" w:rsidRDefault="008C7647">
            <w:r>
              <w:t>Names…</w:t>
            </w:r>
          </w:p>
        </w:tc>
      </w:tr>
    </w:tbl>
    <w:p w:rsidR="008C7647" w:rsidRDefault="008C7647"/>
    <w:p w:rsidR="003E273E" w:rsidRDefault="0082513B" w:rsidP="0082513B">
      <w:pPr>
        <w:pStyle w:val="Heading1"/>
      </w:pPr>
      <w:bookmarkStart w:id="2" w:name="_Toc181033091"/>
      <w:r>
        <w:t xml:space="preserve">1. </w:t>
      </w:r>
      <w:r w:rsidR="007E2D76">
        <w:t>Backg</w:t>
      </w:r>
      <w:r w:rsidR="00F55C85">
        <w:t>r</w:t>
      </w:r>
      <w:r w:rsidR="007E2D76">
        <w:t>ound</w:t>
      </w:r>
      <w:r w:rsidR="00AB59F4">
        <w:t xml:space="preserve"> to Right Car</w:t>
      </w:r>
      <w:r>
        <w:t>e</w:t>
      </w:r>
      <w:r w:rsidR="00AB59F4">
        <w:t xml:space="preserve"> Right Person</w:t>
      </w:r>
      <w:bookmarkEnd w:id="2"/>
    </w:p>
    <w:p w:rsidR="007E2D76" w:rsidRPr="006C717C" w:rsidRDefault="007E2D76" w:rsidP="00380198">
      <w:pPr>
        <w:pStyle w:val="ListParagraph"/>
        <w:spacing w:after="0"/>
        <w:ind w:left="0"/>
        <w:rPr>
          <w:rFonts w:cs="Arial"/>
          <w:lang w:val="en-US"/>
        </w:rPr>
      </w:pPr>
      <w:r w:rsidRPr="006C717C">
        <w:t xml:space="preserve">“Right Care Right Person” </w:t>
      </w:r>
      <w:r w:rsidR="00B117EE">
        <w:t>[</w:t>
      </w:r>
      <w:r w:rsidRPr="006C717C">
        <w:t>RCRP</w:t>
      </w:r>
      <w:r w:rsidR="00B117EE">
        <w:t>]</w:t>
      </w:r>
      <w:r w:rsidRPr="006C717C">
        <w:t xml:space="preserve"> is a </w:t>
      </w:r>
      <w:r w:rsidR="00F323D3" w:rsidRPr="006C717C">
        <w:t xml:space="preserve">new </w:t>
      </w:r>
      <w:r w:rsidR="363A96EC" w:rsidRPr="006C717C">
        <w:t>p</w:t>
      </w:r>
      <w:r w:rsidRPr="006C717C">
        <w:t>olice policy</w:t>
      </w:r>
      <w:r w:rsidR="00AB59F4" w:rsidRPr="006C717C">
        <w:t xml:space="preserve">, implemented in 2024, </w:t>
      </w:r>
      <w:r w:rsidRPr="006C717C">
        <w:t xml:space="preserve">where restrictions will be applied to the </w:t>
      </w:r>
      <w:r w:rsidR="07C0C3D2" w:rsidRPr="006C717C">
        <w:t>p</w:t>
      </w:r>
      <w:r w:rsidRPr="006C717C">
        <w:t>olice response to calls relating to the wellbeing and mental health of healthcare service users.  Some of the key drivers for this policy are as follows: </w:t>
      </w:r>
      <w:r w:rsidRPr="006C717C">
        <w:rPr>
          <w:rFonts w:cs="Arial"/>
          <w:lang w:val="en-US"/>
        </w:rPr>
        <w:t>​</w:t>
      </w:r>
    </w:p>
    <w:p w:rsidR="007E2D76" w:rsidRPr="006C717C" w:rsidRDefault="007E2D76" w:rsidP="007E2D76">
      <w:pPr>
        <w:pStyle w:val="ListParagraph"/>
        <w:spacing w:after="0"/>
        <w:rPr>
          <w:lang w:val="en-US"/>
        </w:rPr>
      </w:pPr>
    </w:p>
    <w:p w:rsidR="007E2D76" w:rsidRPr="006C717C" w:rsidRDefault="007E2D76" w:rsidP="007E2D76">
      <w:pPr>
        <w:pStyle w:val="ListParagraph"/>
        <w:numPr>
          <w:ilvl w:val="0"/>
          <w:numId w:val="7"/>
        </w:numPr>
        <w:spacing w:after="0"/>
        <w:rPr>
          <w:lang w:val="en-US"/>
        </w:rPr>
      </w:pPr>
      <w:r w:rsidRPr="006C717C">
        <w:t>Police forces frequently deal with a wide variety of incidents and calls for assistance. Some of these are policing matters, others are in relation to mental health, concern for welfare and social care issues. </w:t>
      </w:r>
      <w:r w:rsidRPr="006C717C">
        <w:rPr>
          <w:rFonts w:cs="Arial"/>
          <w:lang w:val="en-US"/>
        </w:rPr>
        <w:t>​</w:t>
      </w:r>
    </w:p>
    <w:p w:rsidR="007E2D76" w:rsidRPr="006C717C" w:rsidRDefault="007E2D76" w:rsidP="007E2D76">
      <w:pPr>
        <w:pStyle w:val="ListParagraph"/>
        <w:numPr>
          <w:ilvl w:val="0"/>
          <w:numId w:val="7"/>
        </w:numPr>
        <w:spacing w:after="0"/>
        <w:rPr>
          <w:lang w:val="en-US"/>
        </w:rPr>
      </w:pPr>
      <w:r w:rsidRPr="006C717C">
        <w:t>The police role often overlaps various parts of the NHS and other agencies. The police are often seen by the public as a ‘do all’ service. </w:t>
      </w:r>
      <w:r w:rsidRPr="006C717C">
        <w:rPr>
          <w:rFonts w:cs="Arial"/>
          <w:lang w:val="en-US"/>
        </w:rPr>
        <w:t>​</w:t>
      </w:r>
    </w:p>
    <w:p w:rsidR="007E2D76" w:rsidRPr="006C717C" w:rsidRDefault="007E2D76" w:rsidP="007E2D76">
      <w:pPr>
        <w:pStyle w:val="ListParagraph"/>
        <w:numPr>
          <w:ilvl w:val="0"/>
          <w:numId w:val="7"/>
        </w:numPr>
        <w:spacing w:after="0"/>
        <w:rPr>
          <w:lang w:val="en-US"/>
        </w:rPr>
      </w:pPr>
      <w:r w:rsidRPr="006C717C">
        <w:t xml:space="preserve">Consequently, substantial demand is placed on </w:t>
      </w:r>
      <w:r w:rsidR="6F6FE542" w:rsidRPr="006C717C">
        <w:t>p</w:t>
      </w:r>
      <w:r w:rsidRPr="006C717C">
        <w:t>olice resources to deal with calls for service that may be better suited to other agencies and diverting officers away from core policing functions </w:t>
      </w:r>
      <w:r w:rsidRPr="006C717C">
        <w:rPr>
          <w:rFonts w:cs="Arial"/>
          <w:lang w:val="en-US"/>
        </w:rPr>
        <w:t>​</w:t>
      </w:r>
    </w:p>
    <w:p w:rsidR="00D23558" w:rsidRDefault="00D23558" w:rsidP="00D23558">
      <w:pPr>
        <w:spacing w:after="0"/>
        <w:rPr>
          <w:lang w:val="en-US"/>
        </w:rPr>
      </w:pPr>
    </w:p>
    <w:p w:rsidR="0082513B" w:rsidRDefault="0082513B" w:rsidP="0082513B">
      <w:pPr>
        <w:pStyle w:val="Heading2"/>
        <w:rPr>
          <w:lang w:val="en-US"/>
        </w:rPr>
      </w:pPr>
      <w:bookmarkStart w:id="3" w:name="_Toc181033092"/>
      <w:r>
        <w:rPr>
          <w:lang w:val="en-US"/>
        </w:rPr>
        <w:t>1.1. Implementation of Right Care Right Person</w:t>
      </w:r>
      <w:bookmarkEnd w:id="3"/>
    </w:p>
    <w:p w:rsidR="00D23558" w:rsidRDefault="00D23558" w:rsidP="00380198">
      <w:pPr>
        <w:pStyle w:val="ListParagraph"/>
        <w:spacing w:after="0"/>
        <w:ind w:left="0"/>
      </w:pPr>
      <w:r w:rsidRPr="00DE7E94">
        <w:t xml:space="preserve">The implementation of the RCRP </w:t>
      </w:r>
      <w:r>
        <w:t xml:space="preserve">policy </w:t>
      </w:r>
      <w:r w:rsidRPr="00DE7E94">
        <w:t xml:space="preserve">will be phased </w:t>
      </w:r>
      <w:r>
        <w:t xml:space="preserve">into operation </w:t>
      </w:r>
      <w:r w:rsidRPr="00DE7E94">
        <w:t>as outlined below: </w:t>
      </w:r>
    </w:p>
    <w:p w:rsidR="00D23558" w:rsidRDefault="00D23558" w:rsidP="00D23558">
      <w:pPr>
        <w:pStyle w:val="ListParagraph"/>
        <w:spacing w:after="0"/>
      </w:pPr>
    </w:p>
    <w:p w:rsidR="00D23558" w:rsidRDefault="00D23558" w:rsidP="00D23558">
      <w:pPr>
        <w:pStyle w:val="ListParagraph"/>
        <w:spacing w:after="0"/>
      </w:pPr>
      <w:r w:rsidRPr="00E6728A">
        <w:rPr>
          <w:noProof/>
          <w:lang w:eastAsia="en-GB"/>
        </w:rPr>
        <w:drawing>
          <wp:inline distT="0" distB="0" distL="0" distR="0" wp14:anchorId="4AF1AFF5" wp14:editId="34F82F88">
            <wp:extent cx="5160397" cy="2536780"/>
            <wp:effectExtent l="0" t="0" r="2540" b="0"/>
            <wp:docPr id="2014653802" name="Picture 2" descr="A diagram of a delivery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653802" name="Picture 2" descr="A diagram of a delivery process&#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79181" cy="2546014"/>
                    </a:xfrm>
                    <a:prstGeom prst="rect">
                      <a:avLst/>
                    </a:prstGeom>
                    <a:noFill/>
                    <a:ln>
                      <a:noFill/>
                    </a:ln>
                  </pic:spPr>
                </pic:pic>
              </a:graphicData>
            </a:graphic>
          </wp:inline>
        </w:drawing>
      </w:r>
    </w:p>
    <w:p w:rsidR="00D23558" w:rsidRPr="00D23558" w:rsidRDefault="00D23558" w:rsidP="00D23558">
      <w:pPr>
        <w:spacing w:after="0"/>
        <w:rPr>
          <w:lang w:val="en-US"/>
        </w:rPr>
      </w:pPr>
    </w:p>
    <w:p w:rsidR="0082513B" w:rsidRDefault="0082513B" w:rsidP="0082513B">
      <w:pPr>
        <w:pStyle w:val="Heading2"/>
      </w:pPr>
      <w:bookmarkStart w:id="4" w:name="_Toc181033093"/>
      <w:r>
        <w:t>1.2. Changes to South Wales Police deployment process</w:t>
      </w:r>
      <w:bookmarkEnd w:id="4"/>
    </w:p>
    <w:p w:rsidR="00AD3862" w:rsidRPr="006C717C" w:rsidRDefault="00497B9F" w:rsidP="00380198">
      <w:pPr>
        <w:pStyle w:val="ListParagraph"/>
        <w:spacing w:after="0"/>
        <w:ind w:left="0"/>
        <w:rPr>
          <w:rFonts w:cs="Arial"/>
        </w:rPr>
      </w:pPr>
      <w:r w:rsidRPr="006C717C">
        <w:rPr>
          <w:rFonts w:cs="Arial"/>
        </w:rPr>
        <w:t>If a patient walks</w:t>
      </w:r>
      <w:r w:rsidR="00A01A0B" w:rsidRPr="006C717C">
        <w:rPr>
          <w:rFonts w:cs="Arial"/>
        </w:rPr>
        <w:t xml:space="preserve"> out of a healthcare facility</w:t>
      </w:r>
      <w:r w:rsidR="00EB3412" w:rsidRPr="006C717C">
        <w:rPr>
          <w:rFonts w:cs="Arial"/>
        </w:rPr>
        <w:t xml:space="preserve"> without </w:t>
      </w:r>
      <w:r w:rsidR="00AD3862" w:rsidRPr="006C717C">
        <w:rPr>
          <w:rFonts w:cs="Arial"/>
        </w:rPr>
        <w:t>leave granted</w:t>
      </w:r>
      <w:r w:rsidR="00A01A0B" w:rsidRPr="006C717C">
        <w:rPr>
          <w:rFonts w:cs="Arial"/>
        </w:rPr>
        <w:t>, p</w:t>
      </w:r>
      <w:r w:rsidR="00484794" w:rsidRPr="006C717C">
        <w:rPr>
          <w:rFonts w:cs="Arial"/>
        </w:rPr>
        <w:t xml:space="preserve">olice officers will </w:t>
      </w:r>
      <w:r w:rsidR="00484794" w:rsidRPr="006C717C">
        <w:rPr>
          <w:rFonts w:cs="Arial"/>
          <w:b/>
          <w:bCs/>
          <w:u w:val="single"/>
        </w:rPr>
        <w:t>not be deployed</w:t>
      </w:r>
      <w:r w:rsidR="00484794" w:rsidRPr="006C717C">
        <w:rPr>
          <w:rFonts w:cs="Arial"/>
        </w:rPr>
        <w:t xml:space="preserve"> unles</w:t>
      </w:r>
      <w:r w:rsidR="00EB3412" w:rsidRPr="006C717C">
        <w:rPr>
          <w:rFonts w:cs="Arial"/>
        </w:rPr>
        <w:t>s</w:t>
      </w:r>
      <w:r w:rsidR="00193666" w:rsidRPr="006C717C">
        <w:rPr>
          <w:rFonts w:cs="Arial"/>
        </w:rPr>
        <w:t xml:space="preserve"> one or all of the following apply</w:t>
      </w:r>
      <w:r w:rsidR="00AD3862" w:rsidRPr="006C717C">
        <w:rPr>
          <w:rFonts w:cs="Arial"/>
        </w:rPr>
        <w:t>:</w:t>
      </w:r>
    </w:p>
    <w:p w:rsidR="00AD3862" w:rsidRPr="006C717C" w:rsidRDefault="00AD3862" w:rsidP="00A01A0B">
      <w:pPr>
        <w:pStyle w:val="ListParagraph"/>
        <w:spacing w:after="0"/>
        <w:rPr>
          <w:rFonts w:cs="Arial"/>
        </w:rPr>
      </w:pPr>
    </w:p>
    <w:p w:rsidR="00CF3212" w:rsidRPr="006C717C" w:rsidRDefault="00B95A52" w:rsidP="00CF3212">
      <w:pPr>
        <w:pStyle w:val="ListParagraph"/>
        <w:numPr>
          <w:ilvl w:val="0"/>
          <w:numId w:val="11"/>
        </w:numPr>
        <w:spacing w:after="0"/>
        <w:rPr>
          <w:rFonts w:cs="Arial"/>
          <w:lang w:val="en-US"/>
        </w:rPr>
      </w:pPr>
      <w:r>
        <w:rPr>
          <w:rFonts w:cs="Arial"/>
        </w:rPr>
        <w:t>T</w:t>
      </w:r>
      <w:r w:rsidR="00484794" w:rsidRPr="006C717C">
        <w:rPr>
          <w:rFonts w:cs="Arial"/>
        </w:rPr>
        <w:t xml:space="preserve">here is an </w:t>
      </w:r>
      <w:r w:rsidRPr="006C717C">
        <w:rPr>
          <w:rFonts w:cs="Arial"/>
        </w:rPr>
        <w:t>article</w:t>
      </w:r>
      <w:r w:rsidR="00484794" w:rsidRPr="006C717C">
        <w:rPr>
          <w:rFonts w:cs="Arial"/>
        </w:rPr>
        <w:t xml:space="preserve"> 2 or 3 ECHR risk present (Immediate Risk to Life or Immediate Risk of Serious Harm)​</w:t>
      </w:r>
      <w:r w:rsidR="00AD3862" w:rsidRPr="006C717C">
        <w:rPr>
          <w:rFonts w:cs="Arial"/>
        </w:rPr>
        <w:t>.</w:t>
      </w:r>
      <w:r w:rsidR="00CF3212" w:rsidRPr="006C717C">
        <w:rPr>
          <w:rFonts w:cs="Arial"/>
        </w:rPr>
        <w:t xml:space="preserve"> </w:t>
      </w:r>
      <w:r w:rsidR="00CF3212" w:rsidRPr="006C717C">
        <w:rPr>
          <w:rFonts w:eastAsiaTheme="minorEastAsia"/>
        </w:rPr>
        <w:t>Th</w:t>
      </w:r>
      <w:r w:rsidR="00CF3212" w:rsidRPr="006C717C">
        <w:rPr>
          <w:rFonts w:cs="Arial"/>
        </w:rPr>
        <w:t xml:space="preserve">e </w:t>
      </w:r>
      <w:r w:rsidR="0A95DE67" w:rsidRPr="006C717C">
        <w:rPr>
          <w:rFonts w:cs="Arial"/>
        </w:rPr>
        <w:t>p</w:t>
      </w:r>
      <w:r w:rsidR="00CF3212" w:rsidRPr="006C717C">
        <w:rPr>
          <w:rFonts w:cs="Arial"/>
        </w:rPr>
        <w:t>olice will</w:t>
      </w:r>
      <w:r w:rsidR="00AD3862" w:rsidRPr="006C717C">
        <w:rPr>
          <w:rFonts w:cs="Arial"/>
        </w:rPr>
        <w:t xml:space="preserve"> </w:t>
      </w:r>
      <w:r w:rsidR="00CF3212" w:rsidRPr="006C717C">
        <w:rPr>
          <w:rFonts w:cs="Arial"/>
        </w:rPr>
        <w:t>also take into account the patient’s history and current risks. ​</w:t>
      </w:r>
    </w:p>
    <w:p w:rsidR="007D4E3E" w:rsidRPr="006C717C" w:rsidRDefault="00B95A52" w:rsidP="00CF3212">
      <w:pPr>
        <w:pStyle w:val="ListParagraph"/>
        <w:numPr>
          <w:ilvl w:val="0"/>
          <w:numId w:val="11"/>
        </w:numPr>
        <w:spacing w:after="0"/>
        <w:rPr>
          <w:rFonts w:cs="Arial"/>
          <w:lang w:val="en-US"/>
        </w:rPr>
      </w:pPr>
      <w:r>
        <w:rPr>
          <w:rFonts w:cs="Arial"/>
        </w:rPr>
        <w:t>T</w:t>
      </w:r>
      <w:r w:rsidR="00484794" w:rsidRPr="006C717C">
        <w:rPr>
          <w:rFonts w:cs="Arial"/>
        </w:rPr>
        <w:t xml:space="preserve">he patient’s whereabouts </w:t>
      </w:r>
      <w:r>
        <w:rPr>
          <w:rFonts w:cs="Arial"/>
        </w:rPr>
        <w:t>are</w:t>
      </w:r>
      <w:r w:rsidR="00484794" w:rsidRPr="006C717C">
        <w:rPr>
          <w:rFonts w:cs="Arial"/>
        </w:rPr>
        <w:t xml:space="preserve"> known</w:t>
      </w:r>
      <w:r w:rsidR="00AD3862" w:rsidRPr="006C717C">
        <w:rPr>
          <w:rFonts w:cs="Arial"/>
        </w:rPr>
        <w:t xml:space="preserve">, </w:t>
      </w:r>
      <w:r w:rsidR="00484794" w:rsidRPr="006C717C">
        <w:rPr>
          <w:rFonts w:cs="Arial"/>
        </w:rPr>
        <w:t>but they cannot be returned without a S.135(2) warrant.</w:t>
      </w:r>
      <w:r w:rsidR="00484794" w:rsidRPr="006C717C">
        <w:rPr>
          <w:rFonts w:cs="Arial"/>
          <w:lang w:val="en-US"/>
        </w:rPr>
        <w:t>​</w:t>
      </w:r>
      <w:r w:rsidR="007D4E3E" w:rsidRPr="006C717C">
        <w:rPr>
          <w:rFonts w:cs="Arial"/>
          <w:lang w:val="en-US"/>
        </w:rPr>
        <w:t xml:space="preserve"> </w:t>
      </w:r>
    </w:p>
    <w:p w:rsidR="007D4E3E" w:rsidRPr="006C717C" w:rsidRDefault="00B95A52" w:rsidP="007D4E3E">
      <w:pPr>
        <w:pStyle w:val="ListParagraph"/>
        <w:numPr>
          <w:ilvl w:val="0"/>
          <w:numId w:val="10"/>
        </w:numPr>
        <w:spacing w:after="0"/>
        <w:rPr>
          <w:rFonts w:cs="Arial"/>
          <w:lang w:val="en-US"/>
        </w:rPr>
      </w:pPr>
      <w:r>
        <w:rPr>
          <w:rFonts w:cs="Arial"/>
        </w:rPr>
        <w:t>T</w:t>
      </w:r>
      <w:r w:rsidR="00484794" w:rsidRPr="006C717C">
        <w:rPr>
          <w:rFonts w:cs="Arial"/>
        </w:rPr>
        <w:t>he patient’s behaviour is so violent or aggressive towards hospital staff that they are unable to return them without police support.</w:t>
      </w:r>
      <w:r w:rsidR="00484794" w:rsidRPr="006C717C">
        <w:rPr>
          <w:rFonts w:cs="Arial"/>
          <w:lang w:val="en-US"/>
        </w:rPr>
        <w:t>​</w:t>
      </w:r>
      <w:r w:rsidR="007D4E3E" w:rsidRPr="006C717C">
        <w:rPr>
          <w:rFonts w:cs="Arial"/>
          <w:lang w:val="en-US"/>
        </w:rPr>
        <w:t xml:space="preserve"> </w:t>
      </w:r>
    </w:p>
    <w:p w:rsidR="0082513B" w:rsidRPr="006C717C" w:rsidRDefault="0082513B" w:rsidP="0082513B">
      <w:pPr>
        <w:pStyle w:val="ListParagraph"/>
        <w:spacing w:after="0"/>
        <w:ind w:left="1080"/>
        <w:rPr>
          <w:rFonts w:cs="Arial"/>
          <w:lang w:val="en-US"/>
        </w:rPr>
      </w:pPr>
    </w:p>
    <w:p w:rsidR="629F6675" w:rsidRPr="006C717C" w:rsidRDefault="629F6675" w:rsidP="00380198">
      <w:pPr>
        <w:spacing w:after="0"/>
        <w:rPr>
          <w:rFonts w:eastAsia="Aptos" w:cs="Aptos"/>
          <w:color w:val="000000" w:themeColor="text1"/>
        </w:rPr>
      </w:pPr>
      <w:r w:rsidRPr="006C717C">
        <w:rPr>
          <w:rFonts w:eastAsia="Aptos" w:cs="Aptos"/>
          <w:color w:val="000000" w:themeColor="text1"/>
        </w:rPr>
        <w:t>From a Health Board standpoint, the patient must be assessed and meet the criteria of a missing person. This will only be considered following all possible enquiries and efforts by the hospital to establish the whereabouts of the patient. </w:t>
      </w:r>
      <w:r w:rsidRPr="006C717C">
        <w:rPr>
          <w:rFonts w:eastAsia="Arial" w:cs="Arial"/>
          <w:color w:val="000000" w:themeColor="text1"/>
          <w:lang w:val="en-US"/>
        </w:rPr>
        <w:t xml:space="preserve"> </w:t>
      </w:r>
      <w:r w:rsidRPr="006C717C">
        <w:rPr>
          <w:rFonts w:eastAsia="Aptos" w:cs="Aptos"/>
          <w:b/>
          <w:bCs/>
          <w:color w:val="000000" w:themeColor="text1"/>
        </w:rPr>
        <w:t xml:space="preserve"> </w:t>
      </w:r>
    </w:p>
    <w:p w:rsidR="480AB1DD" w:rsidRPr="006C717C" w:rsidRDefault="480AB1DD" w:rsidP="00380198">
      <w:pPr>
        <w:spacing w:after="0"/>
        <w:rPr>
          <w:rFonts w:eastAsia="Aptos" w:cs="Aptos"/>
          <w:color w:val="000000" w:themeColor="text1"/>
        </w:rPr>
      </w:pPr>
    </w:p>
    <w:p w:rsidR="629F6675" w:rsidRPr="006C717C" w:rsidRDefault="629F6675" w:rsidP="00380198">
      <w:pPr>
        <w:spacing w:after="0"/>
        <w:rPr>
          <w:rFonts w:eastAsia="Arial" w:cs="Arial"/>
          <w:color w:val="000000" w:themeColor="text1"/>
        </w:rPr>
      </w:pPr>
      <w:r w:rsidRPr="006C717C">
        <w:rPr>
          <w:rFonts w:eastAsia="Aptos" w:cs="Aptos"/>
          <w:b/>
          <w:bCs/>
          <w:color w:val="000000" w:themeColor="text1"/>
        </w:rPr>
        <w:t xml:space="preserve">If there </w:t>
      </w:r>
      <w:r w:rsidR="13365D2D" w:rsidRPr="006C717C">
        <w:rPr>
          <w:rFonts w:eastAsia="Aptos" w:cs="Aptos"/>
          <w:b/>
          <w:bCs/>
          <w:color w:val="000000" w:themeColor="text1"/>
        </w:rPr>
        <w:t>is</w:t>
      </w:r>
      <w:r w:rsidRPr="006C717C">
        <w:rPr>
          <w:rFonts w:eastAsia="Aptos" w:cs="Aptos"/>
          <w:b/>
          <w:bCs/>
          <w:color w:val="000000" w:themeColor="text1"/>
        </w:rPr>
        <w:t xml:space="preserve"> immediate risk to self or others, the </w:t>
      </w:r>
      <w:r w:rsidR="61BE825B" w:rsidRPr="006C717C">
        <w:rPr>
          <w:rFonts w:eastAsia="Aptos" w:cs="Aptos"/>
          <w:b/>
          <w:bCs/>
          <w:color w:val="000000" w:themeColor="text1"/>
        </w:rPr>
        <w:t>p</w:t>
      </w:r>
      <w:r w:rsidRPr="006C717C">
        <w:rPr>
          <w:rFonts w:eastAsia="Aptos" w:cs="Aptos"/>
          <w:b/>
          <w:bCs/>
          <w:color w:val="000000" w:themeColor="text1"/>
        </w:rPr>
        <w:t xml:space="preserve">olice will respond as a high-risk </w:t>
      </w:r>
      <w:r w:rsidR="16D6B44D" w:rsidRPr="006C717C">
        <w:rPr>
          <w:rFonts w:eastAsia="Aptos" w:cs="Aptos"/>
          <w:b/>
          <w:bCs/>
          <w:color w:val="000000" w:themeColor="text1"/>
        </w:rPr>
        <w:t>case</w:t>
      </w:r>
      <w:r w:rsidRPr="006C717C">
        <w:rPr>
          <w:rFonts w:eastAsia="Aptos" w:cs="Aptos"/>
          <w:b/>
          <w:bCs/>
          <w:color w:val="000000" w:themeColor="text1"/>
        </w:rPr>
        <w:t>.</w:t>
      </w:r>
    </w:p>
    <w:p w:rsidR="001036A8" w:rsidRDefault="0082513B" w:rsidP="0082513B">
      <w:pPr>
        <w:pStyle w:val="Heading1"/>
      </w:pPr>
      <w:bookmarkStart w:id="5" w:name="_Toc181033094"/>
      <w:r>
        <w:t xml:space="preserve">2. </w:t>
      </w:r>
      <w:r w:rsidR="007E2D76">
        <w:t xml:space="preserve">Purpose </w:t>
      </w:r>
      <w:r w:rsidR="00172BE9">
        <w:t>of the Standard Operating Procedure</w:t>
      </w:r>
      <w:bookmarkEnd w:id="5"/>
    </w:p>
    <w:p w:rsidR="00B36D63" w:rsidRDefault="00B36D63" w:rsidP="7E9F2F57">
      <w:pPr>
        <w:rPr>
          <w:rFonts w:eastAsia="Aptos" w:cs="Aptos"/>
        </w:rPr>
      </w:pPr>
      <w:r w:rsidRPr="00367C47">
        <w:rPr>
          <w:rFonts w:eastAsia="Aptos" w:cs="Aptos"/>
        </w:rPr>
        <w:t xml:space="preserve">The scope of this Standard Operating Procedure </w:t>
      </w:r>
      <w:r w:rsidR="005163AA">
        <w:rPr>
          <w:rFonts w:eastAsia="Aptos" w:cs="Aptos"/>
        </w:rPr>
        <w:t>[</w:t>
      </w:r>
      <w:r w:rsidRPr="00367C47">
        <w:rPr>
          <w:rFonts w:eastAsia="Aptos" w:cs="Aptos"/>
        </w:rPr>
        <w:t>SOP</w:t>
      </w:r>
      <w:r w:rsidR="005163AA">
        <w:rPr>
          <w:rFonts w:eastAsia="Aptos" w:cs="Aptos"/>
        </w:rPr>
        <w:t>]</w:t>
      </w:r>
      <w:r w:rsidRPr="00367C47">
        <w:rPr>
          <w:rFonts w:eastAsia="Aptos" w:cs="Aptos"/>
        </w:rPr>
        <w:t xml:space="preserve"> is Health Board-wide, acknowledging that there will be an impact for each Service Delivery Group, at some point. Therefore, all staff should have an awareness. However, based on the review of Datix incidents in 2024 there is likely to be a greater impact for Mental Health &amp; Learning Disabilities service areas and emergency departments.</w:t>
      </w:r>
      <w:r w:rsidRPr="00B36D63">
        <w:rPr>
          <w:rFonts w:eastAsia="Aptos" w:cs="Aptos"/>
        </w:rPr>
        <w:t xml:space="preserve"> </w:t>
      </w:r>
    </w:p>
    <w:p w:rsidR="000C406C" w:rsidRPr="00B36D63" w:rsidRDefault="000C406C" w:rsidP="7E9F2F57">
      <w:pPr>
        <w:rPr>
          <w:rFonts w:eastAsia="Aptos" w:cs="Aptos"/>
        </w:rPr>
      </w:pPr>
      <w:r>
        <w:rPr>
          <w:rFonts w:eastAsia="Aptos" w:cs="Aptos"/>
        </w:rPr>
        <w:t>This SOP is ‘age blind’ and applies to all age demographics including children and young people.</w:t>
      </w:r>
    </w:p>
    <w:p w:rsidR="3E7265B3" w:rsidRPr="00AB5554" w:rsidRDefault="3E7265B3" w:rsidP="7E9F2F57">
      <w:pPr>
        <w:rPr>
          <w:rFonts w:eastAsia="Aptos" w:cs="Aptos"/>
          <w:color w:val="000000" w:themeColor="text1"/>
        </w:rPr>
      </w:pPr>
      <w:r w:rsidRPr="00AB5554">
        <w:rPr>
          <w:rFonts w:eastAsia="Aptos" w:cs="Aptos"/>
          <w:color w:val="000000" w:themeColor="text1"/>
        </w:rPr>
        <w:t xml:space="preserve">This </w:t>
      </w:r>
      <w:r w:rsidR="00B36D63">
        <w:rPr>
          <w:rFonts w:eastAsia="Aptos" w:cs="Aptos"/>
          <w:color w:val="000000" w:themeColor="text1"/>
        </w:rPr>
        <w:t>SOP</w:t>
      </w:r>
      <w:r w:rsidRPr="00AB5554">
        <w:rPr>
          <w:rFonts w:eastAsia="Aptos" w:cs="Aptos"/>
          <w:color w:val="000000" w:themeColor="text1"/>
        </w:rPr>
        <w:t xml:space="preserve"> is to be utilised by Swansea Bay University Health Board [SBUHB] staff in relation to Phase 2 of the RCRP policy “</w:t>
      </w:r>
      <w:r w:rsidRPr="00AB5554">
        <w:rPr>
          <w:rFonts w:eastAsia="Aptos" w:cs="Aptos"/>
          <w:b/>
          <w:bCs/>
          <w:color w:val="000000" w:themeColor="text1"/>
        </w:rPr>
        <w:t>AWOL Walkouts</w:t>
      </w:r>
      <w:r w:rsidRPr="00AB5554">
        <w:rPr>
          <w:rFonts w:eastAsia="Aptos" w:cs="Aptos"/>
          <w:color w:val="000000" w:themeColor="text1"/>
        </w:rPr>
        <w:t xml:space="preserve">” and focuses on the process for reporting to </w:t>
      </w:r>
      <w:r w:rsidR="3F0C645F" w:rsidRPr="00AB5554">
        <w:rPr>
          <w:rFonts w:eastAsia="Aptos" w:cs="Aptos"/>
          <w:color w:val="000000" w:themeColor="text1"/>
        </w:rPr>
        <w:t>p</w:t>
      </w:r>
      <w:r w:rsidRPr="00AB5554">
        <w:rPr>
          <w:rFonts w:eastAsia="Aptos" w:cs="Aptos"/>
          <w:color w:val="000000" w:themeColor="text1"/>
        </w:rPr>
        <w:t>olice when a patient (adult or child) is missing from a healthcare facility, where:</w:t>
      </w:r>
    </w:p>
    <w:p w:rsidR="3E7265B3" w:rsidRPr="00AB5554" w:rsidRDefault="3E7265B3" w:rsidP="7E9F2F57">
      <w:pPr>
        <w:pStyle w:val="ListParagraph"/>
        <w:numPr>
          <w:ilvl w:val="0"/>
          <w:numId w:val="8"/>
        </w:numPr>
        <w:spacing w:after="0"/>
        <w:rPr>
          <w:rFonts w:eastAsia="Arial" w:cs="Arial"/>
          <w:color w:val="0B0C0C"/>
        </w:rPr>
      </w:pPr>
      <w:r w:rsidRPr="193B6944">
        <w:rPr>
          <w:rFonts w:eastAsia="Aptos" w:cs="Aptos"/>
          <w:color w:val="000000" w:themeColor="text1"/>
        </w:rPr>
        <w:t>The patient is deemed to be particularly vulnerable – according to the Office for Health Improvement &amp; Disparities (2022), this includes p</w:t>
      </w:r>
      <w:r w:rsidRPr="193B6944">
        <w:rPr>
          <w:rFonts w:eastAsia="Arial" w:cs="Arial"/>
          <w:color w:val="0B0C0C"/>
        </w:rPr>
        <w:t xml:space="preserve">atients </w:t>
      </w:r>
      <w:r w:rsidR="53799C3A" w:rsidRPr="193B6944">
        <w:rPr>
          <w:rFonts w:eastAsia="Arial" w:cs="Arial"/>
          <w:color w:val="0B0C0C"/>
        </w:rPr>
        <w:t>who require</w:t>
      </w:r>
      <w:r w:rsidRPr="193B6944">
        <w:rPr>
          <w:rFonts w:eastAsia="Arial" w:cs="Arial"/>
          <w:color w:val="0B0C0C"/>
        </w:rPr>
        <w:t xml:space="preserve"> special care, support, or protection because of age, disability, risk of abuse</w:t>
      </w:r>
      <w:r w:rsidR="5ABBA8C3" w:rsidRPr="193B6944">
        <w:rPr>
          <w:rFonts w:eastAsia="Arial" w:cs="Arial"/>
          <w:color w:val="0B0C0C"/>
        </w:rPr>
        <w:t>,</w:t>
      </w:r>
      <w:r w:rsidRPr="193B6944">
        <w:rPr>
          <w:rFonts w:eastAsia="Arial" w:cs="Arial"/>
          <w:color w:val="0B0C0C"/>
        </w:rPr>
        <w:t xml:space="preserve"> or neglect.</w:t>
      </w:r>
    </w:p>
    <w:p w:rsidR="2CB7E072" w:rsidRPr="00AB5554" w:rsidRDefault="2CB7E072" w:rsidP="7E9F2F57">
      <w:pPr>
        <w:pStyle w:val="ListParagraph"/>
        <w:numPr>
          <w:ilvl w:val="0"/>
          <w:numId w:val="8"/>
        </w:numPr>
        <w:spacing w:after="0"/>
        <w:rPr>
          <w:rFonts w:eastAsia="Aptos" w:cs="Aptos"/>
          <w:color w:val="000000" w:themeColor="text1"/>
        </w:rPr>
      </w:pPr>
      <w:r w:rsidRPr="00AB5554">
        <w:rPr>
          <w:rFonts w:eastAsia="Aptos" w:cs="Aptos"/>
          <w:color w:val="000000" w:themeColor="text1"/>
        </w:rPr>
        <w:t>The patient is subject to restrictions under the Mental Health Act 1983</w:t>
      </w:r>
      <w:r w:rsidR="00AB5554">
        <w:rPr>
          <w:rFonts w:eastAsia="Aptos" w:cs="Aptos"/>
          <w:color w:val="000000" w:themeColor="text1"/>
        </w:rPr>
        <w:t>.</w:t>
      </w:r>
    </w:p>
    <w:p w:rsidR="7C0D3B4B" w:rsidRPr="00AB5554" w:rsidRDefault="7C0D3B4B" w:rsidP="7E9F2F57">
      <w:pPr>
        <w:pStyle w:val="ListParagraph"/>
        <w:numPr>
          <w:ilvl w:val="0"/>
          <w:numId w:val="8"/>
        </w:numPr>
        <w:spacing w:after="0"/>
        <w:rPr>
          <w:rFonts w:eastAsia="Aptos" w:cs="Aptos"/>
          <w:color w:val="000000" w:themeColor="text1"/>
        </w:rPr>
      </w:pPr>
      <w:r w:rsidRPr="00AB5554">
        <w:rPr>
          <w:rFonts w:eastAsia="Aptos" w:cs="Aptos"/>
          <w:color w:val="000000" w:themeColor="text1"/>
        </w:rPr>
        <w:t xml:space="preserve">There is a risk of </w:t>
      </w:r>
      <w:r w:rsidR="1A7A9B6B" w:rsidRPr="00AB5554">
        <w:rPr>
          <w:rFonts w:eastAsia="Aptos" w:cs="Aptos"/>
          <w:color w:val="000000" w:themeColor="text1"/>
        </w:rPr>
        <w:t xml:space="preserve">imminent </w:t>
      </w:r>
      <w:r w:rsidRPr="00AB5554">
        <w:rPr>
          <w:rFonts w:eastAsia="Aptos" w:cs="Aptos"/>
          <w:color w:val="000000" w:themeColor="text1"/>
        </w:rPr>
        <w:t>harm to self or other</w:t>
      </w:r>
      <w:r w:rsidR="37CBF284" w:rsidRPr="00AB5554">
        <w:rPr>
          <w:rFonts w:eastAsia="Aptos" w:cs="Aptos"/>
          <w:color w:val="000000" w:themeColor="text1"/>
        </w:rPr>
        <w:t>s</w:t>
      </w:r>
      <w:r w:rsidR="00AB5554">
        <w:rPr>
          <w:rFonts w:eastAsia="Aptos" w:cs="Aptos"/>
          <w:color w:val="000000" w:themeColor="text1"/>
        </w:rPr>
        <w:t>.</w:t>
      </w:r>
    </w:p>
    <w:p w:rsidR="37CBF284" w:rsidRPr="00AB5554" w:rsidRDefault="37CBF284" w:rsidP="7E9F2F57">
      <w:pPr>
        <w:pStyle w:val="ListParagraph"/>
        <w:numPr>
          <w:ilvl w:val="0"/>
          <w:numId w:val="8"/>
        </w:numPr>
        <w:spacing w:after="0"/>
        <w:rPr>
          <w:rFonts w:eastAsia="Aptos" w:cs="Aptos"/>
          <w:color w:val="000000" w:themeColor="text1"/>
        </w:rPr>
      </w:pPr>
      <w:r w:rsidRPr="00AB5554">
        <w:rPr>
          <w:rFonts w:eastAsia="Aptos" w:cs="Aptos"/>
          <w:color w:val="000000" w:themeColor="text1"/>
        </w:rPr>
        <w:t>T</w:t>
      </w:r>
      <w:r w:rsidR="7C0D3B4B" w:rsidRPr="00AB5554">
        <w:rPr>
          <w:rFonts w:eastAsia="Aptos" w:cs="Aptos"/>
          <w:color w:val="000000" w:themeColor="text1"/>
        </w:rPr>
        <w:t>here is a risk to life</w:t>
      </w:r>
      <w:r w:rsidR="00AB5554">
        <w:rPr>
          <w:rFonts w:eastAsia="Aptos" w:cs="Aptos"/>
          <w:color w:val="000000" w:themeColor="text1"/>
        </w:rPr>
        <w:t>.</w:t>
      </w:r>
    </w:p>
    <w:p w:rsidR="0809AA2E" w:rsidRPr="00AB5554" w:rsidRDefault="0809AA2E" w:rsidP="0809AA2E">
      <w:pPr>
        <w:pStyle w:val="ListParagraph"/>
        <w:spacing w:after="0"/>
        <w:rPr>
          <w:rFonts w:eastAsia="Aptos" w:cs="Aptos"/>
          <w:color w:val="000000" w:themeColor="text1"/>
        </w:rPr>
      </w:pPr>
    </w:p>
    <w:p w:rsidR="7E9F2F57" w:rsidRPr="00AB5554" w:rsidRDefault="3E7265B3" w:rsidP="7E9F2F57">
      <w:pPr>
        <w:spacing w:after="0"/>
        <w:rPr>
          <w:rFonts w:eastAsia="Aptos" w:cs="Aptos"/>
          <w:color w:val="000000" w:themeColor="text1"/>
        </w:rPr>
      </w:pPr>
      <w:r w:rsidRPr="00AB5554">
        <w:rPr>
          <w:rFonts w:eastAsia="Aptos" w:cs="Aptos"/>
          <w:color w:val="000000" w:themeColor="text1"/>
        </w:rPr>
        <w:t>Extra detail for the Health Board to consider would be if the patient:</w:t>
      </w:r>
    </w:p>
    <w:p w:rsidR="3E7265B3" w:rsidRPr="00AB5554" w:rsidRDefault="3E7265B3" w:rsidP="7E9F2F57">
      <w:pPr>
        <w:pStyle w:val="ListParagraph"/>
        <w:numPr>
          <w:ilvl w:val="0"/>
          <w:numId w:val="8"/>
        </w:numPr>
        <w:rPr>
          <w:rFonts w:eastAsiaTheme="minorEastAsia"/>
          <w:color w:val="000000" w:themeColor="text1"/>
        </w:rPr>
      </w:pPr>
      <w:r w:rsidRPr="00AB5554">
        <w:rPr>
          <w:rFonts w:eastAsiaTheme="minorEastAsia"/>
          <w:color w:val="000000" w:themeColor="text1"/>
        </w:rPr>
        <w:t>Leaves hospital without section 17 leave being granted.</w:t>
      </w:r>
      <w:r w:rsidRPr="00AB5554">
        <w:rPr>
          <w:rFonts w:eastAsiaTheme="minorEastAsia"/>
          <w:color w:val="000000" w:themeColor="text1"/>
          <w:lang w:val="en-US"/>
        </w:rPr>
        <w:t xml:space="preserve"> </w:t>
      </w:r>
    </w:p>
    <w:p w:rsidR="3E7265B3" w:rsidRPr="00AB5554" w:rsidRDefault="3E7265B3" w:rsidP="7E9F2F57">
      <w:pPr>
        <w:pStyle w:val="ListParagraph"/>
        <w:numPr>
          <w:ilvl w:val="0"/>
          <w:numId w:val="8"/>
        </w:numPr>
        <w:rPr>
          <w:rFonts w:eastAsiaTheme="minorEastAsia"/>
          <w:color w:val="000000" w:themeColor="text1"/>
        </w:rPr>
      </w:pPr>
      <w:r w:rsidRPr="00AB5554">
        <w:rPr>
          <w:rFonts w:eastAsiaTheme="minorEastAsia"/>
          <w:color w:val="000000" w:themeColor="text1"/>
        </w:rPr>
        <w:t>Fails to return to hospital at the expiration of any period of leave or when recalled from leave.</w:t>
      </w:r>
    </w:p>
    <w:p w:rsidR="4AEE115B" w:rsidRPr="00127FD9" w:rsidRDefault="4AEE115B" w:rsidP="7E9F2F57">
      <w:pPr>
        <w:pStyle w:val="ListParagraph"/>
        <w:numPr>
          <w:ilvl w:val="0"/>
          <w:numId w:val="8"/>
        </w:numPr>
        <w:rPr>
          <w:rFonts w:eastAsiaTheme="minorEastAsia"/>
          <w:color w:val="000000" w:themeColor="text1"/>
        </w:rPr>
      </w:pPr>
      <w:r w:rsidRPr="00127FD9">
        <w:rPr>
          <w:rFonts w:eastAsiaTheme="minorEastAsia"/>
          <w:color w:val="000000" w:themeColor="text1"/>
        </w:rPr>
        <w:t xml:space="preserve">A full </w:t>
      </w:r>
      <w:r w:rsidRPr="00127FD9">
        <w:rPr>
          <w:rFonts w:eastAsiaTheme="minorEastAsia"/>
        </w:rPr>
        <w:t>vulnerability</w:t>
      </w:r>
      <w:r w:rsidR="0D599B33" w:rsidRPr="00127FD9">
        <w:rPr>
          <w:rFonts w:eastAsiaTheme="minorEastAsia"/>
        </w:rPr>
        <w:t>/</w:t>
      </w:r>
      <w:r w:rsidR="004B1DDA" w:rsidRPr="00127FD9">
        <w:rPr>
          <w:rFonts w:eastAsiaTheme="minorEastAsia"/>
        </w:rPr>
        <w:t>MCA/</w:t>
      </w:r>
      <w:r w:rsidR="0D599B33" w:rsidRPr="00127FD9">
        <w:rPr>
          <w:rFonts w:eastAsiaTheme="minorEastAsia"/>
        </w:rPr>
        <w:t>DOLS</w:t>
      </w:r>
      <w:r w:rsidR="56B4D6BA" w:rsidRPr="00127FD9">
        <w:rPr>
          <w:rFonts w:eastAsiaTheme="minorEastAsia"/>
        </w:rPr>
        <w:t>/</w:t>
      </w:r>
      <w:r w:rsidR="00790D45" w:rsidRPr="00127FD9">
        <w:rPr>
          <w:rFonts w:eastAsiaTheme="minorEastAsia"/>
        </w:rPr>
        <w:t>Adult at risk/Child at risk</w:t>
      </w:r>
      <w:r w:rsidR="002E529C" w:rsidRPr="00127FD9">
        <w:rPr>
          <w:rFonts w:eastAsiaTheme="minorEastAsia"/>
        </w:rPr>
        <w:t>/Safeguarding</w:t>
      </w:r>
      <w:r w:rsidRPr="00127FD9">
        <w:rPr>
          <w:rFonts w:eastAsiaTheme="minorEastAsia"/>
        </w:rPr>
        <w:t xml:space="preserve"> </w:t>
      </w:r>
      <w:r w:rsidRPr="00127FD9">
        <w:rPr>
          <w:rFonts w:eastAsiaTheme="minorEastAsia"/>
          <w:color w:val="000000" w:themeColor="text1"/>
        </w:rPr>
        <w:t>assessment has not yet been completed</w:t>
      </w:r>
      <w:r w:rsidR="4FEBFFC1" w:rsidRPr="00127FD9">
        <w:rPr>
          <w:rFonts w:eastAsiaTheme="minorEastAsia"/>
          <w:color w:val="000000" w:themeColor="text1"/>
        </w:rPr>
        <w:t xml:space="preserve"> </w:t>
      </w:r>
      <w:r w:rsidR="4FEBFFC1" w:rsidRPr="00127FD9">
        <w:rPr>
          <w:rFonts w:eastAsiaTheme="minorEastAsia"/>
        </w:rPr>
        <w:t>or returned</w:t>
      </w:r>
      <w:r w:rsidRPr="00127FD9">
        <w:rPr>
          <w:rFonts w:eastAsiaTheme="minorEastAsia"/>
        </w:rPr>
        <w:t xml:space="preserve">, </w:t>
      </w:r>
      <w:r w:rsidRPr="00127FD9">
        <w:rPr>
          <w:rFonts w:eastAsiaTheme="minorEastAsia"/>
          <w:color w:val="000000" w:themeColor="text1"/>
        </w:rPr>
        <w:t>so the patient should be classed as vulnerable in the meantime</w:t>
      </w:r>
      <w:r w:rsidR="3A132AD3" w:rsidRPr="00127FD9">
        <w:rPr>
          <w:rFonts w:eastAsiaTheme="minorEastAsia"/>
          <w:color w:val="000000" w:themeColor="text1"/>
        </w:rPr>
        <w:t>.</w:t>
      </w:r>
    </w:p>
    <w:p w:rsidR="001C4F3E" w:rsidRDefault="0082513B" w:rsidP="0082513B">
      <w:pPr>
        <w:pStyle w:val="Heading1"/>
      </w:pPr>
      <w:bookmarkStart w:id="6" w:name="_Toc181033095"/>
      <w:r>
        <w:t xml:space="preserve">3. </w:t>
      </w:r>
      <w:r w:rsidR="001C4F3E">
        <w:t xml:space="preserve">Roles &amp; </w:t>
      </w:r>
      <w:r w:rsidR="00EB345E">
        <w:t>Responsibilities</w:t>
      </w:r>
      <w:bookmarkEnd w:id="6"/>
    </w:p>
    <w:p w:rsidR="6BB4C244" w:rsidRDefault="6BB4C244" w:rsidP="6CCAC6CC">
      <w:pPr>
        <w:pStyle w:val="ListParagraph"/>
        <w:spacing w:after="0"/>
        <w:ind w:left="0"/>
      </w:pPr>
      <w:r>
        <w:t>The SOP provides guidance to all staff employed by Swansea Bay University Health Board. Including, but not limited to the following health board groups and sites:</w:t>
      </w:r>
    </w:p>
    <w:p w:rsidR="00E33ECE" w:rsidRPr="00B36D63" w:rsidRDefault="00E33ECE" w:rsidP="00A66CB7">
      <w:pPr>
        <w:pStyle w:val="ListParagraph"/>
        <w:spacing w:after="0"/>
        <w:rPr>
          <w:sz w:val="6"/>
          <w:szCs w:val="6"/>
        </w:rPr>
      </w:pPr>
    </w:p>
    <w:p w:rsidR="00E33ECE" w:rsidRDefault="00B1382D" w:rsidP="00A66CB7">
      <w:pPr>
        <w:pStyle w:val="ListParagraph"/>
        <w:numPr>
          <w:ilvl w:val="0"/>
          <w:numId w:val="5"/>
        </w:numPr>
        <w:spacing w:after="0"/>
      </w:pPr>
      <w:r>
        <w:t xml:space="preserve">General </w:t>
      </w:r>
      <w:r w:rsidR="00E33ECE">
        <w:t xml:space="preserve">hospital </w:t>
      </w:r>
      <w:r w:rsidR="009540F4">
        <w:t>wards</w:t>
      </w:r>
    </w:p>
    <w:p w:rsidR="00430311" w:rsidRDefault="00B1382D" w:rsidP="00A66CB7">
      <w:pPr>
        <w:pStyle w:val="ListParagraph"/>
        <w:numPr>
          <w:ilvl w:val="0"/>
          <w:numId w:val="5"/>
        </w:numPr>
        <w:spacing w:after="0"/>
      </w:pPr>
      <w:r>
        <w:t>E</w:t>
      </w:r>
      <w:r w:rsidR="009540F4">
        <w:t xml:space="preserve">mergency departments </w:t>
      </w:r>
    </w:p>
    <w:p w:rsidR="009540F4" w:rsidRDefault="00430311" w:rsidP="00A66CB7">
      <w:pPr>
        <w:pStyle w:val="ListParagraph"/>
        <w:numPr>
          <w:ilvl w:val="0"/>
          <w:numId w:val="5"/>
        </w:numPr>
        <w:spacing w:after="0"/>
      </w:pPr>
      <w:r>
        <w:t>Hospital based</w:t>
      </w:r>
      <w:r w:rsidR="00B1382D">
        <w:t xml:space="preserve"> assessment </w:t>
      </w:r>
      <w:r w:rsidR="00472A81">
        <w:t>and admission units</w:t>
      </w:r>
    </w:p>
    <w:p w:rsidR="00B1382D" w:rsidRDefault="00B1382D" w:rsidP="00A66CB7">
      <w:pPr>
        <w:pStyle w:val="ListParagraph"/>
        <w:numPr>
          <w:ilvl w:val="0"/>
          <w:numId w:val="5"/>
        </w:numPr>
        <w:spacing w:after="0"/>
      </w:pPr>
      <w:r>
        <w:t xml:space="preserve">Mental Health </w:t>
      </w:r>
      <w:r w:rsidR="00EB345E">
        <w:t>hospital</w:t>
      </w:r>
      <w:r>
        <w:t xml:space="preserve"> wards</w:t>
      </w:r>
    </w:p>
    <w:p w:rsidR="00EB345E" w:rsidRDefault="00EB345E" w:rsidP="00A66CB7">
      <w:pPr>
        <w:pStyle w:val="ListParagraph"/>
        <w:numPr>
          <w:ilvl w:val="0"/>
          <w:numId w:val="5"/>
        </w:numPr>
        <w:spacing w:after="0"/>
      </w:pPr>
      <w:r>
        <w:t>Mental Health secure units</w:t>
      </w:r>
    </w:p>
    <w:p w:rsidR="769B1751" w:rsidRDefault="769B1751" w:rsidP="7865DF31">
      <w:pPr>
        <w:pStyle w:val="ListParagraph"/>
        <w:numPr>
          <w:ilvl w:val="0"/>
          <w:numId w:val="5"/>
        </w:numPr>
        <w:spacing w:after="0"/>
      </w:pPr>
      <w:r>
        <w:t>Mental Health assessment units</w:t>
      </w:r>
    </w:p>
    <w:p w:rsidR="00A409A9" w:rsidRDefault="00A409A9" w:rsidP="00A66CB7">
      <w:pPr>
        <w:pStyle w:val="ListParagraph"/>
        <w:numPr>
          <w:ilvl w:val="0"/>
          <w:numId w:val="5"/>
        </w:numPr>
        <w:spacing w:after="0"/>
      </w:pPr>
      <w:r>
        <w:t xml:space="preserve">Learning Disabilities </w:t>
      </w:r>
      <w:r w:rsidR="57ED6BEC">
        <w:t>u</w:t>
      </w:r>
      <w:r>
        <w:t>nits</w:t>
      </w:r>
    </w:p>
    <w:p w:rsidR="00820714" w:rsidRPr="001F4F2E" w:rsidRDefault="004D2001" w:rsidP="6CCAC6CC">
      <w:pPr>
        <w:pStyle w:val="ListParagraph"/>
        <w:numPr>
          <w:ilvl w:val="0"/>
          <w:numId w:val="5"/>
        </w:numPr>
        <w:spacing w:after="0"/>
      </w:pPr>
      <w:r w:rsidRPr="6CCAC6CC">
        <w:t xml:space="preserve">Outpatient settings </w:t>
      </w:r>
      <w:r w:rsidR="581672BE" w:rsidRPr="6CCAC6CC">
        <w:t>in hospital or community</w:t>
      </w:r>
      <w:r w:rsidR="2FE17505" w:rsidRPr="6CCAC6CC">
        <w:t xml:space="preserve"> (including health visiting, district nursing, and therapies)</w:t>
      </w:r>
    </w:p>
    <w:p w:rsidR="00B1382D" w:rsidRDefault="71299B35" w:rsidP="004C5450">
      <w:pPr>
        <w:pStyle w:val="ListParagraph"/>
        <w:numPr>
          <w:ilvl w:val="0"/>
          <w:numId w:val="5"/>
        </w:numPr>
        <w:spacing w:after="0"/>
      </w:pPr>
      <w:r w:rsidRPr="7865DF31">
        <w:t xml:space="preserve">Hospital based </w:t>
      </w:r>
      <w:r w:rsidR="00820714" w:rsidRPr="7865DF31">
        <w:t>GP Out of Hours</w:t>
      </w:r>
      <w:r w:rsidR="00D128EC" w:rsidRPr="6CCAC6CC">
        <w:t xml:space="preserve">  </w:t>
      </w:r>
    </w:p>
    <w:p w:rsidR="004C5450" w:rsidRDefault="004C5450" w:rsidP="004C5450">
      <w:pPr>
        <w:pStyle w:val="ListParagraph"/>
        <w:spacing w:after="0"/>
        <w:ind w:left="1440"/>
      </w:pPr>
    </w:p>
    <w:p w:rsidR="00B36D63" w:rsidRDefault="000A69C3" w:rsidP="00C10F26">
      <w:pPr>
        <w:pStyle w:val="ListParagraph"/>
        <w:spacing w:after="0"/>
        <w:ind w:left="0"/>
      </w:pPr>
      <w:r>
        <w:t xml:space="preserve">All </w:t>
      </w:r>
      <w:r w:rsidR="00260119">
        <w:t>staff working</w:t>
      </w:r>
      <w:r>
        <w:t xml:space="preserve"> within these environments </w:t>
      </w:r>
      <w:r w:rsidR="00387E77">
        <w:t xml:space="preserve">should follow this SOP when </w:t>
      </w:r>
      <w:r w:rsidR="00A67818">
        <w:t>patients</w:t>
      </w:r>
      <w:r w:rsidR="00387E77">
        <w:t xml:space="preserve"> are notified as missing </w:t>
      </w:r>
      <w:r w:rsidR="00A67818">
        <w:t>in line with the three descriptions above</w:t>
      </w:r>
      <w:r w:rsidR="00472A81">
        <w:t xml:space="preserve"> in section 2</w:t>
      </w:r>
      <w:r w:rsidR="00A67818">
        <w:t>.</w:t>
      </w:r>
    </w:p>
    <w:p w:rsidR="004C5450" w:rsidRDefault="004C5450" w:rsidP="00C10F26">
      <w:pPr>
        <w:pStyle w:val="ListParagraph"/>
        <w:spacing w:after="0"/>
        <w:ind w:left="0"/>
      </w:pPr>
    </w:p>
    <w:p w:rsidR="01FD7B82" w:rsidRPr="00B36D63" w:rsidRDefault="01FD7B82" w:rsidP="6CCAC6CC">
      <w:pPr>
        <w:pStyle w:val="ListParagraph"/>
        <w:spacing w:after="0"/>
        <w:ind w:left="0"/>
        <w:jc w:val="center"/>
        <w:rPr>
          <w:b/>
          <w:bCs/>
          <w:color w:val="FF0000"/>
        </w:rPr>
      </w:pPr>
      <w:r w:rsidRPr="00B36D63">
        <w:rPr>
          <w:b/>
          <w:bCs/>
          <w:color w:val="FF0000"/>
        </w:rPr>
        <w:t>*</w:t>
      </w:r>
      <w:r w:rsidR="6B90DCE2" w:rsidRPr="6CCAC6CC">
        <w:rPr>
          <w:b/>
          <w:bCs/>
          <w:color w:val="FF0000"/>
        </w:rPr>
        <w:t>If</w:t>
      </w:r>
      <w:r w:rsidRPr="00B36D63">
        <w:rPr>
          <w:b/>
          <w:bCs/>
          <w:color w:val="FF0000"/>
        </w:rPr>
        <w:t xml:space="preserve"> concerned, seek advice from your line manager or relevant clinician</w:t>
      </w:r>
      <w:r w:rsidR="00B36D63" w:rsidRPr="00B36D63">
        <w:rPr>
          <w:b/>
          <w:bCs/>
          <w:color w:val="FF0000"/>
        </w:rPr>
        <w:t>*</w:t>
      </w:r>
      <w:r w:rsidR="0025362E">
        <w:rPr>
          <w:b/>
          <w:bCs/>
          <w:color w:val="FF0000"/>
        </w:rPr>
        <w:t xml:space="preserve"> </w:t>
      </w:r>
    </w:p>
    <w:p w:rsidR="01FD7B82" w:rsidRPr="00B36D63" w:rsidRDefault="42ED42F0" w:rsidP="00B36D63">
      <w:pPr>
        <w:pStyle w:val="ListParagraph"/>
        <w:spacing w:after="0"/>
        <w:ind w:left="0"/>
        <w:jc w:val="center"/>
        <w:rPr>
          <w:b/>
          <w:bCs/>
          <w:color w:val="FF0000"/>
        </w:rPr>
      </w:pPr>
      <w:r w:rsidRPr="6CCAC6CC">
        <w:rPr>
          <w:b/>
          <w:bCs/>
          <w:color w:val="FF0000"/>
        </w:rPr>
        <w:t>*If there is a concern or incident out of hours staff should refer to</w:t>
      </w:r>
      <w:r w:rsidR="00EF45DA" w:rsidRPr="6CCAC6CC">
        <w:rPr>
          <w:b/>
          <w:bCs/>
          <w:color w:val="FF0000"/>
        </w:rPr>
        <w:t xml:space="preserve"> </w:t>
      </w:r>
      <w:r w:rsidR="085A7C0B" w:rsidRPr="6CCAC6CC">
        <w:rPr>
          <w:b/>
          <w:bCs/>
          <w:color w:val="FF0000"/>
        </w:rPr>
        <w:t>s</w:t>
      </w:r>
      <w:r w:rsidR="00EF45DA" w:rsidRPr="6CCAC6CC">
        <w:rPr>
          <w:b/>
          <w:bCs/>
          <w:color w:val="FF0000"/>
        </w:rPr>
        <w:t>ilver on-call</w:t>
      </w:r>
      <w:r w:rsidR="7E960B7C" w:rsidRPr="6CCAC6CC">
        <w:rPr>
          <w:b/>
          <w:bCs/>
          <w:color w:val="FF0000"/>
        </w:rPr>
        <w:t>*</w:t>
      </w:r>
    </w:p>
    <w:p w:rsidR="3937206A" w:rsidRDefault="0082513B" w:rsidP="6CCAC6CC">
      <w:pPr>
        <w:pStyle w:val="Heading1"/>
      </w:pPr>
      <w:bookmarkStart w:id="7" w:name="_Toc181033096"/>
      <w:r>
        <w:t xml:space="preserve">4. </w:t>
      </w:r>
      <w:r w:rsidR="003B456D">
        <w:t>Procedure to be Followed</w:t>
      </w:r>
      <w:bookmarkEnd w:id="7"/>
    </w:p>
    <w:p w:rsidR="00166564" w:rsidRPr="00166564" w:rsidRDefault="00166564" w:rsidP="00166564">
      <w:pPr>
        <w:pStyle w:val="Heading2"/>
      </w:pPr>
      <w:bookmarkStart w:id="8" w:name="_Toc181033097"/>
      <w:r>
        <w:t>4.1. Action Card</w:t>
      </w:r>
      <w:r w:rsidR="003617EA">
        <w:t xml:space="preserve"> Detail</w:t>
      </w:r>
      <w:bookmarkEnd w:id="8"/>
    </w:p>
    <w:p w:rsidR="46CC1862" w:rsidRDefault="46CC1862" w:rsidP="6CCAC6CC">
      <w:pPr>
        <w:spacing w:after="0"/>
        <w:rPr>
          <w:rFonts w:eastAsia="Aptos" w:cs="Aptos"/>
          <w:color w:val="FF0000"/>
        </w:rPr>
      </w:pPr>
      <w:r w:rsidRPr="00F7665F">
        <w:rPr>
          <w:rFonts w:eastAsia="Aptos" w:cs="Aptos"/>
        </w:rPr>
        <w:t xml:space="preserve">Due to the time-critical nature of a potentially vulnerable or at-risk patient </w:t>
      </w:r>
      <w:r w:rsidR="00240746">
        <w:rPr>
          <w:rFonts w:eastAsia="Aptos" w:cs="Aptos"/>
        </w:rPr>
        <w:t>being</w:t>
      </w:r>
      <w:r w:rsidRPr="00F7665F">
        <w:rPr>
          <w:rFonts w:eastAsia="Aptos" w:cs="Aptos"/>
        </w:rPr>
        <w:t xml:space="preserve"> AWOL / Abscond</w:t>
      </w:r>
      <w:r w:rsidR="00240746">
        <w:rPr>
          <w:rFonts w:eastAsia="Aptos" w:cs="Aptos"/>
        </w:rPr>
        <w:t>ing</w:t>
      </w:r>
      <w:r w:rsidRPr="00F7665F">
        <w:rPr>
          <w:rFonts w:eastAsia="Aptos" w:cs="Aptos"/>
        </w:rPr>
        <w:t xml:space="preserve"> / Walk</w:t>
      </w:r>
      <w:r w:rsidR="00240746">
        <w:rPr>
          <w:rFonts w:eastAsia="Aptos" w:cs="Aptos"/>
        </w:rPr>
        <w:t>ing</w:t>
      </w:r>
      <w:r w:rsidRPr="00F7665F">
        <w:rPr>
          <w:rFonts w:eastAsia="Aptos" w:cs="Aptos"/>
        </w:rPr>
        <w:t xml:space="preserve">-out of a health care setting, the most appropriate tool for guidance in this situation </w:t>
      </w:r>
      <w:r w:rsidR="00B57404">
        <w:rPr>
          <w:rFonts w:eastAsia="Aptos" w:cs="Aptos"/>
        </w:rPr>
        <w:t xml:space="preserve">is the </w:t>
      </w:r>
      <w:r w:rsidRPr="00F7665F">
        <w:rPr>
          <w:rFonts w:eastAsia="Aptos" w:cs="Aptos"/>
        </w:rPr>
        <w:t xml:space="preserve">‘Action Card’ </w:t>
      </w:r>
      <w:r w:rsidR="00B57404">
        <w:rPr>
          <w:rFonts w:eastAsia="Aptos" w:cs="Aptos"/>
        </w:rPr>
        <w:t xml:space="preserve">attached in </w:t>
      </w:r>
      <w:r w:rsidR="00B57404" w:rsidRPr="008603D9">
        <w:rPr>
          <w:rFonts w:eastAsia="Aptos" w:cs="Aptos"/>
        </w:rPr>
        <w:t xml:space="preserve">appendix </w:t>
      </w:r>
      <w:r w:rsidR="008603D9" w:rsidRPr="008603D9">
        <w:rPr>
          <w:rFonts w:eastAsia="Aptos" w:cs="Aptos"/>
        </w:rPr>
        <w:t xml:space="preserve">Item 1. </w:t>
      </w:r>
    </w:p>
    <w:p w:rsidR="00326FB7" w:rsidRPr="002F7222" w:rsidRDefault="00326FB7" w:rsidP="6CCAC6CC">
      <w:pPr>
        <w:spacing w:after="0"/>
        <w:rPr>
          <w:rFonts w:eastAsia="Aptos" w:cs="Aptos"/>
        </w:rPr>
      </w:pPr>
      <w:r w:rsidRPr="002F7222">
        <w:rPr>
          <w:rFonts w:eastAsia="Aptos" w:cs="Aptos"/>
        </w:rPr>
        <w:t>The a</w:t>
      </w:r>
      <w:r w:rsidR="00B1214A" w:rsidRPr="002F7222">
        <w:rPr>
          <w:rFonts w:eastAsia="Aptos" w:cs="Aptos"/>
        </w:rPr>
        <w:t>ction card is designed to assist staff in the gathering of all relevant information</w:t>
      </w:r>
      <w:r w:rsidR="003C5B59" w:rsidRPr="002F7222">
        <w:rPr>
          <w:rFonts w:eastAsia="Aptos" w:cs="Aptos"/>
        </w:rPr>
        <w:t xml:space="preserve"> required when reporting an incident to the police.</w:t>
      </w:r>
    </w:p>
    <w:p w:rsidR="46CC1862" w:rsidRPr="00F7665F" w:rsidRDefault="46CC1862" w:rsidP="6CCAC6CC">
      <w:pPr>
        <w:spacing w:line="257" w:lineRule="auto"/>
      </w:pPr>
      <w:r w:rsidRPr="00F7665F">
        <w:rPr>
          <w:rFonts w:eastAsia="Arial" w:cs="Arial"/>
        </w:rPr>
        <w:t>The Action card is designed as a guidance tool to follow and</w:t>
      </w:r>
      <w:r w:rsidR="00B57404">
        <w:rPr>
          <w:rFonts w:eastAsia="Arial" w:cs="Arial"/>
        </w:rPr>
        <w:t xml:space="preserve"> is</w:t>
      </w:r>
      <w:r w:rsidRPr="00F7665F">
        <w:rPr>
          <w:rFonts w:eastAsia="Arial" w:cs="Arial"/>
        </w:rPr>
        <w:t xml:space="preserve"> not an exhaustive list of steps</w:t>
      </w:r>
      <w:r w:rsidR="004E7379">
        <w:rPr>
          <w:rFonts w:eastAsia="Arial" w:cs="Arial"/>
        </w:rPr>
        <w:t>.</w:t>
      </w:r>
    </w:p>
    <w:p w:rsidR="46CC1862" w:rsidRPr="00F7665F" w:rsidRDefault="46CC1862" w:rsidP="6CCAC6CC">
      <w:pPr>
        <w:spacing w:line="257" w:lineRule="auto"/>
      </w:pPr>
      <w:r w:rsidRPr="00F7665F">
        <w:rPr>
          <w:rFonts w:eastAsia="Arial" w:cs="Arial"/>
        </w:rPr>
        <w:t>South Wales Police call centre staff have been trained specifically on RCRP Phase 2 and given a specific set of questions to ask on the call</w:t>
      </w:r>
      <w:r w:rsidR="004E7379">
        <w:rPr>
          <w:rFonts w:eastAsia="Arial" w:cs="Arial"/>
        </w:rPr>
        <w:t>,</w:t>
      </w:r>
      <w:r w:rsidRPr="00F7665F">
        <w:rPr>
          <w:rFonts w:eastAsia="Arial" w:cs="Arial"/>
        </w:rPr>
        <w:t xml:space="preserve"> in order to assess vulnerability. These questions are therefore reflected in the action card. </w:t>
      </w:r>
    </w:p>
    <w:p w:rsidR="46CC1862" w:rsidRPr="00F7665F" w:rsidRDefault="46CC1862" w:rsidP="004874D8">
      <w:pPr>
        <w:spacing w:line="257" w:lineRule="auto"/>
      </w:pPr>
      <w:r w:rsidRPr="00F7665F">
        <w:rPr>
          <w:rFonts w:eastAsia="Arial" w:cs="Arial"/>
        </w:rPr>
        <w:t>Key Points in Action Card:</w:t>
      </w:r>
    </w:p>
    <w:p w:rsidR="46CC1862" w:rsidRPr="00F7665F" w:rsidRDefault="46CC1862" w:rsidP="6CCAC6CC">
      <w:pPr>
        <w:pStyle w:val="ListParagraph"/>
        <w:numPr>
          <w:ilvl w:val="0"/>
          <w:numId w:val="14"/>
        </w:numPr>
        <w:spacing w:after="0" w:line="257" w:lineRule="auto"/>
        <w:rPr>
          <w:rFonts w:eastAsia="Arial" w:cs="Arial"/>
        </w:rPr>
      </w:pPr>
      <w:r w:rsidRPr="00F7665F">
        <w:rPr>
          <w:rFonts w:eastAsia="Arial" w:cs="Arial"/>
        </w:rPr>
        <w:t>Steps to identify that a patient has absconded</w:t>
      </w:r>
    </w:p>
    <w:p w:rsidR="46CC1862" w:rsidRPr="00F7665F" w:rsidRDefault="46CC1862" w:rsidP="6CCAC6CC">
      <w:pPr>
        <w:pStyle w:val="ListParagraph"/>
        <w:numPr>
          <w:ilvl w:val="0"/>
          <w:numId w:val="14"/>
        </w:numPr>
        <w:spacing w:after="0" w:line="257" w:lineRule="auto"/>
        <w:rPr>
          <w:rFonts w:eastAsia="Arial" w:cs="Arial"/>
        </w:rPr>
      </w:pPr>
      <w:r w:rsidRPr="00F7665F">
        <w:rPr>
          <w:rFonts w:eastAsia="Arial" w:cs="Arial"/>
        </w:rPr>
        <w:t>Steps that South Wales Police will have expected us to complete prior to calling for police assistance</w:t>
      </w:r>
    </w:p>
    <w:p w:rsidR="46CC1862" w:rsidRPr="00F7665F" w:rsidRDefault="46CC1862" w:rsidP="6CCAC6CC">
      <w:pPr>
        <w:pStyle w:val="ListParagraph"/>
        <w:numPr>
          <w:ilvl w:val="0"/>
          <w:numId w:val="14"/>
        </w:numPr>
        <w:spacing w:after="0" w:line="257" w:lineRule="auto"/>
        <w:rPr>
          <w:rFonts w:eastAsia="Arial" w:cs="Arial"/>
        </w:rPr>
      </w:pPr>
      <w:r w:rsidRPr="00F7665F">
        <w:rPr>
          <w:rFonts w:eastAsia="Arial" w:cs="Arial"/>
        </w:rPr>
        <w:t>The information which needs to be collected in order to be best prepared to answer the call handler’s questions.</w:t>
      </w:r>
    </w:p>
    <w:p w:rsidR="46CC1862" w:rsidRDefault="46CC1862" w:rsidP="6CCAC6CC">
      <w:pPr>
        <w:pStyle w:val="ListParagraph"/>
        <w:numPr>
          <w:ilvl w:val="0"/>
          <w:numId w:val="14"/>
        </w:numPr>
        <w:spacing w:after="0" w:line="257" w:lineRule="auto"/>
        <w:rPr>
          <w:rFonts w:eastAsia="Arial" w:cs="Arial"/>
        </w:rPr>
      </w:pPr>
      <w:r w:rsidRPr="00F7665F">
        <w:rPr>
          <w:rFonts w:eastAsia="Arial" w:cs="Arial"/>
        </w:rPr>
        <w:t>Escalation process in the instance that S</w:t>
      </w:r>
      <w:r w:rsidR="00863315">
        <w:rPr>
          <w:rFonts w:eastAsia="Arial" w:cs="Arial"/>
        </w:rPr>
        <w:t xml:space="preserve">outh </w:t>
      </w:r>
      <w:r w:rsidRPr="00F7665F">
        <w:rPr>
          <w:rFonts w:eastAsia="Arial" w:cs="Arial"/>
        </w:rPr>
        <w:t>W</w:t>
      </w:r>
      <w:r w:rsidR="00863315">
        <w:rPr>
          <w:rFonts w:eastAsia="Arial" w:cs="Arial"/>
        </w:rPr>
        <w:t xml:space="preserve">ales </w:t>
      </w:r>
      <w:r w:rsidRPr="00F7665F">
        <w:rPr>
          <w:rFonts w:eastAsia="Arial" w:cs="Arial"/>
        </w:rPr>
        <w:t>P</w:t>
      </w:r>
      <w:r w:rsidR="00863315">
        <w:rPr>
          <w:rFonts w:eastAsia="Arial" w:cs="Arial"/>
        </w:rPr>
        <w:t>olice</w:t>
      </w:r>
      <w:r w:rsidRPr="00F7665F">
        <w:rPr>
          <w:rFonts w:eastAsia="Arial" w:cs="Arial"/>
        </w:rPr>
        <w:t xml:space="preserve"> make the decision not to deploy</w:t>
      </w:r>
    </w:p>
    <w:p w:rsidR="00863315" w:rsidRDefault="00863315" w:rsidP="6CCAC6CC">
      <w:pPr>
        <w:pStyle w:val="ListParagraph"/>
        <w:numPr>
          <w:ilvl w:val="0"/>
          <w:numId w:val="14"/>
        </w:numPr>
        <w:spacing w:after="0" w:line="257" w:lineRule="auto"/>
        <w:rPr>
          <w:rFonts w:eastAsia="Arial" w:cs="Arial"/>
        </w:rPr>
      </w:pPr>
      <w:r>
        <w:rPr>
          <w:rFonts w:eastAsia="Arial" w:cs="Arial"/>
        </w:rPr>
        <w:t xml:space="preserve">The </w:t>
      </w:r>
      <w:r w:rsidR="00A91ABA">
        <w:rPr>
          <w:rFonts w:eastAsia="Arial" w:cs="Arial"/>
        </w:rPr>
        <w:t>process for recording an incident of AWOL / Absconding</w:t>
      </w:r>
    </w:p>
    <w:p w:rsidR="00166564" w:rsidRDefault="00166564" w:rsidP="00166564"/>
    <w:p w:rsidR="00561F5C" w:rsidRDefault="00561F5C" w:rsidP="00561F5C">
      <w:pPr>
        <w:pStyle w:val="Heading2"/>
      </w:pPr>
      <w:bookmarkStart w:id="9" w:name="_Toc181033098"/>
      <w:r>
        <w:t>4.2. Flow</w:t>
      </w:r>
      <w:bookmarkEnd w:id="9"/>
    </w:p>
    <w:p w:rsidR="6CCAC6CC" w:rsidRDefault="00375B12" w:rsidP="6CCAC6CC">
      <w:r>
        <w:t xml:space="preserve">For convenience, a </w:t>
      </w:r>
      <w:r w:rsidR="003617EA">
        <w:t>high-level</w:t>
      </w:r>
      <w:r>
        <w:t xml:space="preserve"> flow chart has been created as a visual representation of the procedure flow. This can be found in Appendix Item 2. </w:t>
      </w:r>
    </w:p>
    <w:p w:rsidR="00835C8A" w:rsidRDefault="2D9CC95A" w:rsidP="00835C8A">
      <w:pPr>
        <w:pStyle w:val="Heading2"/>
      </w:pPr>
      <w:bookmarkStart w:id="10" w:name="_Toc181033099"/>
      <w:r>
        <w:t>4.</w:t>
      </w:r>
      <w:r w:rsidR="00561F5C">
        <w:t>3</w:t>
      </w:r>
      <w:r w:rsidR="00835C8A">
        <w:t>. Recording of Incidents</w:t>
      </w:r>
      <w:bookmarkEnd w:id="10"/>
    </w:p>
    <w:p w:rsidR="2D9CC95A" w:rsidRDefault="69171691" w:rsidP="00FE4220">
      <w:pPr>
        <w:spacing w:after="0"/>
      </w:pPr>
      <w:r>
        <w:t>AWOL incidents must be recorded on Datix</w:t>
      </w:r>
      <w:r w:rsidR="00601B54">
        <w:t>.</w:t>
      </w:r>
      <w:r>
        <w:t xml:space="preserve"> </w:t>
      </w:r>
      <w:r w:rsidR="00601B54">
        <w:t>A</w:t>
      </w:r>
      <w:r>
        <w:t>s much detail as possible</w:t>
      </w:r>
      <w:r w:rsidR="00601B54">
        <w:t xml:space="preserve"> is t</w:t>
      </w:r>
      <w:r>
        <w:t>o be noted regarding the content of the notification to police and, if known, whether the police</w:t>
      </w:r>
      <w:r w:rsidR="00EE647B">
        <w:t xml:space="preserve"> were</w:t>
      </w:r>
      <w:r>
        <w:t xml:space="preserve"> deployed or not. This data should be </w:t>
      </w:r>
      <w:r w:rsidR="3103003A">
        <w:t>recorded</w:t>
      </w:r>
      <w:r>
        <w:t xml:space="preserve"> on D</w:t>
      </w:r>
      <w:r w:rsidR="6D75FA1A">
        <w:t>a</w:t>
      </w:r>
      <w:r>
        <w:t>tix under the “</w:t>
      </w:r>
      <w:r w:rsidR="22F02EB4">
        <w:t>Case</w:t>
      </w:r>
      <w:r>
        <w:t xml:space="preserve"> Management” section</w:t>
      </w:r>
      <w:r w:rsidR="7F569677">
        <w:t xml:space="preserve"> – all fields to be completed</w:t>
      </w:r>
      <w:r>
        <w:t>:</w:t>
      </w:r>
    </w:p>
    <w:p w:rsidR="0AF43195" w:rsidRDefault="0AF43195" w:rsidP="0AF43195">
      <w:pPr>
        <w:pStyle w:val="ListParagraph"/>
        <w:spacing w:after="0"/>
      </w:pPr>
    </w:p>
    <w:p w:rsidR="4D973793" w:rsidRPr="00601B54" w:rsidRDefault="4D973793" w:rsidP="00601B54">
      <w:pPr>
        <w:pStyle w:val="ListParagraph"/>
        <w:numPr>
          <w:ilvl w:val="0"/>
          <w:numId w:val="12"/>
        </w:numPr>
        <w:spacing w:after="0" w:line="257" w:lineRule="auto"/>
        <w:rPr>
          <w:rFonts w:eastAsiaTheme="minorEastAsia"/>
        </w:rPr>
      </w:pPr>
      <w:r w:rsidRPr="00601B54">
        <w:rPr>
          <w:rFonts w:eastAsiaTheme="minorEastAsia"/>
        </w:rPr>
        <w:t>Were Police Contacted</w:t>
      </w:r>
      <w:r w:rsidR="6C8257AC" w:rsidRPr="00601B54">
        <w:rPr>
          <w:rFonts w:eastAsiaTheme="minorEastAsia"/>
        </w:rPr>
        <w:t>?</w:t>
      </w:r>
      <w:r w:rsidRPr="00601B54">
        <w:rPr>
          <w:rFonts w:eastAsiaTheme="minorEastAsia"/>
        </w:rPr>
        <w:t xml:space="preserve"> (already captured)</w:t>
      </w:r>
    </w:p>
    <w:p w:rsidR="4D973793" w:rsidRPr="00601B54" w:rsidRDefault="4D973793" w:rsidP="00601B54">
      <w:pPr>
        <w:pStyle w:val="ListParagraph"/>
        <w:numPr>
          <w:ilvl w:val="0"/>
          <w:numId w:val="12"/>
        </w:numPr>
        <w:spacing w:after="0" w:line="257" w:lineRule="auto"/>
        <w:rPr>
          <w:rFonts w:eastAsiaTheme="minorEastAsia"/>
        </w:rPr>
      </w:pPr>
      <w:r w:rsidRPr="00601B54">
        <w:rPr>
          <w:rFonts w:eastAsiaTheme="minorEastAsia"/>
        </w:rPr>
        <w:t>Police incident and Crime Numbers</w:t>
      </w:r>
    </w:p>
    <w:p w:rsidR="4D973793" w:rsidRPr="00601B54" w:rsidRDefault="4D973793" w:rsidP="00601B54">
      <w:pPr>
        <w:pStyle w:val="ListParagraph"/>
        <w:numPr>
          <w:ilvl w:val="0"/>
          <w:numId w:val="12"/>
        </w:numPr>
        <w:spacing w:after="0" w:line="257" w:lineRule="auto"/>
        <w:rPr>
          <w:rFonts w:eastAsiaTheme="minorEastAsia"/>
        </w:rPr>
      </w:pPr>
      <w:r w:rsidRPr="00601B54">
        <w:rPr>
          <w:rFonts w:eastAsiaTheme="minorEastAsia"/>
        </w:rPr>
        <w:t>Did you receive contact from the Police?</w:t>
      </w:r>
    </w:p>
    <w:p w:rsidR="4D973793" w:rsidRPr="00601B54" w:rsidRDefault="4D973793" w:rsidP="00601B54">
      <w:pPr>
        <w:pStyle w:val="ListParagraph"/>
        <w:numPr>
          <w:ilvl w:val="0"/>
          <w:numId w:val="12"/>
        </w:numPr>
        <w:spacing w:after="0" w:line="257" w:lineRule="auto"/>
        <w:rPr>
          <w:rFonts w:eastAsiaTheme="minorEastAsia"/>
        </w:rPr>
      </w:pPr>
      <w:r w:rsidRPr="00601B54">
        <w:rPr>
          <w:rFonts w:eastAsiaTheme="minorEastAsia"/>
        </w:rPr>
        <w:t>Time Police made contact</w:t>
      </w:r>
    </w:p>
    <w:p w:rsidR="4D973793" w:rsidRPr="00601B54" w:rsidRDefault="4D973793" w:rsidP="00601B54">
      <w:pPr>
        <w:pStyle w:val="ListParagraph"/>
        <w:numPr>
          <w:ilvl w:val="0"/>
          <w:numId w:val="12"/>
        </w:numPr>
        <w:spacing w:after="0" w:line="257" w:lineRule="auto"/>
        <w:rPr>
          <w:rFonts w:eastAsiaTheme="minorEastAsia"/>
        </w:rPr>
      </w:pPr>
      <w:r w:rsidRPr="00601B54">
        <w:rPr>
          <w:rFonts w:eastAsiaTheme="minorEastAsia"/>
        </w:rPr>
        <w:t>Did the police attend in person?</w:t>
      </w:r>
    </w:p>
    <w:p w:rsidR="4D973793" w:rsidRPr="00601B54" w:rsidRDefault="4D973793" w:rsidP="00601B54">
      <w:pPr>
        <w:pStyle w:val="ListParagraph"/>
        <w:numPr>
          <w:ilvl w:val="0"/>
          <w:numId w:val="12"/>
        </w:numPr>
        <w:spacing w:after="0" w:line="257" w:lineRule="auto"/>
        <w:rPr>
          <w:rFonts w:eastAsiaTheme="minorEastAsia"/>
        </w:rPr>
      </w:pPr>
      <w:r w:rsidRPr="00601B54">
        <w:rPr>
          <w:rFonts w:eastAsiaTheme="minorEastAsia"/>
        </w:rPr>
        <w:t xml:space="preserve">Were security </w:t>
      </w:r>
      <w:r w:rsidR="006C518B">
        <w:rPr>
          <w:rFonts w:eastAsiaTheme="minorEastAsia"/>
        </w:rPr>
        <w:t xml:space="preserve">teams </w:t>
      </w:r>
      <w:r w:rsidRPr="00601B54">
        <w:rPr>
          <w:rFonts w:eastAsiaTheme="minorEastAsia"/>
        </w:rPr>
        <w:t>contacted?</w:t>
      </w:r>
    </w:p>
    <w:p w:rsidR="4D973793" w:rsidRPr="00601B54" w:rsidRDefault="4D973793" w:rsidP="00601B54">
      <w:pPr>
        <w:pStyle w:val="ListParagraph"/>
        <w:numPr>
          <w:ilvl w:val="0"/>
          <w:numId w:val="12"/>
        </w:numPr>
        <w:spacing w:after="0" w:line="257" w:lineRule="auto"/>
        <w:rPr>
          <w:rFonts w:eastAsiaTheme="minorEastAsia"/>
        </w:rPr>
      </w:pPr>
      <w:r w:rsidRPr="00601B54">
        <w:rPr>
          <w:rFonts w:eastAsiaTheme="minorEastAsia"/>
        </w:rPr>
        <w:t>Is there Case Management involvement</w:t>
      </w:r>
      <w:r w:rsidR="27FD7DC6" w:rsidRPr="00601B54">
        <w:rPr>
          <w:rFonts w:eastAsiaTheme="minorEastAsia"/>
        </w:rPr>
        <w:t>?</w:t>
      </w:r>
    </w:p>
    <w:p w:rsidR="4D973793" w:rsidRPr="00601B54" w:rsidRDefault="4D973793" w:rsidP="00601B54">
      <w:pPr>
        <w:pStyle w:val="ListParagraph"/>
        <w:numPr>
          <w:ilvl w:val="0"/>
          <w:numId w:val="12"/>
        </w:numPr>
        <w:spacing w:after="0" w:line="257" w:lineRule="auto"/>
        <w:rPr>
          <w:rFonts w:eastAsiaTheme="minorEastAsia"/>
        </w:rPr>
      </w:pPr>
      <w:r w:rsidRPr="00601B54">
        <w:rPr>
          <w:rFonts w:eastAsiaTheme="minorEastAsia"/>
        </w:rPr>
        <w:t>Case manager</w:t>
      </w:r>
    </w:p>
    <w:p w:rsidR="4D973793" w:rsidRPr="00601B54" w:rsidRDefault="4D973793" w:rsidP="00601B54">
      <w:pPr>
        <w:pStyle w:val="ListParagraph"/>
        <w:numPr>
          <w:ilvl w:val="0"/>
          <w:numId w:val="12"/>
        </w:numPr>
        <w:spacing w:after="0" w:line="257" w:lineRule="auto"/>
        <w:rPr>
          <w:rFonts w:eastAsiaTheme="minorEastAsia"/>
        </w:rPr>
      </w:pPr>
      <w:r w:rsidRPr="00601B54">
        <w:rPr>
          <w:rFonts w:eastAsiaTheme="minorEastAsia"/>
        </w:rPr>
        <w:t>Immediate action by the Case Manager</w:t>
      </w:r>
    </w:p>
    <w:p w:rsidR="0AF43195" w:rsidRDefault="0AF43195" w:rsidP="0AF43195">
      <w:pPr>
        <w:pStyle w:val="ListParagraph"/>
        <w:spacing w:after="0"/>
        <w:rPr>
          <w:rFonts w:eastAsiaTheme="minorEastAsia"/>
        </w:rPr>
      </w:pPr>
    </w:p>
    <w:p w:rsidR="00B060D0" w:rsidRDefault="0082513B" w:rsidP="0082513B">
      <w:pPr>
        <w:pStyle w:val="Heading1"/>
      </w:pPr>
      <w:bookmarkStart w:id="11" w:name="_Toc181033100"/>
      <w:r>
        <w:t xml:space="preserve">5. </w:t>
      </w:r>
      <w:r w:rsidR="00B060D0">
        <w:t>Escalation Process to be Followed</w:t>
      </w:r>
      <w:bookmarkEnd w:id="11"/>
    </w:p>
    <w:p w:rsidR="004D698F" w:rsidRDefault="0C62C558" w:rsidP="6CCAC6CC">
      <w:pPr>
        <w:pStyle w:val="ListParagraph"/>
        <w:numPr>
          <w:ilvl w:val="0"/>
          <w:numId w:val="13"/>
        </w:numPr>
        <w:spacing w:after="0"/>
      </w:pPr>
      <w:r w:rsidRPr="6CCAC6CC">
        <w:t xml:space="preserve">Initial escalation </w:t>
      </w:r>
      <w:r w:rsidR="402073AC" w:rsidRPr="6CCAC6CC">
        <w:t xml:space="preserve">for all staff is to </w:t>
      </w:r>
      <w:r w:rsidRPr="6CCAC6CC">
        <w:t>seek advice from your line manager or relevant clinician</w:t>
      </w:r>
      <w:r w:rsidR="24105AAF" w:rsidRPr="6CCAC6CC">
        <w:t xml:space="preserve"> in the first instance</w:t>
      </w:r>
    </w:p>
    <w:p w:rsidR="004D698F" w:rsidRDefault="0C62C558" w:rsidP="6CCAC6CC">
      <w:pPr>
        <w:pStyle w:val="ListParagraph"/>
        <w:numPr>
          <w:ilvl w:val="0"/>
          <w:numId w:val="13"/>
        </w:numPr>
        <w:spacing w:after="0"/>
      </w:pPr>
      <w:r w:rsidRPr="6CCAC6CC">
        <w:t>If there is a concern or incident out of hours staff should refer to silver on-call</w:t>
      </w:r>
    </w:p>
    <w:p w:rsidR="00095F00" w:rsidRDefault="0082513B" w:rsidP="0082513B">
      <w:pPr>
        <w:pStyle w:val="Heading1"/>
      </w:pPr>
      <w:bookmarkStart w:id="12" w:name="_Toc181033101"/>
      <w:r>
        <w:t xml:space="preserve">6. </w:t>
      </w:r>
      <w:r w:rsidR="00B502B6">
        <w:t>Governance</w:t>
      </w:r>
      <w:bookmarkEnd w:id="12"/>
    </w:p>
    <w:p w:rsidR="00B502B6" w:rsidRPr="00B502B6" w:rsidRDefault="00B502B6" w:rsidP="00B502B6">
      <w:r>
        <w:t xml:space="preserve">For the purpose of Right Care, Right Person the health board’s </w:t>
      </w:r>
      <w:r w:rsidR="007E42E1">
        <w:t xml:space="preserve">quality and safety structure will be utilised to monitor and review incidents. This includes </w:t>
      </w:r>
      <w:r w:rsidR="00DF78CE">
        <w:t>quality and safety groups at both service delivery group level, and corporate.</w:t>
      </w:r>
    </w:p>
    <w:p w:rsidR="00962797" w:rsidRDefault="00CA7098" w:rsidP="00D62CB6">
      <w:pPr>
        <w:spacing w:after="0"/>
      </w:pPr>
      <w:r>
        <w:t xml:space="preserve">In addition, </w:t>
      </w:r>
      <w:r w:rsidR="006C1A08">
        <w:t xml:space="preserve">any learning as a result of the reported incident </w:t>
      </w:r>
      <w:r w:rsidR="00D62CB6">
        <w:t>will be discussed at the Patient Stakeholder Experience Group (PSEG).</w:t>
      </w:r>
    </w:p>
    <w:p w:rsidR="0056377F" w:rsidRDefault="0082513B" w:rsidP="0082513B">
      <w:pPr>
        <w:pStyle w:val="Heading1"/>
      </w:pPr>
      <w:bookmarkStart w:id="13" w:name="_Toc181033102"/>
      <w:r>
        <w:t xml:space="preserve">7. </w:t>
      </w:r>
      <w:r w:rsidR="0056377F">
        <w:t>SOP review timeline</w:t>
      </w:r>
      <w:bookmarkEnd w:id="13"/>
      <w:r w:rsidR="0056377F">
        <w:t xml:space="preserve"> </w:t>
      </w:r>
    </w:p>
    <w:p w:rsidR="0056377F" w:rsidRDefault="00766084" w:rsidP="001B1EA3">
      <w:r>
        <w:t xml:space="preserve">This SOP will be reviewed </w:t>
      </w:r>
      <w:r w:rsidR="003D62BC">
        <w:t xml:space="preserve">between 6 and 12 months </w:t>
      </w:r>
    </w:p>
    <w:p w:rsidR="00EC4A6B" w:rsidRDefault="00EC4A6B" w:rsidP="00EC4A6B">
      <w:pPr>
        <w:pStyle w:val="Heading1"/>
      </w:pPr>
      <w:bookmarkStart w:id="14" w:name="_Toc181033103"/>
      <w:r>
        <w:t>8. Glossary of Terms</w:t>
      </w:r>
      <w:bookmarkEnd w:id="14"/>
    </w:p>
    <w:tbl>
      <w:tblPr>
        <w:tblStyle w:val="TableGrid"/>
        <w:tblW w:w="0" w:type="auto"/>
        <w:tblLook w:val="04A0" w:firstRow="1" w:lastRow="0" w:firstColumn="1" w:lastColumn="0" w:noHBand="0" w:noVBand="1"/>
      </w:tblPr>
      <w:tblGrid>
        <w:gridCol w:w="4508"/>
        <w:gridCol w:w="4508"/>
      </w:tblGrid>
      <w:tr w:rsidR="00EC4A6B" w:rsidTr="004F7CCE">
        <w:tc>
          <w:tcPr>
            <w:tcW w:w="4508" w:type="dxa"/>
          </w:tcPr>
          <w:p w:rsidR="00EC4A6B" w:rsidRPr="001B1EA3" w:rsidRDefault="00EC4A6B" w:rsidP="004F7CCE">
            <w:pPr>
              <w:rPr>
                <w:b/>
                <w:bCs/>
              </w:rPr>
            </w:pPr>
            <w:r w:rsidRPr="001B1EA3">
              <w:rPr>
                <w:b/>
                <w:bCs/>
              </w:rPr>
              <w:t>Term / Abbreviation</w:t>
            </w:r>
          </w:p>
        </w:tc>
        <w:tc>
          <w:tcPr>
            <w:tcW w:w="4508" w:type="dxa"/>
          </w:tcPr>
          <w:p w:rsidR="00EC4A6B" w:rsidRPr="001B1EA3" w:rsidRDefault="00EC4A6B" w:rsidP="004F7CCE">
            <w:pPr>
              <w:rPr>
                <w:b/>
                <w:bCs/>
              </w:rPr>
            </w:pPr>
            <w:r w:rsidRPr="001B1EA3">
              <w:rPr>
                <w:b/>
                <w:bCs/>
              </w:rPr>
              <w:t>Definition</w:t>
            </w:r>
          </w:p>
        </w:tc>
      </w:tr>
      <w:tr w:rsidR="00EC4A6B" w:rsidTr="004F7CCE">
        <w:tc>
          <w:tcPr>
            <w:tcW w:w="4508" w:type="dxa"/>
          </w:tcPr>
          <w:p w:rsidR="00EC4A6B" w:rsidRDefault="00EC4A6B" w:rsidP="004F7CCE">
            <w:r>
              <w:t>Section 135(2)</w:t>
            </w:r>
          </w:p>
        </w:tc>
        <w:tc>
          <w:tcPr>
            <w:tcW w:w="4508" w:type="dxa"/>
          </w:tcPr>
          <w:p w:rsidR="00EC4A6B" w:rsidRDefault="00EC4A6B" w:rsidP="004F7CCE">
            <w:r>
              <w:t>This allows the police to enter a property to search for and remove a person who is already liable to be detained under the Mental Health Act but has either absconded or is being kept in a place where they should not be</w:t>
            </w:r>
          </w:p>
        </w:tc>
      </w:tr>
      <w:tr w:rsidR="00EC4A6B" w:rsidTr="004F7CCE">
        <w:tc>
          <w:tcPr>
            <w:tcW w:w="4508" w:type="dxa"/>
          </w:tcPr>
          <w:p w:rsidR="00EC4A6B" w:rsidRDefault="00EC4A6B" w:rsidP="004F7CCE">
            <w:r>
              <w:t>Section 17</w:t>
            </w:r>
          </w:p>
        </w:tc>
        <w:tc>
          <w:tcPr>
            <w:tcW w:w="4508" w:type="dxa"/>
          </w:tcPr>
          <w:p w:rsidR="00EC4A6B" w:rsidRDefault="00EC4A6B" w:rsidP="004F7CCE">
            <w:r>
              <w:t>This allows a responsible clinician to grant a detained patient leave of absence from a hospital or health care setting</w:t>
            </w:r>
          </w:p>
        </w:tc>
      </w:tr>
      <w:tr w:rsidR="00EC4A6B" w:rsidTr="004F7CCE">
        <w:tc>
          <w:tcPr>
            <w:tcW w:w="4508" w:type="dxa"/>
          </w:tcPr>
          <w:p w:rsidR="00EC4A6B" w:rsidRDefault="00EC4A6B" w:rsidP="004F7CCE">
            <w:r>
              <w:t>MCA (Mental Capacity Act 2005)</w:t>
            </w:r>
          </w:p>
          <w:p w:rsidR="00784CB3" w:rsidRDefault="002C7E0C" w:rsidP="004F7CCE">
            <w:r>
              <w:t>(See Appendix 3)</w:t>
            </w:r>
          </w:p>
        </w:tc>
        <w:tc>
          <w:tcPr>
            <w:tcW w:w="4508" w:type="dxa"/>
          </w:tcPr>
          <w:p w:rsidR="00EC4A6B" w:rsidRDefault="00EC4A6B" w:rsidP="004F7CCE">
            <w:r>
              <w:t>This is a key piece of legislation that provides a framework for making decisions on behalf of individuals who lack the capacity to make decisions for themselves</w:t>
            </w:r>
          </w:p>
        </w:tc>
      </w:tr>
      <w:tr w:rsidR="00EC4A6B" w:rsidTr="004F7CCE">
        <w:tc>
          <w:tcPr>
            <w:tcW w:w="4508" w:type="dxa"/>
          </w:tcPr>
          <w:p w:rsidR="00EC4A6B" w:rsidRDefault="00EC4A6B" w:rsidP="004F7CCE">
            <w:proofErr w:type="spellStart"/>
            <w:r>
              <w:t>DoLS</w:t>
            </w:r>
            <w:proofErr w:type="spellEnd"/>
            <w:r>
              <w:t xml:space="preserve"> (Deprivation of Liberty Safeguards)</w:t>
            </w:r>
          </w:p>
          <w:p w:rsidR="002C7E0C" w:rsidRDefault="002C7E0C" w:rsidP="004F7CCE">
            <w:r>
              <w:t>(See Appendix 3)</w:t>
            </w:r>
          </w:p>
        </w:tc>
        <w:tc>
          <w:tcPr>
            <w:tcW w:w="4508" w:type="dxa"/>
          </w:tcPr>
          <w:p w:rsidR="00EC4A6B" w:rsidRDefault="00EC4A6B" w:rsidP="004F7CCE">
            <w:r>
              <w:t>These are a set of legal protections under the MCA (2005). Designed to ensure that individuals who lack capacity to consent to their care arrangement are not deprived of their liberty unlawfully</w:t>
            </w:r>
          </w:p>
        </w:tc>
      </w:tr>
    </w:tbl>
    <w:p w:rsidR="008A2DF0" w:rsidRDefault="008A2DF0" w:rsidP="00EC4A6B">
      <w:pPr>
        <w:spacing w:after="0"/>
      </w:pPr>
    </w:p>
    <w:p w:rsidR="00EC4A6B" w:rsidRDefault="008A2DF0" w:rsidP="008A2DF0">
      <w:r>
        <w:br w:type="page"/>
      </w:r>
    </w:p>
    <w:p w:rsidR="002467F0" w:rsidRDefault="002467F0" w:rsidP="0082513B">
      <w:pPr>
        <w:pStyle w:val="Heading1"/>
      </w:pPr>
      <w:bookmarkStart w:id="15" w:name="_Toc181033104"/>
      <w:r>
        <w:t>Appendices</w:t>
      </w:r>
      <w:bookmarkEnd w:id="15"/>
    </w:p>
    <w:p w:rsidR="000A3970" w:rsidRDefault="000A3970" w:rsidP="000A3970">
      <w:pPr>
        <w:pStyle w:val="Heading2"/>
      </w:pPr>
      <w:bookmarkStart w:id="16" w:name="_Toc181033105"/>
      <w:r>
        <w:t>Appendix 1. Action Card</w:t>
      </w:r>
      <w:bookmarkEnd w:id="16"/>
      <w:r w:rsidR="004661D1">
        <w:t xml:space="preserve">  </w:t>
      </w:r>
    </w:p>
    <w:p w:rsidR="008603D9" w:rsidRPr="008603D9" w:rsidRDefault="005B0A4F" w:rsidP="00B0754F">
      <w:pPr>
        <w:jc w:val="center"/>
      </w:pPr>
      <w:r w:rsidRPr="005B0A4F">
        <w:rPr>
          <w:noProof/>
          <w:lang w:eastAsia="en-GB"/>
        </w:rPr>
        <w:drawing>
          <wp:inline distT="0" distB="0" distL="0" distR="0" wp14:anchorId="304452F8" wp14:editId="482FB069">
            <wp:extent cx="5306165" cy="7497221"/>
            <wp:effectExtent l="0" t="0" r="889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306165" cy="7497221"/>
                    </a:xfrm>
                    <a:prstGeom prst="rect">
                      <a:avLst/>
                    </a:prstGeom>
                  </pic:spPr>
                </pic:pic>
              </a:graphicData>
            </a:graphic>
          </wp:inline>
        </w:drawing>
      </w:r>
    </w:p>
    <w:p w:rsidR="004661D1" w:rsidRPr="000A3970" w:rsidRDefault="004661D1" w:rsidP="004F4C68">
      <w:pPr>
        <w:jc w:val="center"/>
      </w:pPr>
    </w:p>
    <w:p w:rsidR="00463268" w:rsidRDefault="004F4C68" w:rsidP="00463268">
      <w:pPr>
        <w:pStyle w:val="Heading2"/>
      </w:pPr>
      <w:bookmarkStart w:id="17" w:name="_Toc181033106"/>
      <w:r>
        <w:t>Appendix 2. Flow Chart</w:t>
      </w:r>
      <w:bookmarkEnd w:id="17"/>
      <w:r w:rsidR="00BE68FD">
        <w:t xml:space="preserve"> </w:t>
      </w:r>
    </w:p>
    <w:p w:rsidR="004F4C68" w:rsidRDefault="00583865" w:rsidP="00561F5C">
      <w:pPr>
        <w:jc w:val="center"/>
      </w:pPr>
      <w:r w:rsidRPr="00583865">
        <w:rPr>
          <w:noProof/>
          <w:lang w:eastAsia="en-GB"/>
        </w:rPr>
        <w:drawing>
          <wp:inline distT="0" distB="0" distL="0" distR="0" wp14:anchorId="688F8E73" wp14:editId="6658B79A">
            <wp:extent cx="5525271" cy="7802064"/>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25271" cy="7802064"/>
                    </a:xfrm>
                    <a:prstGeom prst="rect">
                      <a:avLst/>
                    </a:prstGeom>
                  </pic:spPr>
                </pic:pic>
              </a:graphicData>
            </a:graphic>
          </wp:inline>
        </w:drawing>
      </w:r>
    </w:p>
    <w:p w:rsidR="004F4C68" w:rsidRPr="004F4C68" w:rsidRDefault="004F4C68" w:rsidP="00427DFC">
      <w:pPr>
        <w:jc w:val="center"/>
      </w:pPr>
    </w:p>
    <w:p w:rsidR="0056377F" w:rsidRDefault="002467F0" w:rsidP="002467F0">
      <w:pPr>
        <w:pStyle w:val="Heading2"/>
      </w:pPr>
      <w:bookmarkStart w:id="18" w:name="_Toc181033107"/>
      <w:r>
        <w:t xml:space="preserve">Appendix </w:t>
      </w:r>
      <w:r w:rsidR="00B63B49">
        <w:t>3</w:t>
      </w:r>
      <w:r>
        <w:t xml:space="preserve">. </w:t>
      </w:r>
      <w:r w:rsidR="0082513B">
        <w:t>Related Documents</w:t>
      </w:r>
      <w:r w:rsidR="47CA5018">
        <w:t>/Sites</w:t>
      </w:r>
      <w:bookmarkEnd w:id="18"/>
    </w:p>
    <w:p w:rsidR="00784CB3" w:rsidRDefault="00784CB3" w:rsidP="00784CB3">
      <w:pPr>
        <w:pStyle w:val="ListParagraph"/>
        <w:numPr>
          <w:ilvl w:val="0"/>
          <w:numId w:val="15"/>
        </w:numPr>
      </w:pPr>
      <w:hyperlink r:id="rId14" w:history="1">
        <w:r w:rsidRPr="00784CB3">
          <w:rPr>
            <w:rStyle w:val="Hyperlink"/>
            <w:color w:val="0000FF"/>
          </w:rPr>
          <w:t>Mental Capacity Act 2005 (legislation.gov.uk)</w:t>
        </w:r>
      </w:hyperlink>
    </w:p>
    <w:p w:rsidR="00784CB3" w:rsidRDefault="0081734F" w:rsidP="00784CB3">
      <w:pPr>
        <w:pStyle w:val="ListParagraph"/>
        <w:numPr>
          <w:ilvl w:val="0"/>
          <w:numId w:val="15"/>
        </w:numPr>
      </w:pPr>
      <w:r w:rsidRPr="0081734F">
        <w:t>MENTAL HEALTH &amp; LEARNING DISABILITIES DELIVERY UNIT - Policy for Missing Service Users (not including Caswell) May 2024</w:t>
      </w:r>
    </w:p>
    <w:p w:rsidR="0081734F" w:rsidRDefault="0081734F" w:rsidP="00784CB3">
      <w:pPr>
        <w:pStyle w:val="ListParagraph"/>
        <w:numPr>
          <w:ilvl w:val="0"/>
          <w:numId w:val="15"/>
        </w:numPr>
      </w:pPr>
      <w:r>
        <w:t>NPCC - Advice to Police Forces on Restricted Patients under S37 and S41 Mental Health Act 1983 who Abscond</w:t>
      </w:r>
    </w:p>
    <w:p w:rsidR="0081734F" w:rsidRDefault="0081734F" w:rsidP="00784CB3">
      <w:pPr>
        <w:pStyle w:val="ListParagraph"/>
        <w:numPr>
          <w:ilvl w:val="0"/>
          <w:numId w:val="15"/>
        </w:numPr>
      </w:pPr>
      <w:r>
        <w:t>The Royal College of Emergency Medicine - Best Practice Guideline</w:t>
      </w:r>
    </w:p>
    <w:p w:rsidR="00784CB3" w:rsidRDefault="00784CB3" w:rsidP="00784CB3">
      <w:pPr>
        <w:pStyle w:val="ListParagraph"/>
        <w:numPr>
          <w:ilvl w:val="0"/>
          <w:numId w:val="15"/>
        </w:numPr>
      </w:pPr>
      <w:r w:rsidRPr="00784CB3">
        <w:t>Office for Health Improvement &amp; Disparities – detail re: vulnerable patients</w:t>
      </w:r>
    </w:p>
    <w:p w:rsidR="00784CB3" w:rsidRDefault="00784CB3" w:rsidP="00784CB3">
      <w:pPr>
        <w:pStyle w:val="ListParagraph"/>
        <w:numPr>
          <w:ilvl w:val="0"/>
          <w:numId w:val="15"/>
        </w:numPr>
      </w:pPr>
      <w:hyperlink r:id="rId15" w:history="1">
        <w:r w:rsidRPr="00784CB3">
          <w:rPr>
            <w:rStyle w:val="Hyperlink"/>
            <w:color w:val="0000FF"/>
          </w:rPr>
          <w:t>The Human Rights Act | EHRC (equalityhumanrights.com)</w:t>
        </w:r>
      </w:hyperlink>
    </w:p>
    <w:p w:rsidR="00784CB3" w:rsidRPr="002467F0" w:rsidRDefault="00784CB3" w:rsidP="0081734F"/>
    <w:sectPr w:rsidR="00784CB3" w:rsidRPr="002467F0" w:rsidSect="003E273E">
      <w:headerReference w:type="default" r:id="rId16"/>
      <w:footerReference w:type="default" r:id="rId17"/>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D5229A" w:rsidRDefault="00D5229A" w:rsidP="009305AF">
      <w:pPr>
        <w:spacing w:after="0" w:line="240" w:lineRule="auto"/>
      </w:pPr>
      <w:r>
        <w:separator/>
      </w:r>
    </w:p>
  </w:endnote>
  <w:endnote w:type="continuationSeparator" w:id="0">
    <w:p w:rsidR="00D5229A" w:rsidRDefault="00D5229A" w:rsidP="009305AF">
      <w:pPr>
        <w:spacing w:after="0" w:line="240" w:lineRule="auto"/>
      </w:pPr>
      <w:r>
        <w:continuationSeparator/>
      </w:r>
    </w:p>
  </w:endnote>
  <w:endnote w:type="continuationNotice" w:id="1">
    <w:p w:rsidR="00D5229A" w:rsidRDefault="00D522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Arial&quot;,sans-serif">
    <w:altName w:val="Cambria"/>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66167557"/>
      <w:docPartObj>
        <w:docPartGallery w:val="Page Numbers (Bottom of Page)"/>
        <w:docPartUnique/>
      </w:docPartObj>
    </w:sdtPr>
    <w:sdtEndPr/>
    <w:sdtContent>
      <w:p w:rsidR="00655248" w:rsidRDefault="00655248">
        <w:pPr>
          <w:pStyle w:val="Footer"/>
          <w:jc w:val="center"/>
        </w:pPr>
        <w:r>
          <w:fldChar w:fldCharType="begin"/>
        </w:r>
        <w:r>
          <w:instrText>PAGE   \* MERGEFORMAT</w:instrText>
        </w:r>
        <w:r>
          <w:fldChar w:fldCharType="separate"/>
        </w:r>
        <w:r w:rsidR="00294A6F">
          <w:rPr>
            <w:noProof/>
          </w:rPr>
          <w:t>10</w:t>
        </w:r>
        <w:r>
          <w:fldChar w:fldCharType="end"/>
        </w:r>
      </w:p>
    </w:sdtContent>
  </w:sdt>
  <w:p w:rsidR="009305AF" w:rsidRDefault="009305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D5229A" w:rsidRDefault="00D5229A" w:rsidP="009305AF">
      <w:pPr>
        <w:spacing w:after="0" w:line="240" w:lineRule="auto"/>
      </w:pPr>
      <w:r>
        <w:separator/>
      </w:r>
    </w:p>
  </w:footnote>
  <w:footnote w:type="continuationSeparator" w:id="0">
    <w:p w:rsidR="00D5229A" w:rsidRDefault="00D5229A" w:rsidP="009305AF">
      <w:pPr>
        <w:spacing w:after="0" w:line="240" w:lineRule="auto"/>
      </w:pPr>
      <w:r>
        <w:continuationSeparator/>
      </w:r>
    </w:p>
  </w:footnote>
  <w:footnote w:type="continuationNotice" w:id="1">
    <w:p w:rsidR="00D5229A" w:rsidRDefault="00D5229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1A42AC" w:rsidRDefault="00D5229A" w:rsidP="00655248">
    <w:pPr>
      <w:pStyle w:val="Header"/>
      <w:jc w:val="center"/>
    </w:pPr>
    <w:sdt>
      <w:sdtPr>
        <w:id w:val="-896354787"/>
        <w:docPartObj>
          <w:docPartGallery w:val="Watermarks"/>
          <w:docPartUnique/>
        </w:docPartObj>
      </w:sdtPr>
      <w:sdtEndPr/>
      <w:sdtContent>
        <w:r>
          <w:pict w14:anchorId="061E17D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655248" w:rsidRPr="000A45A8">
      <w:rPr>
        <w:noProof/>
        <w:lang w:eastAsia="en-GB"/>
      </w:rPr>
      <w:drawing>
        <wp:inline distT="0" distB="0" distL="0" distR="0" wp14:anchorId="4B867464" wp14:editId="002C0AE1">
          <wp:extent cx="1647645" cy="533760"/>
          <wp:effectExtent l="0" t="0" r="0" b="0"/>
          <wp:docPr id="1" name="Picture 1" descr="A blue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7368751" name="Picture 1" descr="A blue sign with white text&#10;&#10;Description automatically generated"/>
                  <pic:cNvPicPr/>
                </pic:nvPicPr>
                <pic:blipFill>
                  <a:blip r:embed="rId1"/>
                  <a:stretch>
                    <a:fillRect/>
                  </a:stretch>
                </pic:blipFill>
                <pic:spPr>
                  <a:xfrm>
                    <a:off x="0" y="0"/>
                    <a:ext cx="1712343" cy="554719"/>
                  </a:xfrm>
                  <a:prstGeom prst="rect">
                    <a:avLst/>
                  </a:prstGeom>
                </pic:spPr>
              </pic:pic>
            </a:graphicData>
          </a:graphic>
        </wp:inline>
      </w:drawing>
    </w:r>
  </w:p>
  <w:p w:rsidR="001A42AC" w:rsidRDefault="001A42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0F525B"/>
    <w:multiLevelType w:val="hybridMultilevel"/>
    <w:tmpl w:val="503C7C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5464112"/>
    <w:multiLevelType w:val="multilevel"/>
    <w:tmpl w:val="1E46E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6B66693"/>
    <w:multiLevelType w:val="hybridMultilevel"/>
    <w:tmpl w:val="CB5AD0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9C2EAEC"/>
    <w:multiLevelType w:val="hybridMultilevel"/>
    <w:tmpl w:val="F86CFD08"/>
    <w:lvl w:ilvl="0" w:tplc="D9646B1E">
      <w:start w:val="1"/>
      <w:numFmt w:val="bullet"/>
      <w:lvlText w:val="-"/>
      <w:lvlJc w:val="left"/>
      <w:pPr>
        <w:ind w:left="720" w:hanging="360"/>
      </w:pPr>
      <w:rPr>
        <w:rFonts w:ascii="&quot;Arial&quot;,sans-serif" w:hAnsi="&quot;Arial&quot;,sans-serif" w:hint="default"/>
      </w:rPr>
    </w:lvl>
    <w:lvl w:ilvl="1" w:tplc="C1DA6844">
      <w:start w:val="1"/>
      <w:numFmt w:val="bullet"/>
      <w:lvlText w:val="o"/>
      <w:lvlJc w:val="left"/>
      <w:pPr>
        <w:ind w:left="1440" w:hanging="360"/>
      </w:pPr>
      <w:rPr>
        <w:rFonts w:ascii="Courier New" w:hAnsi="Courier New" w:hint="default"/>
      </w:rPr>
    </w:lvl>
    <w:lvl w:ilvl="2" w:tplc="9752CCE6">
      <w:start w:val="1"/>
      <w:numFmt w:val="bullet"/>
      <w:lvlText w:val=""/>
      <w:lvlJc w:val="left"/>
      <w:pPr>
        <w:ind w:left="2160" w:hanging="360"/>
      </w:pPr>
      <w:rPr>
        <w:rFonts w:ascii="Wingdings" w:hAnsi="Wingdings" w:hint="default"/>
      </w:rPr>
    </w:lvl>
    <w:lvl w:ilvl="3" w:tplc="379263E2">
      <w:start w:val="1"/>
      <w:numFmt w:val="bullet"/>
      <w:lvlText w:val=""/>
      <w:lvlJc w:val="left"/>
      <w:pPr>
        <w:ind w:left="2880" w:hanging="360"/>
      </w:pPr>
      <w:rPr>
        <w:rFonts w:ascii="Symbol" w:hAnsi="Symbol" w:hint="default"/>
      </w:rPr>
    </w:lvl>
    <w:lvl w:ilvl="4" w:tplc="6AC8D704">
      <w:start w:val="1"/>
      <w:numFmt w:val="bullet"/>
      <w:lvlText w:val="o"/>
      <w:lvlJc w:val="left"/>
      <w:pPr>
        <w:ind w:left="3600" w:hanging="360"/>
      </w:pPr>
      <w:rPr>
        <w:rFonts w:ascii="Courier New" w:hAnsi="Courier New" w:hint="default"/>
      </w:rPr>
    </w:lvl>
    <w:lvl w:ilvl="5" w:tplc="44BA2A5A">
      <w:start w:val="1"/>
      <w:numFmt w:val="bullet"/>
      <w:lvlText w:val=""/>
      <w:lvlJc w:val="left"/>
      <w:pPr>
        <w:ind w:left="4320" w:hanging="360"/>
      </w:pPr>
      <w:rPr>
        <w:rFonts w:ascii="Wingdings" w:hAnsi="Wingdings" w:hint="default"/>
      </w:rPr>
    </w:lvl>
    <w:lvl w:ilvl="6" w:tplc="41889026">
      <w:start w:val="1"/>
      <w:numFmt w:val="bullet"/>
      <w:lvlText w:val=""/>
      <w:lvlJc w:val="left"/>
      <w:pPr>
        <w:ind w:left="5040" w:hanging="360"/>
      </w:pPr>
      <w:rPr>
        <w:rFonts w:ascii="Symbol" w:hAnsi="Symbol" w:hint="default"/>
      </w:rPr>
    </w:lvl>
    <w:lvl w:ilvl="7" w:tplc="80CEF880">
      <w:start w:val="1"/>
      <w:numFmt w:val="bullet"/>
      <w:lvlText w:val="o"/>
      <w:lvlJc w:val="left"/>
      <w:pPr>
        <w:ind w:left="5760" w:hanging="360"/>
      </w:pPr>
      <w:rPr>
        <w:rFonts w:ascii="Courier New" w:hAnsi="Courier New" w:hint="default"/>
      </w:rPr>
    </w:lvl>
    <w:lvl w:ilvl="8" w:tplc="C83ACEA2">
      <w:start w:val="1"/>
      <w:numFmt w:val="bullet"/>
      <w:lvlText w:val=""/>
      <w:lvlJc w:val="left"/>
      <w:pPr>
        <w:ind w:left="6480" w:hanging="360"/>
      </w:pPr>
      <w:rPr>
        <w:rFonts w:ascii="Wingdings" w:hAnsi="Wingdings" w:hint="default"/>
      </w:rPr>
    </w:lvl>
  </w:abstractNum>
  <w:abstractNum w:abstractNumId="4" w15:restartNumberingAfterBreak="0">
    <w:nsid w:val="2D247341"/>
    <w:multiLevelType w:val="hybridMultilevel"/>
    <w:tmpl w:val="C526F7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C8569B6"/>
    <w:multiLevelType w:val="multilevel"/>
    <w:tmpl w:val="729AE070"/>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6" w15:restartNumberingAfterBreak="0">
    <w:nsid w:val="465150D6"/>
    <w:multiLevelType w:val="hybridMultilevel"/>
    <w:tmpl w:val="C83C3E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47BD71F1"/>
    <w:multiLevelType w:val="hybridMultilevel"/>
    <w:tmpl w:val="1624BA2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8" w15:restartNumberingAfterBreak="0">
    <w:nsid w:val="47C87454"/>
    <w:multiLevelType w:val="hybridMultilevel"/>
    <w:tmpl w:val="0130FC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49B970E0"/>
    <w:multiLevelType w:val="hybridMultilevel"/>
    <w:tmpl w:val="5EA67FB8"/>
    <w:lvl w:ilvl="0" w:tplc="88DE2172">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0" w15:restartNumberingAfterBreak="0">
    <w:nsid w:val="5A6C1B68"/>
    <w:multiLevelType w:val="hybridMultilevel"/>
    <w:tmpl w:val="477835A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DA96118"/>
    <w:multiLevelType w:val="hybridMultilevel"/>
    <w:tmpl w:val="04A210E0"/>
    <w:lvl w:ilvl="0" w:tplc="DDA82832">
      <w:start w:val="1"/>
      <w:numFmt w:val="bullet"/>
      <w:lvlText w:val="·"/>
      <w:lvlJc w:val="left"/>
      <w:pPr>
        <w:ind w:left="720" w:hanging="360"/>
      </w:pPr>
      <w:rPr>
        <w:rFonts w:ascii="Symbol" w:hAnsi="Symbol" w:hint="default"/>
      </w:rPr>
    </w:lvl>
    <w:lvl w:ilvl="1" w:tplc="82E89310">
      <w:start w:val="1"/>
      <w:numFmt w:val="bullet"/>
      <w:lvlText w:val="o"/>
      <w:lvlJc w:val="left"/>
      <w:pPr>
        <w:ind w:left="1440" w:hanging="360"/>
      </w:pPr>
      <w:rPr>
        <w:rFonts w:ascii="Courier New" w:hAnsi="Courier New" w:hint="default"/>
      </w:rPr>
    </w:lvl>
    <w:lvl w:ilvl="2" w:tplc="3F027CBE">
      <w:start w:val="1"/>
      <w:numFmt w:val="bullet"/>
      <w:lvlText w:val=""/>
      <w:lvlJc w:val="left"/>
      <w:pPr>
        <w:ind w:left="2160" w:hanging="360"/>
      </w:pPr>
      <w:rPr>
        <w:rFonts w:ascii="Wingdings" w:hAnsi="Wingdings" w:hint="default"/>
      </w:rPr>
    </w:lvl>
    <w:lvl w:ilvl="3" w:tplc="1A5C84CC">
      <w:start w:val="1"/>
      <w:numFmt w:val="bullet"/>
      <w:lvlText w:val=""/>
      <w:lvlJc w:val="left"/>
      <w:pPr>
        <w:ind w:left="2880" w:hanging="360"/>
      </w:pPr>
      <w:rPr>
        <w:rFonts w:ascii="Symbol" w:hAnsi="Symbol" w:hint="default"/>
      </w:rPr>
    </w:lvl>
    <w:lvl w:ilvl="4" w:tplc="E61EB732">
      <w:start w:val="1"/>
      <w:numFmt w:val="bullet"/>
      <w:lvlText w:val="o"/>
      <w:lvlJc w:val="left"/>
      <w:pPr>
        <w:ind w:left="3600" w:hanging="360"/>
      </w:pPr>
      <w:rPr>
        <w:rFonts w:ascii="Courier New" w:hAnsi="Courier New" w:hint="default"/>
      </w:rPr>
    </w:lvl>
    <w:lvl w:ilvl="5" w:tplc="69929814">
      <w:start w:val="1"/>
      <w:numFmt w:val="bullet"/>
      <w:lvlText w:val=""/>
      <w:lvlJc w:val="left"/>
      <w:pPr>
        <w:ind w:left="4320" w:hanging="360"/>
      </w:pPr>
      <w:rPr>
        <w:rFonts w:ascii="Wingdings" w:hAnsi="Wingdings" w:hint="default"/>
      </w:rPr>
    </w:lvl>
    <w:lvl w:ilvl="6" w:tplc="B5983914">
      <w:start w:val="1"/>
      <w:numFmt w:val="bullet"/>
      <w:lvlText w:val=""/>
      <w:lvlJc w:val="left"/>
      <w:pPr>
        <w:ind w:left="5040" w:hanging="360"/>
      </w:pPr>
      <w:rPr>
        <w:rFonts w:ascii="Symbol" w:hAnsi="Symbol" w:hint="default"/>
      </w:rPr>
    </w:lvl>
    <w:lvl w:ilvl="7" w:tplc="FF6EC444">
      <w:start w:val="1"/>
      <w:numFmt w:val="bullet"/>
      <w:lvlText w:val="o"/>
      <w:lvlJc w:val="left"/>
      <w:pPr>
        <w:ind w:left="5760" w:hanging="360"/>
      </w:pPr>
      <w:rPr>
        <w:rFonts w:ascii="Courier New" w:hAnsi="Courier New" w:hint="default"/>
      </w:rPr>
    </w:lvl>
    <w:lvl w:ilvl="8" w:tplc="DA50B14C">
      <w:start w:val="1"/>
      <w:numFmt w:val="bullet"/>
      <w:lvlText w:val=""/>
      <w:lvlJc w:val="left"/>
      <w:pPr>
        <w:ind w:left="6480" w:hanging="360"/>
      </w:pPr>
      <w:rPr>
        <w:rFonts w:ascii="Wingdings" w:hAnsi="Wingdings" w:hint="default"/>
      </w:rPr>
    </w:lvl>
  </w:abstractNum>
  <w:abstractNum w:abstractNumId="12" w15:restartNumberingAfterBreak="0">
    <w:nsid w:val="5F8F2AF4"/>
    <w:multiLevelType w:val="hybridMultilevel"/>
    <w:tmpl w:val="30C66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14616E"/>
    <w:multiLevelType w:val="hybridMultilevel"/>
    <w:tmpl w:val="308A8E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88D2943"/>
    <w:multiLevelType w:val="hybridMultilevel"/>
    <w:tmpl w:val="552E45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816217635">
    <w:abstractNumId w:val="3"/>
  </w:num>
  <w:num w:numId="2" w16cid:durableId="355156722">
    <w:abstractNumId w:val="9"/>
  </w:num>
  <w:num w:numId="3" w16cid:durableId="2037466233">
    <w:abstractNumId w:val="13"/>
  </w:num>
  <w:num w:numId="4" w16cid:durableId="1838306705">
    <w:abstractNumId w:val="6"/>
  </w:num>
  <w:num w:numId="5" w16cid:durableId="118913858">
    <w:abstractNumId w:val="2"/>
  </w:num>
  <w:num w:numId="6" w16cid:durableId="1019241348">
    <w:abstractNumId w:val="5"/>
  </w:num>
  <w:num w:numId="7" w16cid:durableId="181360976">
    <w:abstractNumId w:val="7"/>
  </w:num>
  <w:num w:numId="8" w16cid:durableId="1700353449">
    <w:abstractNumId w:val="1"/>
  </w:num>
  <w:num w:numId="9" w16cid:durableId="197670503">
    <w:abstractNumId w:val="0"/>
  </w:num>
  <w:num w:numId="10" w16cid:durableId="985163191">
    <w:abstractNumId w:val="4"/>
  </w:num>
  <w:num w:numId="11" w16cid:durableId="1413232609">
    <w:abstractNumId w:val="10"/>
  </w:num>
  <w:num w:numId="12" w16cid:durableId="1815216718">
    <w:abstractNumId w:val="8"/>
  </w:num>
  <w:num w:numId="13" w16cid:durableId="572665622">
    <w:abstractNumId w:val="14"/>
  </w:num>
  <w:num w:numId="14" w16cid:durableId="269557615">
    <w:abstractNumId w:val="11"/>
  </w:num>
  <w:num w:numId="15" w16cid:durableId="17668050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273E"/>
    <w:rsid w:val="000011D3"/>
    <w:rsid w:val="00007A91"/>
    <w:rsid w:val="0005147D"/>
    <w:rsid w:val="000536E8"/>
    <w:rsid w:val="00090FCC"/>
    <w:rsid w:val="00095F00"/>
    <w:rsid w:val="000A3970"/>
    <w:rsid w:val="000A69C3"/>
    <w:rsid w:val="000A7573"/>
    <w:rsid w:val="000C406C"/>
    <w:rsid w:val="00100D6C"/>
    <w:rsid w:val="001036A8"/>
    <w:rsid w:val="00104200"/>
    <w:rsid w:val="00127FD9"/>
    <w:rsid w:val="00133B6A"/>
    <w:rsid w:val="00166564"/>
    <w:rsid w:val="00172BE9"/>
    <w:rsid w:val="00174246"/>
    <w:rsid w:val="001819A4"/>
    <w:rsid w:val="00193666"/>
    <w:rsid w:val="001A42AC"/>
    <w:rsid w:val="001B1EA3"/>
    <w:rsid w:val="001C4F3E"/>
    <w:rsid w:val="001F4F2E"/>
    <w:rsid w:val="0022650B"/>
    <w:rsid w:val="00240746"/>
    <w:rsid w:val="002467F0"/>
    <w:rsid w:val="0025362E"/>
    <w:rsid w:val="00260119"/>
    <w:rsid w:val="002675BD"/>
    <w:rsid w:val="00294A6F"/>
    <w:rsid w:val="002C187C"/>
    <w:rsid w:val="002C7E0C"/>
    <w:rsid w:val="002E529C"/>
    <w:rsid w:val="002F1E17"/>
    <w:rsid w:val="002F4CDD"/>
    <w:rsid w:val="002F7222"/>
    <w:rsid w:val="003064B8"/>
    <w:rsid w:val="00326FB7"/>
    <w:rsid w:val="00344FEB"/>
    <w:rsid w:val="003521AE"/>
    <w:rsid w:val="003617EA"/>
    <w:rsid w:val="00367C47"/>
    <w:rsid w:val="00375B12"/>
    <w:rsid w:val="00380198"/>
    <w:rsid w:val="003801B2"/>
    <w:rsid w:val="00380E5B"/>
    <w:rsid w:val="00387E77"/>
    <w:rsid w:val="003B456D"/>
    <w:rsid w:val="003B7717"/>
    <w:rsid w:val="003C51F4"/>
    <w:rsid w:val="003C56C8"/>
    <w:rsid w:val="003C5B59"/>
    <w:rsid w:val="003D62BC"/>
    <w:rsid w:val="003E1BE2"/>
    <w:rsid w:val="003E273E"/>
    <w:rsid w:val="003F3C02"/>
    <w:rsid w:val="00401675"/>
    <w:rsid w:val="004066AF"/>
    <w:rsid w:val="00426696"/>
    <w:rsid w:val="00427DFC"/>
    <w:rsid w:val="00430311"/>
    <w:rsid w:val="00463268"/>
    <w:rsid w:val="004661D1"/>
    <w:rsid w:val="00472A81"/>
    <w:rsid w:val="00484794"/>
    <w:rsid w:val="004874D8"/>
    <w:rsid w:val="00497B9F"/>
    <w:rsid w:val="004B1DDA"/>
    <w:rsid w:val="004B62D4"/>
    <w:rsid w:val="004C5450"/>
    <w:rsid w:val="004D1F2C"/>
    <w:rsid w:val="004D2001"/>
    <w:rsid w:val="004D3210"/>
    <w:rsid w:val="004D698F"/>
    <w:rsid w:val="004E7379"/>
    <w:rsid w:val="004F115D"/>
    <w:rsid w:val="004F4C68"/>
    <w:rsid w:val="005163AA"/>
    <w:rsid w:val="00561F5C"/>
    <w:rsid w:val="00562D08"/>
    <w:rsid w:val="0056377F"/>
    <w:rsid w:val="00583865"/>
    <w:rsid w:val="005A6968"/>
    <w:rsid w:val="005B0A4F"/>
    <w:rsid w:val="005B5DF9"/>
    <w:rsid w:val="005D2184"/>
    <w:rsid w:val="005D4818"/>
    <w:rsid w:val="005E3088"/>
    <w:rsid w:val="005E5DF9"/>
    <w:rsid w:val="00601B54"/>
    <w:rsid w:val="006132FE"/>
    <w:rsid w:val="006174F0"/>
    <w:rsid w:val="00630EFA"/>
    <w:rsid w:val="0063454E"/>
    <w:rsid w:val="0064253D"/>
    <w:rsid w:val="00655248"/>
    <w:rsid w:val="00661FA4"/>
    <w:rsid w:val="006851F7"/>
    <w:rsid w:val="006C1A08"/>
    <w:rsid w:val="006C518B"/>
    <w:rsid w:val="006C717C"/>
    <w:rsid w:val="006D509C"/>
    <w:rsid w:val="006F2963"/>
    <w:rsid w:val="006F78F4"/>
    <w:rsid w:val="007355A2"/>
    <w:rsid w:val="00740386"/>
    <w:rsid w:val="00766084"/>
    <w:rsid w:val="00784CB3"/>
    <w:rsid w:val="007903B1"/>
    <w:rsid w:val="00790D45"/>
    <w:rsid w:val="00793129"/>
    <w:rsid w:val="00797E45"/>
    <w:rsid w:val="007A446B"/>
    <w:rsid w:val="007B7850"/>
    <w:rsid w:val="007D3D1D"/>
    <w:rsid w:val="007D4E3E"/>
    <w:rsid w:val="007E2D76"/>
    <w:rsid w:val="007E42E1"/>
    <w:rsid w:val="007F6678"/>
    <w:rsid w:val="0080371D"/>
    <w:rsid w:val="0081734F"/>
    <w:rsid w:val="00820714"/>
    <w:rsid w:val="0082513B"/>
    <w:rsid w:val="00835C8A"/>
    <w:rsid w:val="008603D9"/>
    <w:rsid w:val="00862395"/>
    <w:rsid w:val="00863315"/>
    <w:rsid w:val="0086623A"/>
    <w:rsid w:val="00867DE4"/>
    <w:rsid w:val="008A2DF0"/>
    <w:rsid w:val="008B273F"/>
    <w:rsid w:val="008C7647"/>
    <w:rsid w:val="008D7B86"/>
    <w:rsid w:val="00915E8A"/>
    <w:rsid w:val="009305AF"/>
    <w:rsid w:val="0094228C"/>
    <w:rsid w:val="009540F4"/>
    <w:rsid w:val="0096142E"/>
    <w:rsid w:val="00962797"/>
    <w:rsid w:val="00964685"/>
    <w:rsid w:val="0097205A"/>
    <w:rsid w:val="00982811"/>
    <w:rsid w:val="009A3B6C"/>
    <w:rsid w:val="009E3861"/>
    <w:rsid w:val="009F1636"/>
    <w:rsid w:val="009F2045"/>
    <w:rsid w:val="009F4312"/>
    <w:rsid w:val="00A01A0B"/>
    <w:rsid w:val="00A26C56"/>
    <w:rsid w:val="00A3A78B"/>
    <w:rsid w:val="00A409A9"/>
    <w:rsid w:val="00A66CB7"/>
    <w:rsid w:val="00A66D86"/>
    <w:rsid w:val="00A67818"/>
    <w:rsid w:val="00A86968"/>
    <w:rsid w:val="00A91ABA"/>
    <w:rsid w:val="00A92CCF"/>
    <w:rsid w:val="00AB5554"/>
    <w:rsid w:val="00AB59F4"/>
    <w:rsid w:val="00AB6E60"/>
    <w:rsid w:val="00AC1066"/>
    <w:rsid w:val="00AC1B9D"/>
    <w:rsid w:val="00AC2EF9"/>
    <w:rsid w:val="00AD3862"/>
    <w:rsid w:val="00B060D0"/>
    <w:rsid w:val="00B06CD6"/>
    <w:rsid w:val="00B0754F"/>
    <w:rsid w:val="00B101D6"/>
    <w:rsid w:val="00B117EE"/>
    <w:rsid w:val="00B1214A"/>
    <w:rsid w:val="00B1382D"/>
    <w:rsid w:val="00B16142"/>
    <w:rsid w:val="00B357F5"/>
    <w:rsid w:val="00B36D63"/>
    <w:rsid w:val="00B502B6"/>
    <w:rsid w:val="00B57404"/>
    <w:rsid w:val="00B63B49"/>
    <w:rsid w:val="00B95A52"/>
    <w:rsid w:val="00BA3DF1"/>
    <w:rsid w:val="00BC1C3E"/>
    <w:rsid w:val="00BC7168"/>
    <w:rsid w:val="00BD28C1"/>
    <w:rsid w:val="00BD3326"/>
    <w:rsid w:val="00BE68FD"/>
    <w:rsid w:val="00C10F26"/>
    <w:rsid w:val="00C72E62"/>
    <w:rsid w:val="00C80A50"/>
    <w:rsid w:val="00C81FFD"/>
    <w:rsid w:val="00C9472F"/>
    <w:rsid w:val="00C96F92"/>
    <w:rsid w:val="00CA7098"/>
    <w:rsid w:val="00CC275C"/>
    <w:rsid w:val="00CF1844"/>
    <w:rsid w:val="00CF3212"/>
    <w:rsid w:val="00D128EC"/>
    <w:rsid w:val="00D145FE"/>
    <w:rsid w:val="00D23558"/>
    <w:rsid w:val="00D5229A"/>
    <w:rsid w:val="00D62CB6"/>
    <w:rsid w:val="00D66C2D"/>
    <w:rsid w:val="00D8425B"/>
    <w:rsid w:val="00DA3BCB"/>
    <w:rsid w:val="00DD0F54"/>
    <w:rsid w:val="00DD30EC"/>
    <w:rsid w:val="00DE7E94"/>
    <w:rsid w:val="00DF1B93"/>
    <w:rsid w:val="00DF78CE"/>
    <w:rsid w:val="00E33ECE"/>
    <w:rsid w:val="00E44114"/>
    <w:rsid w:val="00E46C9F"/>
    <w:rsid w:val="00E6728A"/>
    <w:rsid w:val="00EB3412"/>
    <w:rsid w:val="00EB345E"/>
    <w:rsid w:val="00EC4A6B"/>
    <w:rsid w:val="00ED32EE"/>
    <w:rsid w:val="00EE1DCF"/>
    <w:rsid w:val="00EE647B"/>
    <w:rsid w:val="00EF45DA"/>
    <w:rsid w:val="00F13072"/>
    <w:rsid w:val="00F267AE"/>
    <w:rsid w:val="00F323D3"/>
    <w:rsid w:val="00F40BFA"/>
    <w:rsid w:val="00F44675"/>
    <w:rsid w:val="00F55C85"/>
    <w:rsid w:val="00F640D9"/>
    <w:rsid w:val="00F7665F"/>
    <w:rsid w:val="00F83336"/>
    <w:rsid w:val="00FA302F"/>
    <w:rsid w:val="00FC43B2"/>
    <w:rsid w:val="00FE1452"/>
    <w:rsid w:val="00FE4220"/>
    <w:rsid w:val="00FE79BC"/>
    <w:rsid w:val="0149BADB"/>
    <w:rsid w:val="01B6B828"/>
    <w:rsid w:val="01FD7B82"/>
    <w:rsid w:val="02189B3B"/>
    <w:rsid w:val="02384BF9"/>
    <w:rsid w:val="038378AA"/>
    <w:rsid w:val="04321B36"/>
    <w:rsid w:val="0454B0E7"/>
    <w:rsid w:val="058CA65F"/>
    <w:rsid w:val="06D15837"/>
    <w:rsid w:val="06D4459F"/>
    <w:rsid w:val="070636B3"/>
    <w:rsid w:val="0725B6CE"/>
    <w:rsid w:val="07C0C3D2"/>
    <w:rsid w:val="0809AA2E"/>
    <w:rsid w:val="085A7C0B"/>
    <w:rsid w:val="08B378D0"/>
    <w:rsid w:val="08F98B13"/>
    <w:rsid w:val="0908CB9D"/>
    <w:rsid w:val="0A95DE67"/>
    <w:rsid w:val="0AF43195"/>
    <w:rsid w:val="0BF48A9E"/>
    <w:rsid w:val="0BFDB3A7"/>
    <w:rsid w:val="0C62C558"/>
    <w:rsid w:val="0D34EF3A"/>
    <w:rsid w:val="0D599B33"/>
    <w:rsid w:val="0E76C2C9"/>
    <w:rsid w:val="0ED62735"/>
    <w:rsid w:val="107A87D7"/>
    <w:rsid w:val="10AC1402"/>
    <w:rsid w:val="112491A6"/>
    <w:rsid w:val="113D0F35"/>
    <w:rsid w:val="12E3916C"/>
    <w:rsid w:val="13365D2D"/>
    <w:rsid w:val="152489B5"/>
    <w:rsid w:val="16263C28"/>
    <w:rsid w:val="16D6B44D"/>
    <w:rsid w:val="17DFC93E"/>
    <w:rsid w:val="17F91794"/>
    <w:rsid w:val="1843B711"/>
    <w:rsid w:val="18585CAF"/>
    <w:rsid w:val="18B80443"/>
    <w:rsid w:val="19091D7A"/>
    <w:rsid w:val="19304463"/>
    <w:rsid w:val="193B6944"/>
    <w:rsid w:val="194468EF"/>
    <w:rsid w:val="1A27170D"/>
    <w:rsid w:val="1A7A9B6B"/>
    <w:rsid w:val="1C333F6C"/>
    <w:rsid w:val="1C5D6B36"/>
    <w:rsid w:val="1D88ED24"/>
    <w:rsid w:val="1E766F3E"/>
    <w:rsid w:val="2044162C"/>
    <w:rsid w:val="2148FBF6"/>
    <w:rsid w:val="21C954D4"/>
    <w:rsid w:val="22698987"/>
    <w:rsid w:val="22F02EB4"/>
    <w:rsid w:val="2366EA26"/>
    <w:rsid w:val="24105AAF"/>
    <w:rsid w:val="24149EA6"/>
    <w:rsid w:val="24C6B984"/>
    <w:rsid w:val="24EC31AD"/>
    <w:rsid w:val="262937A9"/>
    <w:rsid w:val="27FD7DC6"/>
    <w:rsid w:val="2CB7E072"/>
    <w:rsid w:val="2D5B800D"/>
    <w:rsid w:val="2D79B78F"/>
    <w:rsid w:val="2D9CC95A"/>
    <w:rsid w:val="2FE17505"/>
    <w:rsid w:val="3086CBD1"/>
    <w:rsid w:val="3103003A"/>
    <w:rsid w:val="31C23872"/>
    <w:rsid w:val="3221AEEB"/>
    <w:rsid w:val="32ABC10C"/>
    <w:rsid w:val="34503EDC"/>
    <w:rsid w:val="35B531D0"/>
    <w:rsid w:val="35C18F2C"/>
    <w:rsid w:val="3630364E"/>
    <w:rsid w:val="363A96EC"/>
    <w:rsid w:val="36C40969"/>
    <w:rsid w:val="37CBF284"/>
    <w:rsid w:val="3892F631"/>
    <w:rsid w:val="38D2448F"/>
    <w:rsid w:val="3937206A"/>
    <w:rsid w:val="3A132AD3"/>
    <w:rsid w:val="3BB1102F"/>
    <w:rsid w:val="3BF4E117"/>
    <w:rsid w:val="3C0A7F57"/>
    <w:rsid w:val="3CF11A0B"/>
    <w:rsid w:val="3D30A315"/>
    <w:rsid w:val="3E177B66"/>
    <w:rsid w:val="3E7265B3"/>
    <w:rsid w:val="3E8840D1"/>
    <w:rsid w:val="3F0C645F"/>
    <w:rsid w:val="3F1773A3"/>
    <w:rsid w:val="3F890382"/>
    <w:rsid w:val="402073AC"/>
    <w:rsid w:val="40654B22"/>
    <w:rsid w:val="417114F3"/>
    <w:rsid w:val="4273839D"/>
    <w:rsid w:val="42D9E59E"/>
    <w:rsid w:val="42ED42F0"/>
    <w:rsid w:val="4614CA0A"/>
    <w:rsid w:val="46CC1862"/>
    <w:rsid w:val="4782746A"/>
    <w:rsid w:val="47CA5018"/>
    <w:rsid w:val="47FFADFD"/>
    <w:rsid w:val="480AB1DD"/>
    <w:rsid w:val="483C139A"/>
    <w:rsid w:val="4A19C6A8"/>
    <w:rsid w:val="4AC68E91"/>
    <w:rsid w:val="4AEE115B"/>
    <w:rsid w:val="4C8E4ABB"/>
    <w:rsid w:val="4CC37C93"/>
    <w:rsid w:val="4D973793"/>
    <w:rsid w:val="4E6621B3"/>
    <w:rsid w:val="4E804C8A"/>
    <w:rsid w:val="4F55D541"/>
    <w:rsid w:val="4FEBFFC1"/>
    <w:rsid w:val="53621324"/>
    <w:rsid w:val="536C32C3"/>
    <w:rsid w:val="53799C3A"/>
    <w:rsid w:val="53804DAD"/>
    <w:rsid w:val="54528A12"/>
    <w:rsid w:val="545787F9"/>
    <w:rsid w:val="55A737CA"/>
    <w:rsid w:val="55AC8054"/>
    <w:rsid w:val="5611EC72"/>
    <w:rsid w:val="56523215"/>
    <w:rsid w:val="56B4D6BA"/>
    <w:rsid w:val="57883962"/>
    <w:rsid w:val="57ED6BEC"/>
    <w:rsid w:val="581672BE"/>
    <w:rsid w:val="58328603"/>
    <w:rsid w:val="58A982D2"/>
    <w:rsid w:val="593129B9"/>
    <w:rsid w:val="5946CC71"/>
    <w:rsid w:val="5ABBA8C3"/>
    <w:rsid w:val="5BF34E0B"/>
    <w:rsid w:val="5C32581A"/>
    <w:rsid w:val="5CACFF0B"/>
    <w:rsid w:val="5D378FF8"/>
    <w:rsid w:val="5D8DB6A8"/>
    <w:rsid w:val="5DABC43B"/>
    <w:rsid w:val="60F6272E"/>
    <w:rsid w:val="61BE825B"/>
    <w:rsid w:val="629F6675"/>
    <w:rsid w:val="63CF9F50"/>
    <w:rsid w:val="65F9F948"/>
    <w:rsid w:val="66DAFF35"/>
    <w:rsid w:val="67AE9651"/>
    <w:rsid w:val="67D8CACE"/>
    <w:rsid w:val="68157AC6"/>
    <w:rsid w:val="69171691"/>
    <w:rsid w:val="69A4B5B9"/>
    <w:rsid w:val="6A161DB2"/>
    <w:rsid w:val="6B6C94E4"/>
    <w:rsid w:val="6B90DCE2"/>
    <w:rsid w:val="6BB4C244"/>
    <w:rsid w:val="6C278C50"/>
    <w:rsid w:val="6C8257AC"/>
    <w:rsid w:val="6CCAC6CC"/>
    <w:rsid w:val="6D75FA1A"/>
    <w:rsid w:val="6F6FE542"/>
    <w:rsid w:val="71299B35"/>
    <w:rsid w:val="72114DAB"/>
    <w:rsid w:val="731BC0F1"/>
    <w:rsid w:val="737605CF"/>
    <w:rsid w:val="7491A103"/>
    <w:rsid w:val="74E60E83"/>
    <w:rsid w:val="769B1751"/>
    <w:rsid w:val="76C71E63"/>
    <w:rsid w:val="76F06A96"/>
    <w:rsid w:val="770904F8"/>
    <w:rsid w:val="7865DF31"/>
    <w:rsid w:val="78E9ECDC"/>
    <w:rsid w:val="795FC5DB"/>
    <w:rsid w:val="7A100564"/>
    <w:rsid w:val="7A62E01D"/>
    <w:rsid w:val="7AD54FFD"/>
    <w:rsid w:val="7BF8DEBF"/>
    <w:rsid w:val="7C0D3B4B"/>
    <w:rsid w:val="7CE874E5"/>
    <w:rsid w:val="7DDA0D12"/>
    <w:rsid w:val="7E4F1547"/>
    <w:rsid w:val="7E783A39"/>
    <w:rsid w:val="7E960B7C"/>
    <w:rsid w:val="7E9F2F57"/>
    <w:rsid w:val="7F05E9B6"/>
    <w:rsid w:val="7F1155A1"/>
    <w:rsid w:val="7F5696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78F540"/>
  <w15:chartTrackingRefBased/>
  <w15:docId w15:val="{9549452F-674D-463B-BAA6-980F03B25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273E"/>
  </w:style>
  <w:style w:type="paragraph" w:styleId="Heading1">
    <w:name w:val="heading 1"/>
    <w:basedOn w:val="Normal"/>
    <w:next w:val="Normal"/>
    <w:link w:val="Heading1Char"/>
    <w:uiPriority w:val="9"/>
    <w:qFormat/>
    <w:rsid w:val="003E27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E27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E273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E273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E273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E273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E273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E273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E273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273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E273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E273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E273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E273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E273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273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273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273E"/>
    <w:rPr>
      <w:rFonts w:eastAsiaTheme="majorEastAsia" w:cstheme="majorBidi"/>
      <w:color w:val="272727" w:themeColor="text1" w:themeTint="D8"/>
    </w:rPr>
  </w:style>
  <w:style w:type="paragraph" w:styleId="Title">
    <w:name w:val="Title"/>
    <w:basedOn w:val="Normal"/>
    <w:next w:val="Normal"/>
    <w:link w:val="TitleChar"/>
    <w:uiPriority w:val="10"/>
    <w:qFormat/>
    <w:rsid w:val="003E27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E273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273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E273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273E"/>
    <w:pPr>
      <w:spacing w:before="160"/>
      <w:jc w:val="center"/>
    </w:pPr>
    <w:rPr>
      <w:i/>
      <w:iCs/>
      <w:color w:val="404040" w:themeColor="text1" w:themeTint="BF"/>
    </w:rPr>
  </w:style>
  <w:style w:type="character" w:customStyle="1" w:styleId="QuoteChar">
    <w:name w:val="Quote Char"/>
    <w:basedOn w:val="DefaultParagraphFont"/>
    <w:link w:val="Quote"/>
    <w:uiPriority w:val="29"/>
    <w:rsid w:val="003E273E"/>
    <w:rPr>
      <w:i/>
      <w:iCs/>
      <w:color w:val="404040" w:themeColor="text1" w:themeTint="BF"/>
    </w:rPr>
  </w:style>
  <w:style w:type="paragraph" w:styleId="ListParagraph">
    <w:name w:val="List Paragraph"/>
    <w:basedOn w:val="Normal"/>
    <w:uiPriority w:val="34"/>
    <w:qFormat/>
    <w:rsid w:val="003E273E"/>
    <w:pPr>
      <w:ind w:left="720"/>
      <w:contextualSpacing/>
    </w:pPr>
  </w:style>
  <w:style w:type="character" w:styleId="IntenseEmphasis">
    <w:name w:val="Intense Emphasis"/>
    <w:basedOn w:val="DefaultParagraphFont"/>
    <w:uiPriority w:val="21"/>
    <w:qFormat/>
    <w:rsid w:val="003E273E"/>
    <w:rPr>
      <w:i/>
      <w:iCs/>
      <w:color w:val="0F4761" w:themeColor="accent1" w:themeShade="BF"/>
    </w:rPr>
  </w:style>
  <w:style w:type="paragraph" w:styleId="IntenseQuote">
    <w:name w:val="Intense Quote"/>
    <w:basedOn w:val="Normal"/>
    <w:next w:val="Normal"/>
    <w:link w:val="IntenseQuoteChar"/>
    <w:uiPriority w:val="30"/>
    <w:qFormat/>
    <w:rsid w:val="003E27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E273E"/>
    <w:rPr>
      <w:i/>
      <w:iCs/>
      <w:color w:val="0F4761" w:themeColor="accent1" w:themeShade="BF"/>
    </w:rPr>
  </w:style>
  <w:style w:type="character" w:styleId="IntenseReference">
    <w:name w:val="Intense Reference"/>
    <w:basedOn w:val="DefaultParagraphFont"/>
    <w:uiPriority w:val="32"/>
    <w:qFormat/>
    <w:rsid w:val="003E273E"/>
    <w:rPr>
      <w:b/>
      <w:bCs/>
      <w:smallCaps/>
      <w:color w:val="0F4761" w:themeColor="accent1" w:themeShade="BF"/>
      <w:spacing w:val="5"/>
    </w:rPr>
  </w:style>
  <w:style w:type="table" w:styleId="TableGrid">
    <w:name w:val="Table Grid"/>
    <w:basedOn w:val="TableNormal"/>
    <w:uiPriority w:val="39"/>
    <w:rsid w:val="003E27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305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305AF"/>
  </w:style>
  <w:style w:type="paragraph" w:styleId="Footer">
    <w:name w:val="footer"/>
    <w:basedOn w:val="Normal"/>
    <w:link w:val="FooterChar"/>
    <w:uiPriority w:val="99"/>
    <w:unhideWhenUsed/>
    <w:rsid w:val="009305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305AF"/>
  </w:style>
  <w:style w:type="paragraph" w:styleId="TOCHeading">
    <w:name w:val="TOC Heading"/>
    <w:basedOn w:val="Heading1"/>
    <w:next w:val="Normal"/>
    <w:uiPriority w:val="39"/>
    <w:unhideWhenUsed/>
    <w:qFormat/>
    <w:rsid w:val="0082513B"/>
    <w:pPr>
      <w:spacing w:before="240" w:after="0" w:line="259" w:lineRule="auto"/>
      <w:outlineLvl w:val="9"/>
    </w:pPr>
    <w:rPr>
      <w:kern w:val="0"/>
      <w:sz w:val="32"/>
      <w:szCs w:val="32"/>
      <w:lang w:eastAsia="en-GB"/>
      <w14:ligatures w14:val="none"/>
    </w:rPr>
  </w:style>
  <w:style w:type="paragraph" w:styleId="TOC1">
    <w:name w:val="toc 1"/>
    <w:basedOn w:val="Normal"/>
    <w:next w:val="Normal"/>
    <w:autoRedefine/>
    <w:uiPriority w:val="39"/>
    <w:unhideWhenUsed/>
    <w:rsid w:val="006C518B"/>
    <w:pPr>
      <w:tabs>
        <w:tab w:val="right" w:leader="dot" w:pos="9736"/>
      </w:tabs>
      <w:spacing w:after="100"/>
    </w:pPr>
  </w:style>
  <w:style w:type="paragraph" w:styleId="TOC2">
    <w:name w:val="toc 2"/>
    <w:basedOn w:val="Normal"/>
    <w:next w:val="Normal"/>
    <w:autoRedefine/>
    <w:uiPriority w:val="39"/>
    <w:unhideWhenUsed/>
    <w:rsid w:val="0082513B"/>
    <w:pPr>
      <w:spacing w:after="100"/>
      <w:ind w:left="240"/>
    </w:pPr>
  </w:style>
  <w:style w:type="character" w:styleId="Hyperlink">
    <w:name w:val="Hyperlink"/>
    <w:basedOn w:val="DefaultParagraphFont"/>
    <w:uiPriority w:val="99"/>
    <w:unhideWhenUsed/>
    <w:rsid w:val="0082513B"/>
    <w:rPr>
      <w:color w:val="467886" w:themeColor="hyperlink"/>
      <w:u w:val="single"/>
    </w:rPr>
  </w:style>
  <w:style w:type="character" w:styleId="CommentReference">
    <w:name w:val="annotation reference"/>
    <w:basedOn w:val="DefaultParagraphFont"/>
    <w:uiPriority w:val="99"/>
    <w:semiHidden/>
    <w:unhideWhenUsed/>
    <w:rsid w:val="00A92CCF"/>
    <w:rPr>
      <w:sz w:val="16"/>
      <w:szCs w:val="16"/>
    </w:rPr>
  </w:style>
  <w:style w:type="paragraph" w:styleId="CommentText">
    <w:name w:val="annotation text"/>
    <w:basedOn w:val="Normal"/>
    <w:link w:val="CommentTextChar"/>
    <w:uiPriority w:val="99"/>
    <w:semiHidden/>
    <w:unhideWhenUsed/>
    <w:rsid w:val="00A92CCF"/>
    <w:pPr>
      <w:spacing w:line="240" w:lineRule="auto"/>
    </w:pPr>
    <w:rPr>
      <w:sz w:val="20"/>
      <w:szCs w:val="20"/>
    </w:rPr>
  </w:style>
  <w:style w:type="character" w:customStyle="1" w:styleId="CommentTextChar">
    <w:name w:val="Comment Text Char"/>
    <w:basedOn w:val="DefaultParagraphFont"/>
    <w:link w:val="CommentText"/>
    <w:uiPriority w:val="99"/>
    <w:semiHidden/>
    <w:rsid w:val="00A92CCF"/>
    <w:rPr>
      <w:sz w:val="20"/>
      <w:szCs w:val="20"/>
    </w:rPr>
  </w:style>
  <w:style w:type="paragraph" w:styleId="CommentSubject">
    <w:name w:val="annotation subject"/>
    <w:basedOn w:val="CommentText"/>
    <w:next w:val="CommentText"/>
    <w:link w:val="CommentSubjectChar"/>
    <w:uiPriority w:val="99"/>
    <w:semiHidden/>
    <w:unhideWhenUsed/>
    <w:rsid w:val="00A92CCF"/>
    <w:rPr>
      <w:b/>
      <w:bCs/>
    </w:rPr>
  </w:style>
  <w:style w:type="character" w:customStyle="1" w:styleId="CommentSubjectChar">
    <w:name w:val="Comment Subject Char"/>
    <w:basedOn w:val="CommentTextChar"/>
    <w:link w:val="CommentSubject"/>
    <w:uiPriority w:val="99"/>
    <w:semiHidden/>
    <w:rsid w:val="00A92CCF"/>
    <w:rPr>
      <w:b/>
      <w:bCs/>
      <w:sz w:val="20"/>
      <w:szCs w:val="20"/>
    </w:rPr>
  </w:style>
  <w:style w:type="paragraph" w:styleId="BalloonText">
    <w:name w:val="Balloon Text"/>
    <w:basedOn w:val="Normal"/>
    <w:link w:val="BalloonTextChar"/>
    <w:uiPriority w:val="99"/>
    <w:semiHidden/>
    <w:unhideWhenUsed/>
    <w:rsid w:val="00A92C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2C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895556">
      <w:bodyDiv w:val="1"/>
      <w:marLeft w:val="0"/>
      <w:marRight w:val="0"/>
      <w:marTop w:val="0"/>
      <w:marBottom w:val="0"/>
      <w:divBdr>
        <w:top w:val="none" w:sz="0" w:space="0" w:color="auto"/>
        <w:left w:val="none" w:sz="0" w:space="0" w:color="auto"/>
        <w:bottom w:val="none" w:sz="0" w:space="0" w:color="auto"/>
        <w:right w:val="none" w:sz="0" w:space="0" w:color="auto"/>
      </w:divBdr>
      <w:divsChild>
        <w:div w:id="607811130">
          <w:marLeft w:val="0"/>
          <w:marRight w:val="0"/>
          <w:marTop w:val="0"/>
          <w:marBottom w:val="0"/>
          <w:divBdr>
            <w:top w:val="none" w:sz="0" w:space="0" w:color="auto"/>
            <w:left w:val="none" w:sz="0" w:space="0" w:color="auto"/>
            <w:bottom w:val="none" w:sz="0" w:space="0" w:color="auto"/>
            <w:right w:val="none" w:sz="0" w:space="0" w:color="auto"/>
          </w:divBdr>
        </w:div>
        <w:div w:id="821041951">
          <w:marLeft w:val="0"/>
          <w:marRight w:val="0"/>
          <w:marTop w:val="0"/>
          <w:marBottom w:val="0"/>
          <w:divBdr>
            <w:top w:val="none" w:sz="0" w:space="0" w:color="auto"/>
            <w:left w:val="none" w:sz="0" w:space="0" w:color="auto"/>
            <w:bottom w:val="none" w:sz="0" w:space="0" w:color="auto"/>
            <w:right w:val="none" w:sz="0" w:space="0" w:color="auto"/>
          </w:divBdr>
        </w:div>
        <w:div w:id="744181402">
          <w:marLeft w:val="0"/>
          <w:marRight w:val="0"/>
          <w:marTop w:val="0"/>
          <w:marBottom w:val="0"/>
          <w:divBdr>
            <w:top w:val="none" w:sz="0" w:space="0" w:color="auto"/>
            <w:left w:val="none" w:sz="0" w:space="0" w:color="auto"/>
            <w:bottom w:val="none" w:sz="0" w:space="0" w:color="auto"/>
            <w:right w:val="none" w:sz="0" w:space="0" w:color="auto"/>
          </w:divBdr>
        </w:div>
      </w:divsChild>
    </w:div>
    <w:div w:id="211695187">
      <w:bodyDiv w:val="1"/>
      <w:marLeft w:val="0"/>
      <w:marRight w:val="0"/>
      <w:marTop w:val="0"/>
      <w:marBottom w:val="0"/>
      <w:divBdr>
        <w:top w:val="none" w:sz="0" w:space="0" w:color="auto"/>
        <w:left w:val="none" w:sz="0" w:space="0" w:color="auto"/>
        <w:bottom w:val="none" w:sz="0" w:space="0" w:color="auto"/>
        <w:right w:val="none" w:sz="0" w:space="0" w:color="auto"/>
      </w:divBdr>
      <w:divsChild>
        <w:div w:id="441262750">
          <w:marLeft w:val="0"/>
          <w:marRight w:val="0"/>
          <w:marTop w:val="0"/>
          <w:marBottom w:val="0"/>
          <w:divBdr>
            <w:top w:val="none" w:sz="0" w:space="0" w:color="auto"/>
            <w:left w:val="none" w:sz="0" w:space="0" w:color="auto"/>
            <w:bottom w:val="none" w:sz="0" w:space="0" w:color="auto"/>
            <w:right w:val="none" w:sz="0" w:space="0" w:color="auto"/>
          </w:divBdr>
          <w:divsChild>
            <w:div w:id="1132359574">
              <w:marLeft w:val="0"/>
              <w:marRight w:val="0"/>
              <w:marTop w:val="0"/>
              <w:marBottom w:val="0"/>
              <w:divBdr>
                <w:top w:val="none" w:sz="0" w:space="0" w:color="auto"/>
                <w:left w:val="none" w:sz="0" w:space="0" w:color="auto"/>
                <w:bottom w:val="none" w:sz="0" w:space="0" w:color="auto"/>
                <w:right w:val="none" w:sz="0" w:space="0" w:color="auto"/>
              </w:divBdr>
              <w:divsChild>
                <w:div w:id="1608461020">
                  <w:marLeft w:val="0"/>
                  <w:marRight w:val="0"/>
                  <w:marTop w:val="0"/>
                  <w:marBottom w:val="0"/>
                  <w:divBdr>
                    <w:top w:val="none" w:sz="0" w:space="0" w:color="auto"/>
                    <w:left w:val="none" w:sz="0" w:space="0" w:color="auto"/>
                    <w:bottom w:val="none" w:sz="0" w:space="0" w:color="auto"/>
                    <w:right w:val="none" w:sz="0" w:space="0" w:color="auto"/>
                  </w:divBdr>
                </w:div>
                <w:div w:id="1022512775">
                  <w:marLeft w:val="0"/>
                  <w:marRight w:val="0"/>
                  <w:marTop w:val="0"/>
                  <w:marBottom w:val="0"/>
                  <w:divBdr>
                    <w:top w:val="none" w:sz="0" w:space="0" w:color="auto"/>
                    <w:left w:val="none" w:sz="0" w:space="0" w:color="auto"/>
                    <w:bottom w:val="none" w:sz="0" w:space="0" w:color="auto"/>
                    <w:right w:val="none" w:sz="0" w:space="0" w:color="auto"/>
                  </w:divBdr>
                </w:div>
              </w:divsChild>
            </w:div>
            <w:div w:id="630093245">
              <w:marLeft w:val="0"/>
              <w:marRight w:val="0"/>
              <w:marTop w:val="0"/>
              <w:marBottom w:val="0"/>
              <w:divBdr>
                <w:top w:val="none" w:sz="0" w:space="0" w:color="auto"/>
                <w:left w:val="none" w:sz="0" w:space="0" w:color="auto"/>
                <w:bottom w:val="none" w:sz="0" w:space="0" w:color="auto"/>
                <w:right w:val="none" w:sz="0" w:space="0" w:color="auto"/>
              </w:divBdr>
              <w:divsChild>
                <w:div w:id="2012489170">
                  <w:marLeft w:val="0"/>
                  <w:marRight w:val="0"/>
                  <w:marTop w:val="0"/>
                  <w:marBottom w:val="0"/>
                  <w:divBdr>
                    <w:top w:val="none" w:sz="0" w:space="0" w:color="auto"/>
                    <w:left w:val="none" w:sz="0" w:space="0" w:color="auto"/>
                    <w:bottom w:val="none" w:sz="0" w:space="0" w:color="auto"/>
                    <w:right w:val="none" w:sz="0" w:space="0" w:color="auto"/>
                  </w:divBdr>
                </w:div>
                <w:div w:id="215315090">
                  <w:marLeft w:val="0"/>
                  <w:marRight w:val="0"/>
                  <w:marTop w:val="0"/>
                  <w:marBottom w:val="0"/>
                  <w:divBdr>
                    <w:top w:val="none" w:sz="0" w:space="0" w:color="auto"/>
                    <w:left w:val="none" w:sz="0" w:space="0" w:color="auto"/>
                    <w:bottom w:val="none" w:sz="0" w:space="0" w:color="auto"/>
                    <w:right w:val="none" w:sz="0" w:space="0" w:color="auto"/>
                  </w:divBdr>
                </w:div>
                <w:div w:id="1759600594">
                  <w:marLeft w:val="0"/>
                  <w:marRight w:val="0"/>
                  <w:marTop w:val="0"/>
                  <w:marBottom w:val="0"/>
                  <w:divBdr>
                    <w:top w:val="none" w:sz="0" w:space="0" w:color="auto"/>
                    <w:left w:val="none" w:sz="0" w:space="0" w:color="auto"/>
                    <w:bottom w:val="none" w:sz="0" w:space="0" w:color="auto"/>
                    <w:right w:val="none" w:sz="0" w:space="0" w:color="auto"/>
                  </w:divBdr>
                </w:div>
              </w:divsChild>
            </w:div>
            <w:div w:id="814178142">
              <w:marLeft w:val="0"/>
              <w:marRight w:val="0"/>
              <w:marTop w:val="0"/>
              <w:marBottom w:val="0"/>
              <w:divBdr>
                <w:top w:val="none" w:sz="0" w:space="0" w:color="auto"/>
                <w:left w:val="none" w:sz="0" w:space="0" w:color="auto"/>
                <w:bottom w:val="none" w:sz="0" w:space="0" w:color="auto"/>
                <w:right w:val="none" w:sz="0" w:space="0" w:color="auto"/>
              </w:divBdr>
              <w:divsChild>
                <w:div w:id="161555831">
                  <w:marLeft w:val="0"/>
                  <w:marRight w:val="0"/>
                  <w:marTop w:val="0"/>
                  <w:marBottom w:val="0"/>
                  <w:divBdr>
                    <w:top w:val="none" w:sz="0" w:space="0" w:color="auto"/>
                    <w:left w:val="none" w:sz="0" w:space="0" w:color="auto"/>
                    <w:bottom w:val="none" w:sz="0" w:space="0" w:color="auto"/>
                    <w:right w:val="none" w:sz="0" w:space="0" w:color="auto"/>
                  </w:divBdr>
                </w:div>
                <w:div w:id="1788696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485818">
      <w:bodyDiv w:val="1"/>
      <w:marLeft w:val="0"/>
      <w:marRight w:val="0"/>
      <w:marTop w:val="0"/>
      <w:marBottom w:val="0"/>
      <w:divBdr>
        <w:top w:val="none" w:sz="0" w:space="0" w:color="auto"/>
        <w:left w:val="none" w:sz="0" w:space="0" w:color="auto"/>
        <w:bottom w:val="none" w:sz="0" w:space="0" w:color="auto"/>
        <w:right w:val="none" w:sz="0" w:space="0" w:color="auto"/>
      </w:divBdr>
      <w:divsChild>
        <w:div w:id="1739554311">
          <w:marLeft w:val="0"/>
          <w:marRight w:val="0"/>
          <w:marTop w:val="0"/>
          <w:marBottom w:val="0"/>
          <w:divBdr>
            <w:top w:val="none" w:sz="0" w:space="0" w:color="auto"/>
            <w:left w:val="none" w:sz="0" w:space="0" w:color="auto"/>
            <w:bottom w:val="none" w:sz="0" w:space="0" w:color="auto"/>
            <w:right w:val="none" w:sz="0" w:space="0" w:color="auto"/>
          </w:divBdr>
        </w:div>
        <w:div w:id="104346402">
          <w:marLeft w:val="0"/>
          <w:marRight w:val="0"/>
          <w:marTop w:val="0"/>
          <w:marBottom w:val="0"/>
          <w:divBdr>
            <w:top w:val="none" w:sz="0" w:space="0" w:color="auto"/>
            <w:left w:val="none" w:sz="0" w:space="0" w:color="auto"/>
            <w:bottom w:val="none" w:sz="0" w:space="0" w:color="auto"/>
            <w:right w:val="none" w:sz="0" w:space="0" w:color="auto"/>
          </w:divBdr>
        </w:div>
        <w:div w:id="1073545654">
          <w:marLeft w:val="0"/>
          <w:marRight w:val="0"/>
          <w:marTop w:val="0"/>
          <w:marBottom w:val="0"/>
          <w:divBdr>
            <w:top w:val="none" w:sz="0" w:space="0" w:color="auto"/>
            <w:left w:val="none" w:sz="0" w:space="0" w:color="auto"/>
            <w:bottom w:val="none" w:sz="0" w:space="0" w:color="auto"/>
            <w:right w:val="none" w:sz="0" w:space="0" w:color="auto"/>
          </w:divBdr>
        </w:div>
      </w:divsChild>
    </w:div>
    <w:div w:id="843014495">
      <w:bodyDiv w:val="1"/>
      <w:marLeft w:val="0"/>
      <w:marRight w:val="0"/>
      <w:marTop w:val="0"/>
      <w:marBottom w:val="0"/>
      <w:divBdr>
        <w:top w:val="none" w:sz="0" w:space="0" w:color="auto"/>
        <w:left w:val="none" w:sz="0" w:space="0" w:color="auto"/>
        <w:bottom w:val="none" w:sz="0" w:space="0" w:color="auto"/>
        <w:right w:val="none" w:sz="0" w:space="0" w:color="auto"/>
      </w:divBdr>
      <w:divsChild>
        <w:div w:id="1283152570">
          <w:marLeft w:val="0"/>
          <w:marRight w:val="0"/>
          <w:marTop w:val="0"/>
          <w:marBottom w:val="0"/>
          <w:divBdr>
            <w:top w:val="none" w:sz="0" w:space="0" w:color="auto"/>
            <w:left w:val="none" w:sz="0" w:space="0" w:color="auto"/>
            <w:bottom w:val="none" w:sz="0" w:space="0" w:color="auto"/>
            <w:right w:val="none" w:sz="0" w:space="0" w:color="auto"/>
          </w:divBdr>
          <w:divsChild>
            <w:div w:id="338699297">
              <w:marLeft w:val="0"/>
              <w:marRight w:val="0"/>
              <w:marTop w:val="0"/>
              <w:marBottom w:val="0"/>
              <w:divBdr>
                <w:top w:val="none" w:sz="0" w:space="0" w:color="auto"/>
                <w:left w:val="none" w:sz="0" w:space="0" w:color="auto"/>
                <w:bottom w:val="none" w:sz="0" w:space="0" w:color="auto"/>
                <w:right w:val="none" w:sz="0" w:space="0" w:color="auto"/>
              </w:divBdr>
              <w:divsChild>
                <w:div w:id="240724210">
                  <w:marLeft w:val="0"/>
                  <w:marRight w:val="0"/>
                  <w:marTop w:val="0"/>
                  <w:marBottom w:val="0"/>
                  <w:divBdr>
                    <w:top w:val="none" w:sz="0" w:space="0" w:color="auto"/>
                    <w:left w:val="none" w:sz="0" w:space="0" w:color="auto"/>
                    <w:bottom w:val="none" w:sz="0" w:space="0" w:color="auto"/>
                    <w:right w:val="none" w:sz="0" w:space="0" w:color="auto"/>
                  </w:divBdr>
                </w:div>
                <w:div w:id="1875539246">
                  <w:marLeft w:val="0"/>
                  <w:marRight w:val="0"/>
                  <w:marTop w:val="0"/>
                  <w:marBottom w:val="0"/>
                  <w:divBdr>
                    <w:top w:val="none" w:sz="0" w:space="0" w:color="auto"/>
                    <w:left w:val="none" w:sz="0" w:space="0" w:color="auto"/>
                    <w:bottom w:val="none" w:sz="0" w:space="0" w:color="auto"/>
                    <w:right w:val="none" w:sz="0" w:space="0" w:color="auto"/>
                  </w:divBdr>
                </w:div>
              </w:divsChild>
            </w:div>
            <w:div w:id="1892419888">
              <w:marLeft w:val="0"/>
              <w:marRight w:val="0"/>
              <w:marTop w:val="0"/>
              <w:marBottom w:val="0"/>
              <w:divBdr>
                <w:top w:val="none" w:sz="0" w:space="0" w:color="auto"/>
                <w:left w:val="none" w:sz="0" w:space="0" w:color="auto"/>
                <w:bottom w:val="none" w:sz="0" w:space="0" w:color="auto"/>
                <w:right w:val="none" w:sz="0" w:space="0" w:color="auto"/>
              </w:divBdr>
              <w:divsChild>
                <w:div w:id="460880662">
                  <w:marLeft w:val="0"/>
                  <w:marRight w:val="0"/>
                  <w:marTop w:val="0"/>
                  <w:marBottom w:val="0"/>
                  <w:divBdr>
                    <w:top w:val="none" w:sz="0" w:space="0" w:color="auto"/>
                    <w:left w:val="none" w:sz="0" w:space="0" w:color="auto"/>
                    <w:bottom w:val="none" w:sz="0" w:space="0" w:color="auto"/>
                    <w:right w:val="none" w:sz="0" w:space="0" w:color="auto"/>
                  </w:divBdr>
                </w:div>
                <w:div w:id="718936336">
                  <w:marLeft w:val="0"/>
                  <w:marRight w:val="0"/>
                  <w:marTop w:val="0"/>
                  <w:marBottom w:val="0"/>
                  <w:divBdr>
                    <w:top w:val="none" w:sz="0" w:space="0" w:color="auto"/>
                    <w:left w:val="none" w:sz="0" w:space="0" w:color="auto"/>
                    <w:bottom w:val="none" w:sz="0" w:space="0" w:color="auto"/>
                    <w:right w:val="none" w:sz="0" w:space="0" w:color="auto"/>
                  </w:divBdr>
                </w:div>
                <w:div w:id="272983740">
                  <w:marLeft w:val="0"/>
                  <w:marRight w:val="0"/>
                  <w:marTop w:val="0"/>
                  <w:marBottom w:val="0"/>
                  <w:divBdr>
                    <w:top w:val="none" w:sz="0" w:space="0" w:color="auto"/>
                    <w:left w:val="none" w:sz="0" w:space="0" w:color="auto"/>
                    <w:bottom w:val="none" w:sz="0" w:space="0" w:color="auto"/>
                    <w:right w:val="none" w:sz="0" w:space="0" w:color="auto"/>
                  </w:divBdr>
                </w:div>
              </w:divsChild>
            </w:div>
            <w:div w:id="1375420522">
              <w:marLeft w:val="0"/>
              <w:marRight w:val="0"/>
              <w:marTop w:val="0"/>
              <w:marBottom w:val="0"/>
              <w:divBdr>
                <w:top w:val="none" w:sz="0" w:space="0" w:color="auto"/>
                <w:left w:val="none" w:sz="0" w:space="0" w:color="auto"/>
                <w:bottom w:val="none" w:sz="0" w:space="0" w:color="auto"/>
                <w:right w:val="none" w:sz="0" w:space="0" w:color="auto"/>
              </w:divBdr>
              <w:divsChild>
                <w:div w:id="253444418">
                  <w:marLeft w:val="0"/>
                  <w:marRight w:val="0"/>
                  <w:marTop w:val="0"/>
                  <w:marBottom w:val="0"/>
                  <w:divBdr>
                    <w:top w:val="none" w:sz="0" w:space="0" w:color="auto"/>
                    <w:left w:val="none" w:sz="0" w:space="0" w:color="auto"/>
                    <w:bottom w:val="none" w:sz="0" w:space="0" w:color="auto"/>
                    <w:right w:val="none" w:sz="0" w:space="0" w:color="auto"/>
                  </w:divBdr>
                </w:div>
                <w:div w:id="597255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035137">
      <w:bodyDiv w:val="1"/>
      <w:marLeft w:val="0"/>
      <w:marRight w:val="0"/>
      <w:marTop w:val="0"/>
      <w:marBottom w:val="0"/>
      <w:divBdr>
        <w:top w:val="none" w:sz="0" w:space="0" w:color="auto"/>
        <w:left w:val="none" w:sz="0" w:space="0" w:color="auto"/>
        <w:bottom w:val="none" w:sz="0" w:space="0" w:color="auto"/>
        <w:right w:val="none" w:sz="0" w:space="0" w:color="auto"/>
      </w:divBdr>
    </w:div>
    <w:div w:id="1697346067">
      <w:bodyDiv w:val="1"/>
      <w:marLeft w:val="0"/>
      <w:marRight w:val="0"/>
      <w:marTop w:val="0"/>
      <w:marBottom w:val="0"/>
      <w:divBdr>
        <w:top w:val="none" w:sz="0" w:space="0" w:color="auto"/>
        <w:left w:val="none" w:sz="0" w:space="0" w:color="auto"/>
        <w:bottom w:val="none" w:sz="0" w:space="0" w:color="auto"/>
        <w:right w:val="none" w:sz="0" w:space="0" w:color="auto"/>
      </w:divBdr>
    </w:div>
    <w:div w:id="1956473820">
      <w:bodyDiv w:val="1"/>
      <w:marLeft w:val="0"/>
      <w:marRight w:val="0"/>
      <w:marTop w:val="0"/>
      <w:marBottom w:val="0"/>
      <w:divBdr>
        <w:top w:val="none" w:sz="0" w:space="0" w:color="auto"/>
        <w:left w:val="none" w:sz="0" w:space="0" w:color="auto"/>
        <w:bottom w:val="none" w:sz="0" w:space="0" w:color="auto"/>
        <w:right w:val="none" w:sz="0" w:space="0" w:color="auto"/>
      </w:divBdr>
    </w:div>
    <w:div w:id="1970622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eur03.safelinks.protection.outlook.com/?url=https%3A%2F%2Fwww.equalityhumanrights.com%2Fhuman-rights%2Fhuman-rights-act&amp;data=05%7C02%7CStephanie.Wright2%40wales.nhs.uk%7C85e18d7e302243afc14108dcf68fb807%7Cbb5628b8e3284082a856433c9edc8fae%7C0%7C0%7C638656344326736040%7CUnknown%7CTWFpbGZsb3d8eyJWIjoiMC4wLjAwMDAiLCJQIjoiV2luMzIiLCJBTiI6Ik1haWwiLCJXVCI6Mn0%3D%7C0%7C%7C%7C&amp;sdata=%2BfoiVryRJ6mxGVs6%2FfJA8ZtSHD7KKZuuoqXxf5ZnpaU%3D&amp;reserved=0"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03.safelinks.protection.outlook.com/?url=https%3A%2F%2Fwww.legislation.gov.uk%2Fukpga%2F2005%2F9%2Fcontents&amp;data=05%7C02%7CStephanie.Wright2%40wales.nhs.uk%7C85e18d7e302243afc14108dcf68fb807%7Cbb5628b8e3284082a856433c9edc8fae%7C0%7C0%7C638656344326759240%7CUnknown%7CTWFpbGZsb3d8eyJWIjoiMC4wLjAwMDAiLCJQIjoiV2luMzIiLCJBTiI6Ik1haWwiLCJXVCI6Mn0%3D%7C0%7C%7C%7C&amp;sdata=gXBBxbWKuMp%2B5VHgp3Ri3Kht0sXtL4x05HNjxqMiLFM%3D&amp;reserved=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65460339-c1cb-475d-965e-7dcfd1b35c45" xsi:nil="true"/>
    <lcf76f155ced4ddcb4097134ff3c332f xmlns="f5c15d57-0850-43d1-8f71-eae3277e0e6b">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4" ma:contentTypeDescription="Create a new document." ma:contentTypeScope="" ma:versionID="5beb637eb99cbf974a45ba7dbfbcf9b6">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40e9af5f543d18a1d77281f67c4e13dd"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8fcb3c8-1e89-41f5-b7c0-0253c4610a09}" ma:internalName="TaxCatchAll" ma:showField="CatchAllData" ma:web="65460339-c1cb-475d-965e-7dcfd1b35c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C3DF76-CD51-4D1A-ADDE-B62BC9D15A80}">
  <ds:schemaRefs>
    <ds:schemaRef ds:uri="http://schemas.microsoft.com/sharepoint/v3/contenttype/forms"/>
  </ds:schemaRefs>
</ds:datastoreItem>
</file>

<file path=customXml/itemProps2.xml><?xml version="1.0" encoding="utf-8"?>
<ds:datastoreItem xmlns:ds="http://schemas.openxmlformats.org/officeDocument/2006/customXml" ds:itemID="{62B50E5A-F5AD-4510-B0D5-7C6C8D8DC386}">
  <ds:schemaRefs>
    <ds:schemaRef ds:uri="http://schemas.openxmlformats.org/officeDocument/2006/bibliography"/>
  </ds:schemaRefs>
</ds:datastoreItem>
</file>

<file path=customXml/itemProps3.xml><?xml version="1.0" encoding="utf-8"?>
<ds:datastoreItem xmlns:ds="http://schemas.openxmlformats.org/officeDocument/2006/customXml" ds:itemID="{D9755708-2580-4081-BFFD-80D48EF41D05}">
  <ds:schemaRefs>
    <ds:schemaRef ds:uri="http://schemas.microsoft.com/office/2006/metadata/properties"/>
    <ds:schemaRef ds:uri="http://schemas.microsoft.com/office/infopath/2007/PartnerControls"/>
    <ds:schemaRef ds:uri="65460339-c1cb-475d-965e-7dcfd1b35c45"/>
    <ds:schemaRef ds:uri="f5c15d57-0850-43d1-8f71-eae3277e0e6b"/>
  </ds:schemaRefs>
</ds:datastoreItem>
</file>

<file path=customXml/itemProps4.xml><?xml version="1.0" encoding="utf-8"?>
<ds:datastoreItem xmlns:ds="http://schemas.openxmlformats.org/officeDocument/2006/customXml" ds:itemID="{4C7D6ECE-8A4B-4B04-B4E0-1659FF2455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1760</Words>
  <Characters>10038</Characters>
  <Application>Microsoft Office Word</Application>
  <DocSecurity>0</DocSecurity>
  <Lines>83</Lines>
  <Paragraphs>23</Paragraphs>
  <ScaleCrop>false</ScaleCrop>
  <Company>SBU</Company>
  <LinksUpToDate>false</LinksUpToDate>
  <CharactersWithSpaces>11775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RCRP Phase 2 AWOL SOP</dc:title>
  <dc:subject>v1 07.10.24</dc:subject>
  <dc:creator>Julie Morse (Swansea Bay UHB - Strategy)</dc:creator>
  <cp:keywords/>
  <dc:description/>
  <cp:lastModifiedBy>Sophie Herbert (Swansea Bay UHB - Corporate Governance )</cp:lastModifiedBy>
  <cp:revision>1</cp:revision>
  <cp:lastPrinted>2024-10-07T13:07:00Z</cp:lastPrinted>
  <dcterms:created xsi:type="dcterms:W3CDTF">2024-11-22T09:39:00Z</dcterms:created>
  <dcterms:modified xsi:type="dcterms:W3CDTF">2024-11-22T09:39:00Z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MediaServiceImageTags">
    <vt:lpwstr/>
  </property>
</Properties>
</file>