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843"/>
        <w:gridCol w:w="1559"/>
        <w:gridCol w:w="1551"/>
        <w:gridCol w:w="675"/>
        <w:gridCol w:w="841"/>
      </w:tblGrid>
      <w:tr w:rsidR="00083FC0" w:rsidRPr="002621A4" w14:paraId="6D2903E2" w14:textId="77777777" w:rsidTr="005223A7">
        <w:tc>
          <w:tcPr>
            <w:tcW w:w="2547" w:type="dxa"/>
          </w:tcPr>
          <w:p w14:paraId="6D2903DE" w14:textId="77777777" w:rsidR="00F5082D" w:rsidRPr="002621A4" w:rsidRDefault="00F5082D" w:rsidP="00FA0CA9">
            <w:pPr>
              <w:rPr>
                <w:rFonts w:ascii="Verdana" w:hAnsi="Verdana" w:cs="Arial"/>
                <w:b/>
                <w:sz w:val="24"/>
                <w:szCs w:val="24"/>
              </w:rPr>
            </w:pPr>
            <w:r w:rsidRPr="002621A4">
              <w:rPr>
                <w:rFonts w:ascii="Verdana" w:hAnsi="Verdana" w:cs="Arial"/>
                <w:b/>
                <w:sz w:val="24"/>
                <w:szCs w:val="24"/>
              </w:rPr>
              <w:t>Meeting Date</w:t>
            </w:r>
          </w:p>
        </w:tc>
        <w:tc>
          <w:tcPr>
            <w:tcW w:w="3402" w:type="dxa"/>
            <w:gridSpan w:val="2"/>
          </w:tcPr>
          <w:p w14:paraId="6D2903DF" w14:textId="4F8B6459" w:rsidR="00F5082D" w:rsidRPr="002621A4" w:rsidRDefault="005D3DF1" w:rsidP="00FA0CA9">
            <w:pPr>
              <w:rPr>
                <w:rFonts w:ascii="Verdana" w:hAnsi="Verdana" w:cs="Arial"/>
                <w:b/>
                <w:sz w:val="24"/>
                <w:szCs w:val="24"/>
              </w:rPr>
            </w:pPr>
            <w:r w:rsidRPr="002621A4">
              <w:rPr>
                <w:rFonts w:ascii="Verdana" w:hAnsi="Verdana" w:cs="Arial"/>
                <w:b/>
                <w:sz w:val="24"/>
                <w:szCs w:val="24"/>
              </w:rPr>
              <w:t>0</w:t>
            </w:r>
            <w:r w:rsidR="00B043B7" w:rsidRPr="002621A4">
              <w:rPr>
                <w:rFonts w:ascii="Verdana" w:hAnsi="Verdana" w:cs="Arial"/>
                <w:b/>
                <w:sz w:val="24"/>
                <w:szCs w:val="24"/>
              </w:rPr>
              <w:t>9</w:t>
            </w:r>
            <w:r w:rsidRPr="002621A4">
              <w:rPr>
                <w:rFonts w:ascii="Verdana" w:hAnsi="Verdana" w:cs="Arial"/>
                <w:b/>
                <w:sz w:val="24"/>
                <w:szCs w:val="24"/>
              </w:rPr>
              <w:t xml:space="preserve"> </w:t>
            </w:r>
            <w:r w:rsidR="00B043B7" w:rsidRPr="002621A4">
              <w:rPr>
                <w:rFonts w:ascii="Verdana" w:hAnsi="Verdana" w:cs="Arial"/>
                <w:b/>
                <w:sz w:val="24"/>
                <w:szCs w:val="24"/>
              </w:rPr>
              <w:t>September</w:t>
            </w:r>
            <w:r w:rsidRPr="002621A4">
              <w:rPr>
                <w:rFonts w:ascii="Verdana" w:hAnsi="Verdana" w:cs="Arial"/>
                <w:b/>
                <w:sz w:val="24"/>
                <w:szCs w:val="24"/>
              </w:rPr>
              <w:t xml:space="preserve"> 2025</w:t>
            </w:r>
          </w:p>
        </w:tc>
        <w:tc>
          <w:tcPr>
            <w:tcW w:w="2226" w:type="dxa"/>
            <w:gridSpan w:val="2"/>
          </w:tcPr>
          <w:p w14:paraId="6D2903E0" w14:textId="77777777" w:rsidR="00F5082D" w:rsidRPr="002621A4" w:rsidRDefault="00F5082D" w:rsidP="00FA0CA9">
            <w:pPr>
              <w:rPr>
                <w:rFonts w:ascii="Verdana" w:hAnsi="Verdana" w:cs="Arial"/>
                <w:b/>
                <w:sz w:val="24"/>
                <w:szCs w:val="24"/>
              </w:rPr>
            </w:pPr>
            <w:r w:rsidRPr="002621A4">
              <w:rPr>
                <w:rFonts w:ascii="Verdana" w:hAnsi="Verdana" w:cs="Arial"/>
                <w:b/>
                <w:sz w:val="24"/>
                <w:szCs w:val="24"/>
              </w:rPr>
              <w:t>Agenda Item</w:t>
            </w:r>
          </w:p>
        </w:tc>
        <w:tc>
          <w:tcPr>
            <w:tcW w:w="841" w:type="dxa"/>
          </w:tcPr>
          <w:p w14:paraId="6D2903E1" w14:textId="0D9D7DB5" w:rsidR="00F5082D" w:rsidRPr="002621A4" w:rsidRDefault="00B043B7" w:rsidP="00FA0CA9">
            <w:pPr>
              <w:rPr>
                <w:rFonts w:ascii="Verdana" w:hAnsi="Verdana" w:cs="Arial"/>
                <w:b/>
                <w:sz w:val="24"/>
                <w:szCs w:val="24"/>
              </w:rPr>
            </w:pPr>
            <w:r w:rsidRPr="002621A4">
              <w:rPr>
                <w:rFonts w:ascii="Verdana" w:hAnsi="Verdana" w:cs="Arial"/>
                <w:b/>
                <w:sz w:val="24"/>
                <w:szCs w:val="24"/>
              </w:rPr>
              <w:t>3.2</w:t>
            </w:r>
          </w:p>
        </w:tc>
      </w:tr>
      <w:tr w:rsidR="00B0479E" w:rsidRPr="002621A4" w14:paraId="1EEB45B2" w14:textId="77777777" w:rsidTr="00B0564E">
        <w:tc>
          <w:tcPr>
            <w:tcW w:w="2547" w:type="dxa"/>
            <w:shd w:val="clear" w:color="auto" w:fill="auto"/>
          </w:tcPr>
          <w:p w14:paraId="4A48663E" w14:textId="6879CA0B" w:rsidR="00B0479E" w:rsidRPr="002621A4" w:rsidRDefault="00B0479E" w:rsidP="00FA0CA9">
            <w:pPr>
              <w:rPr>
                <w:rFonts w:ascii="Verdana" w:hAnsi="Verdana" w:cs="Arial"/>
                <w:b/>
                <w:sz w:val="24"/>
                <w:szCs w:val="24"/>
              </w:rPr>
            </w:pPr>
            <w:r w:rsidRPr="002621A4">
              <w:rPr>
                <w:rFonts w:ascii="Verdana" w:hAnsi="Verdana" w:cs="Arial"/>
                <w:b/>
                <w:sz w:val="24"/>
                <w:szCs w:val="24"/>
              </w:rPr>
              <w:t xml:space="preserve">Name of Meeting </w:t>
            </w:r>
          </w:p>
        </w:tc>
        <w:tc>
          <w:tcPr>
            <w:tcW w:w="6469" w:type="dxa"/>
            <w:gridSpan w:val="5"/>
          </w:tcPr>
          <w:p w14:paraId="5687483E" w14:textId="0B9F2A6F" w:rsidR="00B0479E" w:rsidRPr="002621A4" w:rsidRDefault="00B043B7" w:rsidP="00FA0CA9">
            <w:pPr>
              <w:rPr>
                <w:rFonts w:ascii="Verdana" w:hAnsi="Verdana" w:cs="Arial"/>
                <w:b/>
                <w:sz w:val="24"/>
                <w:szCs w:val="24"/>
              </w:rPr>
            </w:pPr>
            <w:r w:rsidRPr="002621A4">
              <w:rPr>
                <w:rFonts w:ascii="Verdana" w:hAnsi="Verdana" w:cs="Arial"/>
                <w:b/>
                <w:sz w:val="24"/>
                <w:szCs w:val="24"/>
              </w:rPr>
              <w:t>Population Health Committee</w:t>
            </w:r>
          </w:p>
        </w:tc>
      </w:tr>
      <w:tr w:rsidR="00083FC0" w:rsidRPr="002621A4" w14:paraId="6D2903E5" w14:textId="77777777" w:rsidTr="00DA76AD">
        <w:tc>
          <w:tcPr>
            <w:tcW w:w="2547" w:type="dxa"/>
          </w:tcPr>
          <w:p w14:paraId="6D2903E3" w14:textId="77777777" w:rsidR="00034194" w:rsidRPr="002621A4" w:rsidRDefault="00034194" w:rsidP="00FA0CA9">
            <w:pPr>
              <w:rPr>
                <w:rFonts w:ascii="Verdana" w:hAnsi="Verdana" w:cs="Arial"/>
                <w:b/>
                <w:sz w:val="24"/>
                <w:szCs w:val="24"/>
              </w:rPr>
            </w:pPr>
            <w:r w:rsidRPr="002621A4">
              <w:rPr>
                <w:rFonts w:ascii="Verdana" w:hAnsi="Verdana" w:cs="Arial"/>
                <w:b/>
                <w:sz w:val="24"/>
                <w:szCs w:val="24"/>
              </w:rPr>
              <w:t>Report Title</w:t>
            </w:r>
          </w:p>
        </w:tc>
        <w:tc>
          <w:tcPr>
            <w:tcW w:w="6469" w:type="dxa"/>
            <w:gridSpan w:val="5"/>
          </w:tcPr>
          <w:p w14:paraId="6D2903E4" w14:textId="1B86531C" w:rsidR="00034194" w:rsidRPr="002621A4" w:rsidRDefault="00B043B7" w:rsidP="00FA0CA9">
            <w:pPr>
              <w:rPr>
                <w:rFonts w:ascii="Verdana" w:hAnsi="Verdana" w:cs="Arial"/>
                <w:b/>
                <w:sz w:val="24"/>
                <w:szCs w:val="24"/>
              </w:rPr>
            </w:pPr>
            <w:r w:rsidRPr="002621A4">
              <w:rPr>
                <w:rStyle w:val="markpr95ei9iq"/>
                <w:rFonts w:ascii="Verdana" w:hAnsi="Verdana" w:cs="Arial"/>
                <w:color w:val="242424"/>
                <w:sz w:val="24"/>
                <w:szCs w:val="24"/>
                <w:bdr w:val="none" w:sz="0" w:space="0" w:color="auto" w:frame="1"/>
                <w:shd w:val="clear" w:color="auto" w:fill="FFFFFF"/>
              </w:rPr>
              <w:t xml:space="preserve">Commercial Food </w:t>
            </w:r>
            <w:r w:rsidR="002777E6" w:rsidRPr="002621A4">
              <w:rPr>
                <w:rStyle w:val="markpr95ei9iq"/>
                <w:rFonts w:ascii="Verdana" w:hAnsi="Verdana" w:cs="Arial"/>
                <w:color w:val="242424"/>
                <w:sz w:val="24"/>
                <w:szCs w:val="24"/>
                <w:bdr w:val="none" w:sz="0" w:space="0" w:color="auto" w:frame="1"/>
                <w:shd w:val="clear" w:color="auto" w:fill="FFFFFF"/>
              </w:rPr>
              <w:t>P</w:t>
            </w:r>
            <w:r w:rsidRPr="002621A4">
              <w:rPr>
                <w:rStyle w:val="markpr95ei9iq"/>
                <w:rFonts w:ascii="Verdana" w:hAnsi="Verdana" w:cs="Arial"/>
                <w:color w:val="242424"/>
                <w:sz w:val="24"/>
                <w:szCs w:val="24"/>
                <w:bdr w:val="none" w:sz="0" w:space="0" w:color="auto" w:frame="1"/>
                <w:shd w:val="clear" w:color="auto" w:fill="FFFFFF"/>
              </w:rPr>
              <w:t xml:space="preserve">rovision on Health Board </w:t>
            </w:r>
            <w:r w:rsidR="002777E6" w:rsidRPr="002621A4">
              <w:rPr>
                <w:rStyle w:val="markpr95ei9iq"/>
                <w:rFonts w:ascii="Verdana" w:hAnsi="Verdana" w:cs="Arial"/>
                <w:color w:val="242424"/>
                <w:sz w:val="24"/>
                <w:szCs w:val="24"/>
                <w:bdr w:val="none" w:sz="0" w:space="0" w:color="auto" w:frame="1"/>
                <w:shd w:val="clear" w:color="auto" w:fill="FFFFFF"/>
              </w:rPr>
              <w:t>S</w:t>
            </w:r>
            <w:r w:rsidRPr="002621A4">
              <w:rPr>
                <w:rStyle w:val="markpr95ei9iq"/>
                <w:rFonts w:ascii="Verdana" w:hAnsi="Verdana" w:cs="Arial"/>
                <w:color w:val="242424"/>
                <w:sz w:val="24"/>
                <w:szCs w:val="24"/>
                <w:bdr w:val="none" w:sz="0" w:space="0" w:color="auto" w:frame="1"/>
                <w:shd w:val="clear" w:color="auto" w:fill="FFFFFF"/>
              </w:rPr>
              <w:t>ites</w:t>
            </w:r>
          </w:p>
        </w:tc>
      </w:tr>
      <w:tr w:rsidR="00083FC0" w:rsidRPr="002621A4" w14:paraId="6D2903E8" w14:textId="77777777" w:rsidTr="00DA76AD">
        <w:tc>
          <w:tcPr>
            <w:tcW w:w="2547" w:type="dxa"/>
          </w:tcPr>
          <w:p w14:paraId="6D2903E6" w14:textId="77777777" w:rsidR="00034194" w:rsidRPr="002621A4" w:rsidRDefault="00034194" w:rsidP="00FA0CA9">
            <w:pPr>
              <w:rPr>
                <w:rFonts w:ascii="Verdana" w:hAnsi="Verdana" w:cs="Arial"/>
                <w:b/>
                <w:sz w:val="24"/>
                <w:szCs w:val="24"/>
              </w:rPr>
            </w:pPr>
            <w:r w:rsidRPr="002621A4">
              <w:rPr>
                <w:rFonts w:ascii="Verdana" w:hAnsi="Verdana" w:cs="Arial"/>
                <w:b/>
                <w:sz w:val="24"/>
                <w:szCs w:val="24"/>
              </w:rPr>
              <w:t>Report Author</w:t>
            </w:r>
          </w:p>
        </w:tc>
        <w:tc>
          <w:tcPr>
            <w:tcW w:w="6469" w:type="dxa"/>
            <w:gridSpan w:val="5"/>
          </w:tcPr>
          <w:p w14:paraId="2BAA12D6" w14:textId="77777777" w:rsidR="00B043B7" w:rsidRPr="002621A4" w:rsidRDefault="00B043B7" w:rsidP="00B043B7">
            <w:pPr>
              <w:spacing w:before="40" w:after="40"/>
              <w:rPr>
                <w:rFonts w:ascii="Verdana" w:hAnsi="Verdana" w:cs="Arial"/>
                <w:sz w:val="24"/>
                <w:szCs w:val="24"/>
              </w:rPr>
            </w:pPr>
            <w:r w:rsidRPr="002621A4">
              <w:rPr>
                <w:rFonts w:ascii="Verdana" w:hAnsi="Verdana" w:cs="Arial"/>
                <w:sz w:val="24"/>
                <w:szCs w:val="24"/>
              </w:rPr>
              <w:t>Dr Alice Puchades, Consultant in Public Health Medicine</w:t>
            </w:r>
          </w:p>
          <w:p w14:paraId="6D2903E7" w14:textId="36A15A4F" w:rsidR="00034194" w:rsidRPr="002621A4" w:rsidRDefault="00B043B7" w:rsidP="00B043B7">
            <w:pPr>
              <w:rPr>
                <w:rFonts w:ascii="Verdana" w:hAnsi="Verdana" w:cs="Arial"/>
                <w:sz w:val="24"/>
                <w:szCs w:val="24"/>
              </w:rPr>
            </w:pPr>
            <w:r w:rsidRPr="002621A4">
              <w:rPr>
                <w:rFonts w:ascii="Verdana" w:hAnsi="Verdana" w:cs="Arial"/>
                <w:sz w:val="24"/>
                <w:szCs w:val="24"/>
              </w:rPr>
              <w:t>Dr Marc Davies, Consultant in Public Health Medicine</w:t>
            </w:r>
          </w:p>
        </w:tc>
      </w:tr>
      <w:tr w:rsidR="00B043B7" w:rsidRPr="002621A4" w14:paraId="6D2903EB" w14:textId="77777777" w:rsidTr="00DA76AD">
        <w:tc>
          <w:tcPr>
            <w:tcW w:w="2547" w:type="dxa"/>
          </w:tcPr>
          <w:p w14:paraId="6D2903E9" w14:textId="77777777" w:rsidR="00B043B7" w:rsidRPr="002621A4" w:rsidRDefault="00B043B7" w:rsidP="00B043B7">
            <w:pPr>
              <w:rPr>
                <w:rFonts w:ascii="Verdana" w:hAnsi="Verdana" w:cs="Arial"/>
                <w:b/>
                <w:sz w:val="24"/>
                <w:szCs w:val="24"/>
              </w:rPr>
            </w:pPr>
            <w:r w:rsidRPr="002621A4">
              <w:rPr>
                <w:rFonts w:ascii="Verdana" w:hAnsi="Verdana" w:cs="Arial"/>
                <w:b/>
                <w:sz w:val="24"/>
                <w:szCs w:val="24"/>
              </w:rPr>
              <w:t>Report Sponsor</w:t>
            </w:r>
          </w:p>
        </w:tc>
        <w:tc>
          <w:tcPr>
            <w:tcW w:w="6469" w:type="dxa"/>
            <w:gridSpan w:val="5"/>
          </w:tcPr>
          <w:p w14:paraId="6D2903EA" w14:textId="1A0D74C1" w:rsidR="00B043B7" w:rsidRPr="002621A4" w:rsidRDefault="00B043B7" w:rsidP="00B043B7">
            <w:pPr>
              <w:rPr>
                <w:rFonts w:ascii="Verdana" w:hAnsi="Verdana" w:cs="Arial"/>
                <w:sz w:val="24"/>
                <w:szCs w:val="24"/>
              </w:rPr>
            </w:pPr>
            <w:r w:rsidRPr="002621A4">
              <w:rPr>
                <w:rFonts w:ascii="Verdana" w:hAnsi="Verdana" w:cs="Arial"/>
                <w:sz w:val="24"/>
                <w:szCs w:val="24"/>
              </w:rPr>
              <w:t>Prof Dr Gillian Richardson, Interim Executive Director of Public Health</w:t>
            </w:r>
          </w:p>
        </w:tc>
      </w:tr>
      <w:tr w:rsidR="00B043B7" w:rsidRPr="002621A4" w14:paraId="6D2903EE" w14:textId="77777777" w:rsidTr="00DA76AD">
        <w:tc>
          <w:tcPr>
            <w:tcW w:w="2547" w:type="dxa"/>
          </w:tcPr>
          <w:p w14:paraId="6D2903EC" w14:textId="77777777" w:rsidR="00B043B7" w:rsidRPr="002621A4" w:rsidRDefault="00B043B7" w:rsidP="00B043B7">
            <w:pPr>
              <w:rPr>
                <w:rFonts w:ascii="Verdana" w:hAnsi="Verdana" w:cs="Arial"/>
                <w:b/>
                <w:sz w:val="24"/>
                <w:szCs w:val="24"/>
              </w:rPr>
            </w:pPr>
            <w:r w:rsidRPr="002621A4">
              <w:rPr>
                <w:rFonts w:ascii="Verdana" w:hAnsi="Verdana" w:cs="Arial"/>
                <w:b/>
                <w:sz w:val="24"/>
                <w:szCs w:val="24"/>
              </w:rPr>
              <w:t>Presented by</w:t>
            </w:r>
          </w:p>
        </w:tc>
        <w:tc>
          <w:tcPr>
            <w:tcW w:w="6469" w:type="dxa"/>
            <w:gridSpan w:val="5"/>
          </w:tcPr>
          <w:p w14:paraId="6D2903ED" w14:textId="3D1C560C" w:rsidR="00B043B7" w:rsidRPr="002621A4" w:rsidRDefault="00B043B7" w:rsidP="00B043B7">
            <w:pPr>
              <w:rPr>
                <w:rFonts w:ascii="Verdana" w:hAnsi="Verdana" w:cs="Arial"/>
                <w:sz w:val="24"/>
                <w:szCs w:val="24"/>
              </w:rPr>
            </w:pPr>
            <w:r w:rsidRPr="002621A4">
              <w:rPr>
                <w:rFonts w:ascii="Verdana" w:hAnsi="Verdana" w:cs="Arial"/>
                <w:sz w:val="24"/>
                <w:szCs w:val="24"/>
              </w:rPr>
              <w:t>Dr Marc Davies, Consultant in Public Health Medicine</w:t>
            </w:r>
          </w:p>
        </w:tc>
      </w:tr>
      <w:tr w:rsidR="00B043B7" w:rsidRPr="002621A4" w14:paraId="6D2903F1" w14:textId="77777777" w:rsidTr="00DA76AD">
        <w:tc>
          <w:tcPr>
            <w:tcW w:w="2547" w:type="dxa"/>
          </w:tcPr>
          <w:p w14:paraId="6D2903EF" w14:textId="77777777" w:rsidR="00B043B7" w:rsidRPr="002621A4" w:rsidRDefault="00B043B7" w:rsidP="00B043B7">
            <w:pPr>
              <w:rPr>
                <w:rFonts w:ascii="Verdana" w:hAnsi="Verdana" w:cs="Arial"/>
                <w:b/>
                <w:sz w:val="24"/>
                <w:szCs w:val="24"/>
              </w:rPr>
            </w:pPr>
            <w:r w:rsidRPr="002621A4">
              <w:rPr>
                <w:rFonts w:ascii="Verdana" w:hAnsi="Verdana" w:cs="Arial"/>
                <w:b/>
                <w:sz w:val="24"/>
                <w:szCs w:val="24"/>
              </w:rPr>
              <w:t xml:space="preserve">Freedom of Information </w:t>
            </w:r>
          </w:p>
        </w:tc>
        <w:tc>
          <w:tcPr>
            <w:tcW w:w="6469" w:type="dxa"/>
            <w:gridSpan w:val="5"/>
          </w:tcPr>
          <w:p w14:paraId="6D2903F0" w14:textId="22D00867" w:rsidR="00B043B7" w:rsidRPr="002621A4" w:rsidRDefault="00B043B7" w:rsidP="00B043B7">
            <w:pPr>
              <w:rPr>
                <w:rFonts w:ascii="Verdana" w:hAnsi="Verdana" w:cs="Arial"/>
                <w:sz w:val="24"/>
                <w:szCs w:val="24"/>
              </w:rPr>
            </w:pPr>
            <w:r w:rsidRPr="002621A4">
              <w:rPr>
                <w:rFonts w:ascii="Verdana" w:hAnsi="Verdana" w:cs="Arial"/>
                <w:sz w:val="24"/>
                <w:szCs w:val="24"/>
              </w:rPr>
              <w:t xml:space="preserve">Open </w:t>
            </w:r>
          </w:p>
        </w:tc>
      </w:tr>
      <w:tr w:rsidR="00B043B7" w:rsidRPr="002621A4" w14:paraId="6D2903F8" w14:textId="77777777" w:rsidTr="00DA76AD">
        <w:tc>
          <w:tcPr>
            <w:tcW w:w="2547" w:type="dxa"/>
          </w:tcPr>
          <w:p w14:paraId="6D2903F2" w14:textId="77777777" w:rsidR="00B043B7" w:rsidRPr="002621A4" w:rsidRDefault="00B043B7" w:rsidP="00B043B7">
            <w:pPr>
              <w:rPr>
                <w:rFonts w:ascii="Verdana" w:hAnsi="Verdana" w:cs="Arial"/>
                <w:b/>
                <w:sz w:val="24"/>
                <w:szCs w:val="24"/>
              </w:rPr>
            </w:pPr>
            <w:r w:rsidRPr="002621A4">
              <w:rPr>
                <w:rFonts w:ascii="Verdana" w:hAnsi="Verdana" w:cs="Arial"/>
                <w:b/>
                <w:sz w:val="24"/>
                <w:szCs w:val="24"/>
              </w:rPr>
              <w:t>Purpose of the Report</w:t>
            </w:r>
          </w:p>
        </w:tc>
        <w:tc>
          <w:tcPr>
            <w:tcW w:w="6469" w:type="dxa"/>
            <w:gridSpan w:val="5"/>
          </w:tcPr>
          <w:p w14:paraId="6D2903F7" w14:textId="1E094247" w:rsidR="00B043B7" w:rsidRPr="002621A4" w:rsidRDefault="00B043B7" w:rsidP="00B043B7">
            <w:pPr>
              <w:rPr>
                <w:rFonts w:ascii="Verdana" w:hAnsi="Verdana" w:cs="Arial"/>
                <w:sz w:val="24"/>
                <w:szCs w:val="24"/>
              </w:rPr>
            </w:pPr>
            <w:r w:rsidRPr="002621A4">
              <w:rPr>
                <w:rFonts w:ascii="Verdana" w:hAnsi="Verdana" w:cs="Arial"/>
                <w:sz w:val="24"/>
                <w:szCs w:val="24"/>
                <w:lang w:val="en-US"/>
              </w:rPr>
              <w:t xml:space="preserve">This report provides information on the commercial retail food provision that is available in Swansea Bay University Health Board sites, as previously requested by the Population Health Committee. </w:t>
            </w:r>
          </w:p>
        </w:tc>
      </w:tr>
      <w:tr w:rsidR="00B043B7" w:rsidRPr="002621A4" w14:paraId="6D290402" w14:textId="77777777" w:rsidTr="00DA76AD">
        <w:tc>
          <w:tcPr>
            <w:tcW w:w="2547" w:type="dxa"/>
          </w:tcPr>
          <w:p w14:paraId="6D2903F9" w14:textId="77777777" w:rsidR="00B043B7" w:rsidRPr="002621A4" w:rsidRDefault="00B043B7" w:rsidP="00B043B7">
            <w:pPr>
              <w:rPr>
                <w:rFonts w:ascii="Verdana" w:hAnsi="Verdana" w:cs="Arial"/>
                <w:b/>
                <w:sz w:val="24"/>
                <w:szCs w:val="24"/>
              </w:rPr>
            </w:pPr>
            <w:r w:rsidRPr="002621A4">
              <w:rPr>
                <w:rFonts w:ascii="Verdana" w:hAnsi="Verdana" w:cs="Arial"/>
                <w:b/>
                <w:sz w:val="24"/>
                <w:szCs w:val="24"/>
              </w:rPr>
              <w:t>Key Issues</w:t>
            </w:r>
          </w:p>
          <w:p w14:paraId="6D2903FA" w14:textId="77777777" w:rsidR="00B043B7" w:rsidRPr="002621A4" w:rsidRDefault="00B043B7" w:rsidP="00B043B7">
            <w:pPr>
              <w:rPr>
                <w:rFonts w:ascii="Verdana" w:hAnsi="Verdana" w:cs="Arial"/>
                <w:b/>
                <w:sz w:val="24"/>
                <w:szCs w:val="24"/>
              </w:rPr>
            </w:pPr>
          </w:p>
          <w:p w14:paraId="6D2903FB" w14:textId="77777777" w:rsidR="00B043B7" w:rsidRPr="002621A4" w:rsidRDefault="00B043B7" w:rsidP="00B043B7">
            <w:pPr>
              <w:rPr>
                <w:rFonts w:ascii="Verdana" w:hAnsi="Verdana" w:cs="Arial"/>
                <w:b/>
                <w:sz w:val="24"/>
                <w:szCs w:val="24"/>
              </w:rPr>
            </w:pPr>
          </w:p>
          <w:p w14:paraId="6D2903FC" w14:textId="77777777" w:rsidR="00B043B7" w:rsidRPr="002621A4" w:rsidRDefault="00B043B7" w:rsidP="00B043B7">
            <w:pPr>
              <w:rPr>
                <w:rFonts w:ascii="Verdana" w:hAnsi="Verdana" w:cs="Arial"/>
                <w:b/>
                <w:sz w:val="24"/>
                <w:szCs w:val="24"/>
              </w:rPr>
            </w:pPr>
          </w:p>
        </w:tc>
        <w:tc>
          <w:tcPr>
            <w:tcW w:w="6469" w:type="dxa"/>
            <w:gridSpan w:val="5"/>
          </w:tcPr>
          <w:p w14:paraId="5125687D" w14:textId="77777777" w:rsidR="00B043B7" w:rsidRPr="002621A4" w:rsidRDefault="00B043B7" w:rsidP="00B043B7">
            <w:pPr>
              <w:pStyle w:val="NoSpacing"/>
              <w:numPr>
                <w:ilvl w:val="0"/>
                <w:numId w:val="11"/>
              </w:numPr>
              <w:rPr>
                <w:rFonts w:ascii="Verdana" w:hAnsi="Verdana" w:cs="Arial"/>
                <w:bCs/>
                <w:sz w:val="24"/>
                <w:szCs w:val="24"/>
              </w:rPr>
            </w:pPr>
            <w:r w:rsidRPr="002621A4">
              <w:rPr>
                <w:rFonts w:ascii="Verdana" w:hAnsi="Verdana" w:cs="Arial"/>
                <w:bCs/>
                <w:sz w:val="24"/>
                <w:szCs w:val="24"/>
              </w:rPr>
              <w:t>Commercial food provision which provides food and drink for purchase by staff, visitors and outpatients through retail settings include canteens, restaurants, cafes, shops and vending machines. Some of these are leased units and some are operated by the Health Board.</w:t>
            </w:r>
          </w:p>
          <w:p w14:paraId="2326566F" w14:textId="77777777" w:rsidR="00B043B7" w:rsidRPr="002621A4" w:rsidRDefault="00B043B7" w:rsidP="00B043B7">
            <w:pPr>
              <w:pStyle w:val="NoSpacing"/>
              <w:numPr>
                <w:ilvl w:val="0"/>
                <w:numId w:val="11"/>
              </w:numPr>
              <w:rPr>
                <w:rFonts w:ascii="Verdana" w:hAnsi="Verdana" w:cs="Arial"/>
                <w:sz w:val="24"/>
                <w:szCs w:val="24"/>
              </w:rPr>
            </w:pPr>
            <w:r w:rsidRPr="002621A4">
              <w:rPr>
                <w:rFonts w:ascii="Verdana" w:hAnsi="Verdana" w:cs="Arial"/>
                <w:sz w:val="24"/>
                <w:szCs w:val="24"/>
              </w:rPr>
              <w:t xml:space="preserve">There is a range of activity across the Health Board focused on healthy and sustainable food environments, delivered through the </w:t>
            </w:r>
            <w:r w:rsidRPr="002621A4">
              <w:rPr>
                <w:rFonts w:ascii="Verdana" w:hAnsi="Verdana" w:cs="Arial"/>
                <w:bCs/>
                <w:sz w:val="24"/>
                <w:szCs w:val="24"/>
              </w:rPr>
              <w:t xml:space="preserve">Healthy and Sustainable Catering Strategy, the </w:t>
            </w:r>
            <w:r w:rsidRPr="002621A4">
              <w:rPr>
                <w:rFonts w:ascii="Verdana" w:hAnsi="Verdana" w:cs="Arial"/>
                <w:sz w:val="24"/>
                <w:szCs w:val="24"/>
              </w:rPr>
              <w:t>Health Board Quality Priorities and through the Health Board’s role as an anchor institution.</w:t>
            </w:r>
          </w:p>
          <w:p w14:paraId="6D290401" w14:textId="10CE9DB2" w:rsidR="00B043B7" w:rsidRPr="002621A4" w:rsidRDefault="00B043B7" w:rsidP="00B043B7">
            <w:pPr>
              <w:pStyle w:val="NoSpacing"/>
              <w:numPr>
                <w:ilvl w:val="0"/>
                <w:numId w:val="11"/>
              </w:numPr>
              <w:rPr>
                <w:rFonts w:ascii="Verdana" w:hAnsi="Verdana" w:cs="Arial"/>
                <w:sz w:val="24"/>
                <w:szCs w:val="24"/>
              </w:rPr>
            </w:pPr>
            <w:r w:rsidRPr="002621A4">
              <w:rPr>
                <w:rFonts w:ascii="Verdana" w:hAnsi="Verdana" w:cs="Arial"/>
                <w:bCs/>
                <w:sz w:val="24"/>
                <w:szCs w:val="24"/>
              </w:rPr>
              <w:t>In light of this activity as well as learning from other organisations, the Population Health Committee should discuss the Health Board’s role and consider any further actions in relation to healthy and sustainable commercial food provision.</w:t>
            </w:r>
          </w:p>
        </w:tc>
      </w:tr>
      <w:tr w:rsidR="00B043B7" w:rsidRPr="002621A4" w14:paraId="6D290409" w14:textId="77777777" w:rsidTr="005223A7">
        <w:trPr>
          <w:trHeight w:val="97"/>
        </w:trPr>
        <w:tc>
          <w:tcPr>
            <w:tcW w:w="2547" w:type="dxa"/>
            <w:vMerge w:val="restart"/>
          </w:tcPr>
          <w:p w14:paraId="6D290403" w14:textId="77777777" w:rsidR="00B043B7" w:rsidRPr="002621A4" w:rsidRDefault="00B043B7" w:rsidP="00B043B7">
            <w:pPr>
              <w:rPr>
                <w:rFonts w:ascii="Verdana" w:hAnsi="Verdana" w:cs="Arial"/>
                <w:b/>
                <w:sz w:val="24"/>
                <w:szCs w:val="24"/>
              </w:rPr>
            </w:pPr>
            <w:r w:rsidRPr="002621A4">
              <w:rPr>
                <w:rFonts w:ascii="Verdana" w:hAnsi="Verdana" w:cs="Arial"/>
                <w:b/>
                <w:sz w:val="24"/>
                <w:szCs w:val="24"/>
              </w:rPr>
              <w:t xml:space="preserve">Specific Action Required </w:t>
            </w:r>
          </w:p>
          <w:p w14:paraId="6D290404" w14:textId="77777777" w:rsidR="00B043B7" w:rsidRPr="002621A4" w:rsidRDefault="00B043B7" w:rsidP="00B043B7">
            <w:pPr>
              <w:rPr>
                <w:rFonts w:ascii="Verdana" w:hAnsi="Verdana" w:cs="Arial"/>
                <w:b/>
                <w:i/>
                <w:sz w:val="24"/>
                <w:szCs w:val="24"/>
              </w:rPr>
            </w:pPr>
            <w:r w:rsidRPr="002621A4">
              <w:rPr>
                <w:rFonts w:ascii="Verdana" w:hAnsi="Verdana" w:cs="Arial"/>
                <w:b/>
                <w:i/>
                <w:sz w:val="24"/>
                <w:szCs w:val="24"/>
              </w:rPr>
              <w:t>(please choose one only)</w:t>
            </w:r>
          </w:p>
        </w:tc>
        <w:tc>
          <w:tcPr>
            <w:tcW w:w="1843" w:type="dxa"/>
            <w:shd w:val="clear" w:color="auto" w:fill="D5DCE4" w:themeFill="text2" w:themeFillTint="33"/>
          </w:tcPr>
          <w:p w14:paraId="6D290405" w14:textId="77777777" w:rsidR="00B043B7" w:rsidRPr="002621A4" w:rsidRDefault="00B043B7" w:rsidP="00B043B7">
            <w:pPr>
              <w:rPr>
                <w:rFonts w:ascii="Verdana" w:hAnsi="Verdana" w:cs="Arial"/>
                <w:b/>
                <w:sz w:val="24"/>
                <w:szCs w:val="24"/>
              </w:rPr>
            </w:pPr>
            <w:r w:rsidRPr="002621A4">
              <w:rPr>
                <w:rFonts w:ascii="Verdana" w:hAnsi="Verdana" w:cs="Arial"/>
                <w:b/>
                <w:sz w:val="24"/>
                <w:szCs w:val="24"/>
              </w:rPr>
              <w:t>Information</w:t>
            </w:r>
          </w:p>
        </w:tc>
        <w:tc>
          <w:tcPr>
            <w:tcW w:w="1559" w:type="dxa"/>
            <w:shd w:val="clear" w:color="auto" w:fill="D5DCE4" w:themeFill="text2" w:themeFillTint="33"/>
          </w:tcPr>
          <w:p w14:paraId="6D290406" w14:textId="77777777" w:rsidR="00B043B7" w:rsidRPr="002621A4" w:rsidRDefault="00B043B7" w:rsidP="00B043B7">
            <w:pPr>
              <w:rPr>
                <w:rFonts w:ascii="Verdana" w:hAnsi="Verdana" w:cs="Arial"/>
                <w:b/>
                <w:sz w:val="24"/>
                <w:szCs w:val="24"/>
              </w:rPr>
            </w:pPr>
            <w:r w:rsidRPr="002621A4">
              <w:rPr>
                <w:rFonts w:ascii="Verdana" w:hAnsi="Verdana" w:cs="Arial"/>
                <w:b/>
                <w:sz w:val="24"/>
                <w:szCs w:val="24"/>
              </w:rPr>
              <w:t>Discussion</w:t>
            </w:r>
          </w:p>
        </w:tc>
        <w:tc>
          <w:tcPr>
            <w:tcW w:w="1551" w:type="dxa"/>
            <w:shd w:val="clear" w:color="auto" w:fill="D5DCE4" w:themeFill="text2" w:themeFillTint="33"/>
          </w:tcPr>
          <w:p w14:paraId="6D290407" w14:textId="77777777" w:rsidR="00B043B7" w:rsidRPr="002621A4" w:rsidRDefault="00B043B7" w:rsidP="00B043B7">
            <w:pPr>
              <w:rPr>
                <w:rFonts w:ascii="Verdana" w:hAnsi="Verdana" w:cs="Arial"/>
                <w:b/>
                <w:sz w:val="24"/>
                <w:szCs w:val="24"/>
              </w:rPr>
            </w:pPr>
            <w:r w:rsidRPr="002621A4">
              <w:rPr>
                <w:rFonts w:ascii="Verdana" w:hAnsi="Verdana" w:cs="Arial"/>
                <w:b/>
                <w:sz w:val="24"/>
                <w:szCs w:val="24"/>
              </w:rPr>
              <w:t>Assurance</w:t>
            </w:r>
          </w:p>
        </w:tc>
        <w:tc>
          <w:tcPr>
            <w:tcW w:w="1516" w:type="dxa"/>
            <w:gridSpan w:val="2"/>
            <w:shd w:val="clear" w:color="auto" w:fill="D5DCE4" w:themeFill="text2" w:themeFillTint="33"/>
          </w:tcPr>
          <w:p w14:paraId="6D290408" w14:textId="77777777" w:rsidR="00B043B7" w:rsidRPr="002621A4" w:rsidRDefault="00B043B7" w:rsidP="00B043B7">
            <w:pPr>
              <w:rPr>
                <w:rFonts w:ascii="Verdana" w:hAnsi="Verdana" w:cs="Arial"/>
                <w:b/>
                <w:sz w:val="24"/>
                <w:szCs w:val="24"/>
              </w:rPr>
            </w:pPr>
            <w:r w:rsidRPr="002621A4">
              <w:rPr>
                <w:rFonts w:ascii="Verdana" w:hAnsi="Verdana" w:cs="Arial"/>
                <w:b/>
                <w:sz w:val="24"/>
                <w:szCs w:val="24"/>
              </w:rPr>
              <w:t>Approval</w:t>
            </w:r>
          </w:p>
        </w:tc>
      </w:tr>
      <w:tr w:rsidR="00B043B7" w:rsidRPr="002621A4" w14:paraId="6D29040F" w14:textId="77777777" w:rsidTr="005223A7">
        <w:trPr>
          <w:trHeight w:val="96"/>
        </w:trPr>
        <w:tc>
          <w:tcPr>
            <w:tcW w:w="2547" w:type="dxa"/>
            <w:vMerge/>
          </w:tcPr>
          <w:p w14:paraId="6D29040A" w14:textId="77777777" w:rsidR="00B043B7" w:rsidRPr="002621A4" w:rsidRDefault="00B043B7" w:rsidP="00B043B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Content>
            <w:tc>
              <w:tcPr>
                <w:tcW w:w="1843" w:type="dxa"/>
              </w:tcPr>
              <w:p w14:paraId="6D29040B" w14:textId="18C9F214" w:rsidR="00B043B7" w:rsidRPr="002621A4" w:rsidRDefault="00B043B7" w:rsidP="00B043B7">
                <w:pPr>
                  <w:ind w:right="96"/>
                  <w:jc w:val="center"/>
                  <w:rPr>
                    <w:rFonts w:ascii="Verdana" w:hAnsi="Verdana" w:cs="Arial"/>
                    <w:sz w:val="24"/>
                    <w:szCs w:val="24"/>
                  </w:rPr>
                </w:pPr>
                <w:r w:rsidRPr="002621A4">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559" w:type="dxa"/>
              </w:tcPr>
              <w:p w14:paraId="6D29040C" w14:textId="736ED943" w:rsidR="00B043B7" w:rsidRPr="002621A4" w:rsidRDefault="00B043B7" w:rsidP="00B043B7">
                <w:pPr>
                  <w:ind w:right="96"/>
                  <w:jc w:val="center"/>
                  <w:rPr>
                    <w:rFonts w:ascii="Verdana" w:hAnsi="Verdana" w:cs="Arial"/>
                    <w:sz w:val="24"/>
                    <w:szCs w:val="24"/>
                  </w:rPr>
                </w:pPr>
                <w:r w:rsidRPr="002621A4">
                  <w:rPr>
                    <w:rFonts w:ascii="MS Gothic" w:eastAsia="MS Gothic" w:hAnsi="MS Gothic" w:cs="Arial" w:hint="eastAsia"/>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1551" w:type="dxa"/>
              </w:tcPr>
              <w:p w14:paraId="6D29040D" w14:textId="55E7D260" w:rsidR="00B043B7" w:rsidRPr="002621A4" w:rsidRDefault="002621A4" w:rsidP="00B043B7">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Pr>
              <w:p w14:paraId="6D29040E" w14:textId="77777777" w:rsidR="00B043B7" w:rsidRPr="002621A4" w:rsidRDefault="00B043B7" w:rsidP="00B043B7">
                <w:pPr>
                  <w:ind w:right="96"/>
                  <w:jc w:val="center"/>
                  <w:rPr>
                    <w:rFonts w:ascii="Verdana" w:hAnsi="Verdana" w:cs="Arial"/>
                    <w:sz w:val="24"/>
                    <w:szCs w:val="24"/>
                  </w:rPr>
                </w:pPr>
                <w:r w:rsidRPr="002621A4">
                  <w:rPr>
                    <w:rFonts w:ascii="Segoe UI Symbol" w:eastAsia="MS Gothic" w:hAnsi="Segoe UI Symbol" w:cs="Segoe UI Symbol"/>
                    <w:sz w:val="24"/>
                    <w:szCs w:val="24"/>
                  </w:rPr>
                  <w:t>☐</w:t>
                </w:r>
              </w:p>
            </w:tc>
          </w:sdtContent>
        </w:sdt>
      </w:tr>
      <w:tr w:rsidR="00B043B7" w:rsidRPr="002621A4" w14:paraId="6D290418" w14:textId="77777777" w:rsidTr="00DA76AD">
        <w:tc>
          <w:tcPr>
            <w:tcW w:w="2547" w:type="dxa"/>
          </w:tcPr>
          <w:p w14:paraId="6D290410" w14:textId="77777777" w:rsidR="00B043B7" w:rsidRPr="002621A4" w:rsidRDefault="00B043B7" w:rsidP="00B043B7">
            <w:pPr>
              <w:rPr>
                <w:rFonts w:ascii="Verdana" w:hAnsi="Verdana" w:cs="Arial"/>
                <w:b/>
                <w:sz w:val="24"/>
                <w:szCs w:val="24"/>
              </w:rPr>
            </w:pPr>
            <w:r w:rsidRPr="002621A4">
              <w:rPr>
                <w:rFonts w:ascii="Verdana" w:hAnsi="Verdana" w:cs="Arial"/>
                <w:b/>
                <w:sz w:val="24"/>
                <w:szCs w:val="24"/>
              </w:rPr>
              <w:t>Recommendations</w:t>
            </w:r>
          </w:p>
          <w:p w14:paraId="6D290411" w14:textId="77777777" w:rsidR="00B043B7" w:rsidRPr="002621A4" w:rsidRDefault="00B043B7" w:rsidP="00B043B7">
            <w:pPr>
              <w:rPr>
                <w:rFonts w:ascii="Verdana" w:hAnsi="Verdana" w:cs="Arial"/>
                <w:b/>
                <w:sz w:val="24"/>
                <w:szCs w:val="24"/>
              </w:rPr>
            </w:pPr>
          </w:p>
        </w:tc>
        <w:tc>
          <w:tcPr>
            <w:tcW w:w="6469" w:type="dxa"/>
            <w:gridSpan w:val="5"/>
          </w:tcPr>
          <w:p w14:paraId="6D290412" w14:textId="77777777" w:rsidR="00B043B7" w:rsidRPr="002621A4" w:rsidRDefault="00B043B7" w:rsidP="002621A4">
            <w:pPr>
              <w:ind w:right="96"/>
              <w:rPr>
                <w:rFonts w:ascii="Verdana" w:hAnsi="Verdana" w:cs="Arial"/>
                <w:sz w:val="24"/>
                <w:szCs w:val="24"/>
              </w:rPr>
            </w:pPr>
            <w:r w:rsidRPr="002621A4">
              <w:rPr>
                <w:rFonts w:ascii="Verdana" w:hAnsi="Verdana" w:cs="Arial"/>
                <w:sz w:val="24"/>
                <w:szCs w:val="24"/>
              </w:rPr>
              <w:t>Members are asked to:</w:t>
            </w:r>
          </w:p>
          <w:p w14:paraId="45F44224" w14:textId="74D35535" w:rsidR="00E074BA" w:rsidRPr="002621A4" w:rsidRDefault="002621A4" w:rsidP="002621A4">
            <w:pPr>
              <w:pStyle w:val="ListParagraph"/>
              <w:widowControl w:val="0"/>
              <w:numPr>
                <w:ilvl w:val="0"/>
                <w:numId w:val="6"/>
              </w:numPr>
              <w:autoSpaceDE w:val="0"/>
              <w:autoSpaceDN w:val="0"/>
              <w:ind w:left="360" w:right="90"/>
              <w:contextualSpacing w:val="0"/>
              <w:rPr>
                <w:rFonts w:ascii="Verdana" w:hAnsi="Verdana" w:cs="Arial"/>
                <w:sz w:val="24"/>
                <w:szCs w:val="24"/>
              </w:rPr>
            </w:pPr>
            <w:r w:rsidRPr="002621A4">
              <w:rPr>
                <w:rFonts w:ascii="Verdana" w:hAnsi="Verdana" w:cs="Arial"/>
                <w:b/>
                <w:bCs/>
                <w:sz w:val="24"/>
                <w:szCs w:val="24"/>
              </w:rPr>
              <w:t>RECEIVE</w:t>
            </w:r>
            <w:r w:rsidRPr="002621A4">
              <w:rPr>
                <w:rFonts w:ascii="Verdana" w:hAnsi="Verdana" w:cs="Arial"/>
                <w:sz w:val="24"/>
                <w:szCs w:val="24"/>
              </w:rPr>
              <w:t xml:space="preserve"> </w:t>
            </w:r>
            <w:r w:rsidR="00E074BA" w:rsidRPr="002621A4">
              <w:rPr>
                <w:rFonts w:ascii="Verdana" w:hAnsi="Verdana" w:cs="Arial"/>
                <w:sz w:val="24"/>
                <w:szCs w:val="24"/>
              </w:rPr>
              <w:t xml:space="preserve">information on the commercial food provision that is available in Health Board sites and links to Health Board activity on food and drink provision, as well as activities being undertaken in other health organisations. </w:t>
            </w:r>
          </w:p>
          <w:p w14:paraId="6D290415" w14:textId="0956D72A" w:rsidR="00B043B7" w:rsidRPr="002621A4" w:rsidRDefault="002621A4" w:rsidP="002621A4">
            <w:pPr>
              <w:pStyle w:val="ListParagraph"/>
              <w:widowControl w:val="0"/>
              <w:numPr>
                <w:ilvl w:val="0"/>
                <w:numId w:val="6"/>
              </w:numPr>
              <w:autoSpaceDE w:val="0"/>
              <w:autoSpaceDN w:val="0"/>
              <w:ind w:left="360" w:right="90"/>
              <w:contextualSpacing w:val="0"/>
              <w:rPr>
                <w:rFonts w:ascii="Verdana" w:hAnsi="Verdana" w:cs="Arial"/>
                <w:sz w:val="24"/>
                <w:szCs w:val="24"/>
              </w:rPr>
            </w:pPr>
            <w:r w:rsidRPr="002621A4">
              <w:rPr>
                <w:rFonts w:ascii="Verdana" w:hAnsi="Verdana" w:cs="Arial"/>
                <w:b/>
                <w:sz w:val="24"/>
                <w:szCs w:val="24"/>
              </w:rPr>
              <w:t>DISCUSS</w:t>
            </w:r>
            <w:r w:rsidRPr="002621A4">
              <w:rPr>
                <w:rFonts w:ascii="Verdana" w:hAnsi="Verdana" w:cs="Arial"/>
                <w:sz w:val="24"/>
                <w:szCs w:val="24"/>
              </w:rPr>
              <w:t xml:space="preserve"> </w:t>
            </w:r>
            <w:r w:rsidR="00E074BA" w:rsidRPr="002621A4">
              <w:rPr>
                <w:rFonts w:ascii="Verdana" w:hAnsi="Verdana" w:cs="Arial"/>
                <w:sz w:val="24"/>
                <w:szCs w:val="24"/>
              </w:rPr>
              <w:t xml:space="preserve">whether and how the Health Board </w:t>
            </w:r>
            <w:r w:rsidR="00E074BA" w:rsidRPr="002621A4">
              <w:rPr>
                <w:rFonts w:ascii="Verdana" w:hAnsi="Verdana" w:cs="Arial"/>
                <w:sz w:val="24"/>
                <w:szCs w:val="24"/>
              </w:rPr>
              <w:lastRenderedPageBreak/>
              <w:t>should explore further work on healthy and sustainable commercial food provision.</w:t>
            </w:r>
          </w:p>
          <w:p w14:paraId="6D290417" w14:textId="77777777" w:rsidR="00B043B7" w:rsidRPr="002621A4" w:rsidRDefault="00B043B7" w:rsidP="00E074BA">
            <w:pPr>
              <w:ind w:right="96"/>
              <w:rPr>
                <w:rFonts w:ascii="Verdana" w:hAnsi="Verdana" w:cs="Arial"/>
                <w:sz w:val="24"/>
                <w:szCs w:val="24"/>
              </w:rPr>
            </w:pPr>
          </w:p>
        </w:tc>
      </w:tr>
    </w:tbl>
    <w:p w14:paraId="6D290419" w14:textId="77777777" w:rsidR="0020539A" w:rsidRPr="00F8567E" w:rsidRDefault="0020539A">
      <w:pPr>
        <w:rPr>
          <w:rFonts w:ascii="Verdana" w:hAnsi="Verdana"/>
          <w:sz w:val="24"/>
          <w:szCs w:val="24"/>
        </w:rPr>
      </w:pPr>
    </w:p>
    <w:p w14:paraId="6D29041A" w14:textId="0127D287" w:rsidR="00653AEC" w:rsidRPr="00F8567E"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r w:rsidR="00635010" w:rsidRPr="00635010">
        <w:rPr>
          <w:rStyle w:val="markpr95ei9iq"/>
          <w:rFonts w:ascii="Verdana" w:hAnsi="Verdana" w:cs="Arial"/>
          <w:b/>
          <w:bCs/>
          <w:color w:val="242424"/>
          <w:sz w:val="24"/>
          <w:szCs w:val="24"/>
          <w:bdr w:val="none" w:sz="0" w:space="0" w:color="auto" w:frame="1"/>
          <w:shd w:val="clear" w:color="auto" w:fill="FFFFFF"/>
        </w:rPr>
        <w:lastRenderedPageBreak/>
        <w:t>C</w:t>
      </w:r>
      <w:r w:rsidR="00635010">
        <w:rPr>
          <w:rStyle w:val="markpr95ei9iq"/>
          <w:rFonts w:ascii="Verdana" w:hAnsi="Verdana" w:cs="Arial"/>
          <w:b/>
          <w:bCs/>
          <w:color w:val="242424"/>
          <w:sz w:val="24"/>
          <w:szCs w:val="24"/>
          <w:bdr w:val="none" w:sz="0" w:space="0" w:color="auto" w:frame="1"/>
          <w:shd w:val="clear" w:color="auto" w:fill="FFFFFF"/>
        </w:rPr>
        <w:t>OMMERCIAL</w:t>
      </w:r>
      <w:r w:rsidR="00635010" w:rsidRPr="00635010">
        <w:rPr>
          <w:rStyle w:val="markpr95ei9iq"/>
          <w:rFonts w:ascii="Verdana" w:hAnsi="Verdana" w:cs="Arial"/>
          <w:b/>
          <w:bCs/>
          <w:color w:val="242424"/>
          <w:sz w:val="24"/>
          <w:szCs w:val="24"/>
          <w:bdr w:val="none" w:sz="0" w:space="0" w:color="auto" w:frame="1"/>
          <w:shd w:val="clear" w:color="auto" w:fill="FFFFFF"/>
        </w:rPr>
        <w:t xml:space="preserve"> F</w:t>
      </w:r>
      <w:r w:rsidR="00635010">
        <w:rPr>
          <w:rStyle w:val="markpr95ei9iq"/>
          <w:rFonts w:ascii="Verdana" w:hAnsi="Verdana" w:cs="Arial"/>
          <w:b/>
          <w:bCs/>
          <w:color w:val="242424"/>
          <w:sz w:val="24"/>
          <w:szCs w:val="24"/>
          <w:bdr w:val="none" w:sz="0" w:space="0" w:color="auto" w:frame="1"/>
          <w:shd w:val="clear" w:color="auto" w:fill="FFFFFF"/>
        </w:rPr>
        <w:t>OOD</w:t>
      </w:r>
      <w:r w:rsidR="00635010" w:rsidRPr="00635010">
        <w:rPr>
          <w:rStyle w:val="markpr95ei9iq"/>
          <w:rFonts w:ascii="Verdana" w:hAnsi="Verdana" w:cs="Arial"/>
          <w:b/>
          <w:bCs/>
          <w:color w:val="242424"/>
          <w:sz w:val="24"/>
          <w:szCs w:val="24"/>
          <w:bdr w:val="none" w:sz="0" w:space="0" w:color="auto" w:frame="1"/>
          <w:shd w:val="clear" w:color="auto" w:fill="FFFFFF"/>
        </w:rPr>
        <w:t xml:space="preserve"> </w:t>
      </w:r>
      <w:r w:rsidR="00635010">
        <w:rPr>
          <w:rStyle w:val="markpr95ei9iq"/>
          <w:rFonts w:ascii="Verdana" w:hAnsi="Verdana" w:cs="Arial"/>
          <w:b/>
          <w:bCs/>
          <w:color w:val="242424"/>
          <w:sz w:val="24"/>
          <w:szCs w:val="24"/>
          <w:bdr w:val="none" w:sz="0" w:space="0" w:color="auto" w:frame="1"/>
          <w:shd w:val="clear" w:color="auto" w:fill="FFFFFF"/>
        </w:rPr>
        <w:t>PROVISION</w:t>
      </w:r>
      <w:r w:rsidR="00635010" w:rsidRPr="00635010">
        <w:rPr>
          <w:rStyle w:val="markpr95ei9iq"/>
          <w:rFonts w:ascii="Verdana" w:hAnsi="Verdana" w:cs="Arial"/>
          <w:b/>
          <w:bCs/>
          <w:color w:val="242424"/>
          <w:sz w:val="24"/>
          <w:szCs w:val="24"/>
          <w:bdr w:val="none" w:sz="0" w:space="0" w:color="auto" w:frame="1"/>
          <w:shd w:val="clear" w:color="auto" w:fill="FFFFFF"/>
        </w:rPr>
        <w:t xml:space="preserve"> </w:t>
      </w:r>
      <w:r w:rsidR="00635010">
        <w:rPr>
          <w:rStyle w:val="markpr95ei9iq"/>
          <w:rFonts w:ascii="Verdana" w:hAnsi="Verdana" w:cs="Arial"/>
          <w:b/>
          <w:bCs/>
          <w:color w:val="242424"/>
          <w:sz w:val="24"/>
          <w:szCs w:val="24"/>
          <w:bdr w:val="none" w:sz="0" w:space="0" w:color="auto" w:frame="1"/>
          <w:shd w:val="clear" w:color="auto" w:fill="FFFFFF"/>
        </w:rPr>
        <w:t>ON</w:t>
      </w:r>
      <w:r w:rsidR="00635010" w:rsidRPr="00635010">
        <w:rPr>
          <w:rStyle w:val="markpr95ei9iq"/>
          <w:rFonts w:ascii="Verdana" w:hAnsi="Verdana" w:cs="Arial"/>
          <w:b/>
          <w:bCs/>
          <w:color w:val="242424"/>
          <w:sz w:val="24"/>
          <w:szCs w:val="24"/>
          <w:bdr w:val="none" w:sz="0" w:space="0" w:color="auto" w:frame="1"/>
          <w:shd w:val="clear" w:color="auto" w:fill="FFFFFF"/>
        </w:rPr>
        <w:t xml:space="preserve"> H</w:t>
      </w:r>
      <w:r w:rsidR="00635010">
        <w:rPr>
          <w:rStyle w:val="markpr95ei9iq"/>
          <w:rFonts w:ascii="Verdana" w:hAnsi="Verdana" w:cs="Arial"/>
          <w:b/>
          <w:bCs/>
          <w:color w:val="242424"/>
          <w:sz w:val="24"/>
          <w:szCs w:val="24"/>
          <w:bdr w:val="none" w:sz="0" w:space="0" w:color="auto" w:frame="1"/>
          <w:shd w:val="clear" w:color="auto" w:fill="FFFFFF"/>
        </w:rPr>
        <w:t>EALTH</w:t>
      </w:r>
      <w:r w:rsidR="00635010" w:rsidRPr="00635010">
        <w:rPr>
          <w:rStyle w:val="markpr95ei9iq"/>
          <w:rFonts w:ascii="Verdana" w:hAnsi="Verdana" w:cs="Arial"/>
          <w:b/>
          <w:bCs/>
          <w:color w:val="242424"/>
          <w:sz w:val="24"/>
          <w:szCs w:val="24"/>
          <w:bdr w:val="none" w:sz="0" w:space="0" w:color="auto" w:frame="1"/>
          <w:shd w:val="clear" w:color="auto" w:fill="FFFFFF"/>
        </w:rPr>
        <w:t xml:space="preserve"> B</w:t>
      </w:r>
      <w:r w:rsidR="00635010">
        <w:rPr>
          <w:rStyle w:val="markpr95ei9iq"/>
          <w:rFonts w:ascii="Verdana" w:hAnsi="Verdana" w:cs="Arial"/>
          <w:b/>
          <w:bCs/>
          <w:color w:val="242424"/>
          <w:sz w:val="24"/>
          <w:szCs w:val="24"/>
          <w:bdr w:val="none" w:sz="0" w:space="0" w:color="auto" w:frame="1"/>
          <w:shd w:val="clear" w:color="auto" w:fill="FFFFFF"/>
        </w:rPr>
        <w:t>AORD</w:t>
      </w:r>
      <w:r w:rsidR="00635010" w:rsidRPr="00635010">
        <w:rPr>
          <w:rStyle w:val="markpr95ei9iq"/>
          <w:rFonts w:ascii="Verdana" w:hAnsi="Verdana" w:cs="Arial"/>
          <w:b/>
          <w:bCs/>
          <w:color w:val="242424"/>
          <w:sz w:val="24"/>
          <w:szCs w:val="24"/>
          <w:bdr w:val="none" w:sz="0" w:space="0" w:color="auto" w:frame="1"/>
          <w:shd w:val="clear" w:color="auto" w:fill="FFFFFF"/>
        </w:rPr>
        <w:t xml:space="preserve"> </w:t>
      </w:r>
      <w:r w:rsidR="00635010">
        <w:rPr>
          <w:rStyle w:val="markpr95ei9iq"/>
          <w:rFonts w:ascii="Verdana" w:hAnsi="Verdana" w:cs="Arial"/>
          <w:b/>
          <w:bCs/>
          <w:color w:val="242424"/>
          <w:sz w:val="24"/>
          <w:szCs w:val="24"/>
          <w:bdr w:val="none" w:sz="0" w:space="0" w:color="auto" w:frame="1"/>
          <w:shd w:val="clear" w:color="auto" w:fill="FFFFFF"/>
        </w:rPr>
        <w:t>SITES</w:t>
      </w:r>
      <w:r w:rsidR="00635010" w:rsidRPr="00F8567E">
        <w:rPr>
          <w:rFonts w:ascii="Verdana" w:hAnsi="Verdana" w:cs="Arial"/>
          <w:b/>
          <w:sz w:val="24"/>
          <w:szCs w:val="24"/>
        </w:rPr>
        <w:t xml:space="preserve"> </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14:paraId="45DCB4A5" w14:textId="77777777" w:rsidR="00B043B7" w:rsidRPr="00F8567E" w:rsidRDefault="00B043B7" w:rsidP="00B043B7">
      <w:pPr>
        <w:pStyle w:val="ListParagraph"/>
        <w:spacing w:after="0" w:line="240" w:lineRule="auto"/>
        <w:rPr>
          <w:rFonts w:ascii="Verdana" w:hAnsi="Verdana" w:cs="Arial"/>
          <w:b/>
          <w:sz w:val="24"/>
          <w:szCs w:val="24"/>
        </w:rPr>
      </w:pPr>
    </w:p>
    <w:p w14:paraId="7F4BCDBC" w14:textId="4AA14847" w:rsidR="00B043B7" w:rsidRDefault="00B043B7" w:rsidP="00B043B7">
      <w:pPr>
        <w:pStyle w:val="NoSpacing"/>
        <w:ind w:left="720"/>
        <w:rPr>
          <w:rFonts w:ascii="Verdana" w:hAnsi="Verdana" w:cs="Arial"/>
          <w:bCs/>
          <w:sz w:val="24"/>
          <w:szCs w:val="24"/>
        </w:rPr>
      </w:pPr>
      <w:r w:rsidRPr="00843CB5">
        <w:rPr>
          <w:rFonts w:ascii="Verdana" w:hAnsi="Verdana" w:cs="Arial"/>
          <w:bCs/>
          <w:sz w:val="24"/>
          <w:szCs w:val="24"/>
        </w:rPr>
        <w:t>As part of S</w:t>
      </w:r>
      <w:r w:rsidR="00635010">
        <w:rPr>
          <w:rFonts w:ascii="Verdana" w:hAnsi="Verdana" w:cs="Arial"/>
          <w:bCs/>
          <w:sz w:val="24"/>
          <w:szCs w:val="24"/>
        </w:rPr>
        <w:t xml:space="preserve">wansea </w:t>
      </w:r>
      <w:r w:rsidRPr="00843CB5">
        <w:rPr>
          <w:rFonts w:ascii="Verdana" w:hAnsi="Verdana" w:cs="Arial"/>
          <w:bCs/>
          <w:sz w:val="24"/>
          <w:szCs w:val="24"/>
        </w:rPr>
        <w:t>B</w:t>
      </w:r>
      <w:r w:rsidR="00635010">
        <w:rPr>
          <w:rFonts w:ascii="Verdana" w:hAnsi="Verdana" w:cs="Arial"/>
          <w:bCs/>
          <w:sz w:val="24"/>
          <w:szCs w:val="24"/>
        </w:rPr>
        <w:t xml:space="preserve">ay </w:t>
      </w:r>
      <w:r w:rsidRPr="00843CB5">
        <w:rPr>
          <w:rFonts w:ascii="Verdana" w:hAnsi="Verdana" w:cs="Arial"/>
          <w:bCs/>
          <w:sz w:val="24"/>
          <w:szCs w:val="24"/>
        </w:rPr>
        <w:t>U</w:t>
      </w:r>
      <w:r w:rsidR="00635010">
        <w:rPr>
          <w:rFonts w:ascii="Verdana" w:hAnsi="Verdana" w:cs="Arial"/>
          <w:bCs/>
          <w:sz w:val="24"/>
          <w:szCs w:val="24"/>
        </w:rPr>
        <w:t xml:space="preserve">niversity </w:t>
      </w:r>
      <w:r w:rsidRPr="00843CB5">
        <w:rPr>
          <w:rFonts w:ascii="Verdana" w:hAnsi="Verdana" w:cs="Arial"/>
          <w:bCs/>
          <w:sz w:val="24"/>
          <w:szCs w:val="24"/>
        </w:rPr>
        <w:t>H</w:t>
      </w:r>
      <w:r w:rsidR="00635010">
        <w:rPr>
          <w:rFonts w:ascii="Verdana" w:hAnsi="Verdana" w:cs="Arial"/>
          <w:bCs/>
          <w:sz w:val="24"/>
          <w:szCs w:val="24"/>
        </w:rPr>
        <w:t xml:space="preserve">ealth </w:t>
      </w:r>
      <w:r w:rsidRPr="00843CB5">
        <w:rPr>
          <w:rFonts w:ascii="Verdana" w:hAnsi="Verdana" w:cs="Arial"/>
          <w:bCs/>
          <w:sz w:val="24"/>
          <w:szCs w:val="24"/>
        </w:rPr>
        <w:t>B</w:t>
      </w:r>
      <w:r w:rsidR="00635010">
        <w:rPr>
          <w:rFonts w:ascii="Verdana" w:hAnsi="Verdana" w:cs="Arial"/>
          <w:bCs/>
          <w:sz w:val="24"/>
          <w:szCs w:val="24"/>
        </w:rPr>
        <w:t>oards</w:t>
      </w:r>
      <w:r w:rsidRPr="00843CB5">
        <w:rPr>
          <w:rFonts w:ascii="Verdana" w:hAnsi="Verdana" w:cs="Arial"/>
          <w:bCs/>
          <w:sz w:val="24"/>
          <w:szCs w:val="24"/>
        </w:rPr>
        <w:t>’s responsibilities as a population health organisation, acting as an effective anchor institution is a key component to support the medium to long-term recovery and sustainability of S</w:t>
      </w:r>
      <w:r w:rsidR="00635010">
        <w:rPr>
          <w:rFonts w:ascii="Verdana" w:hAnsi="Verdana" w:cs="Arial"/>
          <w:bCs/>
          <w:sz w:val="24"/>
          <w:szCs w:val="24"/>
        </w:rPr>
        <w:t xml:space="preserve">wansea </w:t>
      </w:r>
      <w:r w:rsidRPr="00843CB5">
        <w:rPr>
          <w:rFonts w:ascii="Verdana" w:hAnsi="Verdana" w:cs="Arial"/>
          <w:bCs/>
          <w:sz w:val="24"/>
          <w:szCs w:val="24"/>
        </w:rPr>
        <w:t>B</w:t>
      </w:r>
      <w:r w:rsidR="00635010">
        <w:rPr>
          <w:rFonts w:ascii="Verdana" w:hAnsi="Verdana" w:cs="Arial"/>
          <w:bCs/>
          <w:sz w:val="24"/>
          <w:szCs w:val="24"/>
        </w:rPr>
        <w:t xml:space="preserve">ay </w:t>
      </w:r>
      <w:r w:rsidRPr="00843CB5">
        <w:rPr>
          <w:rFonts w:ascii="Verdana" w:hAnsi="Verdana" w:cs="Arial"/>
          <w:bCs/>
          <w:sz w:val="24"/>
          <w:szCs w:val="24"/>
        </w:rPr>
        <w:t>U</w:t>
      </w:r>
      <w:r w:rsidR="00635010">
        <w:rPr>
          <w:rFonts w:ascii="Verdana" w:hAnsi="Verdana" w:cs="Arial"/>
          <w:bCs/>
          <w:sz w:val="24"/>
          <w:szCs w:val="24"/>
        </w:rPr>
        <w:t xml:space="preserve">niversity </w:t>
      </w:r>
      <w:r w:rsidRPr="00843CB5">
        <w:rPr>
          <w:rFonts w:ascii="Verdana" w:hAnsi="Verdana" w:cs="Arial"/>
          <w:bCs/>
          <w:sz w:val="24"/>
          <w:szCs w:val="24"/>
        </w:rPr>
        <w:t>H</w:t>
      </w:r>
      <w:r w:rsidR="00635010">
        <w:rPr>
          <w:rFonts w:ascii="Verdana" w:hAnsi="Verdana" w:cs="Arial"/>
          <w:bCs/>
          <w:sz w:val="24"/>
          <w:szCs w:val="24"/>
        </w:rPr>
        <w:t xml:space="preserve">ealth </w:t>
      </w:r>
      <w:r w:rsidRPr="00843CB5">
        <w:rPr>
          <w:rFonts w:ascii="Verdana" w:hAnsi="Verdana" w:cs="Arial"/>
          <w:bCs/>
          <w:sz w:val="24"/>
          <w:szCs w:val="24"/>
        </w:rPr>
        <w:t>B</w:t>
      </w:r>
      <w:r w:rsidR="00635010">
        <w:rPr>
          <w:rFonts w:ascii="Verdana" w:hAnsi="Verdana" w:cs="Arial"/>
          <w:bCs/>
          <w:sz w:val="24"/>
          <w:szCs w:val="24"/>
        </w:rPr>
        <w:t>oard</w:t>
      </w:r>
      <w:r w:rsidRPr="00843CB5">
        <w:rPr>
          <w:rFonts w:ascii="Verdana" w:hAnsi="Verdana" w:cs="Arial"/>
          <w:bCs/>
          <w:sz w:val="24"/>
          <w:szCs w:val="24"/>
        </w:rPr>
        <w:t xml:space="preserve"> and in delivering of our high-quality organisational vision and delivery of our strategic objectives. </w:t>
      </w:r>
    </w:p>
    <w:p w14:paraId="1A2096F7" w14:textId="77777777" w:rsidR="00B043B7" w:rsidRDefault="00B043B7" w:rsidP="00B043B7">
      <w:pPr>
        <w:pStyle w:val="NoSpacing"/>
        <w:ind w:left="720"/>
        <w:rPr>
          <w:rFonts w:ascii="Verdana" w:hAnsi="Verdana" w:cs="Arial"/>
          <w:bCs/>
          <w:sz w:val="24"/>
          <w:szCs w:val="24"/>
        </w:rPr>
      </w:pPr>
    </w:p>
    <w:p w14:paraId="6F4C4A55" w14:textId="77777777" w:rsidR="00B043B7" w:rsidRPr="00D22CC1" w:rsidRDefault="00B043B7" w:rsidP="00B043B7">
      <w:pPr>
        <w:pStyle w:val="NoSpacing"/>
        <w:ind w:left="720"/>
        <w:rPr>
          <w:rFonts w:ascii="Verdana" w:hAnsi="Verdana" w:cs="Arial"/>
          <w:bCs/>
          <w:sz w:val="24"/>
          <w:szCs w:val="24"/>
        </w:rPr>
      </w:pPr>
      <w:r w:rsidRPr="003D3483">
        <w:rPr>
          <w:rFonts w:ascii="Verdana" w:hAnsi="Verdana" w:cs="Arial"/>
          <w:sz w:val="24"/>
          <w:szCs w:val="24"/>
        </w:rPr>
        <w:t xml:space="preserve">Nutrition and hydration is an important contributory factor of people’s physical and mental health and wellbeing. </w:t>
      </w:r>
      <w:r w:rsidRPr="008E217D">
        <w:rPr>
          <w:rFonts w:ascii="Verdana" w:hAnsi="Verdana" w:cs="Arial"/>
          <w:bCs/>
          <w:sz w:val="24"/>
          <w:szCs w:val="24"/>
        </w:rPr>
        <w:t xml:space="preserve">The food environment </w:t>
      </w:r>
      <w:r>
        <w:rPr>
          <w:rFonts w:ascii="Verdana" w:hAnsi="Verdana" w:cs="Arial"/>
          <w:bCs/>
          <w:sz w:val="24"/>
          <w:szCs w:val="24"/>
        </w:rPr>
        <w:t xml:space="preserve">can be shaped by decisions we make as an anchor institution, including the food that is available to our staff and patients, as well as the food we procure and retail services we commission. These factors are </w:t>
      </w:r>
      <w:r w:rsidRPr="008E217D">
        <w:rPr>
          <w:rFonts w:ascii="Verdana" w:hAnsi="Verdana" w:cs="Arial"/>
          <w:bCs/>
          <w:sz w:val="24"/>
          <w:szCs w:val="24"/>
        </w:rPr>
        <w:t>key to influencing people’s food and drink consumption, and health care settings (including hospitals) are a key food environment for patients (both inpatients and outpatients), staff and visitors.</w:t>
      </w:r>
    </w:p>
    <w:p w14:paraId="5CCC9F74" w14:textId="77777777" w:rsidR="00B043B7" w:rsidRPr="00B043B7" w:rsidRDefault="00B043B7" w:rsidP="00B043B7">
      <w:pPr>
        <w:pStyle w:val="ListParagraph"/>
        <w:spacing w:after="0" w:line="240" w:lineRule="auto"/>
        <w:rPr>
          <w:rFonts w:ascii="Verdana" w:hAnsi="Verdana" w:cs="Arial"/>
          <w:sz w:val="24"/>
          <w:szCs w:val="24"/>
        </w:rPr>
      </w:pPr>
    </w:p>
    <w:p w14:paraId="310E19A8" w14:textId="77777777" w:rsidR="00B043B7" w:rsidRPr="00B043B7" w:rsidRDefault="00B043B7" w:rsidP="00B043B7">
      <w:pPr>
        <w:pStyle w:val="ListParagraph"/>
        <w:spacing w:after="0" w:line="240" w:lineRule="auto"/>
        <w:ind w:right="260"/>
        <w:rPr>
          <w:rFonts w:ascii="Verdana" w:hAnsi="Verdana" w:cs="Arial"/>
          <w:sz w:val="24"/>
          <w:szCs w:val="24"/>
        </w:rPr>
      </w:pPr>
      <w:r w:rsidRPr="00B043B7">
        <w:rPr>
          <w:rFonts w:ascii="Verdana" w:hAnsi="Verdana" w:cs="Arial"/>
          <w:sz w:val="24"/>
          <w:szCs w:val="24"/>
        </w:rPr>
        <w:t>The Population Health Committee has previously discussed commercial food provision in Swansea Bay, which includes food and drink for purchase by staff, visitors and outpatients through retail settings as well as canteens, restaurants, cafes, shops and vending machines. Discussions to date have primarily focussed on leased commercial units on hospital sites. This paper will consider these and other sources of commercial food and drink provision across the Health Board which could be considered when examining commercial food provision. The paper will also outline work being undertaken on food and drink provision across Swansea Bay, and work being undertaken across Wales to improve the food and drink offer for patients, staff and visitors.</w:t>
      </w:r>
    </w:p>
    <w:p w14:paraId="6D29041E" w14:textId="77777777" w:rsidR="00653AEC" w:rsidRPr="00F8567E" w:rsidRDefault="00653AEC" w:rsidP="00653AEC">
      <w:pPr>
        <w:pStyle w:val="ListParagraph"/>
        <w:spacing w:after="0" w:line="240" w:lineRule="auto"/>
        <w:rPr>
          <w:rFonts w:ascii="Verdana" w:hAnsi="Verdana" w:cs="Arial"/>
          <w:b/>
          <w:sz w:val="24"/>
          <w:szCs w:val="24"/>
        </w:rPr>
      </w:pPr>
    </w:p>
    <w:p w14:paraId="6D29041F"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14:paraId="6D290421" w14:textId="77777777" w:rsidR="00653AEC" w:rsidRDefault="00653AEC" w:rsidP="00653AEC">
      <w:pPr>
        <w:pStyle w:val="ListParagraph"/>
        <w:spacing w:after="0" w:line="240" w:lineRule="auto"/>
        <w:rPr>
          <w:rFonts w:ascii="Verdana" w:hAnsi="Verdana" w:cs="Arial"/>
          <w:b/>
          <w:sz w:val="24"/>
          <w:szCs w:val="24"/>
        </w:rPr>
      </w:pPr>
    </w:p>
    <w:p w14:paraId="28588B98" w14:textId="77777777" w:rsidR="00B043B7" w:rsidRPr="003D3483" w:rsidRDefault="00B043B7" w:rsidP="00B043B7">
      <w:pPr>
        <w:spacing w:after="0" w:line="240" w:lineRule="auto"/>
        <w:jc w:val="both"/>
        <w:rPr>
          <w:rFonts w:ascii="Verdana" w:hAnsi="Verdana" w:cs="Arial"/>
          <w:b/>
          <w:bCs/>
          <w:sz w:val="24"/>
          <w:szCs w:val="24"/>
        </w:rPr>
      </w:pPr>
      <w:r w:rsidRPr="003D3483">
        <w:rPr>
          <w:rFonts w:ascii="Verdana" w:hAnsi="Verdana" w:cs="Arial"/>
          <w:b/>
          <w:bCs/>
          <w:sz w:val="24"/>
          <w:szCs w:val="24"/>
        </w:rPr>
        <w:t>Commercial food provision in Swansea Bay</w:t>
      </w:r>
    </w:p>
    <w:p w14:paraId="67F00EBF" w14:textId="77777777" w:rsidR="00B043B7" w:rsidRPr="003D3483" w:rsidRDefault="00B043B7" w:rsidP="00B043B7">
      <w:pPr>
        <w:spacing w:after="0" w:line="240" w:lineRule="auto"/>
        <w:jc w:val="both"/>
        <w:rPr>
          <w:rFonts w:ascii="Verdana" w:hAnsi="Verdana" w:cs="Arial"/>
          <w:sz w:val="24"/>
          <w:szCs w:val="24"/>
        </w:rPr>
      </w:pPr>
    </w:p>
    <w:p w14:paraId="7F72AEFE" w14:textId="77777777" w:rsidR="00B043B7" w:rsidRPr="003D3483" w:rsidRDefault="00B043B7" w:rsidP="00B043B7">
      <w:pPr>
        <w:pStyle w:val="ListParagraph"/>
        <w:numPr>
          <w:ilvl w:val="0"/>
          <w:numId w:val="13"/>
        </w:numPr>
        <w:spacing w:after="0" w:line="240" w:lineRule="auto"/>
        <w:jc w:val="both"/>
        <w:rPr>
          <w:rFonts w:ascii="Verdana" w:hAnsi="Verdana" w:cs="Arial"/>
          <w:b/>
          <w:bCs/>
          <w:sz w:val="24"/>
          <w:szCs w:val="24"/>
        </w:rPr>
      </w:pPr>
      <w:r w:rsidRPr="003D3483">
        <w:rPr>
          <w:rFonts w:ascii="Verdana" w:hAnsi="Verdana" w:cs="Arial"/>
          <w:b/>
          <w:bCs/>
          <w:sz w:val="24"/>
          <w:szCs w:val="24"/>
        </w:rPr>
        <w:t>Leased units</w:t>
      </w:r>
    </w:p>
    <w:p w14:paraId="6DB03EE8" w14:textId="77777777" w:rsidR="00B043B7" w:rsidRPr="003D3483" w:rsidRDefault="00B043B7" w:rsidP="00B043B7">
      <w:pPr>
        <w:jc w:val="both"/>
        <w:rPr>
          <w:rFonts w:ascii="Verdana" w:hAnsi="Verdana" w:cs="Arial"/>
          <w:sz w:val="24"/>
          <w:szCs w:val="24"/>
        </w:rPr>
      </w:pPr>
      <w:r w:rsidRPr="003D3483">
        <w:rPr>
          <w:rFonts w:ascii="Verdana" w:hAnsi="Verdana" w:cs="Arial"/>
          <w:sz w:val="24"/>
          <w:szCs w:val="24"/>
        </w:rPr>
        <w:t>The Health Board has leased commercial units which serve food and drink in two hospital sites</w:t>
      </w:r>
      <w:r>
        <w:rPr>
          <w:rFonts w:ascii="Verdana" w:hAnsi="Verdana" w:cs="Arial"/>
          <w:sz w:val="24"/>
          <w:szCs w:val="24"/>
        </w:rPr>
        <w:t>: Morriston Hospital and Neath Port Talbot Hospital. Leases are of fixed duration and cannot be changed without financial implications for the Health Board.</w:t>
      </w:r>
    </w:p>
    <w:p w14:paraId="1D6A3535" w14:textId="77777777" w:rsidR="00B043B7" w:rsidRPr="003D3483" w:rsidRDefault="00B043B7" w:rsidP="00B043B7">
      <w:pPr>
        <w:pStyle w:val="ListParagraph"/>
        <w:numPr>
          <w:ilvl w:val="0"/>
          <w:numId w:val="13"/>
        </w:numPr>
        <w:spacing w:after="0" w:line="240" w:lineRule="auto"/>
        <w:rPr>
          <w:rFonts w:ascii="Verdana" w:hAnsi="Verdana" w:cs="Arial"/>
          <w:b/>
          <w:bCs/>
          <w:sz w:val="24"/>
          <w:szCs w:val="24"/>
        </w:rPr>
      </w:pPr>
      <w:r w:rsidRPr="003D3483">
        <w:rPr>
          <w:rFonts w:ascii="Verdana" w:hAnsi="Verdana" w:cs="Arial"/>
          <w:b/>
          <w:bCs/>
          <w:sz w:val="24"/>
          <w:szCs w:val="24"/>
        </w:rPr>
        <w:t>Health Board operated restaurants and cafes</w:t>
      </w:r>
    </w:p>
    <w:p w14:paraId="0E87ED87" w14:textId="77777777" w:rsidR="00B043B7" w:rsidRPr="003D3483" w:rsidRDefault="00B043B7" w:rsidP="00B043B7">
      <w:pPr>
        <w:spacing w:after="0" w:line="240" w:lineRule="auto"/>
        <w:rPr>
          <w:rFonts w:ascii="Verdana" w:hAnsi="Verdana" w:cs="Arial"/>
          <w:b/>
          <w:bCs/>
          <w:sz w:val="24"/>
          <w:szCs w:val="24"/>
        </w:rPr>
      </w:pPr>
      <w:r w:rsidRPr="003D3483">
        <w:rPr>
          <w:rFonts w:ascii="Verdana" w:hAnsi="Verdana" w:cs="Arial"/>
          <w:sz w:val="24"/>
          <w:szCs w:val="24"/>
        </w:rPr>
        <w:lastRenderedPageBreak/>
        <w:t xml:space="preserve">There are a number of restaurants and cafes across hospital sites, which are operated by the Health Board. These are managed by Support Services in the Health Board. </w:t>
      </w:r>
    </w:p>
    <w:p w14:paraId="0FAFFB29" w14:textId="77777777" w:rsidR="00B043B7" w:rsidRPr="003D3483" w:rsidRDefault="00B043B7" w:rsidP="00B043B7">
      <w:pPr>
        <w:spacing w:after="0" w:line="240" w:lineRule="auto"/>
        <w:rPr>
          <w:rFonts w:ascii="Verdana" w:hAnsi="Verdana" w:cs="Arial"/>
          <w:b/>
          <w:bCs/>
          <w:sz w:val="24"/>
          <w:szCs w:val="24"/>
        </w:rPr>
      </w:pPr>
      <w:r w:rsidRPr="003D3483">
        <w:rPr>
          <w:rFonts w:ascii="Verdana" w:hAnsi="Verdana" w:cs="Arial"/>
          <w:b/>
          <w:bCs/>
          <w:sz w:val="24"/>
          <w:szCs w:val="24"/>
        </w:rPr>
        <w:t xml:space="preserve"> </w:t>
      </w:r>
    </w:p>
    <w:p w14:paraId="6D430053" w14:textId="77777777" w:rsidR="00B043B7" w:rsidRPr="003D3483" w:rsidRDefault="00B043B7" w:rsidP="00B043B7">
      <w:pPr>
        <w:pStyle w:val="ListParagraph"/>
        <w:numPr>
          <w:ilvl w:val="0"/>
          <w:numId w:val="13"/>
        </w:numPr>
        <w:spacing w:after="0" w:line="240" w:lineRule="auto"/>
        <w:rPr>
          <w:rFonts w:ascii="Verdana" w:hAnsi="Verdana" w:cs="Arial"/>
          <w:b/>
          <w:bCs/>
          <w:sz w:val="24"/>
          <w:szCs w:val="24"/>
        </w:rPr>
      </w:pPr>
      <w:r w:rsidRPr="003D3483">
        <w:rPr>
          <w:rFonts w:ascii="Verdana" w:hAnsi="Verdana" w:cs="Arial"/>
          <w:b/>
          <w:bCs/>
          <w:sz w:val="24"/>
          <w:szCs w:val="24"/>
        </w:rPr>
        <w:t>Vending machines</w:t>
      </w:r>
    </w:p>
    <w:p w14:paraId="3E706557" w14:textId="285E99CC" w:rsidR="00B043B7" w:rsidRPr="003D3483" w:rsidRDefault="00B043B7" w:rsidP="00B043B7">
      <w:pPr>
        <w:spacing w:after="0" w:line="240" w:lineRule="auto"/>
        <w:jc w:val="both"/>
        <w:rPr>
          <w:rFonts w:ascii="Verdana" w:hAnsi="Verdana" w:cs="Arial"/>
          <w:sz w:val="24"/>
          <w:szCs w:val="24"/>
        </w:rPr>
      </w:pPr>
      <w:r w:rsidRPr="003D3483">
        <w:rPr>
          <w:rFonts w:ascii="Verdana" w:hAnsi="Verdana" w:cs="Arial"/>
          <w:sz w:val="24"/>
          <w:szCs w:val="24"/>
        </w:rPr>
        <w:t xml:space="preserve">There are self-fill vending machines across many Health Board sites. These vending machines are found on larger hospital sites which also have access to cafes or restaurants during daytime hours but may be the only source of food and drink outside of café or restaurant opening hours.  Vending machines are also found on smaller hospital, clinic or office sites which do not have access to cafes or restaurants and so may be the only source of food and drink for staff. </w:t>
      </w:r>
      <w:r>
        <w:rPr>
          <w:rFonts w:ascii="Verdana" w:hAnsi="Verdana" w:cs="Arial"/>
          <w:sz w:val="24"/>
          <w:szCs w:val="24"/>
        </w:rPr>
        <w:t>Vending machines also operate on a contractual basis.</w:t>
      </w:r>
    </w:p>
    <w:p w14:paraId="27862566" w14:textId="77777777" w:rsidR="00B043B7" w:rsidRPr="003D3483" w:rsidRDefault="00B043B7" w:rsidP="00B043B7">
      <w:pPr>
        <w:spacing w:after="0" w:line="240" w:lineRule="auto"/>
        <w:jc w:val="both"/>
        <w:rPr>
          <w:rFonts w:ascii="Verdana" w:hAnsi="Verdana" w:cs="Arial"/>
          <w:sz w:val="24"/>
          <w:szCs w:val="24"/>
        </w:rPr>
      </w:pPr>
    </w:p>
    <w:p w14:paraId="605577B8" w14:textId="77777777" w:rsidR="00B043B7" w:rsidRPr="003D3483" w:rsidRDefault="00B043B7" w:rsidP="00B043B7">
      <w:pPr>
        <w:spacing w:after="0" w:line="240" w:lineRule="auto"/>
        <w:rPr>
          <w:rFonts w:ascii="Verdana" w:hAnsi="Verdana" w:cs="Arial"/>
          <w:b/>
          <w:bCs/>
          <w:sz w:val="24"/>
          <w:szCs w:val="24"/>
        </w:rPr>
      </w:pPr>
      <w:r w:rsidRPr="003D3483">
        <w:rPr>
          <w:rFonts w:ascii="Verdana" w:hAnsi="Verdana" w:cs="Arial"/>
          <w:b/>
          <w:bCs/>
          <w:sz w:val="24"/>
          <w:szCs w:val="24"/>
        </w:rPr>
        <w:t>Work being undertaken in Swansea Bay</w:t>
      </w:r>
    </w:p>
    <w:p w14:paraId="49DEBA7D" w14:textId="77777777" w:rsidR="00B043B7" w:rsidRPr="003D3483" w:rsidRDefault="00B043B7" w:rsidP="00B043B7">
      <w:pPr>
        <w:spacing w:after="0" w:line="240" w:lineRule="auto"/>
        <w:rPr>
          <w:rFonts w:ascii="Verdana" w:hAnsi="Verdana" w:cs="Arial"/>
          <w:sz w:val="24"/>
          <w:szCs w:val="24"/>
        </w:rPr>
      </w:pPr>
    </w:p>
    <w:p w14:paraId="00A535CA" w14:textId="77777777" w:rsidR="00B043B7" w:rsidRPr="003D3483" w:rsidRDefault="00B043B7" w:rsidP="00B043B7">
      <w:pPr>
        <w:spacing w:after="0" w:line="240" w:lineRule="auto"/>
        <w:rPr>
          <w:rFonts w:ascii="Verdana" w:hAnsi="Verdana" w:cs="Arial"/>
          <w:sz w:val="24"/>
          <w:szCs w:val="24"/>
        </w:rPr>
      </w:pPr>
      <w:r w:rsidRPr="003D3483">
        <w:rPr>
          <w:rFonts w:ascii="Verdana" w:hAnsi="Verdana" w:cs="Arial"/>
          <w:sz w:val="24"/>
          <w:szCs w:val="24"/>
        </w:rPr>
        <w:t>There is work happening across Swansea Bay University Health Board on food and drink provision which includes:</w:t>
      </w:r>
    </w:p>
    <w:p w14:paraId="5D0D3AD5" w14:textId="77777777" w:rsidR="00B043B7" w:rsidRPr="003D3483" w:rsidRDefault="00B043B7" w:rsidP="00B043B7">
      <w:pPr>
        <w:spacing w:after="0" w:line="240" w:lineRule="auto"/>
        <w:rPr>
          <w:rFonts w:ascii="Verdana" w:hAnsi="Verdana" w:cs="Arial"/>
          <w:sz w:val="24"/>
          <w:szCs w:val="24"/>
        </w:rPr>
      </w:pPr>
    </w:p>
    <w:p w14:paraId="5F96DCE9" w14:textId="77777777" w:rsidR="00B043B7" w:rsidRPr="003D3483" w:rsidRDefault="00B043B7" w:rsidP="00B043B7">
      <w:pPr>
        <w:pStyle w:val="ListParagraph"/>
        <w:numPr>
          <w:ilvl w:val="0"/>
          <w:numId w:val="12"/>
        </w:numPr>
        <w:spacing w:after="0" w:line="240" w:lineRule="auto"/>
        <w:rPr>
          <w:rFonts w:ascii="Verdana" w:hAnsi="Verdana" w:cs="Arial"/>
          <w:b/>
          <w:bCs/>
          <w:sz w:val="24"/>
          <w:szCs w:val="24"/>
        </w:rPr>
      </w:pPr>
      <w:r w:rsidRPr="003D3483">
        <w:rPr>
          <w:rFonts w:ascii="Verdana" w:hAnsi="Verdana" w:cs="Arial"/>
          <w:b/>
          <w:bCs/>
          <w:sz w:val="24"/>
          <w:szCs w:val="24"/>
        </w:rPr>
        <w:t>Healthy and Sustainable Catering Strategy (see Appendix 1)</w:t>
      </w:r>
    </w:p>
    <w:p w14:paraId="39A5D2A7" w14:textId="6BAD213D" w:rsidR="00B043B7" w:rsidRDefault="00B043B7" w:rsidP="00B043B7">
      <w:pPr>
        <w:spacing w:after="0" w:line="240" w:lineRule="auto"/>
        <w:rPr>
          <w:rFonts w:ascii="Verdana" w:hAnsi="Verdana" w:cs="Arial"/>
          <w:sz w:val="24"/>
          <w:szCs w:val="24"/>
        </w:rPr>
      </w:pPr>
      <w:r w:rsidRPr="003D3483">
        <w:rPr>
          <w:rFonts w:ascii="Verdana" w:hAnsi="Verdana" w:cs="Arial"/>
          <w:sz w:val="24"/>
          <w:szCs w:val="24"/>
        </w:rPr>
        <w:t xml:space="preserve">Swansea Bay has a Healthy and Sustainable Catering Strategy </w:t>
      </w:r>
      <w:r>
        <w:rPr>
          <w:rFonts w:ascii="Verdana" w:hAnsi="Verdana" w:cs="Arial"/>
          <w:sz w:val="24"/>
          <w:szCs w:val="24"/>
        </w:rPr>
        <w:t xml:space="preserve">which has </w:t>
      </w:r>
      <w:r w:rsidR="00FE7A50">
        <w:rPr>
          <w:rFonts w:ascii="Verdana" w:hAnsi="Verdana" w:cs="Arial"/>
          <w:sz w:val="24"/>
          <w:szCs w:val="24"/>
        </w:rPr>
        <w:t>three objectives</w:t>
      </w:r>
      <w:r>
        <w:rPr>
          <w:rFonts w:ascii="Verdana" w:hAnsi="Verdana" w:cs="Arial"/>
          <w:sz w:val="24"/>
          <w:szCs w:val="24"/>
        </w:rPr>
        <w:t xml:space="preserve"> (see </w:t>
      </w:r>
      <w:r w:rsidR="00FE7A50">
        <w:rPr>
          <w:rFonts w:ascii="Verdana" w:hAnsi="Verdana" w:cs="Arial"/>
          <w:sz w:val="24"/>
          <w:szCs w:val="24"/>
        </w:rPr>
        <w:t>Figure</w:t>
      </w:r>
      <w:r>
        <w:rPr>
          <w:rFonts w:ascii="Verdana" w:hAnsi="Verdana" w:cs="Arial"/>
          <w:sz w:val="24"/>
          <w:szCs w:val="24"/>
        </w:rPr>
        <w:t xml:space="preserve"> 1). </w:t>
      </w:r>
      <w:r w:rsidRPr="003D3483">
        <w:rPr>
          <w:rFonts w:ascii="Verdana" w:hAnsi="Verdana" w:cs="Arial"/>
          <w:sz w:val="24"/>
          <w:szCs w:val="24"/>
        </w:rPr>
        <w:t>The governance of the strategy is via the Healthy and Sustainable Catering Group, which reports to the Swansea Bay Sustainable Steering Group.</w:t>
      </w:r>
    </w:p>
    <w:p w14:paraId="298F1BBF" w14:textId="77777777" w:rsidR="00B043B7" w:rsidRDefault="00B043B7" w:rsidP="00B043B7">
      <w:pPr>
        <w:spacing w:after="0" w:line="240" w:lineRule="auto"/>
        <w:rPr>
          <w:rFonts w:ascii="Verdana" w:hAnsi="Verdana" w:cs="Arial"/>
          <w:sz w:val="24"/>
          <w:szCs w:val="24"/>
        </w:rPr>
      </w:pPr>
    </w:p>
    <w:p w14:paraId="7228485F" w14:textId="2B9952A3" w:rsidR="00B043B7" w:rsidRDefault="00FE7A50" w:rsidP="00B043B7">
      <w:pPr>
        <w:spacing w:after="0" w:line="240" w:lineRule="auto"/>
        <w:rPr>
          <w:rFonts w:ascii="Verdana" w:hAnsi="Verdana" w:cs="Arial"/>
          <w:i/>
          <w:iCs/>
          <w:sz w:val="24"/>
          <w:szCs w:val="24"/>
        </w:rPr>
      </w:pPr>
      <w:r>
        <w:rPr>
          <w:rFonts w:ascii="Verdana" w:hAnsi="Verdana" w:cs="Arial"/>
          <w:b/>
          <w:bCs/>
          <w:sz w:val="24"/>
          <w:szCs w:val="24"/>
        </w:rPr>
        <w:t>Figure</w:t>
      </w:r>
      <w:r w:rsidR="00B043B7" w:rsidRPr="001F416E">
        <w:rPr>
          <w:rFonts w:ascii="Verdana" w:hAnsi="Verdana" w:cs="Arial"/>
          <w:b/>
          <w:bCs/>
          <w:sz w:val="24"/>
          <w:szCs w:val="24"/>
        </w:rPr>
        <w:t xml:space="preserve"> 1.</w:t>
      </w:r>
      <w:r w:rsidR="00B043B7">
        <w:rPr>
          <w:rFonts w:ascii="Verdana" w:hAnsi="Verdana" w:cs="Arial"/>
          <w:sz w:val="24"/>
          <w:szCs w:val="24"/>
        </w:rPr>
        <w:t xml:space="preserve"> </w:t>
      </w:r>
      <w:r w:rsidR="00B043B7" w:rsidRPr="001F416E">
        <w:rPr>
          <w:rFonts w:ascii="Verdana" w:hAnsi="Verdana" w:cs="Arial"/>
          <w:i/>
          <w:iCs/>
          <w:sz w:val="24"/>
          <w:szCs w:val="24"/>
        </w:rPr>
        <w:t>Swansea Bay U</w:t>
      </w:r>
      <w:r w:rsidR="004C12F8">
        <w:rPr>
          <w:rFonts w:ascii="Verdana" w:hAnsi="Verdana" w:cs="Arial"/>
          <w:i/>
          <w:iCs/>
          <w:sz w:val="24"/>
          <w:szCs w:val="24"/>
        </w:rPr>
        <w:t xml:space="preserve">niversity </w:t>
      </w:r>
      <w:r w:rsidR="00B043B7" w:rsidRPr="001F416E">
        <w:rPr>
          <w:rFonts w:ascii="Verdana" w:hAnsi="Verdana" w:cs="Arial"/>
          <w:i/>
          <w:iCs/>
          <w:sz w:val="24"/>
          <w:szCs w:val="24"/>
        </w:rPr>
        <w:t>H</w:t>
      </w:r>
      <w:r w:rsidR="004C12F8">
        <w:rPr>
          <w:rFonts w:ascii="Verdana" w:hAnsi="Verdana" w:cs="Arial"/>
          <w:i/>
          <w:iCs/>
          <w:sz w:val="24"/>
          <w:szCs w:val="24"/>
        </w:rPr>
        <w:t xml:space="preserve">ealth </w:t>
      </w:r>
      <w:r w:rsidR="00B043B7" w:rsidRPr="001F416E">
        <w:rPr>
          <w:rFonts w:ascii="Verdana" w:hAnsi="Verdana" w:cs="Arial"/>
          <w:i/>
          <w:iCs/>
          <w:sz w:val="24"/>
          <w:szCs w:val="24"/>
        </w:rPr>
        <w:t>B</w:t>
      </w:r>
      <w:r w:rsidR="004C12F8">
        <w:rPr>
          <w:rFonts w:ascii="Verdana" w:hAnsi="Verdana" w:cs="Arial"/>
          <w:i/>
          <w:iCs/>
          <w:sz w:val="24"/>
          <w:szCs w:val="24"/>
        </w:rPr>
        <w:t>oard</w:t>
      </w:r>
      <w:r w:rsidR="00B043B7" w:rsidRPr="001F416E">
        <w:rPr>
          <w:rFonts w:ascii="Verdana" w:hAnsi="Verdana" w:cs="Arial"/>
          <w:i/>
          <w:iCs/>
          <w:sz w:val="24"/>
          <w:szCs w:val="24"/>
        </w:rPr>
        <w:t xml:space="preserve"> Healthy and Sustainable Catering Strategy: </w:t>
      </w:r>
      <w:r>
        <w:rPr>
          <w:rFonts w:ascii="Verdana" w:hAnsi="Verdana" w:cs="Arial"/>
          <w:i/>
          <w:iCs/>
          <w:sz w:val="24"/>
          <w:szCs w:val="24"/>
        </w:rPr>
        <w:t>Objectives</w:t>
      </w:r>
    </w:p>
    <w:p w14:paraId="2B13BBFA" w14:textId="77777777" w:rsidR="00FE7A50" w:rsidRDefault="00FE7A50" w:rsidP="00B043B7">
      <w:pPr>
        <w:spacing w:after="0" w:line="240" w:lineRule="auto"/>
        <w:rPr>
          <w:rFonts w:ascii="Verdana" w:hAnsi="Verdana" w:cs="Arial"/>
          <w:i/>
          <w:iCs/>
          <w:sz w:val="24"/>
          <w:szCs w:val="24"/>
        </w:rPr>
      </w:pPr>
    </w:p>
    <w:p w14:paraId="57ACE3AF" w14:textId="76E170FD" w:rsidR="00FE7A50" w:rsidRDefault="00FE7A50" w:rsidP="00B043B7">
      <w:pPr>
        <w:spacing w:after="0" w:line="240" w:lineRule="auto"/>
        <w:rPr>
          <w:rFonts w:ascii="Verdana" w:hAnsi="Verdana" w:cs="Arial"/>
          <w:sz w:val="24"/>
          <w:szCs w:val="24"/>
        </w:rPr>
      </w:pPr>
      <w:r>
        <w:rPr>
          <w:noProof/>
        </w:rPr>
        <w:drawing>
          <wp:inline distT="0" distB="0" distL="0" distR="0" wp14:anchorId="0BEA3A7B" wp14:editId="09872251">
            <wp:extent cx="4203357" cy="1981200"/>
            <wp:effectExtent l="0" t="0" r="6985" b="0"/>
            <wp:docPr id="726443863" name="Picture 1" descr="A close-up of a list of informa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443863" name="Picture 1" descr="A close-up of a list of information&#10;&#10;AI-generated content may be incorrect."/>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4208040" cy="1983407"/>
                    </a:xfrm>
                    <a:prstGeom prst="rect">
                      <a:avLst/>
                    </a:prstGeom>
                    <a:noFill/>
                    <a:ln>
                      <a:noFill/>
                    </a:ln>
                  </pic:spPr>
                </pic:pic>
              </a:graphicData>
            </a:graphic>
          </wp:inline>
        </w:drawing>
      </w:r>
    </w:p>
    <w:p w14:paraId="3D5B3C3B" w14:textId="77777777" w:rsidR="00B043B7" w:rsidRPr="003D3483" w:rsidRDefault="00B043B7" w:rsidP="00B043B7">
      <w:pPr>
        <w:spacing w:after="0" w:line="240" w:lineRule="auto"/>
        <w:rPr>
          <w:rFonts w:ascii="Verdana" w:hAnsi="Verdana" w:cs="Arial"/>
          <w:sz w:val="24"/>
          <w:szCs w:val="24"/>
        </w:rPr>
      </w:pPr>
    </w:p>
    <w:p w14:paraId="7022745B" w14:textId="77777777" w:rsidR="00B043B7" w:rsidRPr="003D3483" w:rsidRDefault="00B043B7" w:rsidP="00B043B7">
      <w:pPr>
        <w:spacing w:after="0" w:line="240" w:lineRule="auto"/>
        <w:rPr>
          <w:rFonts w:ascii="Verdana" w:hAnsi="Verdana" w:cs="Arial"/>
          <w:sz w:val="24"/>
          <w:szCs w:val="24"/>
        </w:rPr>
      </w:pPr>
      <w:r w:rsidRPr="003D3483">
        <w:rPr>
          <w:rFonts w:ascii="Verdana" w:hAnsi="Verdana" w:cs="Arial"/>
          <w:sz w:val="24"/>
          <w:szCs w:val="24"/>
        </w:rPr>
        <w:t xml:space="preserve">The Strategy includes a range of actions to improve the health and sustainability of the food and drink offer in the Health Board. This includes actions in inpatient areas such as exploring opportunity to incorporate more plants and less meat on the menu and increase fresh seasonal fruit and vegetable, actions in restaurants and cafes such as reviewing portion sizes and exploring ways to improve access to free water, and working to include ‘healthier’ snack, meal, and drink options in self-fill vending </w:t>
      </w:r>
      <w:r w:rsidRPr="003D3483">
        <w:rPr>
          <w:rFonts w:ascii="Verdana" w:hAnsi="Verdana" w:cs="Arial"/>
          <w:sz w:val="24"/>
          <w:szCs w:val="24"/>
        </w:rPr>
        <w:lastRenderedPageBreak/>
        <w:t>machines such as nuts, sandwiches, water. There are also actions to engage with suppliers to encourage availability of healthier and sustainable food and drink options in commercial units and to organise a working group to discuss upcoming commercial contracts when applicable with an aim to improve the health and sustainability of the food and drink offerings of commercial units.</w:t>
      </w:r>
    </w:p>
    <w:p w14:paraId="74D6A77D" w14:textId="77777777" w:rsidR="00B043B7" w:rsidRPr="003D3483" w:rsidRDefault="00B043B7" w:rsidP="00B043B7">
      <w:pPr>
        <w:spacing w:after="0" w:line="240" w:lineRule="auto"/>
        <w:rPr>
          <w:rFonts w:ascii="Verdana" w:hAnsi="Verdana" w:cs="Arial"/>
          <w:sz w:val="24"/>
          <w:szCs w:val="24"/>
        </w:rPr>
      </w:pPr>
    </w:p>
    <w:p w14:paraId="69E45DEB" w14:textId="77777777" w:rsidR="00B043B7" w:rsidRDefault="00B043B7" w:rsidP="00B043B7">
      <w:pPr>
        <w:spacing w:after="0" w:line="240" w:lineRule="auto"/>
        <w:rPr>
          <w:rFonts w:ascii="Verdana" w:hAnsi="Verdana" w:cs="Arial"/>
          <w:sz w:val="24"/>
          <w:szCs w:val="24"/>
        </w:rPr>
      </w:pPr>
      <w:r w:rsidRPr="003D3483">
        <w:rPr>
          <w:rFonts w:ascii="Verdana" w:hAnsi="Verdana" w:cs="Arial"/>
          <w:sz w:val="24"/>
          <w:szCs w:val="24"/>
        </w:rPr>
        <w:t>The actions in the strategy were developed based on an aim to improve the health and sustainability of the food and drink offer, balanced against practical constraints such as procurement and financial concerns.</w:t>
      </w:r>
    </w:p>
    <w:p w14:paraId="78F3F5C8" w14:textId="77777777" w:rsidR="00B043B7" w:rsidRDefault="00B043B7" w:rsidP="00B043B7">
      <w:pPr>
        <w:spacing w:after="0" w:line="240" w:lineRule="auto"/>
        <w:rPr>
          <w:rFonts w:ascii="Verdana" w:hAnsi="Verdana" w:cs="Arial"/>
          <w:sz w:val="24"/>
          <w:szCs w:val="24"/>
        </w:rPr>
      </w:pPr>
    </w:p>
    <w:p w14:paraId="4228EBB3" w14:textId="77777777" w:rsidR="00B043B7" w:rsidRPr="004B1EF6" w:rsidRDefault="00B043B7" w:rsidP="00B043B7">
      <w:pPr>
        <w:pStyle w:val="ListParagraph"/>
        <w:numPr>
          <w:ilvl w:val="0"/>
          <w:numId w:val="12"/>
        </w:numPr>
        <w:rPr>
          <w:rFonts w:ascii="Verdana" w:hAnsi="Verdana" w:cs="Arial"/>
          <w:b/>
          <w:bCs/>
          <w:sz w:val="24"/>
          <w:szCs w:val="24"/>
        </w:rPr>
      </w:pPr>
      <w:r w:rsidRPr="004B1EF6">
        <w:rPr>
          <w:rFonts w:ascii="Verdana" w:hAnsi="Verdana" w:cs="Arial"/>
          <w:b/>
          <w:bCs/>
          <w:sz w:val="24"/>
          <w:szCs w:val="24"/>
        </w:rPr>
        <w:t>Nutrition and Hydration Quality Priority</w:t>
      </w:r>
    </w:p>
    <w:p w14:paraId="36E6F730" w14:textId="77777777" w:rsidR="00B043B7" w:rsidRDefault="00B043B7" w:rsidP="00B043B7">
      <w:pPr>
        <w:spacing w:after="0" w:line="240" w:lineRule="auto"/>
        <w:rPr>
          <w:rFonts w:ascii="Verdana" w:hAnsi="Verdana" w:cs="Arial"/>
          <w:sz w:val="24"/>
          <w:szCs w:val="24"/>
        </w:rPr>
      </w:pPr>
      <w:r w:rsidRPr="003D3483">
        <w:rPr>
          <w:rFonts w:ascii="Verdana" w:hAnsi="Verdana" w:cs="Arial"/>
          <w:sz w:val="24"/>
          <w:szCs w:val="24"/>
        </w:rPr>
        <w:t xml:space="preserve">The Health Board has designated Nutrition and Hydration as a Quality Priority, which is being led by the Health Board’s Quality and Safety Team. This work is focussed on improving the nutrition and hydration of inpatients and ensuring the Health Board is complying with the “All Wales Nutrition and Catering Standards for Food and Fluid Provision for Hospital Inpatients”. The Nutrition and Hydration workstream reports regularly on the work that is being undertaken, including to the Nutrition and Hydration Steering Committee, Quality and Safety Committee, Quality Priority Board, and Management Board. This workstream has primarily focussed on the needs of inpatients across Swansea Bay </w:t>
      </w:r>
      <w:r>
        <w:rPr>
          <w:rFonts w:ascii="Verdana" w:hAnsi="Verdana" w:cs="Arial"/>
          <w:sz w:val="24"/>
          <w:szCs w:val="24"/>
        </w:rPr>
        <w:t>rather than those of</w:t>
      </w:r>
      <w:r w:rsidRPr="003D3483">
        <w:rPr>
          <w:rFonts w:ascii="Verdana" w:hAnsi="Verdana" w:cs="Arial"/>
          <w:sz w:val="24"/>
          <w:szCs w:val="24"/>
        </w:rPr>
        <w:t xml:space="preserve"> staff, visitors and outpatients that is provided through retail settings such as canteens, restaurants, cafes, shops and vending machines.</w:t>
      </w:r>
    </w:p>
    <w:p w14:paraId="55A5B903" w14:textId="77777777" w:rsidR="00B043B7" w:rsidRDefault="00B043B7" w:rsidP="00B043B7">
      <w:pPr>
        <w:spacing w:after="0" w:line="240" w:lineRule="auto"/>
        <w:rPr>
          <w:rFonts w:ascii="Verdana" w:hAnsi="Verdana" w:cs="Arial"/>
          <w:sz w:val="24"/>
          <w:szCs w:val="24"/>
        </w:rPr>
      </w:pPr>
    </w:p>
    <w:p w14:paraId="51B79A5B" w14:textId="77777777" w:rsidR="00B043B7" w:rsidRPr="0028754E" w:rsidRDefault="00B043B7" w:rsidP="00B043B7">
      <w:pPr>
        <w:pStyle w:val="ListParagraph"/>
        <w:numPr>
          <w:ilvl w:val="0"/>
          <w:numId w:val="12"/>
        </w:numPr>
        <w:spacing w:after="0" w:line="240" w:lineRule="auto"/>
        <w:rPr>
          <w:rFonts w:ascii="Verdana" w:hAnsi="Verdana" w:cs="Arial"/>
          <w:b/>
          <w:bCs/>
          <w:sz w:val="24"/>
          <w:szCs w:val="24"/>
        </w:rPr>
      </w:pPr>
      <w:r w:rsidRPr="0028754E">
        <w:rPr>
          <w:rFonts w:ascii="Verdana" w:hAnsi="Verdana" w:cs="Arial"/>
          <w:b/>
          <w:bCs/>
          <w:sz w:val="24"/>
          <w:szCs w:val="24"/>
        </w:rPr>
        <w:t xml:space="preserve">Anchor </w:t>
      </w:r>
      <w:r>
        <w:rPr>
          <w:rFonts w:ascii="Verdana" w:hAnsi="Verdana" w:cs="Arial"/>
          <w:b/>
          <w:bCs/>
          <w:sz w:val="24"/>
          <w:szCs w:val="24"/>
        </w:rPr>
        <w:t xml:space="preserve">Institution </w:t>
      </w:r>
      <w:r w:rsidRPr="0028754E">
        <w:rPr>
          <w:rFonts w:ascii="Verdana" w:hAnsi="Verdana" w:cs="Arial"/>
          <w:b/>
          <w:bCs/>
          <w:sz w:val="24"/>
          <w:szCs w:val="24"/>
        </w:rPr>
        <w:t>and Regional Health Economy</w:t>
      </w:r>
    </w:p>
    <w:p w14:paraId="0BA96EFA" w14:textId="77777777" w:rsidR="00B043B7" w:rsidRPr="0028754E" w:rsidRDefault="00B043B7" w:rsidP="00B043B7">
      <w:pPr>
        <w:spacing w:after="0" w:line="240" w:lineRule="auto"/>
        <w:rPr>
          <w:rFonts w:ascii="Verdana" w:hAnsi="Verdana" w:cs="Arial"/>
          <w:sz w:val="24"/>
          <w:szCs w:val="24"/>
        </w:rPr>
      </w:pPr>
    </w:p>
    <w:p w14:paraId="7E131F18" w14:textId="6DDC52F5" w:rsidR="00B043B7" w:rsidRDefault="00B043B7" w:rsidP="00B043B7">
      <w:pPr>
        <w:rPr>
          <w:rFonts w:ascii="Verdana" w:hAnsi="Verdana" w:cs="Arial"/>
          <w:sz w:val="24"/>
          <w:szCs w:val="24"/>
        </w:rPr>
      </w:pPr>
      <w:r>
        <w:rPr>
          <w:rFonts w:ascii="Verdana" w:hAnsi="Verdana" w:cs="Arial"/>
          <w:sz w:val="24"/>
          <w:szCs w:val="24"/>
        </w:rPr>
        <w:t xml:space="preserve">Building on the Health Board’s ambition as an effective anchor institution and the anchor baselining work undertaken in 2024/25 (presented to the Population Health </w:t>
      </w:r>
      <w:r w:rsidRPr="00A52A90">
        <w:rPr>
          <w:rFonts w:ascii="Verdana" w:hAnsi="Verdana" w:cs="Arial"/>
          <w:sz w:val="24"/>
          <w:szCs w:val="24"/>
        </w:rPr>
        <w:t xml:space="preserve">Committee in March 2025) this is </w:t>
      </w:r>
      <w:r>
        <w:rPr>
          <w:rFonts w:ascii="Verdana" w:hAnsi="Verdana" w:cs="Arial"/>
          <w:sz w:val="24"/>
          <w:szCs w:val="24"/>
        </w:rPr>
        <w:t>also</w:t>
      </w:r>
      <w:r w:rsidRPr="00A52A90">
        <w:rPr>
          <w:rFonts w:ascii="Verdana" w:hAnsi="Verdana" w:cs="Arial"/>
          <w:sz w:val="24"/>
          <w:szCs w:val="24"/>
        </w:rPr>
        <w:t xml:space="preserve"> progress</w:t>
      </w:r>
      <w:r>
        <w:rPr>
          <w:rFonts w:ascii="Verdana" w:hAnsi="Verdana" w:cs="Arial"/>
          <w:sz w:val="24"/>
          <w:szCs w:val="24"/>
        </w:rPr>
        <w:t>ing</w:t>
      </w:r>
      <w:r w:rsidRPr="00A52A90">
        <w:rPr>
          <w:rFonts w:ascii="Verdana" w:hAnsi="Verdana" w:cs="Arial"/>
          <w:sz w:val="24"/>
          <w:szCs w:val="24"/>
        </w:rPr>
        <w:t xml:space="preserve"> through the Regional Joint Committee’s Regional Health Economy Group. A regional programme of work has been identified and includes exploring how to shift the focus of spend to long-term prevention and wellbeing, of which health and sustainable food choices are a key component. </w:t>
      </w:r>
      <w:r>
        <w:rPr>
          <w:rFonts w:ascii="Verdana" w:hAnsi="Verdana" w:cs="Arial"/>
          <w:sz w:val="24"/>
          <w:szCs w:val="24"/>
        </w:rPr>
        <w:t xml:space="preserve">The Healthy Weight Healthy Wales programme is working with PSBs in Hywel Dda and </w:t>
      </w:r>
      <w:r w:rsidR="006B185C">
        <w:rPr>
          <w:rFonts w:ascii="Verdana" w:hAnsi="Verdana" w:cs="Arial"/>
          <w:sz w:val="24"/>
          <w:szCs w:val="24"/>
        </w:rPr>
        <w:t>Swansea Bay Health Board</w:t>
      </w:r>
      <w:r>
        <w:rPr>
          <w:rFonts w:ascii="Verdana" w:hAnsi="Verdana" w:cs="Arial"/>
          <w:sz w:val="24"/>
          <w:szCs w:val="24"/>
        </w:rPr>
        <w:t>s to address Access to Food.</w:t>
      </w:r>
    </w:p>
    <w:p w14:paraId="3E9CD75A" w14:textId="77777777" w:rsidR="00B043B7" w:rsidRPr="005C0865" w:rsidRDefault="00B043B7" w:rsidP="00B043B7">
      <w:pPr>
        <w:rPr>
          <w:rFonts w:ascii="Arial" w:hAnsi="Arial" w:cs="Arial"/>
          <w:color w:val="000000" w:themeColor="text1"/>
          <w:sz w:val="24"/>
          <w:szCs w:val="24"/>
        </w:rPr>
      </w:pPr>
      <w:r w:rsidRPr="00A52A90">
        <w:rPr>
          <w:rFonts w:ascii="Verdana" w:hAnsi="Verdana" w:cs="Arial"/>
          <w:sz w:val="24"/>
          <w:szCs w:val="24"/>
        </w:rPr>
        <w:t xml:space="preserve">To support this </w:t>
      </w:r>
      <w:r>
        <w:rPr>
          <w:rFonts w:ascii="Verdana" w:hAnsi="Verdana" w:cs="Arial"/>
          <w:sz w:val="24"/>
          <w:szCs w:val="24"/>
        </w:rPr>
        <w:t xml:space="preserve">regional </w:t>
      </w:r>
      <w:r w:rsidRPr="00A52A90">
        <w:rPr>
          <w:rFonts w:ascii="Verdana" w:hAnsi="Verdana" w:cs="Arial"/>
          <w:sz w:val="24"/>
          <w:szCs w:val="24"/>
        </w:rPr>
        <w:t xml:space="preserve">programme of work the </w:t>
      </w:r>
      <w:r w:rsidRPr="00A52A90">
        <w:rPr>
          <w:rFonts w:ascii="Verdana" w:hAnsi="Verdana" w:cs="Arial"/>
          <w:color w:val="000000" w:themeColor="text1"/>
          <w:sz w:val="24"/>
          <w:szCs w:val="24"/>
        </w:rPr>
        <w:t>Health Board is participating in the Health Anchor Learning Network, sharing with and learning from experience across the UK</w:t>
      </w:r>
      <w:r>
        <w:rPr>
          <w:rFonts w:ascii="Verdana" w:hAnsi="Verdana" w:cs="Arial"/>
          <w:color w:val="000000" w:themeColor="text1"/>
          <w:sz w:val="24"/>
          <w:szCs w:val="24"/>
        </w:rPr>
        <w:t xml:space="preserve"> to inform regional and local action.</w:t>
      </w:r>
    </w:p>
    <w:p w14:paraId="21FE6672" w14:textId="77777777" w:rsidR="00B043B7" w:rsidRPr="003D3483" w:rsidRDefault="00B043B7" w:rsidP="00B043B7">
      <w:pPr>
        <w:spacing w:after="0" w:line="240" w:lineRule="auto"/>
        <w:jc w:val="both"/>
        <w:rPr>
          <w:rFonts w:ascii="Verdana" w:hAnsi="Verdana" w:cs="Arial"/>
          <w:sz w:val="24"/>
          <w:szCs w:val="24"/>
        </w:rPr>
      </w:pPr>
    </w:p>
    <w:p w14:paraId="37ACF995" w14:textId="77777777" w:rsidR="00B043B7" w:rsidRPr="003D3483" w:rsidRDefault="00B043B7" w:rsidP="00B043B7">
      <w:pPr>
        <w:spacing w:after="0" w:line="240" w:lineRule="auto"/>
        <w:jc w:val="both"/>
        <w:rPr>
          <w:rFonts w:ascii="Verdana" w:hAnsi="Verdana" w:cs="Arial"/>
          <w:b/>
          <w:bCs/>
          <w:sz w:val="24"/>
          <w:szCs w:val="24"/>
        </w:rPr>
      </w:pPr>
      <w:r w:rsidRPr="003D3483">
        <w:rPr>
          <w:rFonts w:ascii="Verdana" w:hAnsi="Verdana" w:cs="Arial"/>
          <w:b/>
          <w:bCs/>
          <w:sz w:val="24"/>
          <w:szCs w:val="24"/>
        </w:rPr>
        <w:t>Work being undertaken in other areas</w:t>
      </w:r>
    </w:p>
    <w:p w14:paraId="01EF9EA0" w14:textId="77777777" w:rsidR="00B043B7" w:rsidRPr="003D3483" w:rsidRDefault="00B043B7" w:rsidP="00B043B7">
      <w:pPr>
        <w:spacing w:after="0" w:line="240" w:lineRule="auto"/>
        <w:jc w:val="both"/>
        <w:rPr>
          <w:rFonts w:ascii="Verdana" w:hAnsi="Verdana" w:cs="Arial"/>
          <w:b/>
          <w:bCs/>
          <w:sz w:val="24"/>
          <w:szCs w:val="24"/>
        </w:rPr>
      </w:pPr>
    </w:p>
    <w:p w14:paraId="60A51D44" w14:textId="77777777" w:rsidR="00B043B7" w:rsidRPr="003D3483" w:rsidRDefault="00B043B7" w:rsidP="00B043B7">
      <w:pPr>
        <w:spacing w:after="0" w:line="240" w:lineRule="auto"/>
        <w:jc w:val="both"/>
        <w:rPr>
          <w:rFonts w:ascii="Verdana" w:hAnsi="Verdana" w:cs="Arial"/>
          <w:sz w:val="24"/>
          <w:szCs w:val="24"/>
        </w:rPr>
      </w:pPr>
      <w:r w:rsidRPr="003D3483">
        <w:rPr>
          <w:rFonts w:ascii="Verdana" w:hAnsi="Verdana" w:cs="Arial"/>
          <w:sz w:val="24"/>
          <w:szCs w:val="24"/>
        </w:rPr>
        <w:lastRenderedPageBreak/>
        <w:t xml:space="preserve">There is also work being undertaken across Wales on improving food and drink </w:t>
      </w:r>
      <w:r>
        <w:rPr>
          <w:rFonts w:ascii="Verdana" w:hAnsi="Verdana" w:cs="Arial"/>
          <w:sz w:val="24"/>
          <w:szCs w:val="24"/>
        </w:rPr>
        <w:t>provision, primarily in Health Board settings.</w:t>
      </w:r>
    </w:p>
    <w:p w14:paraId="39609BF0" w14:textId="77777777" w:rsidR="00B043B7" w:rsidRPr="003D3483" w:rsidRDefault="00B043B7" w:rsidP="00B043B7">
      <w:pPr>
        <w:spacing w:after="0" w:line="240" w:lineRule="auto"/>
        <w:jc w:val="both"/>
        <w:rPr>
          <w:rFonts w:ascii="Verdana" w:hAnsi="Verdana" w:cs="Arial"/>
          <w:sz w:val="24"/>
          <w:szCs w:val="24"/>
        </w:rPr>
      </w:pPr>
    </w:p>
    <w:p w14:paraId="4A4B15B0" w14:textId="77777777" w:rsidR="00B043B7" w:rsidRPr="003D3483" w:rsidRDefault="00B043B7" w:rsidP="00B043B7">
      <w:pPr>
        <w:pStyle w:val="ListParagraph"/>
        <w:numPr>
          <w:ilvl w:val="0"/>
          <w:numId w:val="14"/>
        </w:numPr>
        <w:rPr>
          <w:rFonts w:ascii="Verdana" w:hAnsi="Verdana" w:cs="Arial"/>
          <w:b/>
          <w:bCs/>
          <w:sz w:val="24"/>
          <w:szCs w:val="24"/>
        </w:rPr>
      </w:pPr>
      <w:r w:rsidRPr="003D3483">
        <w:rPr>
          <w:rFonts w:ascii="Verdana" w:hAnsi="Verdana" w:cs="Arial"/>
          <w:b/>
          <w:bCs/>
          <w:sz w:val="24"/>
          <w:szCs w:val="24"/>
        </w:rPr>
        <w:t>Public Health Wales and Welsh Government</w:t>
      </w:r>
    </w:p>
    <w:p w14:paraId="3D8BD010" w14:textId="77777777" w:rsidR="00B043B7" w:rsidRDefault="00B043B7" w:rsidP="00B043B7">
      <w:pPr>
        <w:spacing w:after="0" w:line="240" w:lineRule="auto"/>
        <w:jc w:val="both"/>
        <w:rPr>
          <w:rFonts w:ascii="Verdana" w:hAnsi="Verdana" w:cs="Arial"/>
          <w:sz w:val="24"/>
          <w:szCs w:val="24"/>
        </w:rPr>
      </w:pPr>
      <w:r w:rsidRPr="003D3483">
        <w:rPr>
          <w:rFonts w:ascii="Verdana" w:hAnsi="Verdana" w:cs="Arial"/>
          <w:sz w:val="24"/>
          <w:szCs w:val="24"/>
        </w:rPr>
        <w:t xml:space="preserve">Whilst there hasn’t been a specific focus in national work on healthy weight on commercial hospital food provision currently, Public Health Wales have indicated that they are </w:t>
      </w:r>
      <w:r>
        <w:rPr>
          <w:rFonts w:ascii="Verdana" w:hAnsi="Verdana" w:cs="Arial"/>
          <w:sz w:val="24"/>
          <w:szCs w:val="24"/>
        </w:rPr>
        <w:t>scoping</w:t>
      </w:r>
      <w:r w:rsidRPr="003D3483">
        <w:rPr>
          <w:rFonts w:ascii="Verdana" w:hAnsi="Verdana" w:cs="Arial"/>
          <w:sz w:val="24"/>
          <w:szCs w:val="24"/>
        </w:rPr>
        <w:t xml:space="preserve"> national work on the provision of healthy food in NHS settings, with a potential initial focus on healthier vending machines. They have also shared that this is an area that has been discussed with Welsh Government as an area to progress the healthy weight agenda across Wales. </w:t>
      </w:r>
      <w:r>
        <w:rPr>
          <w:rFonts w:ascii="Verdana" w:hAnsi="Verdana" w:cs="Arial"/>
          <w:sz w:val="24"/>
          <w:szCs w:val="24"/>
        </w:rPr>
        <w:t>Work on nutritional standards for hospital food is anticipated in the next 12 months.</w:t>
      </w:r>
    </w:p>
    <w:p w14:paraId="37B9C876" w14:textId="77777777" w:rsidR="00B043B7" w:rsidRPr="003D3483" w:rsidRDefault="00B043B7" w:rsidP="00B043B7">
      <w:pPr>
        <w:spacing w:after="0" w:line="240" w:lineRule="auto"/>
        <w:jc w:val="both"/>
        <w:rPr>
          <w:rFonts w:ascii="Verdana" w:hAnsi="Verdana" w:cs="Arial"/>
          <w:sz w:val="24"/>
          <w:szCs w:val="24"/>
        </w:rPr>
      </w:pPr>
    </w:p>
    <w:p w14:paraId="6D4C17C1" w14:textId="77777777" w:rsidR="00B043B7" w:rsidRPr="003D3483" w:rsidRDefault="00B043B7" w:rsidP="00B043B7">
      <w:pPr>
        <w:pStyle w:val="ListParagraph"/>
        <w:numPr>
          <w:ilvl w:val="0"/>
          <w:numId w:val="14"/>
        </w:numPr>
        <w:rPr>
          <w:rFonts w:ascii="Verdana" w:hAnsi="Verdana" w:cs="Arial"/>
          <w:b/>
          <w:bCs/>
          <w:sz w:val="24"/>
          <w:szCs w:val="24"/>
        </w:rPr>
      </w:pPr>
      <w:r w:rsidRPr="003D3483">
        <w:rPr>
          <w:rFonts w:ascii="Verdana" w:hAnsi="Verdana" w:cs="Arial"/>
          <w:b/>
          <w:bCs/>
          <w:sz w:val="24"/>
          <w:szCs w:val="24"/>
        </w:rPr>
        <w:t>Healthy retail food environments in hospital settings national group</w:t>
      </w:r>
    </w:p>
    <w:p w14:paraId="1B382C7E" w14:textId="77777777" w:rsidR="00B043B7" w:rsidRPr="003D3483" w:rsidRDefault="00B043B7" w:rsidP="00B043B7">
      <w:pPr>
        <w:rPr>
          <w:rFonts w:ascii="Verdana" w:hAnsi="Verdana" w:cs="Arial"/>
          <w:sz w:val="24"/>
          <w:szCs w:val="24"/>
        </w:rPr>
      </w:pPr>
      <w:r w:rsidRPr="003D3483">
        <w:rPr>
          <w:rFonts w:ascii="Verdana" w:hAnsi="Verdana" w:cs="Arial"/>
          <w:sz w:val="24"/>
          <w:szCs w:val="24"/>
        </w:rPr>
        <w:t xml:space="preserve">There is a national </w:t>
      </w:r>
      <w:r>
        <w:rPr>
          <w:rFonts w:ascii="Verdana" w:hAnsi="Verdana" w:cs="Arial"/>
          <w:sz w:val="24"/>
          <w:szCs w:val="24"/>
        </w:rPr>
        <w:t>‘</w:t>
      </w:r>
      <w:r w:rsidRPr="003D3483">
        <w:rPr>
          <w:rFonts w:ascii="Verdana" w:hAnsi="Verdana" w:cs="Arial"/>
          <w:sz w:val="24"/>
          <w:szCs w:val="24"/>
        </w:rPr>
        <w:t>Healthy retail food environments in hospital settings</w:t>
      </w:r>
      <w:r>
        <w:rPr>
          <w:rFonts w:ascii="Verdana" w:hAnsi="Verdana" w:cs="Arial"/>
          <w:sz w:val="24"/>
          <w:szCs w:val="24"/>
        </w:rPr>
        <w:t>’</w:t>
      </w:r>
      <w:r w:rsidRPr="003D3483">
        <w:rPr>
          <w:rFonts w:ascii="Verdana" w:hAnsi="Verdana" w:cs="Arial"/>
          <w:sz w:val="24"/>
          <w:szCs w:val="24"/>
        </w:rPr>
        <w:t xml:space="preserve"> group, which has members from Public Health teams from the seven Health Boards across Wales. This is a forum for sharing progress and best practice around healthier retail food provision in Health Boards. Two Health Boards in Wales have made particular progress around the provision of healthier food in Health Board settings: Cardiff and Vale University Health Board and Betsi Cadwaladr University Health Board</w:t>
      </w:r>
      <w:r>
        <w:rPr>
          <w:rFonts w:ascii="Verdana" w:hAnsi="Verdana" w:cs="Arial"/>
          <w:sz w:val="24"/>
          <w:szCs w:val="24"/>
        </w:rPr>
        <w:t>. These examples of good practice have been shared internally.</w:t>
      </w:r>
    </w:p>
    <w:p w14:paraId="550FAE78" w14:textId="77777777" w:rsidR="00B043B7" w:rsidRPr="003D3483" w:rsidRDefault="00B043B7" w:rsidP="00B043B7">
      <w:pPr>
        <w:spacing w:after="0" w:line="240" w:lineRule="auto"/>
        <w:jc w:val="both"/>
        <w:rPr>
          <w:rFonts w:ascii="Verdana" w:hAnsi="Verdana" w:cs="Arial"/>
          <w:sz w:val="24"/>
          <w:szCs w:val="24"/>
        </w:rPr>
      </w:pPr>
    </w:p>
    <w:p w14:paraId="55A5237C" w14:textId="77777777" w:rsidR="00B043B7" w:rsidRPr="003D3483" w:rsidRDefault="00B043B7" w:rsidP="00B043B7">
      <w:pPr>
        <w:spacing w:after="0" w:line="240" w:lineRule="auto"/>
        <w:jc w:val="both"/>
        <w:rPr>
          <w:rFonts w:ascii="Verdana" w:hAnsi="Verdana" w:cs="Arial"/>
          <w:b/>
          <w:bCs/>
          <w:sz w:val="24"/>
          <w:szCs w:val="24"/>
        </w:rPr>
      </w:pPr>
      <w:r w:rsidRPr="003D3483">
        <w:rPr>
          <w:rFonts w:ascii="Verdana" w:hAnsi="Verdana" w:cs="Arial"/>
          <w:b/>
          <w:bCs/>
          <w:sz w:val="24"/>
          <w:szCs w:val="24"/>
        </w:rPr>
        <w:t>Potential further actions for Swansea Bay University Health Board</w:t>
      </w:r>
    </w:p>
    <w:p w14:paraId="3B4F297C" w14:textId="77777777" w:rsidR="00B043B7" w:rsidRPr="003D3483" w:rsidRDefault="00B043B7" w:rsidP="00B043B7">
      <w:pPr>
        <w:spacing w:after="0" w:line="240" w:lineRule="auto"/>
        <w:jc w:val="both"/>
        <w:rPr>
          <w:rFonts w:ascii="Verdana" w:hAnsi="Verdana" w:cs="Arial"/>
          <w:sz w:val="24"/>
          <w:szCs w:val="24"/>
        </w:rPr>
      </w:pPr>
      <w:r w:rsidRPr="003D3483">
        <w:rPr>
          <w:rFonts w:ascii="Verdana" w:hAnsi="Verdana" w:cs="Arial"/>
          <w:sz w:val="24"/>
          <w:szCs w:val="24"/>
        </w:rPr>
        <w:t xml:space="preserve">Swansea Bay University Health Board should explore how more can done to improve the healthy food environment across the Health Board, with a particular focus on commercial retail provision. The Health Board should consider how it balances the importance of Health Board settings providing a healthy and sustainable food environment to improve the health and well-being of the population with practical challenges, such as the </w:t>
      </w:r>
      <w:r>
        <w:rPr>
          <w:rFonts w:ascii="Verdana" w:hAnsi="Verdana" w:cs="Arial"/>
          <w:sz w:val="24"/>
          <w:szCs w:val="24"/>
        </w:rPr>
        <w:t>conditions on</w:t>
      </w:r>
      <w:r w:rsidRPr="003D3483">
        <w:rPr>
          <w:rFonts w:ascii="Verdana" w:hAnsi="Verdana" w:cs="Arial"/>
          <w:sz w:val="24"/>
          <w:szCs w:val="24"/>
        </w:rPr>
        <w:t xml:space="preserve"> external contract</w:t>
      </w:r>
      <w:r>
        <w:rPr>
          <w:rFonts w:ascii="Verdana" w:hAnsi="Verdana" w:cs="Arial"/>
          <w:sz w:val="24"/>
          <w:szCs w:val="24"/>
        </w:rPr>
        <w:t>s and</w:t>
      </w:r>
      <w:r w:rsidRPr="003D3483">
        <w:rPr>
          <w:rFonts w:ascii="Verdana" w:hAnsi="Verdana" w:cs="Arial"/>
          <w:sz w:val="24"/>
          <w:szCs w:val="24"/>
        </w:rPr>
        <w:t xml:space="preserve"> </w:t>
      </w:r>
      <w:r>
        <w:rPr>
          <w:rFonts w:ascii="Verdana" w:hAnsi="Verdana" w:cs="Arial"/>
          <w:sz w:val="24"/>
          <w:szCs w:val="24"/>
        </w:rPr>
        <w:t xml:space="preserve">profitability within </w:t>
      </w:r>
      <w:r w:rsidRPr="003D3483">
        <w:rPr>
          <w:rFonts w:ascii="Verdana" w:hAnsi="Verdana" w:cs="Arial"/>
          <w:sz w:val="24"/>
          <w:szCs w:val="24"/>
        </w:rPr>
        <w:t>services</w:t>
      </w:r>
      <w:r>
        <w:rPr>
          <w:rFonts w:ascii="Verdana" w:hAnsi="Verdana" w:cs="Arial"/>
          <w:sz w:val="24"/>
          <w:szCs w:val="24"/>
        </w:rPr>
        <w:t>.</w:t>
      </w:r>
    </w:p>
    <w:p w14:paraId="66F740ED" w14:textId="77777777" w:rsidR="00B043B7" w:rsidRPr="003D3483" w:rsidRDefault="00B043B7" w:rsidP="00B043B7">
      <w:pPr>
        <w:spacing w:after="0" w:line="240" w:lineRule="auto"/>
        <w:jc w:val="both"/>
        <w:rPr>
          <w:rFonts w:ascii="Verdana" w:hAnsi="Verdana" w:cs="Arial"/>
          <w:sz w:val="24"/>
          <w:szCs w:val="24"/>
        </w:rPr>
      </w:pPr>
    </w:p>
    <w:p w14:paraId="3682BDDB" w14:textId="77777777" w:rsidR="00B043B7" w:rsidRDefault="00B043B7" w:rsidP="00B043B7">
      <w:pPr>
        <w:spacing w:after="0" w:line="240" w:lineRule="auto"/>
        <w:jc w:val="both"/>
        <w:rPr>
          <w:rFonts w:ascii="Verdana" w:hAnsi="Verdana" w:cs="Arial"/>
          <w:sz w:val="24"/>
          <w:szCs w:val="24"/>
        </w:rPr>
      </w:pPr>
      <w:r w:rsidRPr="003D3483">
        <w:rPr>
          <w:rFonts w:ascii="Verdana" w:hAnsi="Verdana" w:cs="Arial"/>
          <w:sz w:val="24"/>
          <w:szCs w:val="24"/>
        </w:rPr>
        <w:t xml:space="preserve">This could build upon the existing work on the Healthy and Sustainable Catering Strategy, ensuring a collaborative approach across the Health Board linking in with Support Services, Procurement, Finance, Sustainability and Public Health colleagues. Any work on healthy and sustainable commercial retail food and drink provision could also link with work </w:t>
      </w:r>
      <w:r>
        <w:rPr>
          <w:rFonts w:ascii="Verdana" w:hAnsi="Verdana" w:cs="Arial"/>
          <w:sz w:val="24"/>
          <w:szCs w:val="24"/>
        </w:rPr>
        <w:t>underway</w:t>
      </w:r>
      <w:r w:rsidRPr="003D3483">
        <w:rPr>
          <w:rFonts w:ascii="Verdana" w:hAnsi="Verdana" w:cs="Arial"/>
          <w:sz w:val="24"/>
          <w:szCs w:val="24"/>
        </w:rPr>
        <w:t xml:space="preserve"> as part of the Nutrition and Hydration Quality priority which is focussed on inpatient food and drink provision and led by the Health Board’s Quality and Safety Team</w:t>
      </w:r>
      <w:r>
        <w:rPr>
          <w:rFonts w:ascii="Verdana" w:hAnsi="Verdana" w:cs="Arial"/>
          <w:sz w:val="24"/>
          <w:szCs w:val="24"/>
        </w:rPr>
        <w:t>, as well as work related to the Regional Joint Committee’s work on the Regional Health Economy.</w:t>
      </w:r>
    </w:p>
    <w:p w14:paraId="1D88E8D2" w14:textId="77777777" w:rsidR="00B043B7" w:rsidRPr="00F8567E" w:rsidRDefault="00B043B7" w:rsidP="00653AEC">
      <w:pPr>
        <w:pStyle w:val="ListParagraph"/>
        <w:spacing w:after="0" w:line="240" w:lineRule="auto"/>
        <w:rPr>
          <w:rFonts w:ascii="Verdana" w:hAnsi="Verdana" w:cs="Arial"/>
          <w:b/>
          <w:sz w:val="24"/>
          <w:szCs w:val="24"/>
        </w:rPr>
      </w:pPr>
    </w:p>
    <w:p w14:paraId="6D290422"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14:paraId="6D290426" w14:textId="77777777" w:rsidR="00653AEC" w:rsidRDefault="00653AEC" w:rsidP="00653AEC">
      <w:pPr>
        <w:pStyle w:val="ListParagraph"/>
        <w:spacing w:after="0" w:line="240" w:lineRule="auto"/>
        <w:rPr>
          <w:rFonts w:ascii="Verdana" w:hAnsi="Verdana" w:cs="Arial"/>
          <w:b/>
          <w:sz w:val="24"/>
          <w:szCs w:val="24"/>
        </w:rPr>
      </w:pPr>
    </w:p>
    <w:p w14:paraId="7C5AC611" w14:textId="77777777" w:rsidR="00B043B7" w:rsidRPr="003D3483" w:rsidRDefault="00B043B7" w:rsidP="00B043B7">
      <w:pPr>
        <w:pStyle w:val="ListParagraph"/>
        <w:spacing w:after="0" w:line="240" w:lineRule="auto"/>
        <w:ind w:left="0"/>
        <w:jc w:val="both"/>
        <w:rPr>
          <w:rFonts w:ascii="Verdana" w:hAnsi="Verdana" w:cs="Arial"/>
          <w:sz w:val="24"/>
          <w:szCs w:val="24"/>
        </w:rPr>
      </w:pPr>
      <w:r w:rsidRPr="003D3483">
        <w:rPr>
          <w:rFonts w:ascii="Verdana" w:hAnsi="Verdana" w:cs="Arial"/>
          <w:sz w:val="24"/>
          <w:szCs w:val="24"/>
        </w:rPr>
        <w:t>There are existing governance structures in place for the Healthy and Sustainable Catering Strategy via the Swansea Bay Sustainable Steering Group, and the Nutrition and Hydration Quality Priority via the Nutrition and Hydration Steering Committee, Quality and Safety Committee, Quality Priority Board, and Management Board. Any additional work on exploring how the health and sustainability of the food and drink provision could be improved across the Health Board should ensure that it aligns with</w:t>
      </w:r>
      <w:r>
        <w:rPr>
          <w:rFonts w:ascii="Verdana" w:hAnsi="Verdana" w:cs="Arial"/>
          <w:sz w:val="24"/>
          <w:szCs w:val="24"/>
        </w:rPr>
        <w:t xml:space="preserve"> </w:t>
      </w:r>
      <w:r w:rsidRPr="003D3483">
        <w:rPr>
          <w:rFonts w:ascii="Verdana" w:hAnsi="Verdana" w:cs="Arial"/>
          <w:sz w:val="24"/>
          <w:szCs w:val="24"/>
        </w:rPr>
        <w:t xml:space="preserve">existing governance structures. </w:t>
      </w:r>
    </w:p>
    <w:p w14:paraId="47399518" w14:textId="77777777" w:rsidR="00B043B7" w:rsidRPr="00F8567E" w:rsidRDefault="00B043B7" w:rsidP="00653AEC">
      <w:pPr>
        <w:pStyle w:val="ListParagraph"/>
        <w:spacing w:after="0" w:line="240" w:lineRule="auto"/>
        <w:rPr>
          <w:rFonts w:ascii="Verdana" w:hAnsi="Verdana" w:cs="Arial"/>
          <w:b/>
          <w:sz w:val="24"/>
          <w:szCs w:val="24"/>
        </w:rPr>
      </w:pPr>
    </w:p>
    <w:p w14:paraId="6D290427" w14:textId="77777777" w:rsidR="00653AEC" w:rsidRPr="00F8567E" w:rsidRDefault="00653AEC" w:rsidP="00653AEC">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14:paraId="6D290429" w14:textId="77777777" w:rsidR="00653AEC" w:rsidRDefault="00653AEC" w:rsidP="00653AEC">
      <w:pPr>
        <w:pStyle w:val="ListParagraph"/>
        <w:spacing w:after="0" w:line="240" w:lineRule="auto"/>
        <w:rPr>
          <w:rFonts w:ascii="Verdana" w:hAnsi="Verdana" w:cs="Arial"/>
          <w:b/>
          <w:sz w:val="24"/>
          <w:szCs w:val="24"/>
        </w:rPr>
      </w:pPr>
    </w:p>
    <w:p w14:paraId="48107DB7" w14:textId="77777777" w:rsidR="00B043B7" w:rsidRPr="003D3483" w:rsidRDefault="00B043B7" w:rsidP="00B043B7">
      <w:pPr>
        <w:spacing w:after="0" w:line="240" w:lineRule="auto"/>
        <w:jc w:val="both"/>
        <w:rPr>
          <w:rFonts w:ascii="Verdana" w:hAnsi="Verdana" w:cs="Arial"/>
          <w:bCs/>
          <w:sz w:val="24"/>
          <w:szCs w:val="24"/>
        </w:rPr>
      </w:pPr>
      <w:r w:rsidRPr="003D3483">
        <w:rPr>
          <w:rFonts w:ascii="Verdana" w:hAnsi="Verdana" w:cs="Arial"/>
          <w:bCs/>
          <w:sz w:val="24"/>
          <w:szCs w:val="24"/>
        </w:rPr>
        <w:t xml:space="preserve">There are no current financial implications to undertaking further work to explore if more can be done across the Health Board to improve the health and sustainability of the commercial retail food environment. Any financial implications of </w:t>
      </w:r>
      <w:r>
        <w:rPr>
          <w:rFonts w:ascii="Verdana" w:hAnsi="Verdana" w:cs="Arial"/>
          <w:bCs/>
          <w:sz w:val="24"/>
          <w:szCs w:val="24"/>
        </w:rPr>
        <w:t xml:space="preserve">potential </w:t>
      </w:r>
      <w:r w:rsidRPr="003D3483">
        <w:rPr>
          <w:rFonts w:ascii="Verdana" w:hAnsi="Verdana" w:cs="Arial"/>
          <w:bCs/>
          <w:sz w:val="24"/>
          <w:szCs w:val="24"/>
        </w:rPr>
        <w:t xml:space="preserve">recommendations </w:t>
      </w:r>
      <w:r>
        <w:rPr>
          <w:rFonts w:ascii="Verdana" w:hAnsi="Verdana" w:cs="Arial"/>
          <w:bCs/>
          <w:sz w:val="24"/>
          <w:szCs w:val="24"/>
        </w:rPr>
        <w:t xml:space="preserve">that are implemented </w:t>
      </w:r>
      <w:r w:rsidRPr="003D3483">
        <w:rPr>
          <w:rFonts w:ascii="Verdana" w:hAnsi="Verdana" w:cs="Arial"/>
          <w:bCs/>
          <w:sz w:val="24"/>
          <w:szCs w:val="24"/>
        </w:rPr>
        <w:t xml:space="preserve">will be outlined for decision through agreed governance processes.  </w:t>
      </w:r>
    </w:p>
    <w:p w14:paraId="0DC134BA" w14:textId="77777777" w:rsidR="00B043B7" w:rsidRPr="00F8567E" w:rsidRDefault="00B043B7" w:rsidP="00653AEC">
      <w:pPr>
        <w:pStyle w:val="ListParagraph"/>
        <w:spacing w:after="0" w:line="240" w:lineRule="auto"/>
        <w:rPr>
          <w:rFonts w:ascii="Verdana" w:hAnsi="Verdana" w:cs="Arial"/>
          <w:b/>
          <w:sz w:val="24"/>
          <w:szCs w:val="24"/>
        </w:rPr>
      </w:pPr>
    </w:p>
    <w:p w14:paraId="6D29042D" w14:textId="6F1E7A53" w:rsidR="00C33A04" w:rsidRDefault="00653AEC" w:rsidP="00F531BD">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RECOMMENDATION</w:t>
      </w:r>
    </w:p>
    <w:p w14:paraId="7F486B2E" w14:textId="77777777" w:rsidR="00B043B7" w:rsidRPr="00B043B7" w:rsidRDefault="00B043B7" w:rsidP="00B043B7">
      <w:pPr>
        <w:spacing w:after="0" w:line="240" w:lineRule="auto"/>
        <w:ind w:left="360"/>
        <w:rPr>
          <w:rFonts w:ascii="Verdana" w:hAnsi="Verdana" w:cs="Arial"/>
          <w:b/>
          <w:sz w:val="24"/>
          <w:szCs w:val="24"/>
        </w:rPr>
      </w:pPr>
    </w:p>
    <w:p w14:paraId="59156D35" w14:textId="77777777" w:rsidR="002621A4" w:rsidRPr="002621A4" w:rsidRDefault="002621A4" w:rsidP="002621A4">
      <w:pPr>
        <w:ind w:right="96"/>
        <w:rPr>
          <w:rFonts w:ascii="Verdana" w:hAnsi="Verdana" w:cs="Arial"/>
          <w:sz w:val="24"/>
          <w:szCs w:val="24"/>
        </w:rPr>
      </w:pPr>
      <w:r w:rsidRPr="002621A4">
        <w:rPr>
          <w:rFonts w:ascii="Verdana" w:hAnsi="Verdana" w:cs="Arial"/>
          <w:sz w:val="24"/>
          <w:szCs w:val="24"/>
        </w:rPr>
        <w:t>Members are asked to:</w:t>
      </w:r>
    </w:p>
    <w:p w14:paraId="260B60B9" w14:textId="77777777" w:rsidR="002621A4" w:rsidRPr="002621A4" w:rsidRDefault="002621A4" w:rsidP="002621A4">
      <w:pPr>
        <w:pStyle w:val="ListParagraph"/>
        <w:widowControl w:val="0"/>
        <w:numPr>
          <w:ilvl w:val="0"/>
          <w:numId w:val="6"/>
        </w:numPr>
        <w:autoSpaceDE w:val="0"/>
        <w:autoSpaceDN w:val="0"/>
        <w:ind w:left="360" w:right="90"/>
        <w:contextualSpacing w:val="0"/>
        <w:rPr>
          <w:rFonts w:ascii="Verdana" w:hAnsi="Verdana" w:cs="Arial"/>
          <w:sz w:val="24"/>
          <w:szCs w:val="24"/>
        </w:rPr>
      </w:pPr>
      <w:r w:rsidRPr="002621A4">
        <w:rPr>
          <w:rFonts w:ascii="Verdana" w:hAnsi="Verdana" w:cs="Arial"/>
          <w:b/>
          <w:bCs/>
          <w:sz w:val="24"/>
          <w:szCs w:val="24"/>
        </w:rPr>
        <w:t>RECEIVE</w:t>
      </w:r>
      <w:r w:rsidRPr="002621A4">
        <w:rPr>
          <w:rFonts w:ascii="Verdana" w:hAnsi="Verdana" w:cs="Arial"/>
          <w:sz w:val="24"/>
          <w:szCs w:val="24"/>
        </w:rPr>
        <w:t xml:space="preserve"> information on the commercial food provision that is available in Health Board sites and links to Health Board activity on food and drink provision, as well as activities being undertaken in other health organisations. </w:t>
      </w:r>
    </w:p>
    <w:p w14:paraId="1D8A6436" w14:textId="77777777" w:rsidR="002621A4" w:rsidRPr="002621A4" w:rsidRDefault="002621A4" w:rsidP="002621A4">
      <w:pPr>
        <w:pStyle w:val="ListParagraph"/>
        <w:widowControl w:val="0"/>
        <w:numPr>
          <w:ilvl w:val="0"/>
          <w:numId w:val="6"/>
        </w:numPr>
        <w:autoSpaceDE w:val="0"/>
        <w:autoSpaceDN w:val="0"/>
        <w:ind w:left="360" w:right="90"/>
        <w:contextualSpacing w:val="0"/>
        <w:rPr>
          <w:rFonts w:ascii="Verdana" w:hAnsi="Verdana" w:cs="Arial"/>
          <w:sz w:val="24"/>
          <w:szCs w:val="24"/>
        </w:rPr>
      </w:pPr>
      <w:r w:rsidRPr="002621A4">
        <w:rPr>
          <w:rFonts w:ascii="Verdana" w:hAnsi="Verdana" w:cs="Arial"/>
          <w:b/>
          <w:sz w:val="24"/>
          <w:szCs w:val="24"/>
        </w:rPr>
        <w:t>DISCUSS</w:t>
      </w:r>
      <w:r w:rsidRPr="002621A4">
        <w:rPr>
          <w:rFonts w:ascii="Verdana" w:hAnsi="Verdana" w:cs="Arial"/>
          <w:sz w:val="24"/>
          <w:szCs w:val="24"/>
        </w:rPr>
        <w:t xml:space="preserve"> whether and how the Health Board should explore further work on healthy and sustainable commercial food provision.</w:t>
      </w:r>
    </w:p>
    <w:p w14:paraId="6D290433" w14:textId="2F0165D6" w:rsidR="002621A4" w:rsidRDefault="002621A4">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lastRenderedPageBreak/>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D29043D" w14:textId="47A8B347" w:rsidR="00F5324A" w:rsidRPr="00F8567E" w:rsidRDefault="00C75493"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Content>
            <w:tc>
              <w:tcPr>
                <w:tcW w:w="1624" w:type="dxa"/>
              </w:tcPr>
              <w:p w14:paraId="6D29044C"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6D290454" w14:textId="4DB1572F" w:rsidR="00F5324A" w:rsidRPr="00F8567E" w:rsidRDefault="00C7549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3D3E1439" w:rsidR="00F5324A" w:rsidRPr="00F8567E" w:rsidRDefault="00C75493"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3B408561"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Content>
            <w:tc>
              <w:tcPr>
                <w:tcW w:w="1624" w:type="dxa"/>
              </w:tcPr>
              <w:p w14:paraId="6D29046A"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724CD68B" w:rsidR="00F5324A" w:rsidRPr="00F8567E" w:rsidRDefault="00C75493"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C75493" w:rsidRPr="00F8567E" w14:paraId="6D290480" w14:textId="77777777" w:rsidTr="00C95B3C">
        <w:tc>
          <w:tcPr>
            <w:tcW w:w="9245" w:type="dxa"/>
            <w:gridSpan w:val="4"/>
          </w:tcPr>
          <w:p w14:paraId="6D29047F" w14:textId="1D4054BE" w:rsidR="00C75493" w:rsidRPr="00F8567E" w:rsidRDefault="00C75493" w:rsidP="00C75493">
            <w:pPr>
              <w:rPr>
                <w:rFonts w:ascii="Verdana" w:hAnsi="Verdana" w:cs="Arial"/>
                <w:b/>
                <w:sz w:val="24"/>
                <w:szCs w:val="24"/>
              </w:rPr>
            </w:pPr>
            <w:r w:rsidRPr="003D3483">
              <w:rPr>
                <w:rFonts w:ascii="Verdana" w:hAnsi="Verdana" w:cs="Arial"/>
                <w:bCs/>
                <w:sz w:val="24"/>
                <w:szCs w:val="24"/>
              </w:rPr>
              <w:t xml:space="preserve">Examining how to further improve the health and sustainability of commercial retail food and drink provision across the Health Board has the potential to improve the health board food environment. This has the potential to benefit staff, visitors and patients who are purchasing food and drink on health board sites. </w:t>
            </w:r>
          </w:p>
        </w:tc>
      </w:tr>
      <w:tr w:rsidR="00C75493" w:rsidRPr="00F8567E" w14:paraId="6D290482" w14:textId="77777777" w:rsidTr="00CD7AA5">
        <w:tc>
          <w:tcPr>
            <w:tcW w:w="9245" w:type="dxa"/>
            <w:gridSpan w:val="4"/>
            <w:shd w:val="clear" w:color="auto" w:fill="D5DCE4" w:themeFill="text2" w:themeFillTint="33"/>
          </w:tcPr>
          <w:p w14:paraId="6D290481" w14:textId="77777777" w:rsidR="00C75493" w:rsidRPr="00F8567E" w:rsidRDefault="00C75493" w:rsidP="00C75493">
            <w:pPr>
              <w:rPr>
                <w:rFonts w:ascii="Verdana" w:hAnsi="Verdana" w:cs="Arial"/>
                <w:b/>
                <w:sz w:val="24"/>
                <w:szCs w:val="24"/>
              </w:rPr>
            </w:pPr>
            <w:r w:rsidRPr="00F8567E">
              <w:rPr>
                <w:rFonts w:ascii="Verdana" w:hAnsi="Verdana" w:cs="Arial"/>
                <w:b/>
                <w:sz w:val="24"/>
                <w:szCs w:val="24"/>
              </w:rPr>
              <w:t>Financial Implications</w:t>
            </w:r>
          </w:p>
        </w:tc>
      </w:tr>
      <w:tr w:rsidR="00C75493" w:rsidRPr="00F8567E" w14:paraId="6D290487" w14:textId="77777777" w:rsidTr="00C95B3C">
        <w:tc>
          <w:tcPr>
            <w:tcW w:w="9245" w:type="dxa"/>
            <w:gridSpan w:val="4"/>
          </w:tcPr>
          <w:p w14:paraId="6D290486" w14:textId="2BDD7C3A" w:rsidR="00C75493" w:rsidRPr="00F8567E" w:rsidRDefault="00C75493" w:rsidP="00C75493">
            <w:pPr>
              <w:ind w:right="96"/>
              <w:rPr>
                <w:rFonts w:ascii="Verdana" w:hAnsi="Verdana" w:cs="Arial"/>
                <w:color w:val="FF0000"/>
                <w:sz w:val="24"/>
                <w:szCs w:val="24"/>
              </w:rPr>
            </w:pPr>
            <w:r w:rsidRPr="003D3483">
              <w:rPr>
                <w:rFonts w:ascii="Verdana" w:hAnsi="Verdana" w:cs="Arial"/>
                <w:bCs/>
                <w:sz w:val="24"/>
                <w:szCs w:val="24"/>
              </w:rPr>
              <w:t xml:space="preserve">There are no current financial implications to undertaking further work to explore if more can be done across the Health Board to improve the health and sustainability of the commercial retail food environment. Any financial implications of </w:t>
            </w:r>
            <w:r>
              <w:rPr>
                <w:rFonts w:ascii="Verdana" w:hAnsi="Verdana" w:cs="Arial"/>
                <w:bCs/>
                <w:sz w:val="24"/>
                <w:szCs w:val="24"/>
              </w:rPr>
              <w:t xml:space="preserve">potential </w:t>
            </w:r>
            <w:r w:rsidRPr="003D3483">
              <w:rPr>
                <w:rFonts w:ascii="Verdana" w:hAnsi="Verdana" w:cs="Arial"/>
                <w:bCs/>
                <w:sz w:val="24"/>
                <w:szCs w:val="24"/>
              </w:rPr>
              <w:t xml:space="preserve">recommendations </w:t>
            </w:r>
            <w:r>
              <w:rPr>
                <w:rFonts w:ascii="Verdana" w:hAnsi="Verdana" w:cs="Arial"/>
                <w:bCs/>
                <w:sz w:val="24"/>
                <w:szCs w:val="24"/>
              </w:rPr>
              <w:t xml:space="preserve">that are implemented </w:t>
            </w:r>
            <w:r w:rsidRPr="003D3483">
              <w:rPr>
                <w:rFonts w:ascii="Verdana" w:hAnsi="Verdana" w:cs="Arial"/>
                <w:bCs/>
                <w:sz w:val="24"/>
                <w:szCs w:val="24"/>
              </w:rPr>
              <w:t xml:space="preserve">will be outlined for decision through agreed governance processes.  </w:t>
            </w:r>
          </w:p>
        </w:tc>
      </w:tr>
      <w:tr w:rsidR="00C75493" w:rsidRPr="00F8567E" w14:paraId="6D290489" w14:textId="77777777" w:rsidTr="00CD7AA5">
        <w:tc>
          <w:tcPr>
            <w:tcW w:w="9245" w:type="dxa"/>
            <w:gridSpan w:val="4"/>
            <w:shd w:val="clear" w:color="auto" w:fill="D5DCE4" w:themeFill="text2" w:themeFillTint="33"/>
          </w:tcPr>
          <w:p w14:paraId="6D290488" w14:textId="77777777" w:rsidR="00C75493" w:rsidRPr="00F8567E" w:rsidRDefault="00C75493" w:rsidP="00C75493">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00C75493" w:rsidRPr="00F8567E" w14:paraId="6D29048C" w14:textId="77777777" w:rsidTr="00C95B3C">
        <w:tc>
          <w:tcPr>
            <w:tcW w:w="9245" w:type="dxa"/>
            <w:gridSpan w:val="4"/>
          </w:tcPr>
          <w:p w14:paraId="6D29048B" w14:textId="384B8AB8" w:rsidR="00C75493" w:rsidRPr="00F8567E" w:rsidRDefault="00C75493" w:rsidP="00C75493">
            <w:pPr>
              <w:ind w:right="96"/>
              <w:rPr>
                <w:rFonts w:ascii="Verdana" w:hAnsi="Verdana" w:cs="Arial"/>
                <w:color w:val="FF0000"/>
                <w:sz w:val="24"/>
                <w:szCs w:val="24"/>
              </w:rPr>
            </w:pPr>
            <w:r w:rsidRPr="003D3483">
              <w:rPr>
                <w:rFonts w:ascii="Verdana" w:hAnsi="Verdana" w:cs="Arial"/>
                <w:sz w:val="24"/>
                <w:szCs w:val="24"/>
              </w:rPr>
              <w:t>There are no immediate legal implications to undertake further work to explore if more can be done across the Health Board to improve the health and sustainability of the commercial retail food environment.</w:t>
            </w:r>
            <w:r>
              <w:rPr>
                <w:rFonts w:ascii="Verdana" w:hAnsi="Verdana" w:cs="Arial"/>
                <w:sz w:val="24"/>
                <w:szCs w:val="24"/>
              </w:rPr>
              <w:t xml:space="preserve"> </w:t>
            </w:r>
            <w:r w:rsidRPr="003D3483">
              <w:rPr>
                <w:rFonts w:ascii="Verdana" w:hAnsi="Verdana" w:cs="Arial"/>
                <w:sz w:val="24"/>
                <w:szCs w:val="24"/>
              </w:rPr>
              <w:t xml:space="preserve">Any legal implications of recommendations will be outlined for decision through agreed governance processes.  </w:t>
            </w:r>
          </w:p>
        </w:tc>
      </w:tr>
      <w:tr w:rsidR="00C75493" w:rsidRPr="00F8567E" w14:paraId="6D29048E" w14:textId="77777777" w:rsidTr="00CD7AA5">
        <w:tc>
          <w:tcPr>
            <w:tcW w:w="9245" w:type="dxa"/>
            <w:gridSpan w:val="4"/>
            <w:shd w:val="clear" w:color="auto" w:fill="D5DCE4" w:themeFill="text2" w:themeFillTint="33"/>
          </w:tcPr>
          <w:p w14:paraId="6D29048D" w14:textId="77777777" w:rsidR="00C75493" w:rsidRPr="00F8567E" w:rsidRDefault="00C75493" w:rsidP="00C75493">
            <w:pPr>
              <w:ind w:right="96"/>
              <w:rPr>
                <w:rFonts w:ascii="Verdana" w:hAnsi="Verdana" w:cs="Arial"/>
                <w:b/>
                <w:color w:val="FF0000"/>
                <w:sz w:val="24"/>
                <w:szCs w:val="24"/>
              </w:rPr>
            </w:pPr>
            <w:r w:rsidRPr="00F8567E">
              <w:rPr>
                <w:rFonts w:ascii="Verdana" w:hAnsi="Verdana" w:cs="Arial"/>
                <w:b/>
                <w:sz w:val="24"/>
                <w:szCs w:val="24"/>
              </w:rPr>
              <w:lastRenderedPageBreak/>
              <w:t>Staffing Implications</w:t>
            </w:r>
          </w:p>
        </w:tc>
      </w:tr>
      <w:tr w:rsidR="00C75493" w:rsidRPr="00F8567E" w14:paraId="6D290491" w14:textId="77777777" w:rsidTr="00C95B3C">
        <w:tc>
          <w:tcPr>
            <w:tcW w:w="9245" w:type="dxa"/>
            <w:gridSpan w:val="4"/>
          </w:tcPr>
          <w:p w14:paraId="6D290490" w14:textId="436A8B2C" w:rsidR="00C75493" w:rsidRPr="00F8567E" w:rsidRDefault="00C75493" w:rsidP="00C75493">
            <w:pPr>
              <w:ind w:right="96"/>
              <w:rPr>
                <w:rFonts w:ascii="Verdana" w:hAnsi="Verdana" w:cs="Arial"/>
                <w:color w:val="FF0000"/>
                <w:sz w:val="24"/>
                <w:szCs w:val="24"/>
              </w:rPr>
            </w:pPr>
            <w:r w:rsidRPr="003D3483">
              <w:rPr>
                <w:rFonts w:ascii="Verdana" w:hAnsi="Verdana" w:cs="Arial"/>
                <w:sz w:val="24"/>
                <w:szCs w:val="24"/>
              </w:rPr>
              <w:t>There are no immediate staffing implications to undertake further work to explore if more can be done across the Health Board to improve the health and sustainability of the commercial retail food environment.</w:t>
            </w:r>
            <w:r>
              <w:rPr>
                <w:rFonts w:ascii="Verdana" w:hAnsi="Verdana" w:cs="Arial"/>
                <w:sz w:val="24"/>
                <w:szCs w:val="24"/>
              </w:rPr>
              <w:t xml:space="preserve"> </w:t>
            </w:r>
            <w:r w:rsidRPr="003D3483">
              <w:rPr>
                <w:rFonts w:ascii="Verdana" w:hAnsi="Verdana" w:cs="Arial"/>
                <w:sz w:val="24"/>
                <w:szCs w:val="24"/>
              </w:rPr>
              <w:t xml:space="preserve">Any staffing implications of recommendations will be outlined for decision through agreed governance processes.  </w:t>
            </w:r>
          </w:p>
        </w:tc>
      </w:tr>
      <w:tr w:rsidR="00C75493" w:rsidRPr="00F8567E" w14:paraId="6D290493" w14:textId="77777777" w:rsidTr="00CD7AA5">
        <w:tc>
          <w:tcPr>
            <w:tcW w:w="9245" w:type="dxa"/>
            <w:gridSpan w:val="4"/>
            <w:shd w:val="clear" w:color="auto" w:fill="D5DCE4" w:themeFill="text2" w:themeFillTint="33"/>
          </w:tcPr>
          <w:p w14:paraId="6D290492" w14:textId="77777777" w:rsidR="00C75493" w:rsidRPr="00F8567E" w:rsidRDefault="00C75493" w:rsidP="00C75493">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00C75493" w:rsidRPr="00F8567E" w14:paraId="6D290496" w14:textId="77777777" w:rsidTr="00C95B3C">
        <w:tc>
          <w:tcPr>
            <w:tcW w:w="9245" w:type="dxa"/>
            <w:gridSpan w:val="4"/>
          </w:tcPr>
          <w:p w14:paraId="6D290495" w14:textId="6F55025D" w:rsidR="00C75493" w:rsidRPr="00F8567E" w:rsidRDefault="00C75493" w:rsidP="00C75493">
            <w:pPr>
              <w:ind w:right="96"/>
              <w:rPr>
                <w:rFonts w:ascii="Verdana" w:hAnsi="Verdana" w:cs="Arial"/>
                <w:color w:val="FF0000"/>
                <w:sz w:val="24"/>
                <w:szCs w:val="24"/>
              </w:rPr>
            </w:pPr>
            <w:r w:rsidRPr="003D3483">
              <w:rPr>
                <w:rFonts w:ascii="Verdana" w:hAnsi="Verdana" w:cs="Arial"/>
                <w:sz w:val="24"/>
                <w:szCs w:val="24"/>
              </w:rPr>
              <w:t>Exploring how to further improve the health and sustainability of commercial retail food and drink provision across the Health Board has the potential to have a range of long-term impacts. It has the potential to improve the well-being goal of creating a healthier Wales by improving the food environment for staff, visitors and patients. Any work that is to be undertaken would take a long-term, prevent</w:t>
            </w:r>
            <w:r>
              <w:rPr>
                <w:rFonts w:ascii="Verdana" w:hAnsi="Verdana" w:cs="Arial"/>
                <w:sz w:val="24"/>
                <w:szCs w:val="24"/>
              </w:rPr>
              <w:t>at</w:t>
            </w:r>
            <w:r w:rsidRPr="003D3483">
              <w:rPr>
                <w:rFonts w:ascii="Verdana" w:hAnsi="Verdana" w:cs="Arial"/>
                <w:sz w:val="24"/>
                <w:szCs w:val="24"/>
              </w:rPr>
              <w:t xml:space="preserve">ive approach to improve health and well-being. </w:t>
            </w:r>
          </w:p>
        </w:tc>
      </w:tr>
      <w:tr w:rsidR="00C75493" w:rsidRPr="00F8567E" w14:paraId="6D29049A" w14:textId="77777777" w:rsidTr="00C95B3C">
        <w:tc>
          <w:tcPr>
            <w:tcW w:w="2470" w:type="dxa"/>
            <w:gridSpan w:val="2"/>
          </w:tcPr>
          <w:p w14:paraId="6D290497" w14:textId="77777777" w:rsidR="00C75493" w:rsidRPr="00F8567E" w:rsidRDefault="00C75493" w:rsidP="00C75493">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14:paraId="6D290499" w14:textId="615EB642" w:rsidR="00C75493" w:rsidRPr="00C75493" w:rsidRDefault="00C75493" w:rsidP="00C75493">
            <w:pPr>
              <w:ind w:right="96"/>
              <w:rPr>
                <w:rFonts w:ascii="Verdana" w:hAnsi="Verdana" w:cs="Arial"/>
                <w:sz w:val="24"/>
                <w:szCs w:val="24"/>
              </w:rPr>
            </w:pPr>
            <w:r>
              <w:rPr>
                <w:rFonts w:ascii="Verdana" w:hAnsi="Verdana" w:cs="Arial"/>
                <w:sz w:val="24"/>
                <w:szCs w:val="24"/>
              </w:rPr>
              <w:t xml:space="preserve">- </w:t>
            </w:r>
          </w:p>
        </w:tc>
      </w:tr>
      <w:tr w:rsidR="00C75493" w:rsidRPr="00F8567E" w14:paraId="6D29049F" w14:textId="77777777" w:rsidTr="00C95B3C">
        <w:tc>
          <w:tcPr>
            <w:tcW w:w="2470" w:type="dxa"/>
            <w:gridSpan w:val="2"/>
          </w:tcPr>
          <w:p w14:paraId="6D29049B" w14:textId="77777777" w:rsidR="00C75493" w:rsidRPr="00F8567E" w:rsidRDefault="00C75493" w:rsidP="00C75493">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29049E" w14:textId="09A4207C" w:rsidR="00C75493" w:rsidRPr="00F8567E" w:rsidRDefault="00C75493" w:rsidP="00C75493">
            <w:pPr>
              <w:ind w:right="96"/>
              <w:rPr>
                <w:rFonts w:ascii="Verdana" w:hAnsi="Verdana" w:cs="Arial"/>
                <w:color w:val="FF0000"/>
                <w:sz w:val="24"/>
                <w:szCs w:val="24"/>
              </w:rPr>
            </w:pPr>
            <w:r w:rsidRPr="003D3483">
              <w:rPr>
                <w:rFonts w:ascii="Verdana" w:hAnsi="Verdana" w:cs="Arial"/>
                <w:sz w:val="24"/>
                <w:szCs w:val="24"/>
              </w:rPr>
              <w:t>Appendix 1: Swansea Bay University Health Board Healthy and Sustainable Catering Strategy</w:t>
            </w:r>
          </w:p>
        </w:tc>
      </w:tr>
    </w:tbl>
    <w:p w14:paraId="6D2904A0" w14:textId="77777777" w:rsidR="00034194" w:rsidRPr="00F8567E" w:rsidRDefault="00034194">
      <w:pPr>
        <w:rPr>
          <w:rFonts w:ascii="Verdana" w:hAnsi="Verdana"/>
          <w:sz w:val="24"/>
          <w:szCs w:val="24"/>
        </w:rPr>
      </w:pPr>
    </w:p>
    <w:sectPr w:rsidR="00034194" w:rsidRPr="00F8567E" w:rsidSect="002621A4">
      <w:headerReference w:type="default" r:id="rId13"/>
      <w:footerReference w:type="default" r:id="rId14"/>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3BD60A" w14:textId="77777777" w:rsidR="00EF1671" w:rsidRDefault="00EF1671" w:rsidP="00C107F2">
      <w:pPr>
        <w:spacing w:after="0" w:line="240" w:lineRule="auto"/>
      </w:pPr>
      <w:r>
        <w:separator/>
      </w:r>
    </w:p>
  </w:endnote>
  <w:endnote w:type="continuationSeparator" w:id="0">
    <w:p w14:paraId="306C1F3F" w14:textId="77777777" w:rsidR="00EF1671" w:rsidRDefault="00EF167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6E0C08DB"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733466656" name="Picture 173346665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6B185C">
          <w:t>7</w:t>
        </w:r>
      </w:p>
    </w:sdtContent>
  </w:sdt>
  <w:p w14:paraId="6D2904A9" w14:textId="6426BE8A" w:rsidR="003324CB" w:rsidRDefault="002777E6" w:rsidP="002B7C9A">
    <w:pPr>
      <w:pStyle w:val="Footer"/>
      <w:jc w:val="right"/>
    </w:pPr>
    <w:r>
      <w:t xml:space="preserve">Population Health </w:t>
    </w:r>
    <w:r w:rsidR="002B7C9A">
      <w:t xml:space="preserve">Committee – </w:t>
    </w:r>
    <w:r w:rsidR="005D3DF1">
      <w:t>0</w:t>
    </w:r>
    <w:r>
      <w:t>9</w:t>
    </w:r>
    <w:r w:rsidR="005D3DF1">
      <w:t xml:space="preserve"> </w:t>
    </w:r>
    <w:r>
      <w:t>September</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BD9D84" w14:textId="77777777" w:rsidR="00EF1671" w:rsidRDefault="00EF1671" w:rsidP="00C107F2">
      <w:pPr>
        <w:spacing w:after="0" w:line="240" w:lineRule="auto"/>
      </w:pPr>
      <w:r>
        <w:separator/>
      </w:r>
    </w:p>
  </w:footnote>
  <w:footnote w:type="continuationSeparator" w:id="0">
    <w:p w14:paraId="54F7CA7C" w14:textId="77777777" w:rsidR="00EF1671" w:rsidRDefault="00EF167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796679388" name="Picture 79667938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BD536A"/>
    <w:multiLevelType w:val="hybridMultilevel"/>
    <w:tmpl w:val="53E026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2E362A"/>
    <w:multiLevelType w:val="hybridMultilevel"/>
    <w:tmpl w:val="3D4E3EE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7CD6FF4"/>
    <w:multiLevelType w:val="hybridMultilevel"/>
    <w:tmpl w:val="C2D6414C"/>
    <w:lvl w:ilvl="0" w:tplc="681A1C40">
      <w:start w:val="1"/>
      <w:numFmt w:val="decimal"/>
      <w:lvlText w:val="%1."/>
      <w:lvlJc w:val="left"/>
      <w:pPr>
        <w:ind w:left="720" w:hanging="360"/>
      </w:pPr>
      <w:rPr>
        <w:rFonts w:ascii="Arial" w:eastAsia="Arial" w:hAnsi="Arial" w:cs="Arial"/>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33824DE"/>
    <w:multiLevelType w:val="hybridMultilevel"/>
    <w:tmpl w:val="0FAA69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2C00639"/>
    <w:multiLevelType w:val="hybridMultilevel"/>
    <w:tmpl w:val="FC60B934"/>
    <w:lvl w:ilvl="0" w:tplc="FFFFFFFF">
      <w:start w:val="1"/>
      <w:numFmt w:val="lowerLetter"/>
      <w:lvlText w:val="%1)"/>
      <w:lvlJc w:val="left"/>
      <w:pPr>
        <w:ind w:left="720" w:hanging="360"/>
      </w:pPr>
      <w:rPr>
        <w:rFonts w:hint="default"/>
      </w:rPr>
    </w:lvl>
    <w:lvl w:ilvl="1" w:tplc="96EA1B50">
      <w:start w:val="1"/>
      <w:numFmt w:val="lowerLetter"/>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2"/>
  </w:num>
  <w:num w:numId="2" w16cid:durableId="1731493387">
    <w:abstractNumId w:val="7"/>
  </w:num>
  <w:num w:numId="3" w16cid:durableId="358313792">
    <w:abstractNumId w:val="6"/>
  </w:num>
  <w:num w:numId="4" w16cid:durableId="1144618638">
    <w:abstractNumId w:val="5"/>
  </w:num>
  <w:num w:numId="5" w16cid:durableId="211239042">
    <w:abstractNumId w:val="3"/>
  </w:num>
  <w:num w:numId="6" w16cid:durableId="1874800944">
    <w:abstractNumId w:val="13"/>
  </w:num>
  <w:num w:numId="7" w16cid:durableId="263198079">
    <w:abstractNumId w:val="14"/>
  </w:num>
  <w:num w:numId="8" w16cid:durableId="1535070366">
    <w:abstractNumId w:val="9"/>
  </w:num>
  <w:num w:numId="9" w16cid:durableId="1823614381">
    <w:abstractNumId w:val="10"/>
  </w:num>
  <w:num w:numId="10" w16cid:durableId="875429971">
    <w:abstractNumId w:val="12"/>
  </w:num>
  <w:num w:numId="11" w16cid:durableId="556284796">
    <w:abstractNumId w:val="8"/>
  </w:num>
  <w:num w:numId="12" w16cid:durableId="381289912">
    <w:abstractNumId w:val="1"/>
  </w:num>
  <w:num w:numId="13" w16cid:durableId="1468164561">
    <w:abstractNumId w:val="0"/>
  </w:num>
  <w:num w:numId="14" w16cid:durableId="1863736899">
    <w:abstractNumId w:val="11"/>
  </w:num>
  <w:num w:numId="15" w16cid:durableId="144673336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33EA1"/>
    <w:rsid w:val="001341CE"/>
    <w:rsid w:val="0016096B"/>
    <w:rsid w:val="0020539A"/>
    <w:rsid w:val="00233330"/>
    <w:rsid w:val="00241662"/>
    <w:rsid w:val="002518B7"/>
    <w:rsid w:val="002621A4"/>
    <w:rsid w:val="002777E6"/>
    <w:rsid w:val="002950FF"/>
    <w:rsid w:val="00296CD9"/>
    <w:rsid w:val="00296EB3"/>
    <w:rsid w:val="002B7C9A"/>
    <w:rsid w:val="002C3DD6"/>
    <w:rsid w:val="0032747D"/>
    <w:rsid w:val="003324CB"/>
    <w:rsid w:val="003C0FF8"/>
    <w:rsid w:val="00414894"/>
    <w:rsid w:val="00461835"/>
    <w:rsid w:val="004C12F8"/>
    <w:rsid w:val="005223A7"/>
    <w:rsid w:val="0052297E"/>
    <w:rsid w:val="00545202"/>
    <w:rsid w:val="00574BCF"/>
    <w:rsid w:val="00585277"/>
    <w:rsid w:val="005D1652"/>
    <w:rsid w:val="005D2C4A"/>
    <w:rsid w:val="005D3DF1"/>
    <w:rsid w:val="006201D0"/>
    <w:rsid w:val="00635010"/>
    <w:rsid w:val="00653AEC"/>
    <w:rsid w:val="00655190"/>
    <w:rsid w:val="00662218"/>
    <w:rsid w:val="00685AE0"/>
    <w:rsid w:val="006B185C"/>
    <w:rsid w:val="006D1998"/>
    <w:rsid w:val="00703D77"/>
    <w:rsid w:val="00711095"/>
    <w:rsid w:val="0072604C"/>
    <w:rsid w:val="00762BBE"/>
    <w:rsid w:val="00767E3E"/>
    <w:rsid w:val="00820546"/>
    <w:rsid w:val="008C15D9"/>
    <w:rsid w:val="008D0747"/>
    <w:rsid w:val="008F54C8"/>
    <w:rsid w:val="009112DC"/>
    <w:rsid w:val="00996159"/>
    <w:rsid w:val="009E7AF7"/>
    <w:rsid w:val="00A83E54"/>
    <w:rsid w:val="00AD064D"/>
    <w:rsid w:val="00AD71BC"/>
    <w:rsid w:val="00B043B7"/>
    <w:rsid w:val="00B0479E"/>
    <w:rsid w:val="00B0564E"/>
    <w:rsid w:val="00B224D7"/>
    <w:rsid w:val="00B35ECC"/>
    <w:rsid w:val="00B96EE9"/>
    <w:rsid w:val="00BA2507"/>
    <w:rsid w:val="00BB764F"/>
    <w:rsid w:val="00BC241D"/>
    <w:rsid w:val="00BE37F4"/>
    <w:rsid w:val="00C107F2"/>
    <w:rsid w:val="00C2143D"/>
    <w:rsid w:val="00C33A04"/>
    <w:rsid w:val="00C56152"/>
    <w:rsid w:val="00C61658"/>
    <w:rsid w:val="00C75493"/>
    <w:rsid w:val="00C95B3C"/>
    <w:rsid w:val="00CA6D65"/>
    <w:rsid w:val="00CB1C7D"/>
    <w:rsid w:val="00CD7AA5"/>
    <w:rsid w:val="00DA76AD"/>
    <w:rsid w:val="00E074BA"/>
    <w:rsid w:val="00E242E5"/>
    <w:rsid w:val="00EF1671"/>
    <w:rsid w:val="00EF31AD"/>
    <w:rsid w:val="00F06D6F"/>
    <w:rsid w:val="00F11CD2"/>
    <w:rsid w:val="00F4767E"/>
    <w:rsid w:val="00F5082D"/>
    <w:rsid w:val="00F531BD"/>
    <w:rsid w:val="00F5324A"/>
    <w:rsid w:val="00F55629"/>
    <w:rsid w:val="00F57042"/>
    <w:rsid w:val="00F57C68"/>
    <w:rsid w:val="00F8567E"/>
    <w:rsid w:val="00FA0CA9"/>
    <w:rsid w:val="00FE7A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markpr95ei9iq">
    <w:name w:val="markpr95ei9iq"/>
    <w:basedOn w:val="DefaultParagraphFont"/>
    <w:rsid w:val="00B043B7"/>
  </w:style>
  <w:style w:type="paragraph" w:styleId="NoSpacing">
    <w:name w:val="No Spacing"/>
    <w:uiPriority w:val="1"/>
    <w:qFormat/>
    <w:rsid w:val="00B043B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01.png@01DC0C2D.B0309DB0"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9C8E15E-AA4B-4094-96FE-CB333DA1F5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2254</Words>
  <Characters>12850</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3</cp:revision>
  <dcterms:created xsi:type="dcterms:W3CDTF">2025-08-18T11:00:00Z</dcterms:created>
  <dcterms:modified xsi:type="dcterms:W3CDTF">2025-09-03T15:58:00Z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