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83705" w14:paraId="6D2903E2" w14:textId="77777777" w:rsidTr="00DA76AD">
        <w:tc>
          <w:tcPr>
            <w:tcW w:w="2547" w:type="dxa"/>
          </w:tcPr>
          <w:p w14:paraId="6D2903DE" w14:textId="77777777" w:rsidR="00F5082D" w:rsidRPr="00083705" w:rsidRDefault="00F5082D" w:rsidP="00FA0CA9">
            <w:pPr>
              <w:rPr>
                <w:rFonts w:ascii="Verdana" w:hAnsi="Verdana" w:cs="Arial"/>
                <w:b/>
                <w:sz w:val="24"/>
                <w:szCs w:val="24"/>
              </w:rPr>
            </w:pPr>
            <w:r w:rsidRPr="00083705">
              <w:rPr>
                <w:rFonts w:ascii="Verdana" w:hAnsi="Verdana" w:cs="Arial"/>
                <w:b/>
                <w:sz w:val="24"/>
                <w:szCs w:val="24"/>
              </w:rPr>
              <w:t>Meeting Date</w:t>
            </w:r>
          </w:p>
        </w:tc>
        <w:tc>
          <w:tcPr>
            <w:tcW w:w="3260" w:type="dxa"/>
            <w:gridSpan w:val="2"/>
          </w:tcPr>
          <w:p w14:paraId="6D2903DF" w14:textId="441903C7" w:rsidR="00F5082D" w:rsidRPr="00083705" w:rsidRDefault="00A5735F" w:rsidP="00FA0CA9">
            <w:pPr>
              <w:rPr>
                <w:rFonts w:ascii="Verdana" w:hAnsi="Verdana" w:cs="Arial"/>
                <w:b/>
                <w:sz w:val="24"/>
                <w:szCs w:val="24"/>
              </w:rPr>
            </w:pPr>
            <w:r w:rsidRPr="00083705">
              <w:rPr>
                <w:rFonts w:ascii="Verdana" w:hAnsi="Verdana" w:cs="Arial"/>
                <w:b/>
                <w:sz w:val="24"/>
                <w:szCs w:val="24"/>
              </w:rPr>
              <w:t>5 June 2025</w:t>
            </w:r>
          </w:p>
        </w:tc>
        <w:tc>
          <w:tcPr>
            <w:tcW w:w="2368" w:type="dxa"/>
            <w:gridSpan w:val="3"/>
          </w:tcPr>
          <w:p w14:paraId="6D2903E0" w14:textId="77777777" w:rsidR="00F5082D" w:rsidRPr="00083705" w:rsidRDefault="00F5082D" w:rsidP="00FA0CA9">
            <w:pPr>
              <w:rPr>
                <w:rFonts w:ascii="Verdana" w:hAnsi="Verdana" w:cs="Arial"/>
                <w:b/>
                <w:sz w:val="24"/>
                <w:szCs w:val="24"/>
              </w:rPr>
            </w:pPr>
            <w:r w:rsidRPr="00083705">
              <w:rPr>
                <w:rFonts w:ascii="Verdana" w:hAnsi="Verdana" w:cs="Arial"/>
                <w:b/>
                <w:sz w:val="24"/>
                <w:szCs w:val="24"/>
              </w:rPr>
              <w:t>Agenda Item</w:t>
            </w:r>
          </w:p>
        </w:tc>
        <w:tc>
          <w:tcPr>
            <w:tcW w:w="841" w:type="dxa"/>
          </w:tcPr>
          <w:p w14:paraId="6D2903E1" w14:textId="6F0BF15D" w:rsidR="00F5082D" w:rsidRPr="00083705" w:rsidRDefault="00121D07" w:rsidP="00FA0CA9">
            <w:pPr>
              <w:rPr>
                <w:rFonts w:ascii="Verdana" w:hAnsi="Verdana" w:cs="Arial"/>
                <w:b/>
                <w:sz w:val="24"/>
                <w:szCs w:val="24"/>
              </w:rPr>
            </w:pPr>
            <w:r w:rsidRPr="00083705">
              <w:rPr>
                <w:rFonts w:ascii="Verdana" w:hAnsi="Verdana" w:cs="Arial"/>
                <w:b/>
                <w:sz w:val="24"/>
                <w:szCs w:val="24"/>
              </w:rPr>
              <w:t>4.2</w:t>
            </w:r>
          </w:p>
        </w:tc>
      </w:tr>
      <w:tr w:rsidR="00B0479E" w:rsidRPr="00083705" w14:paraId="1EEB45B2" w14:textId="77777777" w:rsidTr="00B0564E">
        <w:tc>
          <w:tcPr>
            <w:tcW w:w="2547" w:type="dxa"/>
            <w:shd w:val="clear" w:color="auto" w:fill="auto"/>
          </w:tcPr>
          <w:p w14:paraId="4A48663E" w14:textId="6879CA0B" w:rsidR="00B0479E" w:rsidRPr="00083705" w:rsidRDefault="00B0479E" w:rsidP="00FA0CA9">
            <w:pPr>
              <w:rPr>
                <w:rFonts w:ascii="Verdana" w:hAnsi="Verdana" w:cs="Arial"/>
                <w:b/>
                <w:sz w:val="24"/>
                <w:szCs w:val="24"/>
              </w:rPr>
            </w:pPr>
            <w:r w:rsidRPr="00083705">
              <w:rPr>
                <w:rFonts w:ascii="Verdana" w:hAnsi="Verdana" w:cs="Arial"/>
                <w:b/>
                <w:sz w:val="24"/>
                <w:szCs w:val="24"/>
              </w:rPr>
              <w:t xml:space="preserve">Name of Meeting </w:t>
            </w:r>
          </w:p>
        </w:tc>
        <w:tc>
          <w:tcPr>
            <w:tcW w:w="6469" w:type="dxa"/>
            <w:gridSpan w:val="6"/>
          </w:tcPr>
          <w:p w14:paraId="5687483E" w14:textId="30AF7399" w:rsidR="00B0479E" w:rsidRPr="00083705" w:rsidRDefault="00A5735F" w:rsidP="00FA0CA9">
            <w:pPr>
              <w:rPr>
                <w:rFonts w:ascii="Verdana" w:hAnsi="Verdana" w:cs="Arial"/>
                <w:b/>
                <w:sz w:val="24"/>
                <w:szCs w:val="24"/>
              </w:rPr>
            </w:pPr>
            <w:r w:rsidRPr="00083705">
              <w:rPr>
                <w:rFonts w:ascii="Verdana" w:hAnsi="Verdana" w:cs="Arial"/>
                <w:b/>
                <w:sz w:val="24"/>
                <w:szCs w:val="24"/>
              </w:rPr>
              <w:t xml:space="preserve">Population Health Committee </w:t>
            </w:r>
          </w:p>
        </w:tc>
      </w:tr>
      <w:tr w:rsidR="00083FC0" w:rsidRPr="00083705" w14:paraId="6D2903E5" w14:textId="77777777" w:rsidTr="00DA76AD">
        <w:tc>
          <w:tcPr>
            <w:tcW w:w="2547" w:type="dxa"/>
          </w:tcPr>
          <w:p w14:paraId="6D2903E3" w14:textId="77777777" w:rsidR="00034194" w:rsidRPr="00083705" w:rsidRDefault="00034194" w:rsidP="00FA0CA9">
            <w:pPr>
              <w:rPr>
                <w:rFonts w:ascii="Verdana" w:hAnsi="Verdana" w:cs="Arial"/>
                <w:b/>
                <w:sz w:val="24"/>
                <w:szCs w:val="24"/>
              </w:rPr>
            </w:pPr>
            <w:r w:rsidRPr="00083705">
              <w:rPr>
                <w:rFonts w:ascii="Verdana" w:hAnsi="Verdana" w:cs="Arial"/>
                <w:b/>
                <w:sz w:val="24"/>
                <w:szCs w:val="24"/>
              </w:rPr>
              <w:t>Report Title</w:t>
            </w:r>
          </w:p>
        </w:tc>
        <w:tc>
          <w:tcPr>
            <w:tcW w:w="6469" w:type="dxa"/>
            <w:gridSpan w:val="6"/>
          </w:tcPr>
          <w:p w14:paraId="6D2903E4" w14:textId="0B3C8F3D" w:rsidR="00034194" w:rsidRPr="00083705" w:rsidRDefault="00867335" w:rsidP="00FA0CA9">
            <w:pPr>
              <w:rPr>
                <w:rFonts w:ascii="Verdana" w:hAnsi="Verdana" w:cs="Arial"/>
                <w:b/>
                <w:sz w:val="24"/>
                <w:szCs w:val="24"/>
              </w:rPr>
            </w:pPr>
            <w:r w:rsidRPr="00083705">
              <w:rPr>
                <w:rFonts w:ascii="Verdana" w:hAnsi="Verdana" w:cs="Arial"/>
                <w:b/>
                <w:sz w:val="24"/>
                <w:szCs w:val="24"/>
              </w:rPr>
              <w:t>Influenza vaccination report 2024-25</w:t>
            </w:r>
          </w:p>
        </w:tc>
      </w:tr>
      <w:tr w:rsidR="00083FC0" w:rsidRPr="00083705" w14:paraId="6D2903E8" w14:textId="77777777" w:rsidTr="00DA76AD">
        <w:tc>
          <w:tcPr>
            <w:tcW w:w="2547" w:type="dxa"/>
          </w:tcPr>
          <w:p w14:paraId="6D2903E6" w14:textId="77777777" w:rsidR="00034194" w:rsidRPr="00083705" w:rsidRDefault="00034194" w:rsidP="00FA0CA9">
            <w:pPr>
              <w:rPr>
                <w:rFonts w:ascii="Verdana" w:hAnsi="Verdana" w:cs="Arial"/>
                <w:b/>
                <w:sz w:val="24"/>
                <w:szCs w:val="24"/>
              </w:rPr>
            </w:pPr>
            <w:r w:rsidRPr="00083705">
              <w:rPr>
                <w:rFonts w:ascii="Verdana" w:hAnsi="Verdana" w:cs="Arial"/>
                <w:b/>
                <w:sz w:val="24"/>
                <w:szCs w:val="24"/>
              </w:rPr>
              <w:t>Report Author</w:t>
            </w:r>
          </w:p>
        </w:tc>
        <w:tc>
          <w:tcPr>
            <w:tcW w:w="6469" w:type="dxa"/>
            <w:gridSpan w:val="6"/>
          </w:tcPr>
          <w:p w14:paraId="6D2903E7" w14:textId="647C0104" w:rsidR="00034194" w:rsidRPr="00083705" w:rsidRDefault="00867335" w:rsidP="00FA0CA9">
            <w:pPr>
              <w:rPr>
                <w:rFonts w:ascii="Verdana" w:hAnsi="Verdana" w:cs="Arial"/>
                <w:sz w:val="24"/>
                <w:szCs w:val="24"/>
              </w:rPr>
            </w:pPr>
            <w:r w:rsidRPr="00083705">
              <w:rPr>
                <w:rFonts w:ascii="Verdana" w:hAnsi="Verdana" w:cs="Arial"/>
                <w:sz w:val="24"/>
                <w:szCs w:val="24"/>
              </w:rPr>
              <w:t>Cath Watts</w:t>
            </w:r>
            <w:r w:rsidR="00EA1502" w:rsidRPr="00083705">
              <w:rPr>
                <w:rFonts w:ascii="Verdana" w:hAnsi="Verdana" w:cs="Arial"/>
                <w:sz w:val="24"/>
                <w:szCs w:val="24"/>
              </w:rPr>
              <w:t>,</w:t>
            </w:r>
            <w:r w:rsidR="0035745E" w:rsidRPr="00083705">
              <w:rPr>
                <w:rFonts w:ascii="Verdana" w:hAnsi="Verdana" w:cs="Arial"/>
                <w:sz w:val="24"/>
                <w:szCs w:val="24"/>
              </w:rPr>
              <w:t xml:space="preserve"> Head of Immunisation</w:t>
            </w:r>
            <w:r w:rsidR="00A5735F" w:rsidRPr="00083705">
              <w:rPr>
                <w:rFonts w:ascii="Verdana" w:hAnsi="Verdana" w:cs="Arial"/>
                <w:sz w:val="24"/>
                <w:szCs w:val="24"/>
              </w:rPr>
              <w:t xml:space="preserve">; </w:t>
            </w:r>
            <w:r w:rsidR="00EA1502" w:rsidRPr="00083705">
              <w:rPr>
                <w:rFonts w:ascii="Verdana" w:hAnsi="Verdana" w:cs="Arial"/>
                <w:sz w:val="24"/>
                <w:szCs w:val="24"/>
              </w:rPr>
              <w:t>Gillian Jackson, Primary care manager</w:t>
            </w:r>
          </w:p>
        </w:tc>
      </w:tr>
      <w:tr w:rsidR="00762BBE" w:rsidRPr="00083705" w14:paraId="6D2903EB" w14:textId="77777777" w:rsidTr="00DA76AD">
        <w:tc>
          <w:tcPr>
            <w:tcW w:w="2547" w:type="dxa"/>
          </w:tcPr>
          <w:p w14:paraId="6D2903E9"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Report Sponsor</w:t>
            </w:r>
          </w:p>
        </w:tc>
        <w:tc>
          <w:tcPr>
            <w:tcW w:w="6469" w:type="dxa"/>
            <w:gridSpan w:val="6"/>
          </w:tcPr>
          <w:p w14:paraId="6D2903EA" w14:textId="646AFD9D" w:rsidR="00762BBE" w:rsidRPr="00083705" w:rsidRDefault="00867335" w:rsidP="00762BBE">
            <w:pPr>
              <w:rPr>
                <w:rFonts w:ascii="Verdana" w:hAnsi="Verdana" w:cs="Arial"/>
                <w:sz w:val="24"/>
                <w:szCs w:val="24"/>
              </w:rPr>
            </w:pPr>
            <w:r w:rsidRPr="00083705">
              <w:rPr>
                <w:rFonts w:ascii="Verdana" w:hAnsi="Verdana" w:cs="Arial"/>
                <w:sz w:val="24"/>
                <w:szCs w:val="24"/>
              </w:rPr>
              <w:t>Gillian Richardson; Interim Director of Public Health</w:t>
            </w:r>
          </w:p>
        </w:tc>
      </w:tr>
      <w:tr w:rsidR="00762BBE" w:rsidRPr="00083705" w14:paraId="6D2903EE" w14:textId="77777777" w:rsidTr="00DA76AD">
        <w:tc>
          <w:tcPr>
            <w:tcW w:w="2547" w:type="dxa"/>
          </w:tcPr>
          <w:p w14:paraId="6D2903EC"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Presented by</w:t>
            </w:r>
          </w:p>
        </w:tc>
        <w:tc>
          <w:tcPr>
            <w:tcW w:w="6469" w:type="dxa"/>
            <w:gridSpan w:val="6"/>
          </w:tcPr>
          <w:p w14:paraId="6D2903ED" w14:textId="0F7CB12F" w:rsidR="00762BBE" w:rsidRPr="00083705" w:rsidRDefault="00CA6B7F" w:rsidP="00762BBE">
            <w:pPr>
              <w:rPr>
                <w:rFonts w:ascii="Verdana" w:hAnsi="Verdana" w:cs="Arial"/>
                <w:sz w:val="24"/>
                <w:szCs w:val="24"/>
              </w:rPr>
            </w:pPr>
            <w:r w:rsidRPr="00083705">
              <w:rPr>
                <w:rFonts w:ascii="Verdana" w:hAnsi="Verdana" w:cs="Arial"/>
                <w:sz w:val="24"/>
                <w:szCs w:val="24"/>
              </w:rPr>
              <w:t xml:space="preserve">Gillian Richardson; Interim Director of Public Health </w:t>
            </w:r>
          </w:p>
        </w:tc>
      </w:tr>
      <w:tr w:rsidR="00653AEC" w:rsidRPr="00083705" w14:paraId="6D2903F1" w14:textId="77777777" w:rsidTr="00DA76AD">
        <w:tc>
          <w:tcPr>
            <w:tcW w:w="2547" w:type="dxa"/>
          </w:tcPr>
          <w:p w14:paraId="6D2903EF" w14:textId="77777777" w:rsidR="00653AEC" w:rsidRPr="00083705" w:rsidRDefault="00653AEC" w:rsidP="00653AEC">
            <w:pPr>
              <w:rPr>
                <w:rFonts w:ascii="Verdana" w:hAnsi="Verdana" w:cs="Arial"/>
                <w:b/>
                <w:sz w:val="24"/>
                <w:szCs w:val="24"/>
              </w:rPr>
            </w:pPr>
            <w:r w:rsidRPr="00083705">
              <w:rPr>
                <w:rFonts w:ascii="Verdana" w:hAnsi="Verdana" w:cs="Arial"/>
                <w:b/>
                <w:sz w:val="24"/>
                <w:szCs w:val="24"/>
              </w:rPr>
              <w:t xml:space="preserve">Freedom of Information </w:t>
            </w:r>
          </w:p>
        </w:tc>
        <w:tc>
          <w:tcPr>
            <w:tcW w:w="6469" w:type="dxa"/>
            <w:gridSpan w:val="6"/>
          </w:tcPr>
          <w:p w14:paraId="6D2903F0" w14:textId="4DD98828" w:rsidR="00653AEC" w:rsidRPr="00083705" w:rsidRDefault="00653AEC" w:rsidP="00653AEC">
            <w:pPr>
              <w:rPr>
                <w:rFonts w:ascii="Verdana" w:hAnsi="Verdana" w:cs="Arial"/>
                <w:sz w:val="24"/>
                <w:szCs w:val="24"/>
              </w:rPr>
            </w:pPr>
            <w:r w:rsidRPr="00083705">
              <w:rPr>
                <w:rFonts w:ascii="Verdana" w:hAnsi="Verdana" w:cs="Arial"/>
                <w:sz w:val="24"/>
                <w:szCs w:val="24"/>
              </w:rPr>
              <w:t>Open</w:t>
            </w:r>
            <w:r w:rsidRPr="00083705">
              <w:rPr>
                <w:rFonts w:ascii="Verdana" w:hAnsi="Verdana" w:cs="Arial"/>
                <w:color w:val="FF0000"/>
                <w:sz w:val="24"/>
                <w:szCs w:val="24"/>
              </w:rPr>
              <w:t xml:space="preserve"> </w:t>
            </w:r>
          </w:p>
        </w:tc>
      </w:tr>
      <w:tr w:rsidR="00653AEC" w:rsidRPr="00083705" w14:paraId="6D2903F8" w14:textId="77777777" w:rsidTr="00DA76AD">
        <w:tc>
          <w:tcPr>
            <w:tcW w:w="2547" w:type="dxa"/>
          </w:tcPr>
          <w:p w14:paraId="6D2903F2" w14:textId="77777777" w:rsidR="00653AEC" w:rsidRPr="00083705" w:rsidRDefault="00653AEC" w:rsidP="00653AEC">
            <w:pPr>
              <w:rPr>
                <w:rFonts w:ascii="Verdana" w:hAnsi="Verdana" w:cs="Arial"/>
                <w:b/>
                <w:sz w:val="24"/>
                <w:szCs w:val="24"/>
              </w:rPr>
            </w:pPr>
            <w:r w:rsidRPr="00083705">
              <w:rPr>
                <w:rFonts w:ascii="Verdana" w:hAnsi="Verdana" w:cs="Arial"/>
                <w:b/>
                <w:sz w:val="24"/>
                <w:szCs w:val="24"/>
              </w:rPr>
              <w:t>Purpose of the Report</w:t>
            </w:r>
          </w:p>
        </w:tc>
        <w:tc>
          <w:tcPr>
            <w:tcW w:w="6469" w:type="dxa"/>
            <w:gridSpan w:val="6"/>
          </w:tcPr>
          <w:p w14:paraId="6D2903F7" w14:textId="2E9E6432" w:rsidR="00653AEC" w:rsidRPr="00083705" w:rsidRDefault="00867335" w:rsidP="00867335">
            <w:pPr>
              <w:ind w:right="96"/>
              <w:rPr>
                <w:rFonts w:ascii="Verdana" w:hAnsi="Verdana" w:cs="Arial"/>
                <w:sz w:val="24"/>
                <w:szCs w:val="24"/>
              </w:rPr>
            </w:pPr>
            <w:r w:rsidRPr="00083705">
              <w:rPr>
                <w:rFonts w:ascii="Verdana" w:hAnsi="Verdana" w:cs="Arial"/>
                <w:sz w:val="24"/>
                <w:szCs w:val="24"/>
              </w:rPr>
              <w:t>To provide members the final position on Influenza vaccination uptake in 2024-25 and assurance on planning for the 2025-26 vaccination programme.</w:t>
            </w:r>
          </w:p>
        </w:tc>
      </w:tr>
      <w:tr w:rsidR="00653AEC" w:rsidRPr="00083705" w14:paraId="6D290402" w14:textId="77777777" w:rsidTr="00DA76AD">
        <w:tc>
          <w:tcPr>
            <w:tcW w:w="2547" w:type="dxa"/>
          </w:tcPr>
          <w:p w14:paraId="6D2903F9" w14:textId="77777777" w:rsidR="00653AEC" w:rsidRPr="00083705" w:rsidRDefault="00653AEC" w:rsidP="00653AEC">
            <w:pPr>
              <w:rPr>
                <w:rFonts w:ascii="Verdana" w:hAnsi="Verdana" w:cs="Arial"/>
                <w:b/>
                <w:sz w:val="24"/>
                <w:szCs w:val="24"/>
              </w:rPr>
            </w:pPr>
            <w:r w:rsidRPr="00083705">
              <w:rPr>
                <w:rFonts w:ascii="Verdana" w:hAnsi="Verdana" w:cs="Arial"/>
                <w:b/>
                <w:sz w:val="24"/>
                <w:szCs w:val="24"/>
              </w:rPr>
              <w:t>Key Issues</w:t>
            </w:r>
          </w:p>
          <w:p w14:paraId="6D2903FA" w14:textId="77777777" w:rsidR="00653AEC" w:rsidRPr="00083705" w:rsidRDefault="00653AEC" w:rsidP="00653AEC">
            <w:pPr>
              <w:rPr>
                <w:rFonts w:ascii="Verdana" w:hAnsi="Verdana" w:cs="Arial"/>
                <w:b/>
                <w:sz w:val="24"/>
                <w:szCs w:val="24"/>
              </w:rPr>
            </w:pPr>
          </w:p>
          <w:p w14:paraId="6D2903FB" w14:textId="77777777" w:rsidR="00653AEC" w:rsidRPr="00083705" w:rsidRDefault="00653AEC" w:rsidP="00653AEC">
            <w:pPr>
              <w:rPr>
                <w:rFonts w:ascii="Verdana" w:hAnsi="Verdana" w:cs="Arial"/>
                <w:b/>
                <w:sz w:val="24"/>
                <w:szCs w:val="24"/>
              </w:rPr>
            </w:pPr>
          </w:p>
          <w:p w14:paraId="6D2903FC" w14:textId="77777777" w:rsidR="00653AEC" w:rsidRPr="00083705" w:rsidRDefault="00653AEC" w:rsidP="00653AEC">
            <w:pPr>
              <w:rPr>
                <w:rFonts w:ascii="Verdana" w:hAnsi="Verdana" w:cs="Arial"/>
                <w:b/>
                <w:sz w:val="24"/>
                <w:szCs w:val="24"/>
              </w:rPr>
            </w:pPr>
          </w:p>
        </w:tc>
        <w:tc>
          <w:tcPr>
            <w:tcW w:w="6469" w:type="dxa"/>
            <w:gridSpan w:val="6"/>
          </w:tcPr>
          <w:p w14:paraId="5F8480B8" w14:textId="7D7B5631" w:rsidR="001977EF" w:rsidRPr="00083705" w:rsidRDefault="00867335" w:rsidP="001977EF">
            <w:pPr>
              <w:pStyle w:val="NoSpacing"/>
              <w:jc w:val="both"/>
              <w:rPr>
                <w:rFonts w:ascii="Verdana" w:hAnsi="Verdana" w:cs="Arial"/>
                <w:sz w:val="24"/>
                <w:szCs w:val="24"/>
              </w:rPr>
            </w:pPr>
            <w:r w:rsidRPr="00083705">
              <w:rPr>
                <w:rFonts w:ascii="Verdana" w:hAnsi="Verdana" w:cs="Arial"/>
                <w:sz w:val="24"/>
                <w:szCs w:val="24"/>
              </w:rPr>
              <w:t xml:space="preserve">Uptake of the Influenza vaccination in SBUHB for 2024-25 was lower than the </w:t>
            </w:r>
            <w:r w:rsidR="001977EF" w:rsidRPr="00083705">
              <w:rPr>
                <w:rFonts w:ascii="Verdana" w:hAnsi="Verdana" w:cs="Arial"/>
                <w:sz w:val="24"/>
                <w:szCs w:val="24"/>
              </w:rPr>
              <w:t>2</w:t>
            </w:r>
            <w:r w:rsidR="00F352E2" w:rsidRPr="00083705">
              <w:rPr>
                <w:rFonts w:ascii="Verdana" w:hAnsi="Verdana" w:cs="Arial"/>
                <w:sz w:val="24"/>
                <w:szCs w:val="24"/>
              </w:rPr>
              <w:t>0</w:t>
            </w:r>
            <w:r w:rsidR="001977EF" w:rsidRPr="00083705">
              <w:rPr>
                <w:rFonts w:ascii="Verdana" w:hAnsi="Verdana" w:cs="Arial"/>
                <w:sz w:val="24"/>
                <w:szCs w:val="24"/>
              </w:rPr>
              <w:t>23/24 season:</w:t>
            </w:r>
          </w:p>
          <w:p w14:paraId="2B91E6D1" w14:textId="55635A1A" w:rsidR="00867335" w:rsidRPr="00083705" w:rsidRDefault="00867335" w:rsidP="001977EF">
            <w:pPr>
              <w:pStyle w:val="NoSpacing"/>
              <w:numPr>
                <w:ilvl w:val="0"/>
                <w:numId w:val="20"/>
              </w:numPr>
              <w:jc w:val="both"/>
              <w:rPr>
                <w:rFonts w:ascii="Verdana" w:hAnsi="Verdana" w:cs="Arial"/>
                <w:sz w:val="24"/>
                <w:szCs w:val="24"/>
              </w:rPr>
            </w:pPr>
            <w:r w:rsidRPr="00083705">
              <w:rPr>
                <w:rFonts w:ascii="Verdana" w:hAnsi="Verdana" w:cs="Arial"/>
                <w:b/>
                <w:bCs/>
                <w:sz w:val="24"/>
                <w:szCs w:val="24"/>
              </w:rPr>
              <w:t>Over 65s cohort 68.5%; Below Welsh average of 70.3%. Ranked 6</w:t>
            </w:r>
            <w:r w:rsidRPr="00083705">
              <w:rPr>
                <w:rFonts w:ascii="Verdana" w:hAnsi="Verdana" w:cs="Arial"/>
                <w:b/>
                <w:bCs/>
                <w:sz w:val="24"/>
                <w:szCs w:val="24"/>
                <w:vertAlign w:val="superscript"/>
              </w:rPr>
              <w:t>th</w:t>
            </w:r>
            <w:r w:rsidRPr="00083705">
              <w:rPr>
                <w:rFonts w:ascii="Verdana" w:hAnsi="Verdana" w:cs="Arial"/>
                <w:b/>
                <w:bCs/>
                <w:sz w:val="24"/>
                <w:szCs w:val="24"/>
              </w:rPr>
              <w:t xml:space="preserve"> out of 7 Health boards</w:t>
            </w:r>
          </w:p>
          <w:p w14:paraId="0CFF3C62" w14:textId="77777777" w:rsidR="00867335" w:rsidRPr="00083705" w:rsidRDefault="00867335" w:rsidP="00867335">
            <w:pPr>
              <w:pStyle w:val="ListParagraph"/>
              <w:numPr>
                <w:ilvl w:val="0"/>
                <w:numId w:val="11"/>
              </w:numPr>
              <w:spacing w:after="120"/>
              <w:rPr>
                <w:rFonts w:ascii="Verdana" w:hAnsi="Verdana" w:cs="Arial"/>
                <w:b/>
                <w:bCs/>
                <w:sz w:val="24"/>
                <w:szCs w:val="24"/>
              </w:rPr>
            </w:pPr>
            <w:r w:rsidRPr="00083705">
              <w:rPr>
                <w:rFonts w:ascii="Verdana" w:hAnsi="Verdana" w:cs="Arial"/>
                <w:b/>
                <w:bCs/>
                <w:sz w:val="24"/>
                <w:szCs w:val="24"/>
              </w:rPr>
              <w:t>6 months to 64 years at risk cohort 33.7%; Below Welsh average of 36.8%; SB UHB ranked 5</w:t>
            </w:r>
            <w:r w:rsidRPr="00083705">
              <w:rPr>
                <w:rFonts w:ascii="Verdana" w:hAnsi="Verdana" w:cs="Arial"/>
                <w:b/>
                <w:bCs/>
                <w:sz w:val="24"/>
                <w:szCs w:val="24"/>
                <w:vertAlign w:val="superscript"/>
              </w:rPr>
              <w:t xml:space="preserve">th  </w:t>
            </w:r>
            <w:r w:rsidRPr="00083705">
              <w:rPr>
                <w:rFonts w:ascii="Verdana" w:hAnsi="Verdana" w:cs="Arial"/>
                <w:b/>
                <w:bCs/>
                <w:sz w:val="24"/>
                <w:szCs w:val="24"/>
              </w:rPr>
              <w:t xml:space="preserve"> </w:t>
            </w:r>
          </w:p>
          <w:p w14:paraId="40F8ECE1" w14:textId="167DC47B" w:rsidR="00867335" w:rsidRPr="00083705" w:rsidRDefault="00867335" w:rsidP="00867335">
            <w:pPr>
              <w:pStyle w:val="ListParagraph"/>
              <w:numPr>
                <w:ilvl w:val="0"/>
                <w:numId w:val="11"/>
              </w:numPr>
              <w:spacing w:after="120"/>
              <w:jc w:val="both"/>
              <w:rPr>
                <w:rFonts w:ascii="Verdana" w:hAnsi="Verdana" w:cs="Arial"/>
                <w:b/>
                <w:bCs/>
                <w:sz w:val="24"/>
                <w:szCs w:val="24"/>
              </w:rPr>
            </w:pPr>
            <w:r w:rsidRPr="00083705">
              <w:rPr>
                <w:rFonts w:ascii="Verdana" w:hAnsi="Verdana" w:cs="Arial"/>
                <w:b/>
                <w:bCs/>
                <w:sz w:val="24"/>
                <w:szCs w:val="24"/>
              </w:rPr>
              <w:t>For the 2–3-year-old cohort 37%; below Welsh average of 43.6%. Ranked 7</w:t>
            </w:r>
            <w:r w:rsidRPr="00083705">
              <w:rPr>
                <w:rFonts w:ascii="Verdana" w:hAnsi="Verdana" w:cs="Arial"/>
                <w:b/>
                <w:bCs/>
                <w:sz w:val="24"/>
                <w:szCs w:val="24"/>
                <w:vertAlign w:val="superscript"/>
              </w:rPr>
              <w:t>th</w:t>
            </w:r>
            <w:r w:rsidRPr="00083705">
              <w:rPr>
                <w:rFonts w:ascii="Verdana" w:hAnsi="Verdana" w:cs="Arial"/>
                <w:b/>
                <w:bCs/>
                <w:sz w:val="24"/>
                <w:szCs w:val="24"/>
              </w:rPr>
              <w:t xml:space="preserve"> </w:t>
            </w:r>
          </w:p>
          <w:p w14:paraId="36BC22CA" w14:textId="2BE9BCB3" w:rsidR="00867335" w:rsidRPr="00083705" w:rsidRDefault="00867335" w:rsidP="00867335">
            <w:pPr>
              <w:pStyle w:val="ListParagraph"/>
              <w:spacing w:after="120"/>
              <w:jc w:val="both"/>
              <w:rPr>
                <w:rFonts w:ascii="Verdana" w:hAnsi="Verdana" w:cs="Arial"/>
                <w:b/>
                <w:bCs/>
                <w:sz w:val="24"/>
                <w:szCs w:val="24"/>
              </w:rPr>
            </w:pPr>
            <w:r w:rsidRPr="00083705">
              <w:rPr>
                <w:rFonts w:ascii="Verdana" w:hAnsi="Verdana" w:cs="Arial"/>
                <w:sz w:val="24"/>
                <w:szCs w:val="24"/>
              </w:rPr>
              <w:t xml:space="preserve"> </w:t>
            </w:r>
          </w:p>
          <w:p w14:paraId="7BDE4D8E" w14:textId="673B9933" w:rsidR="00595B5F" w:rsidRPr="00083705" w:rsidRDefault="00867335" w:rsidP="00595B5F">
            <w:pPr>
              <w:pStyle w:val="ListParagraph"/>
              <w:numPr>
                <w:ilvl w:val="0"/>
                <w:numId w:val="11"/>
              </w:numPr>
              <w:spacing w:after="120"/>
              <w:rPr>
                <w:rFonts w:ascii="Verdana" w:hAnsi="Verdana" w:cs="Arial"/>
                <w:sz w:val="24"/>
                <w:szCs w:val="24"/>
              </w:rPr>
            </w:pPr>
            <w:r w:rsidRPr="00083705">
              <w:rPr>
                <w:rFonts w:ascii="Verdana" w:hAnsi="Verdana" w:cs="Arial"/>
                <w:b/>
                <w:bCs/>
                <w:sz w:val="24"/>
                <w:szCs w:val="24"/>
              </w:rPr>
              <w:t>For children in primary schools (aged 4-10 years)</w:t>
            </w:r>
            <w:r w:rsidRPr="00083705">
              <w:rPr>
                <w:rFonts w:ascii="Verdana" w:hAnsi="Verdana" w:cs="Arial"/>
                <w:sz w:val="24"/>
                <w:szCs w:val="24"/>
              </w:rPr>
              <w:t xml:space="preserve"> </w:t>
            </w:r>
            <w:r w:rsidRPr="00083705">
              <w:rPr>
                <w:rFonts w:ascii="Verdana" w:hAnsi="Verdana" w:cs="Arial"/>
                <w:b/>
                <w:bCs/>
                <w:sz w:val="24"/>
                <w:szCs w:val="24"/>
              </w:rPr>
              <w:t>uptake is 51.1%, which is below the Welsh average of 61.6%. SB UHB are ranked 7</w:t>
            </w:r>
            <w:r w:rsidRPr="00083705">
              <w:rPr>
                <w:rFonts w:ascii="Verdana" w:hAnsi="Verdana" w:cs="Arial"/>
                <w:b/>
                <w:bCs/>
                <w:sz w:val="24"/>
                <w:szCs w:val="24"/>
                <w:vertAlign w:val="superscript"/>
              </w:rPr>
              <w:t>th</w:t>
            </w:r>
            <w:r w:rsidRPr="00083705">
              <w:rPr>
                <w:rFonts w:ascii="Verdana" w:hAnsi="Verdana" w:cs="Arial"/>
                <w:sz w:val="24"/>
                <w:szCs w:val="24"/>
                <w:vertAlign w:val="superscript"/>
              </w:rPr>
              <w:t xml:space="preserve">. </w:t>
            </w:r>
          </w:p>
          <w:p w14:paraId="0B25C17B" w14:textId="77777777" w:rsidR="00595B5F" w:rsidRPr="00083705" w:rsidRDefault="00867335" w:rsidP="00F66FFB">
            <w:pPr>
              <w:pStyle w:val="ListParagraph"/>
              <w:numPr>
                <w:ilvl w:val="0"/>
                <w:numId w:val="11"/>
              </w:numPr>
              <w:spacing w:before="240" w:after="120"/>
              <w:jc w:val="both"/>
              <w:rPr>
                <w:rFonts w:ascii="Verdana" w:hAnsi="Verdana" w:cs="Arial"/>
                <w:bCs/>
                <w:sz w:val="24"/>
                <w:szCs w:val="24"/>
              </w:rPr>
            </w:pPr>
            <w:r w:rsidRPr="00083705">
              <w:rPr>
                <w:rFonts w:ascii="Verdana" w:hAnsi="Verdana" w:cs="Arial"/>
                <w:b/>
                <w:bCs/>
                <w:sz w:val="24"/>
                <w:szCs w:val="24"/>
              </w:rPr>
              <w:t>For children in secondary schools (aged 11-15 years) uptake is at 45.4%; below the Welsh average of 51.7%; SB UHB is ranked 6</w:t>
            </w:r>
            <w:r w:rsidRPr="00083705">
              <w:rPr>
                <w:rFonts w:ascii="Verdana" w:hAnsi="Verdana" w:cs="Arial"/>
                <w:b/>
                <w:bCs/>
                <w:sz w:val="24"/>
                <w:szCs w:val="24"/>
                <w:vertAlign w:val="superscript"/>
              </w:rPr>
              <w:t>th</w:t>
            </w:r>
            <w:r w:rsidRPr="00083705">
              <w:rPr>
                <w:rFonts w:ascii="Verdana" w:hAnsi="Verdana" w:cs="Arial"/>
                <w:b/>
                <w:bCs/>
                <w:sz w:val="24"/>
                <w:szCs w:val="24"/>
              </w:rPr>
              <w:t>.</w:t>
            </w:r>
            <w:r w:rsidRPr="00083705">
              <w:rPr>
                <w:rFonts w:ascii="Verdana" w:hAnsi="Verdana" w:cs="Arial"/>
                <w:sz w:val="24"/>
                <w:szCs w:val="24"/>
              </w:rPr>
              <w:t xml:space="preserve"> </w:t>
            </w:r>
          </w:p>
          <w:p w14:paraId="46D98A24" w14:textId="7E90915E" w:rsidR="00867335" w:rsidRPr="00083705" w:rsidRDefault="00867335" w:rsidP="00595B5F">
            <w:pPr>
              <w:spacing w:before="240" w:after="120"/>
              <w:jc w:val="both"/>
              <w:rPr>
                <w:rFonts w:ascii="Verdana" w:hAnsi="Verdana" w:cs="Arial"/>
                <w:bCs/>
                <w:sz w:val="24"/>
                <w:szCs w:val="24"/>
              </w:rPr>
            </w:pPr>
            <w:r w:rsidRPr="00083705">
              <w:rPr>
                <w:rFonts w:ascii="Verdana" w:hAnsi="Verdana" w:cs="Arial"/>
                <w:bCs/>
                <w:sz w:val="24"/>
                <w:szCs w:val="24"/>
              </w:rPr>
              <w:t xml:space="preserve">Finalised commissioning arrangement are awaited, draft </w:t>
            </w:r>
            <w:r w:rsidRPr="00083705">
              <w:rPr>
                <w:rFonts w:ascii="Verdana" w:hAnsi="Verdana" w:cs="Arial"/>
                <w:sz w:val="24"/>
                <w:szCs w:val="24"/>
              </w:rPr>
              <w:t>Primary Care Contracted Services: Immunisation Specification</w:t>
            </w:r>
            <w:r w:rsidRPr="00083705">
              <w:rPr>
                <w:rFonts w:ascii="Verdana" w:hAnsi="Verdana" w:cs="Arial"/>
                <w:bCs/>
                <w:sz w:val="24"/>
                <w:szCs w:val="24"/>
              </w:rPr>
              <w:t xml:space="preserve"> (PCCS:I) has been shared with health boards but awaits finalisation by Welsh Government, this will be a new approach to commissioning for both GMS and Community Pharmacy. Until this is received, along with the agreed planning framework commissioning and planning cannot proceed. </w:t>
            </w:r>
          </w:p>
          <w:p w14:paraId="6D290400" w14:textId="295AE2CD" w:rsidR="00653AEC" w:rsidRPr="00083705" w:rsidRDefault="00867335" w:rsidP="00474720">
            <w:pPr>
              <w:jc w:val="both"/>
              <w:rPr>
                <w:rFonts w:ascii="Verdana" w:hAnsi="Verdana" w:cs="Arial"/>
                <w:sz w:val="24"/>
                <w:szCs w:val="24"/>
              </w:rPr>
            </w:pPr>
            <w:r w:rsidRPr="00083705">
              <w:rPr>
                <w:rFonts w:ascii="Verdana" w:hAnsi="Verdana" w:cs="Arial"/>
                <w:sz w:val="24"/>
                <w:szCs w:val="24"/>
              </w:rPr>
              <w:lastRenderedPageBreak/>
              <w:t xml:space="preserve">There will be centrally procured Influenza vaccination stock </w:t>
            </w:r>
            <w:r w:rsidR="00F352E2" w:rsidRPr="00083705">
              <w:rPr>
                <w:rFonts w:ascii="Verdana" w:hAnsi="Verdana" w:cs="Arial"/>
                <w:sz w:val="24"/>
                <w:szCs w:val="24"/>
              </w:rPr>
              <w:t>for the 2025/26</w:t>
            </w:r>
            <w:r w:rsidRPr="00083705">
              <w:rPr>
                <w:rFonts w:ascii="Verdana" w:hAnsi="Verdana" w:cs="Arial"/>
                <w:sz w:val="24"/>
                <w:szCs w:val="24"/>
              </w:rPr>
              <w:t xml:space="preserve"> adult </w:t>
            </w:r>
            <w:r w:rsidR="00F352E2" w:rsidRPr="00083705">
              <w:rPr>
                <w:rFonts w:ascii="Verdana" w:hAnsi="Verdana" w:cs="Arial"/>
                <w:sz w:val="24"/>
                <w:szCs w:val="24"/>
              </w:rPr>
              <w:t xml:space="preserve">vaccination </w:t>
            </w:r>
            <w:r w:rsidRPr="00083705">
              <w:rPr>
                <w:rFonts w:ascii="Verdana" w:hAnsi="Verdana" w:cs="Arial"/>
                <w:sz w:val="24"/>
                <w:szCs w:val="24"/>
              </w:rPr>
              <w:t>programme</w:t>
            </w:r>
            <w:r w:rsidR="00DB7DAE" w:rsidRPr="00083705">
              <w:rPr>
                <w:rFonts w:ascii="Verdana" w:hAnsi="Verdana" w:cs="Arial"/>
                <w:sz w:val="24"/>
                <w:szCs w:val="24"/>
              </w:rPr>
              <w:t>. Vaccine stock orders have already been placed</w:t>
            </w:r>
            <w:r w:rsidR="003F795B" w:rsidRPr="00083705">
              <w:rPr>
                <w:rFonts w:ascii="Verdana" w:hAnsi="Verdana" w:cs="Arial"/>
                <w:sz w:val="24"/>
                <w:szCs w:val="24"/>
              </w:rPr>
              <w:t xml:space="preserve"> for SB UHB</w:t>
            </w:r>
            <w:r w:rsidRPr="00083705">
              <w:rPr>
                <w:rFonts w:ascii="Verdana" w:hAnsi="Verdana" w:cs="Arial"/>
                <w:sz w:val="24"/>
                <w:szCs w:val="24"/>
              </w:rPr>
              <w:t xml:space="preserve"> in accordance with National guidance and overseen by a local Implementation group. The orders required further reductions, requested by the national team, i.e. not all requests were fulfilled in this order.  However mechanisms will be in place to move stock if required, including allocation from Cefn Coed pharmacy and additional emergency orders.  </w:t>
            </w:r>
            <w:r w:rsidRPr="00083705">
              <w:rPr>
                <w:rFonts w:ascii="Verdana" w:hAnsi="Verdana" w:cs="Arial"/>
                <w:bCs/>
                <w:sz w:val="24"/>
                <w:szCs w:val="24"/>
              </w:rPr>
              <w:t>The Primary Care orders, if taken up fully with minimal wastage, would result in increase</w:t>
            </w:r>
            <w:r w:rsidR="00F352E2" w:rsidRPr="00083705">
              <w:rPr>
                <w:rFonts w:ascii="Verdana" w:hAnsi="Verdana" w:cs="Arial"/>
                <w:bCs/>
                <w:sz w:val="24"/>
                <w:szCs w:val="24"/>
              </w:rPr>
              <w:t>d vaccine uptake</w:t>
            </w:r>
            <w:r w:rsidRPr="00083705">
              <w:rPr>
                <w:rFonts w:ascii="Verdana" w:hAnsi="Verdana" w:cs="Arial"/>
                <w:bCs/>
                <w:sz w:val="24"/>
                <w:szCs w:val="24"/>
              </w:rPr>
              <w:t>.</w:t>
            </w:r>
          </w:p>
          <w:p w14:paraId="6D290401" w14:textId="77777777" w:rsidR="00653AEC" w:rsidRPr="00083705" w:rsidRDefault="00653AEC" w:rsidP="00653AEC">
            <w:pPr>
              <w:rPr>
                <w:rFonts w:ascii="Verdana" w:hAnsi="Verdana" w:cs="Arial"/>
                <w:sz w:val="24"/>
                <w:szCs w:val="24"/>
              </w:rPr>
            </w:pPr>
          </w:p>
        </w:tc>
      </w:tr>
      <w:tr w:rsidR="00762BBE" w:rsidRPr="00083705" w14:paraId="6D290409" w14:textId="77777777" w:rsidTr="00DA76AD">
        <w:trPr>
          <w:trHeight w:val="97"/>
        </w:trPr>
        <w:tc>
          <w:tcPr>
            <w:tcW w:w="2547" w:type="dxa"/>
            <w:vMerge w:val="restart"/>
          </w:tcPr>
          <w:p w14:paraId="6D290403"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lastRenderedPageBreak/>
              <w:t xml:space="preserve">Specific Action Required </w:t>
            </w:r>
          </w:p>
          <w:p w14:paraId="6D290404" w14:textId="77777777" w:rsidR="00762BBE" w:rsidRPr="00083705" w:rsidRDefault="00762BBE" w:rsidP="00762BBE">
            <w:pPr>
              <w:rPr>
                <w:rFonts w:ascii="Verdana" w:hAnsi="Verdana" w:cs="Arial"/>
                <w:b/>
                <w:i/>
                <w:sz w:val="24"/>
                <w:szCs w:val="24"/>
              </w:rPr>
            </w:pPr>
            <w:r w:rsidRPr="00083705">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Approval</w:t>
            </w:r>
          </w:p>
        </w:tc>
      </w:tr>
      <w:tr w:rsidR="00762BBE" w:rsidRPr="00083705" w14:paraId="6D29040F" w14:textId="77777777" w:rsidTr="00DA76AD">
        <w:trPr>
          <w:trHeight w:val="96"/>
        </w:trPr>
        <w:tc>
          <w:tcPr>
            <w:tcW w:w="2547" w:type="dxa"/>
            <w:vMerge/>
          </w:tcPr>
          <w:p w14:paraId="6D29040A" w14:textId="77777777" w:rsidR="00762BBE" w:rsidRPr="00083705"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083705" w:rsidRDefault="00762BBE" w:rsidP="00762BBE">
                <w:pPr>
                  <w:ind w:right="96"/>
                  <w:jc w:val="center"/>
                  <w:rPr>
                    <w:rFonts w:ascii="Verdana" w:hAnsi="Verdana" w:cs="Arial"/>
                    <w:sz w:val="24"/>
                    <w:szCs w:val="24"/>
                  </w:rPr>
                </w:pPr>
                <w:r w:rsidRPr="0008370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083705" w:rsidRDefault="00762BBE" w:rsidP="00762BBE">
                <w:pPr>
                  <w:ind w:right="96"/>
                  <w:jc w:val="center"/>
                  <w:rPr>
                    <w:rFonts w:ascii="Verdana" w:hAnsi="Verdana" w:cs="Arial"/>
                    <w:sz w:val="24"/>
                    <w:szCs w:val="24"/>
                  </w:rPr>
                </w:pPr>
                <w:r w:rsidRPr="0008370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4BF677F" w:rsidR="00762BBE" w:rsidRPr="00083705" w:rsidRDefault="00867335" w:rsidP="00762BBE">
                <w:pPr>
                  <w:ind w:right="96"/>
                  <w:jc w:val="center"/>
                  <w:rPr>
                    <w:rFonts w:ascii="Verdana" w:hAnsi="Verdana" w:cs="Arial"/>
                    <w:sz w:val="24"/>
                    <w:szCs w:val="24"/>
                  </w:rPr>
                </w:pPr>
                <w:r w:rsidRPr="0008370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083705" w:rsidRDefault="00F57042" w:rsidP="00762BBE">
                <w:pPr>
                  <w:ind w:right="96"/>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762BBE" w:rsidRPr="00083705" w14:paraId="6D290418" w14:textId="77777777" w:rsidTr="00DA76AD">
        <w:tc>
          <w:tcPr>
            <w:tcW w:w="2547" w:type="dxa"/>
          </w:tcPr>
          <w:p w14:paraId="6D290410" w14:textId="77777777" w:rsidR="00762BBE" w:rsidRPr="00083705" w:rsidRDefault="00762BBE" w:rsidP="00762BBE">
            <w:pPr>
              <w:rPr>
                <w:rFonts w:ascii="Verdana" w:hAnsi="Verdana" w:cs="Arial"/>
                <w:b/>
                <w:sz w:val="24"/>
                <w:szCs w:val="24"/>
              </w:rPr>
            </w:pPr>
            <w:r w:rsidRPr="00083705">
              <w:rPr>
                <w:rFonts w:ascii="Verdana" w:hAnsi="Verdana" w:cs="Arial"/>
                <w:b/>
                <w:sz w:val="24"/>
                <w:szCs w:val="24"/>
              </w:rPr>
              <w:t>Recommendations</w:t>
            </w:r>
          </w:p>
          <w:p w14:paraId="6D290411" w14:textId="77777777" w:rsidR="00762BBE" w:rsidRPr="00083705" w:rsidRDefault="00762BBE" w:rsidP="00762BBE">
            <w:pPr>
              <w:rPr>
                <w:rFonts w:ascii="Verdana" w:hAnsi="Verdana" w:cs="Arial"/>
                <w:b/>
                <w:sz w:val="24"/>
                <w:szCs w:val="24"/>
              </w:rPr>
            </w:pPr>
          </w:p>
        </w:tc>
        <w:tc>
          <w:tcPr>
            <w:tcW w:w="6469" w:type="dxa"/>
            <w:gridSpan w:val="6"/>
          </w:tcPr>
          <w:p w14:paraId="6D290412" w14:textId="77777777" w:rsidR="00653AEC" w:rsidRPr="00083705" w:rsidRDefault="00653AEC" w:rsidP="00653AEC">
            <w:pPr>
              <w:ind w:right="96"/>
              <w:rPr>
                <w:rFonts w:ascii="Verdana" w:hAnsi="Verdana" w:cs="Arial"/>
                <w:sz w:val="24"/>
                <w:szCs w:val="24"/>
              </w:rPr>
            </w:pPr>
            <w:r w:rsidRPr="00083705">
              <w:rPr>
                <w:rFonts w:ascii="Verdana" w:hAnsi="Verdana" w:cs="Arial"/>
                <w:sz w:val="24"/>
                <w:szCs w:val="24"/>
              </w:rPr>
              <w:t>Members are asked to:</w:t>
            </w:r>
          </w:p>
          <w:p w14:paraId="5EEEA615" w14:textId="3A3D4E9E" w:rsidR="00867335" w:rsidRPr="00083705" w:rsidRDefault="00083705" w:rsidP="00867335">
            <w:pPr>
              <w:pStyle w:val="ListParagraph"/>
              <w:numPr>
                <w:ilvl w:val="0"/>
                <w:numId w:val="6"/>
              </w:numPr>
              <w:spacing w:after="120"/>
              <w:ind w:right="96"/>
              <w:jc w:val="both"/>
              <w:rPr>
                <w:rFonts w:ascii="Verdana" w:hAnsi="Verdana" w:cs="Arial"/>
                <w:sz w:val="24"/>
                <w:szCs w:val="24"/>
              </w:rPr>
            </w:pPr>
            <w:r w:rsidRPr="00083705">
              <w:rPr>
                <w:rFonts w:ascii="Verdana" w:hAnsi="Verdana" w:cs="Arial"/>
                <w:b/>
                <w:bCs/>
                <w:sz w:val="24"/>
                <w:szCs w:val="24"/>
              </w:rPr>
              <w:t xml:space="preserve">RECEIVE </w:t>
            </w:r>
            <w:r w:rsidR="00867335" w:rsidRPr="00083705">
              <w:rPr>
                <w:rFonts w:ascii="Verdana" w:hAnsi="Verdana" w:cs="Arial"/>
                <w:sz w:val="24"/>
                <w:szCs w:val="24"/>
              </w:rPr>
              <w:t xml:space="preserve">the uptake report on the 2024-25 Influenza vaccination campaign, which shows a reduction in uptake for 24/25. </w:t>
            </w:r>
          </w:p>
          <w:p w14:paraId="04664F32" w14:textId="4B154A93" w:rsidR="00867335" w:rsidRPr="00083705" w:rsidRDefault="00083705" w:rsidP="00867335">
            <w:pPr>
              <w:numPr>
                <w:ilvl w:val="0"/>
                <w:numId w:val="6"/>
              </w:numPr>
              <w:spacing w:after="120"/>
              <w:ind w:right="96"/>
              <w:jc w:val="both"/>
              <w:rPr>
                <w:rFonts w:ascii="Verdana" w:hAnsi="Verdana" w:cs="Arial"/>
                <w:sz w:val="24"/>
                <w:szCs w:val="24"/>
              </w:rPr>
            </w:pPr>
            <w:r w:rsidRPr="00083705">
              <w:rPr>
                <w:rFonts w:ascii="Verdana" w:hAnsi="Verdana" w:cs="Arial"/>
                <w:b/>
                <w:bCs/>
                <w:sz w:val="24"/>
                <w:szCs w:val="24"/>
              </w:rPr>
              <w:t xml:space="preserve">BE ASSURED </w:t>
            </w:r>
            <w:r w:rsidR="00867335" w:rsidRPr="00083705">
              <w:rPr>
                <w:rFonts w:ascii="Verdana" w:hAnsi="Verdana" w:cs="Arial"/>
                <w:sz w:val="24"/>
                <w:szCs w:val="24"/>
              </w:rPr>
              <w:t>that the</w:t>
            </w:r>
            <w:r w:rsidR="00867335" w:rsidRPr="00083705">
              <w:rPr>
                <w:rFonts w:ascii="Verdana" w:hAnsi="Verdana" w:cs="Arial"/>
                <w:b/>
                <w:bCs/>
                <w:sz w:val="24"/>
                <w:szCs w:val="24"/>
              </w:rPr>
              <w:t xml:space="preserve"> </w:t>
            </w:r>
            <w:r w:rsidR="00867335" w:rsidRPr="00083705">
              <w:rPr>
                <w:rFonts w:ascii="Verdana" w:hAnsi="Verdana" w:cs="Arial"/>
                <w:sz w:val="24"/>
                <w:szCs w:val="24"/>
              </w:rPr>
              <w:t>SBUHB</w:t>
            </w:r>
            <w:r w:rsidR="00867335" w:rsidRPr="00083705">
              <w:rPr>
                <w:rFonts w:ascii="Verdana" w:hAnsi="Verdana" w:cs="Arial"/>
                <w:b/>
                <w:bCs/>
                <w:sz w:val="24"/>
                <w:szCs w:val="24"/>
              </w:rPr>
              <w:t xml:space="preserve"> </w:t>
            </w:r>
            <w:r w:rsidR="00867335" w:rsidRPr="00083705">
              <w:rPr>
                <w:rFonts w:ascii="Verdana" w:hAnsi="Verdana" w:cs="Arial"/>
                <w:sz w:val="24"/>
                <w:szCs w:val="24"/>
              </w:rPr>
              <w:t>Winter Respiratory Vaccination Programme Planning Group (WRVPPG) will take forward the planning and actions to improve uptake for 25/26.</w:t>
            </w:r>
          </w:p>
          <w:p w14:paraId="22883890" w14:textId="50B834AA" w:rsidR="00867335" w:rsidRPr="00083705" w:rsidRDefault="00083705" w:rsidP="00867335">
            <w:pPr>
              <w:pStyle w:val="ListParagraph"/>
              <w:numPr>
                <w:ilvl w:val="0"/>
                <w:numId w:val="6"/>
              </w:numPr>
              <w:ind w:right="96"/>
              <w:rPr>
                <w:rFonts w:ascii="Verdana" w:hAnsi="Verdana" w:cs="Arial"/>
                <w:b/>
                <w:color w:val="FF0000"/>
                <w:sz w:val="24"/>
                <w:szCs w:val="24"/>
              </w:rPr>
            </w:pPr>
            <w:r w:rsidRPr="00083705">
              <w:rPr>
                <w:rFonts w:ascii="Verdana" w:hAnsi="Verdana" w:cs="Arial"/>
                <w:b/>
                <w:bCs/>
                <w:sz w:val="24"/>
                <w:szCs w:val="24"/>
              </w:rPr>
              <w:t xml:space="preserve">BE ASSURED </w:t>
            </w:r>
            <w:r w:rsidR="00867335" w:rsidRPr="00083705">
              <w:rPr>
                <w:rFonts w:ascii="Verdana" w:hAnsi="Verdana" w:cs="Arial"/>
                <w:sz w:val="24"/>
                <w:szCs w:val="24"/>
              </w:rPr>
              <w:t>on the process taken for the order of central procurement of influenza vaccinations in 2025-26, which was undertaken in line with the national requirements.</w:t>
            </w:r>
          </w:p>
          <w:p w14:paraId="1B5C00B3" w14:textId="30B7EA8C" w:rsidR="00083705" w:rsidRPr="00083705" w:rsidRDefault="00083705" w:rsidP="00083705">
            <w:pPr>
              <w:pStyle w:val="ListParagraph"/>
              <w:numPr>
                <w:ilvl w:val="0"/>
                <w:numId w:val="6"/>
              </w:numPr>
              <w:spacing w:after="160" w:line="259" w:lineRule="auto"/>
              <w:ind w:right="96"/>
              <w:rPr>
                <w:rFonts w:ascii="Verdana" w:hAnsi="Verdana" w:cs="Arial"/>
                <w:b/>
                <w:color w:val="FF0000"/>
                <w:sz w:val="24"/>
                <w:szCs w:val="24"/>
              </w:rPr>
            </w:pPr>
            <w:r w:rsidRPr="00083705">
              <w:rPr>
                <w:rFonts w:ascii="Verdana" w:hAnsi="Verdana" w:cs="Arial"/>
                <w:b/>
                <w:bCs/>
                <w:sz w:val="24"/>
                <w:szCs w:val="24"/>
              </w:rPr>
              <w:t xml:space="preserve">NOTE </w:t>
            </w:r>
            <w:r w:rsidRPr="00083705">
              <w:rPr>
                <w:rFonts w:ascii="Verdana" w:hAnsi="Verdana" w:cs="Arial"/>
                <w:sz w:val="24"/>
                <w:szCs w:val="24"/>
              </w:rPr>
              <w:t>the financial cost if all vaccine ordered by the Health Board are administered.</w:t>
            </w:r>
          </w:p>
          <w:p w14:paraId="6D290415" w14:textId="77777777" w:rsidR="00653AEC" w:rsidRPr="00083705" w:rsidRDefault="00653AEC" w:rsidP="00653AEC">
            <w:pPr>
              <w:pStyle w:val="ListParagraph"/>
              <w:ind w:right="96"/>
              <w:rPr>
                <w:rFonts w:ascii="Verdana" w:hAnsi="Verdana" w:cs="Arial"/>
                <w:b/>
                <w:color w:val="FF0000"/>
                <w:sz w:val="24"/>
                <w:szCs w:val="24"/>
              </w:rPr>
            </w:pPr>
          </w:p>
          <w:p w14:paraId="6D290417" w14:textId="77777777" w:rsidR="00762BBE" w:rsidRPr="00083705" w:rsidRDefault="00762BBE" w:rsidP="00867335">
            <w:pPr>
              <w:ind w:right="96"/>
              <w:rPr>
                <w:rFonts w:ascii="Verdana" w:hAnsi="Verdana" w:cs="Arial"/>
                <w:sz w:val="24"/>
                <w:szCs w:val="24"/>
              </w:rPr>
            </w:pPr>
          </w:p>
        </w:tc>
      </w:tr>
    </w:tbl>
    <w:p w14:paraId="6D290419" w14:textId="77777777" w:rsidR="0020539A" w:rsidRPr="00083705" w:rsidRDefault="0020539A">
      <w:pPr>
        <w:rPr>
          <w:rFonts w:ascii="Verdana" w:hAnsi="Verdana"/>
          <w:sz w:val="24"/>
          <w:szCs w:val="24"/>
        </w:rPr>
      </w:pPr>
    </w:p>
    <w:p w14:paraId="6D29041A" w14:textId="4C568720" w:rsidR="00653AEC" w:rsidRPr="00083705" w:rsidRDefault="0020539A" w:rsidP="00653AEC">
      <w:pPr>
        <w:spacing w:after="0" w:line="240" w:lineRule="auto"/>
        <w:jc w:val="center"/>
        <w:rPr>
          <w:rFonts w:ascii="Verdana" w:hAnsi="Verdana" w:cs="Arial"/>
          <w:b/>
          <w:sz w:val="24"/>
          <w:szCs w:val="24"/>
        </w:rPr>
      </w:pPr>
      <w:r w:rsidRPr="00083705">
        <w:rPr>
          <w:rFonts w:ascii="Verdana" w:hAnsi="Verdana"/>
          <w:sz w:val="24"/>
          <w:szCs w:val="24"/>
        </w:rPr>
        <w:br w:type="page"/>
      </w:r>
      <w:r w:rsidR="001977EF" w:rsidRPr="00083705">
        <w:rPr>
          <w:rFonts w:ascii="Verdana" w:hAnsi="Verdana" w:cs="Arial"/>
          <w:b/>
          <w:sz w:val="24"/>
          <w:szCs w:val="24"/>
        </w:rPr>
        <w:lastRenderedPageBreak/>
        <w:t>Influenza vaccination campaign 2024/25</w:t>
      </w:r>
    </w:p>
    <w:p w14:paraId="6D29041B" w14:textId="77777777" w:rsidR="00653AEC" w:rsidRPr="00083705" w:rsidRDefault="00653AEC" w:rsidP="00653AEC">
      <w:pPr>
        <w:spacing w:after="0" w:line="240" w:lineRule="auto"/>
        <w:jc w:val="center"/>
        <w:rPr>
          <w:rFonts w:ascii="Verdana" w:hAnsi="Verdana" w:cs="Arial"/>
          <w:b/>
          <w:sz w:val="24"/>
          <w:szCs w:val="24"/>
        </w:rPr>
      </w:pPr>
    </w:p>
    <w:p w14:paraId="6D29041C" w14:textId="2E8AC60B" w:rsidR="00653AEC" w:rsidRPr="00083705" w:rsidRDefault="00653AEC" w:rsidP="00653AEC">
      <w:pPr>
        <w:pStyle w:val="ListParagraph"/>
        <w:numPr>
          <w:ilvl w:val="0"/>
          <w:numId w:val="1"/>
        </w:numPr>
        <w:spacing w:after="0" w:line="240" w:lineRule="auto"/>
        <w:rPr>
          <w:rFonts w:ascii="Verdana" w:hAnsi="Verdana" w:cs="Arial"/>
          <w:b/>
          <w:sz w:val="24"/>
          <w:szCs w:val="24"/>
        </w:rPr>
      </w:pPr>
      <w:r w:rsidRPr="00083705">
        <w:rPr>
          <w:rFonts w:ascii="Verdana" w:hAnsi="Verdana" w:cs="Arial"/>
          <w:b/>
          <w:sz w:val="24"/>
          <w:szCs w:val="24"/>
        </w:rPr>
        <w:t>INTRODUCTION</w:t>
      </w:r>
    </w:p>
    <w:p w14:paraId="1CDC71A9" w14:textId="77777777" w:rsidR="001977EF" w:rsidRPr="00083705" w:rsidRDefault="001977EF" w:rsidP="001977EF">
      <w:pPr>
        <w:pStyle w:val="ListParagraph"/>
        <w:spacing w:after="0" w:line="240" w:lineRule="auto"/>
        <w:rPr>
          <w:rFonts w:ascii="Verdana" w:hAnsi="Verdana" w:cs="Arial"/>
          <w:b/>
          <w:sz w:val="24"/>
          <w:szCs w:val="24"/>
        </w:rPr>
      </w:pPr>
    </w:p>
    <w:p w14:paraId="59D1F286" w14:textId="6BAA0EE9" w:rsidR="0035745E" w:rsidRPr="00083705" w:rsidRDefault="0035745E" w:rsidP="0035745E">
      <w:pPr>
        <w:jc w:val="both"/>
        <w:rPr>
          <w:rFonts w:ascii="Verdana" w:hAnsi="Verdana" w:cs="Arial"/>
          <w:sz w:val="24"/>
          <w:szCs w:val="24"/>
        </w:rPr>
      </w:pPr>
      <w:r w:rsidRPr="00083705">
        <w:rPr>
          <w:rFonts w:ascii="Verdana" w:hAnsi="Verdana" w:cs="Arial"/>
          <w:bCs/>
          <w:sz w:val="24"/>
          <w:szCs w:val="24"/>
        </w:rPr>
        <w:t>This paper presents the Swansea Bay University Health Board (SBUHB) final position on uptake of the In</w:t>
      </w:r>
      <w:r w:rsidRPr="00083705">
        <w:rPr>
          <w:rFonts w:ascii="Verdana" w:hAnsi="Verdana" w:cs="Arial"/>
          <w:sz w:val="24"/>
          <w:szCs w:val="24"/>
        </w:rPr>
        <w:t xml:space="preserve">fluenza Vaccination in Primary Care for 2024-25 in line with </w:t>
      </w:r>
      <w:r w:rsidRPr="00083705">
        <w:rPr>
          <w:rFonts w:ascii="Verdana" w:hAnsi="Verdana" w:cs="Arial"/>
          <w:bCs/>
          <w:sz w:val="24"/>
          <w:szCs w:val="24"/>
        </w:rPr>
        <w:t xml:space="preserve">the national policy and guidance. </w:t>
      </w:r>
    </w:p>
    <w:p w14:paraId="6651ECBF"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This paper also describes the 2025-26 planning process including the process followed to place the SBUHB Influenza Vaccination order for centrally procured stock to support the 2025-26 programme.</w:t>
      </w:r>
    </w:p>
    <w:p w14:paraId="6D29041D" w14:textId="6FF45511" w:rsidR="00653AEC" w:rsidRPr="00083705" w:rsidRDefault="00653AEC" w:rsidP="00653AEC">
      <w:pPr>
        <w:spacing w:after="0" w:line="240" w:lineRule="auto"/>
        <w:rPr>
          <w:rFonts w:ascii="Verdana" w:hAnsi="Verdana" w:cs="Arial"/>
          <w:b/>
          <w:color w:val="FF0000"/>
          <w:sz w:val="24"/>
          <w:szCs w:val="24"/>
        </w:rPr>
      </w:pPr>
    </w:p>
    <w:p w14:paraId="6D29041E" w14:textId="77777777" w:rsidR="00653AEC" w:rsidRPr="00083705" w:rsidRDefault="00653AEC" w:rsidP="00653AEC">
      <w:pPr>
        <w:pStyle w:val="ListParagraph"/>
        <w:spacing w:after="0" w:line="240" w:lineRule="auto"/>
        <w:rPr>
          <w:rFonts w:ascii="Verdana" w:hAnsi="Verdana" w:cs="Arial"/>
          <w:b/>
          <w:sz w:val="24"/>
          <w:szCs w:val="24"/>
        </w:rPr>
      </w:pPr>
    </w:p>
    <w:p w14:paraId="6D29041F" w14:textId="500115D1" w:rsidR="00653AEC" w:rsidRPr="00083705" w:rsidRDefault="00653AEC" w:rsidP="00653AEC">
      <w:pPr>
        <w:pStyle w:val="ListParagraph"/>
        <w:numPr>
          <w:ilvl w:val="0"/>
          <w:numId w:val="1"/>
        </w:numPr>
        <w:spacing w:after="0" w:line="240" w:lineRule="auto"/>
        <w:rPr>
          <w:rFonts w:ascii="Verdana" w:hAnsi="Verdana" w:cs="Arial"/>
          <w:b/>
          <w:sz w:val="24"/>
          <w:szCs w:val="24"/>
        </w:rPr>
      </w:pPr>
      <w:r w:rsidRPr="00083705">
        <w:rPr>
          <w:rFonts w:ascii="Verdana" w:hAnsi="Verdana" w:cs="Arial"/>
          <w:b/>
          <w:sz w:val="24"/>
          <w:szCs w:val="24"/>
        </w:rPr>
        <w:t>BACKGROUND</w:t>
      </w:r>
    </w:p>
    <w:p w14:paraId="54AEE052" w14:textId="77777777" w:rsidR="001977EF" w:rsidRPr="00083705" w:rsidRDefault="001977EF" w:rsidP="001977EF">
      <w:pPr>
        <w:pStyle w:val="ListParagraph"/>
        <w:spacing w:after="0" w:line="240" w:lineRule="auto"/>
        <w:rPr>
          <w:rFonts w:ascii="Verdana" w:hAnsi="Verdana" w:cs="Arial"/>
          <w:b/>
          <w:sz w:val="24"/>
          <w:szCs w:val="24"/>
        </w:rPr>
      </w:pPr>
    </w:p>
    <w:p w14:paraId="5A165648" w14:textId="05AAF328" w:rsidR="0035745E" w:rsidRPr="00083705" w:rsidRDefault="0035745E" w:rsidP="0035745E">
      <w:pPr>
        <w:jc w:val="both"/>
        <w:rPr>
          <w:rFonts w:ascii="Verdana" w:hAnsi="Verdana" w:cs="Arial"/>
          <w:sz w:val="24"/>
          <w:szCs w:val="24"/>
          <w:lang w:eastAsia="en-GB"/>
        </w:rPr>
      </w:pPr>
      <w:r w:rsidRPr="00083705">
        <w:rPr>
          <w:rFonts w:ascii="Verdana" w:hAnsi="Verdana" w:cs="Arial"/>
          <w:sz w:val="24"/>
          <w:szCs w:val="24"/>
          <w:lang w:eastAsia="en-GB"/>
        </w:rPr>
        <w:t xml:space="preserve">In autumn 2022 the first Winter Respiratory Vaccination Programme (WRVP) for Wales was delivered by bringing together the COVID-19 and influenza vaccination programmes. This enabled health boards to coordinate the planning of both programmes and, where possible, to streamline delivery.  To build on that success, in 2024/25 the National Influenza Immunisation Programme and the COVID-19 Vaccination Programme were again </w:t>
      </w:r>
      <w:r w:rsidR="00E36768" w:rsidRPr="00083705">
        <w:rPr>
          <w:rFonts w:ascii="Verdana" w:hAnsi="Verdana" w:cs="Arial"/>
          <w:sz w:val="24"/>
          <w:szCs w:val="24"/>
          <w:lang w:eastAsia="en-GB"/>
        </w:rPr>
        <w:t>aligned</w:t>
      </w:r>
      <w:r w:rsidRPr="00083705">
        <w:rPr>
          <w:rFonts w:ascii="Verdana" w:hAnsi="Verdana" w:cs="Arial"/>
          <w:sz w:val="24"/>
          <w:szCs w:val="24"/>
          <w:lang w:eastAsia="en-GB"/>
        </w:rPr>
        <w:t xml:space="preserve"> to form a single Winter Respiratory Vaccination Programme. The programme is underpinned by the key principles: </w:t>
      </w:r>
    </w:p>
    <w:p w14:paraId="25F8F614" w14:textId="77777777" w:rsidR="0035745E" w:rsidRPr="00083705" w:rsidRDefault="0035745E" w:rsidP="0035745E">
      <w:pPr>
        <w:pStyle w:val="ListParagraph"/>
        <w:jc w:val="both"/>
        <w:rPr>
          <w:rFonts w:ascii="Verdana" w:hAnsi="Verdana" w:cs="Arial"/>
          <w:sz w:val="24"/>
          <w:szCs w:val="24"/>
          <w:lang w:eastAsia="en-GB"/>
        </w:rPr>
      </w:pPr>
      <w:r w:rsidRPr="00083705">
        <w:rPr>
          <w:rFonts w:ascii="Verdana" w:hAnsi="Verdana" w:cs="Arial"/>
          <w:sz w:val="24"/>
          <w:szCs w:val="24"/>
          <w:lang w:eastAsia="en-GB"/>
        </w:rPr>
        <w:t xml:space="preserve">- Protecting those at greatest risk </w:t>
      </w:r>
    </w:p>
    <w:p w14:paraId="5B0522A6" w14:textId="77777777" w:rsidR="0035745E" w:rsidRPr="00083705" w:rsidRDefault="0035745E" w:rsidP="0035745E">
      <w:pPr>
        <w:pStyle w:val="ListParagraph"/>
        <w:jc w:val="both"/>
        <w:rPr>
          <w:rFonts w:ascii="Verdana" w:hAnsi="Verdana" w:cs="Arial"/>
          <w:sz w:val="24"/>
          <w:szCs w:val="24"/>
          <w:lang w:eastAsia="en-GB"/>
        </w:rPr>
      </w:pPr>
      <w:r w:rsidRPr="00083705">
        <w:rPr>
          <w:rFonts w:ascii="Verdana" w:hAnsi="Verdana" w:cs="Arial"/>
          <w:sz w:val="24"/>
          <w:szCs w:val="24"/>
          <w:lang w:eastAsia="en-GB"/>
        </w:rPr>
        <w:t xml:space="preserve">- Protecting children and young people </w:t>
      </w:r>
    </w:p>
    <w:p w14:paraId="6F0F1BC9" w14:textId="77777777" w:rsidR="0035745E" w:rsidRPr="00083705" w:rsidRDefault="0035745E" w:rsidP="0035745E">
      <w:pPr>
        <w:pStyle w:val="ListParagraph"/>
        <w:jc w:val="both"/>
        <w:rPr>
          <w:rFonts w:ascii="Verdana" w:hAnsi="Verdana" w:cs="Arial"/>
          <w:sz w:val="24"/>
          <w:szCs w:val="24"/>
          <w:lang w:eastAsia="en-GB"/>
        </w:rPr>
      </w:pPr>
      <w:r w:rsidRPr="00083705">
        <w:rPr>
          <w:rFonts w:ascii="Verdana" w:hAnsi="Verdana" w:cs="Arial"/>
          <w:sz w:val="24"/>
          <w:szCs w:val="24"/>
          <w:lang w:eastAsia="en-GB"/>
        </w:rPr>
        <w:t xml:space="preserve">- Protecting frontline health and social care workers </w:t>
      </w:r>
    </w:p>
    <w:p w14:paraId="31A9D3EC" w14:textId="6DDEF17E" w:rsidR="0035745E" w:rsidRPr="00083705" w:rsidRDefault="0035745E" w:rsidP="0035745E">
      <w:pPr>
        <w:pStyle w:val="ListParagraph"/>
        <w:jc w:val="both"/>
        <w:rPr>
          <w:rFonts w:ascii="Verdana" w:hAnsi="Verdana" w:cs="Arial"/>
          <w:sz w:val="24"/>
          <w:szCs w:val="24"/>
          <w:lang w:eastAsia="en-GB"/>
        </w:rPr>
      </w:pPr>
      <w:r w:rsidRPr="00083705">
        <w:rPr>
          <w:rFonts w:ascii="Verdana" w:hAnsi="Verdana" w:cs="Arial"/>
          <w:sz w:val="24"/>
          <w:szCs w:val="24"/>
          <w:lang w:eastAsia="en-GB"/>
        </w:rPr>
        <w:t xml:space="preserve">- Protecting the NHS </w:t>
      </w:r>
    </w:p>
    <w:p w14:paraId="1CE36876" w14:textId="4F7E7A79" w:rsidR="0035745E" w:rsidRPr="00083705" w:rsidRDefault="0035745E" w:rsidP="0035745E">
      <w:pPr>
        <w:jc w:val="both"/>
        <w:rPr>
          <w:rFonts w:ascii="Verdana" w:hAnsi="Verdana" w:cs="Arial"/>
          <w:sz w:val="24"/>
          <w:szCs w:val="24"/>
          <w:lang w:eastAsia="en-GB"/>
        </w:rPr>
      </w:pPr>
      <w:r w:rsidRPr="00083705">
        <w:rPr>
          <w:rFonts w:ascii="Verdana" w:hAnsi="Verdana" w:cs="Arial"/>
          <w:b/>
          <w:bCs/>
          <w:sz w:val="24"/>
          <w:szCs w:val="24"/>
          <w:lang w:eastAsia="en-GB"/>
        </w:rPr>
        <w:t xml:space="preserve">2.1 </w:t>
      </w:r>
      <w:r w:rsidRPr="00083705">
        <w:rPr>
          <w:rFonts w:ascii="Verdana" w:hAnsi="Verdana" w:cs="Arial"/>
          <w:b/>
          <w:bCs/>
          <w:sz w:val="24"/>
          <w:szCs w:val="24"/>
        </w:rPr>
        <w:t>Planning</w:t>
      </w:r>
      <w:r w:rsidRPr="00083705">
        <w:rPr>
          <w:rFonts w:ascii="Verdana" w:hAnsi="Verdana" w:cs="Arial"/>
          <w:b/>
          <w:sz w:val="24"/>
          <w:szCs w:val="24"/>
        </w:rPr>
        <w:t xml:space="preserve"> Guidance</w:t>
      </w:r>
    </w:p>
    <w:p w14:paraId="64A2F350" w14:textId="77777777" w:rsidR="0035745E" w:rsidRPr="00083705" w:rsidRDefault="0035745E" w:rsidP="0035745E">
      <w:pPr>
        <w:pStyle w:val="NoSpacing"/>
        <w:spacing w:line="360" w:lineRule="auto"/>
        <w:jc w:val="both"/>
        <w:rPr>
          <w:rFonts w:ascii="Verdana" w:hAnsi="Verdana" w:cs="Arial"/>
          <w:bCs/>
          <w:sz w:val="24"/>
          <w:szCs w:val="24"/>
        </w:rPr>
      </w:pPr>
      <w:r w:rsidRPr="00083705">
        <w:rPr>
          <w:rFonts w:ascii="Verdana" w:hAnsi="Verdana" w:cs="Arial"/>
          <w:bCs/>
          <w:sz w:val="24"/>
          <w:szCs w:val="24"/>
        </w:rPr>
        <w:t>The following national guidance was issued for the 2024/25 programme.</w:t>
      </w:r>
    </w:p>
    <w:tbl>
      <w:tblPr>
        <w:tblStyle w:val="TableGrid"/>
        <w:tblW w:w="0" w:type="auto"/>
        <w:tblLook w:val="04A0" w:firstRow="1" w:lastRow="0" w:firstColumn="1" w:lastColumn="0" w:noHBand="0" w:noVBand="1"/>
      </w:tblPr>
      <w:tblGrid>
        <w:gridCol w:w="2264"/>
        <w:gridCol w:w="6752"/>
      </w:tblGrid>
      <w:tr w:rsidR="0035745E" w:rsidRPr="00083705" w14:paraId="6A19F45C" w14:textId="77777777" w:rsidTr="006B2D43">
        <w:tc>
          <w:tcPr>
            <w:tcW w:w="2122" w:type="dxa"/>
          </w:tcPr>
          <w:p w14:paraId="5A5D2967" w14:textId="77777777" w:rsidR="0035745E" w:rsidRPr="00083705" w:rsidRDefault="0035745E" w:rsidP="006B2D43">
            <w:pPr>
              <w:pStyle w:val="Default"/>
              <w:rPr>
                <w:rFonts w:ascii="Verdana" w:hAnsi="Verdana" w:cs="Arial"/>
                <w:b/>
                <w:bCs/>
              </w:rPr>
            </w:pPr>
            <w:r w:rsidRPr="00083705">
              <w:rPr>
                <w:rFonts w:ascii="Verdana" w:hAnsi="Verdana" w:cs="Arial"/>
                <w:b/>
                <w:bCs/>
              </w:rPr>
              <w:t xml:space="preserve">WHC 2023 047: Influenza vaccines and eligible cohorts for the 2024 to 2025 season </w:t>
            </w:r>
          </w:p>
          <w:p w14:paraId="430A34C7" w14:textId="77777777" w:rsidR="0035745E" w:rsidRPr="00083705" w:rsidRDefault="0035745E" w:rsidP="006B2D43">
            <w:pPr>
              <w:pStyle w:val="NoSpacing"/>
              <w:spacing w:line="360" w:lineRule="auto"/>
              <w:jc w:val="both"/>
              <w:rPr>
                <w:rFonts w:ascii="Verdana" w:hAnsi="Verdana" w:cs="Arial"/>
                <w:b/>
                <w:sz w:val="24"/>
                <w:szCs w:val="24"/>
              </w:rPr>
            </w:pPr>
          </w:p>
        </w:tc>
        <w:tc>
          <w:tcPr>
            <w:tcW w:w="6894" w:type="dxa"/>
          </w:tcPr>
          <w:p w14:paraId="79978065" w14:textId="77777777" w:rsidR="0035745E" w:rsidRPr="00083705" w:rsidRDefault="0035745E" w:rsidP="006B2D43">
            <w:pPr>
              <w:autoSpaceDE w:val="0"/>
              <w:autoSpaceDN w:val="0"/>
              <w:adjustRightInd w:val="0"/>
              <w:jc w:val="both"/>
              <w:rPr>
                <w:rFonts w:ascii="Verdana" w:hAnsi="Verdana" w:cs="Arial"/>
                <w:bCs/>
                <w:color w:val="000000"/>
                <w:sz w:val="24"/>
                <w:szCs w:val="24"/>
                <w:lang w:eastAsia="en-GB"/>
              </w:rPr>
            </w:pPr>
            <w:r w:rsidRPr="00083705">
              <w:rPr>
                <w:rFonts w:ascii="Verdana" w:hAnsi="Verdana" w:cs="Arial"/>
                <w:bCs/>
                <w:color w:val="000000"/>
                <w:sz w:val="24"/>
                <w:szCs w:val="24"/>
                <w:lang w:eastAsia="en-GB"/>
              </w:rPr>
              <w:t>Guidance that set out the adult programme start date, eligible cohorts and reimbursable vaccines.  The eligible cohorts for 2024-25 were:</w:t>
            </w:r>
          </w:p>
          <w:p w14:paraId="4425952F"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children aged two and three years on 31 August 2024</w:t>
            </w:r>
          </w:p>
          <w:p w14:paraId="70D8F487"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school aged children from reception to year 11 (inclusive)</w:t>
            </w:r>
          </w:p>
          <w:p w14:paraId="4E29D1AF"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people aged 6 months to 64 years in a clinical risk group</w:t>
            </w:r>
          </w:p>
          <w:p w14:paraId="355DFD1E"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people aged 65 years and older (age on 31 March 2025)</w:t>
            </w:r>
          </w:p>
          <w:p w14:paraId="71C439DE"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lastRenderedPageBreak/>
              <w:t>all adult residents in Welsh prisons</w:t>
            </w:r>
          </w:p>
          <w:p w14:paraId="0FECEEEA"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pregnant women</w:t>
            </w:r>
          </w:p>
          <w:p w14:paraId="0F9644D4"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carers of a person whose health or welfare may be at risk if the carer falls ill</w:t>
            </w:r>
          </w:p>
          <w:p w14:paraId="12DB26E0"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frontline health and care workers</w:t>
            </w:r>
          </w:p>
          <w:p w14:paraId="7C6F1924"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people experiencing homelessness</w:t>
            </w:r>
          </w:p>
          <w:p w14:paraId="4D247C01"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household contacts of the immunocompromised</w:t>
            </w:r>
          </w:p>
          <w:p w14:paraId="0BB60B02" w14:textId="77777777" w:rsidR="0035745E" w:rsidRPr="00083705" w:rsidRDefault="0035745E" w:rsidP="0035745E">
            <w:pPr>
              <w:numPr>
                <w:ilvl w:val="0"/>
                <w:numId w:val="14"/>
              </w:numPr>
              <w:autoSpaceDE w:val="0"/>
              <w:autoSpaceDN w:val="0"/>
              <w:adjustRightInd w:val="0"/>
              <w:spacing w:after="120"/>
              <w:contextualSpacing/>
              <w:jc w:val="both"/>
              <w:rPr>
                <w:rFonts w:ascii="Verdana" w:eastAsia="ArialMT" w:hAnsi="Verdana" w:cs="Arial"/>
                <w:sz w:val="24"/>
                <w:szCs w:val="24"/>
                <w:lang w:eastAsia="en-GB"/>
              </w:rPr>
            </w:pPr>
            <w:r w:rsidRPr="00083705">
              <w:rPr>
                <w:rFonts w:ascii="Verdana" w:eastAsia="ArialMT" w:hAnsi="Verdana" w:cs="Arial"/>
                <w:sz w:val="24"/>
                <w:szCs w:val="24"/>
                <w:lang w:eastAsia="en-GB"/>
              </w:rPr>
              <w:t>poultry workers</w:t>
            </w:r>
          </w:p>
          <w:p w14:paraId="61D0FAA1" w14:textId="77777777" w:rsidR="0035745E" w:rsidRPr="00083705" w:rsidRDefault="0035745E" w:rsidP="006B2D43">
            <w:pPr>
              <w:autoSpaceDE w:val="0"/>
              <w:autoSpaceDN w:val="0"/>
              <w:adjustRightInd w:val="0"/>
              <w:ind w:left="720"/>
              <w:contextualSpacing/>
              <w:jc w:val="both"/>
              <w:rPr>
                <w:rFonts w:ascii="Verdana" w:eastAsia="ArialMT" w:hAnsi="Verdana" w:cs="Arial"/>
                <w:sz w:val="24"/>
                <w:szCs w:val="24"/>
                <w:lang w:eastAsia="en-GB"/>
              </w:rPr>
            </w:pPr>
          </w:p>
          <w:p w14:paraId="292BE774" w14:textId="77777777" w:rsidR="0035745E" w:rsidRPr="00083705" w:rsidRDefault="0035745E" w:rsidP="006B2D43">
            <w:pPr>
              <w:autoSpaceDE w:val="0"/>
              <w:autoSpaceDN w:val="0"/>
              <w:adjustRightInd w:val="0"/>
              <w:jc w:val="both"/>
              <w:rPr>
                <w:rFonts w:ascii="Verdana" w:eastAsia="ArialMT" w:hAnsi="Verdana" w:cs="Arial"/>
                <w:sz w:val="24"/>
                <w:szCs w:val="24"/>
                <w:lang w:eastAsia="en-GB"/>
              </w:rPr>
            </w:pPr>
            <w:r w:rsidRPr="00083705">
              <w:rPr>
                <w:rFonts w:ascii="Verdana" w:hAnsi="Verdana" w:cs="Arial"/>
                <w:bCs/>
                <w:sz w:val="24"/>
                <w:szCs w:val="24"/>
                <w:lang w:eastAsia="en-GB"/>
              </w:rPr>
              <w:t xml:space="preserve">This guidance clarified the Joint Committee for Vaccination and Immunisation (JCVI) advice to move a phased approach to the start of the programme, keeping the focus on the children’s programme from the start in September with the adult programme commencing October.  </w:t>
            </w:r>
            <w:r w:rsidRPr="00083705">
              <w:rPr>
                <w:rFonts w:ascii="Verdana" w:eastAsia="ArialMT" w:hAnsi="Verdana" w:cs="Arial"/>
                <w:sz w:val="24"/>
                <w:szCs w:val="24"/>
                <w:lang w:eastAsia="en-GB"/>
              </w:rPr>
              <w:t>It also recommended pregnant women should continue to be vaccinated in September, if delaying until October would mean they risk missing out on vaccination.</w:t>
            </w:r>
          </w:p>
          <w:p w14:paraId="145B1560" w14:textId="77777777" w:rsidR="0035745E" w:rsidRPr="00083705" w:rsidRDefault="0035745E" w:rsidP="006B2D43">
            <w:pPr>
              <w:autoSpaceDE w:val="0"/>
              <w:autoSpaceDN w:val="0"/>
              <w:adjustRightInd w:val="0"/>
              <w:jc w:val="both"/>
              <w:rPr>
                <w:rFonts w:ascii="Verdana" w:eastAsia="ArialMT" w:hAnsi="Verdana" w:cs="Arial"/>
                <w:sz w:val="24"/>
                <w:szCs w:val="24"/>
                <w:lang w:eastAsia="en-GB"/>
              </w:rPr>
            </w:pPr>
            <w:r w:rsidRPr="00083705">
              <w:rPr>
                <w:rFonts w:ascii="Verdana" w:eastAsia="ArialMT" w:hAnsi="Verdana" w:cs="Arial"/>
                <w:sz w:val="24"/>
                <w:szCs w:val="24"/>
                <w:lang w:eastAsia="en-GB"/>
              </w:rPr>
              <w:t>It detailed that, where a Primary Care contractor does not have confidence that it will be possible to vaccinate their entire eligible adult cohort between October and early</w:t>
            </w:r>
          </w:p>
          <w:p w14:paraId="054FBB40" w14:textId="77777777" w:rsidR="0035745E" w:rsidRPr="00083705" w:rsidRDefault="0035745E" w:rsidP="006B2D43">
            <w:pPr>
              <w:autoSpaceDE w:val="0"/>
              <w:autoSpaceDN w:val="0"/>
              <w:adjustRightInd w:val="0"/>
              <w:jc w:val="both"/>
              <w:rPr>
                <w:rFonts w:ascii="Verdana" w:eastAsia="ArialMT" w:hAnsi="Verdana" w:cs="Arial"/>
                <w:sz w:val="24"/>
                <w:szCs w:val="24"/>
                <w:lang w:eastAsia="en-GB"/>
              </w:rPr>
            </w:pPr>
            <w:r w:rsidRPr="00083705">
              <w:rPr>
                <w:rFonts w:ascii="Verdana" w:eastAsia="ArialMT" w:hAnsi="Verdana" w:cs="Arial"/>
                <w:sz w:val="24"/>
                <w:szCs w:val="24"/>
                <w:lang w:eastAsia="en-GB"/>
              </w:rPr>
              <w:t>December, they should inform their Health Board. In this event, the health board</w:t>
            </w:r>
          </w:p>
          <w:p w14:paraId="5ECF42A4" w14:textId="77777777" w:rsidR="0035745E" w:rsidRPr="00083705" w:rsidRDefault="0035745E" w:rsidP="006B2D43">
            <w:pPr>
              <w:autoSpaceDE w:val="0"/>
              <w:autoSpaceDN w:val="0"/>
              <w:adjustRightInd w:val="0"/>
              <w:jc w:val="both"/>
              <w:rPr>
                <w:rFonts w:ascii="Verdana" w:eastAsia="ArialMT" w:hAnsi="Verdana" w:cs="Arial"/>
                <w:sz w:val="24"/>
                <w:szCs w:val="24"/>
                <w:lang w:eastAsia="en-GB"/>
              </w:rPr>
            </w:pPr>
            <w:r w:rsidRPr="00083705">
              <w:rPr>
                <w:rFonts w:ascii="Verdana" w:eastAsia="ArialMT" w:hAnsi="Verdana" w:cs="Arial"/>
                <w:sz w:val="24"/>
                <w:szCs w:val="24"/>
                <w:lang w:eastAsia="en-GB"/>
              </w:rPr>
              <w:t>can agree for vaccination to begin in September, rather than risk failing to</w:t>
            </w:r>
          </w:p>
          <w:p w14:paraId="503C76DA" w14:textId="77777777" w:rsidR="0035745E" w:rsidRPr="00083705" w:rsidRDefault="0035745E" w:rsidP="006B2D43">
            <w:pPr>
              <w:autoSpaceDE w:val="0"/>
              <w:autoSpaceDN w:val="0"/>
              <w:adjustRightInd w:val="0"/>
              <w:jc w:val="both"/>
              <w:rPr>
                <w:rFonts w:ascii="Verdana" w:hAnsi="Verdana" w:cs="Arial"/>
                <w:bCs/>
                <w:sz w:val="24"/>
                <w:szCs w:val="24"/>
                <w:lang w:eastAsia="en-GB"/>
              </w:rPr>
            </w:pPr>
            <w:r w:rsidRPr="00083705">
              <w:rPr>
                <w:rFonts w:ascii="Verdana" w:eastAsia="ArialMT" w:hAnsi="Verdana" w:cs="Arial"/>
                <w:sz w:val="24"/>
                <w:szCs w:val="24"/>
                <w:lang w:eastAsia="en-GB"/>
              </w:rPr>
              <w:t>complete the programme in a timely way.</w:t>
            </w:r>
          </w:p>
          <w:p w14:paraId="3AA86AE7" w14:textId="77777777" w:rsidR="0035745E" w:rsidRPr="00083705" w:rsidRDefault="0035745E" w:rsidP="006B2D43">
            <w:pPr>
              <w:rPr>
                <w:rFonts w:ascii="Verdana" w:hAnsi="Verdana" w:cs="Arial"/>
                <w:b/>
                <w:sz w:val="24"/>
                <w:szCs w:val="24"/>
              </w:rPr>
            </w:pPr>
            <w:r w:rsidRPr="00083705">
              <w:rPr>
                <w:rFonts w:ascii="Verdana" w:hAnsi="Verdana" w:cs="Arial"/>
                <w:sz w:val="24"/>
                <w:szCs w:val="24"/>
              </w:rPr>
              <w:t>It was hoped that this new approach would support effective planning for an improved uptake in 2024-25.</w:t>
            </w:r>
          </w:p>
        </w:tc>
      </w:tr>
      <w:tr w:rsidR="0035745E" w:rsidRPr="00083705" w14:paraId="638A20E2" w14:textId="77777777" w:rsidTr="006B2D43">
        <w:tc>
          <w:tcPr>
            <w:tcW w:w="2122" w:type="dxa"/>
          </w:tcPr>
          <w:p w14:paraId="5D02C16F" w14:textId="77777777" w:rsidR="0035745E" w:rsidRPr="00083705" w:rsidRDefault="0035745E" w:rsidP="006B2D43">
            <w:pPr>
              <w:pStyle w:val="Default"/>
              <w:rPr>
                <w:rFonts w:ascii="Verdana" w:hAnsi="Verdana" w:cs="Arial"/>
                <w:b/>
                <w:bCs/>
              </w:rPr>
            </w:pPr>
            <w:r w:rsidRPr="00083705">
              <w:rPr>
                <w:rFonts w:ascii="Verdana" w:hAnsi="Verdana" w:cs="Arial"/>
                <w:b/>
                <w:bCs/>
              </w:rPr>
              <w:lastRenderedPageBreak/>
              <w:t>WHC 2024 028: National Influenza Vaccination Programme – 2024-25</w:t>
            </w:r>
          </w:p>
        </w:tc>
        <w:tc>
          <w:tcPr>
            <w:tcW w:w="6894" w:type="dxa"/>
          </w:tcPr>
          <w:p w14:paraId="4DC39724" w14:textId="77777777" w:rsidR="0035745E" w:rsidRPr="00083705" w:rsidRDefault="0035745E" w:rsidP="006B2D43">
            <w:pPr>
              <w:rPr>
                <w:rFonts w:ascii="Verdana" w:hAnsi="Verdana" w:cs="Arial"/>
                <w:b/>
                <w:sz w:val="24"/>
                <w:szCs w:val="24"/>
              </w:rPr>
            </w:pPr>
            <w:r w:rsidRPr="00083705">
              <w:rPr>
                <w:rFonts w:ascii="Verdana" w:hAnsi="Verdana" w:cs="Arial"/>
                <w:sz w:val="24"/>
                <w:szCs w:val="24"/>
                <w:lang w:eastAsia="en-GB"/>
              </w:rPr>
              <w:t xml:space="preserve">Detailed guidance clarifying the Programme ambitions, namely maximising uptake and ensuring equity in delivery.  Also included an updated, detailed summary of eligible groups (Annex 1) and confirmed weekly surveillance data via Public Health Wales SharePoint site.  </w:t>
            </w:r>
          </w:p>
        </w:tc>
      </w:tr>
      <w:tr w:rsidR="0035745E" w:rsidRPr="00083705" w14:paraId="3F89780C" w14:textId="77777777" w:rsidTr="006B2D43">
        <w:tc>
          <w:tcPr>
            <w:tcW w:w="2122" w:type="dxa"/>
          </w:tcPr>
          <w:p w14:paraId="451C7204" w14:textId="77777777" w:rsidR="0035745E" w:rsidRPr="00083705" w:rsidRDefault="0035745E" w:rsidP="006B2D43">
            <w:pPr>
              <w:autoSpaceDE w:val="0"/>
              <w:autoSpaceDN w:val="0"/>
              <w:adjustRightInd w:val="0"/>
              <w:rPr>
                <w:rFonts w:ascii="Verdana" w:eastAsia="ArialMT" w:hAnsi="Verdana" w:cs="Arial"/>
                <w:b/>
                <w:sz w:val="24"/>
                <w:szCs w:val="24"/>
                <w:lang w:eastAsia="en-GB"/>
              </w:rPr>
            </w:pPr>
            <w:r w:rsidRPr="00083705">
              <w:rPr>
                <w:rFonts w:ascii="Verdana" w:eastAsia="ArialMT" w:hAnsi="Verdana" w:cs="Arial"/>
                <w:b/>
                <w:sz w:val="24"/>
                <w:szCs w:val="24"/>
                <w:lang w:eastAsia="en-GB"/>
              </w:rPr>
              <w:t xml:space="preserve">The Primary Medical Services (Influenza and Pneumococcal Immunisation Scheme) (Directed Supplementary Service) </w:t>
            </w:r>
            <w:r w:rsidRPr="00083705">
              <w:rPr>
                <w:rFonts w:ascii="Verdana" w:eastAsia="ArialMT" w:hAnsi="Verdana" w:cs="Arial"/>
                <w:b/>
                <w:sz w:val="24"/>
                <w:szCs w:val="24"/>
                <w:lang w:eastAsia="en-GB"/>
              </w:rPr>
              <w:lastRenderedPageBreak/>
              <w:t>(Wales) Directions</w:t>
            </w:r>
          </w:p>
        </w:tc>
        <w:tc>
          <w:tcPr>
            <w:tcW w:w="6894" w:type="dxa"/>
          </w:tcPr>
          <w:p w14:paraId="6F4EDD37" w14:textId="77777777" w:rsidR="0035745E" w:rsidRPr="00083705" w:rsidRDefault="0035745E" w:rsidP="006B2D43">
            <w:pPr>
              <w:jc w:val="both"/>
              <w:rPr>
                <w:rFonts w:ascii="Verdana" w:hAnsi="Verdana" w:cs="Arial"/>
                <w:b/>
                <w:sz w:val="24"/>
                <w:szCs w:val="24"/>
              </w:rPr>
            </w:pPr>
            <w:r w:rsidRPr="00083705">
              <w:rPr>
                <w:rFonts w:ascii="Verdana" w:hAnsi="Verdana" w:cs="Arial"/>
                <w:sz w:val="24"/>
                <w:szCs w:val="24"/>
                <w:lang w:eastAsia="en-GB"/>
              </w:rPr>
              <w:lastRenderedPageBreak/>
              <w:t xml:space="preserve">Set out the requirements for the 2024-25 influenza and pneumococcal immunisation </w:t>
            </w:r>
            <w:r w:rsidRPr="00083705">
              <w:rPr>
                <w:rFonts w:ascii="Verdana" w:hAnsi="Verdana" w:cs="Arial"/>
                <w:sz w:val="24"/>
                <w:szCs w:val="24"/>
              </w:rPr>
              <w:t>Programme, including robust call and recall systems.  Makes clear the obligations important to local planning and delivery and remuneration for engaged GMS contractors.  Came into force on 13</w:t>
            </w:r>
            <w:r w:rsidRPr="00083705">
              <w:rPr>
                <w:rFonts w:ascii="Verdana" w:hAnsi="Verdana" w:cs="Arial"/>
                <w:sz w:val="24"/>
                <w:szCs w:val="24"/>
                <w:vertAlign w:val="superscript"/>
              </w:rPr>
              <w:t>th</w:t>
            </w:r>
            <w:r w:rsidRPr="00083705">
              <w:rPr>
                <w:rFonts w:ascii="Verdana" w:hAnsi="Verdana" w:cs="Arial"/>
                <w:sz w:val="24"/>
                <w:szCs w:val="24"/>
              </w:rPr>
              <w:t xml:space="preserve"> June 2024.</w:t>
            </w:r>
          </w:p>
        </w:tc>
      </w:tr>
      <w:tr w:rsidR="0035745E" w:rsidRPr="00083705" w14:paraId="7945B872" w14:textId="77777777" w:rsidTr="006B2D43">
        <w:tc>
          <w:tcPr>
            <w:tcW w:w="2122" w:type="dxa"/>
          </w:tcPr>
          <w:p w14:paraId="17CF41F3" w14:textId="77777777" w:rsidR="0035745E" w:rsidRPr="00083705" w:rsidRDefault="0035745E" w:rsidP="006B2D43">
            <w:pPr>
              <w:autoSpaceDE w:val="0"/>
              <w:autoSpaceDN w:val="0"/>
              <w:adjustRightInd w:val="0"/>
              <w:rPr>
                <w:rFonts w:ascii="Verdana" w:eastAsia="ArialMT" w:hAnsi="Verdana" w:cs="Arial"/>
                <w:b/>
                <w:bCs/>
                <w:sz w:val="24"/>
                <w:szCs w:val="24"/>
                <w:lang w:eastAsia="en-GB"/>
              </w:rPr>
            </w:pPr>
            <w:r w:rsidRPr="00083705">
              <w:rPr>
                <w:rFonts w:ascii="Verdana" w:eastAsia="ArialMT" w:hAnsi="Verdana" w:cs="Arial"/>
                <w:b/>
                <w:bCs/>
                <w:sz w:val="24"/>
                <w:szCs w:val="24"/>
                <w:lang w:eastAsia="en-GB"/>
              </w:rPr>
              <w:t>National Supplementary Service (NSS) specification for the childhood seasonal influenza vaccination programme</w:t>
            </w:r>
          </w:p>
        </w:tc>
        <w:tc>
          <w:tcPr>
            <w:tcW w:w="6894" w:type="dxa"/>
          </w:tcPr>
          <w:p w14:paraId="0521B5BD" w14:textId="77777777" w:rsidR="0035745E" w:rsidRPr="00083705" w:rsidRDefault="0035745E" w:rsidP="006B2D43">
            <w:pPr>
              <w:rPr>
                <w:rFonts w:ascii="Verdana" w:hAnsi="Verdana" w:cs="Arial"/>
                <w:b/>
                <w:sz w:val="24"/>
                <w:szCs w:val="24"/>
              </w:rPr>
            </w:pPr>
            <w:r w:rsidRPr="00083705">
              <w:rPr>
                <w:rFonts w:ascii="Verdana" w:hAnsi="Verdana" w:cs="Arial"/>
                <w:sz w:val="24"/>
                <w:szCs w:val="24"/>
                <w:lang w:eastAsia="en-GB"/>
              </w:rPr>
              <w:t>Set out the requirements for the vaccination of children aged two and three years as at 31</w:t>
            </w:r>
            <w:r w:rsidRPr="00083705">
              <w:rPr>
                <w:rFonts w:ascii="Verdana" w:hAnsi="Verdana" w:cs="Arial"/>
                <w:sz w:val="24"/>
                <w:szCs w:val="24"/>
                <w:vertAlign w:val="superscript"/>
                <w:lang w:eastAsia="en-GB"/>
              </w:rPr>
              <w:t>st</w:t>
            </w:r>
            <w:r w:rsidRPr="00083705">
              <w:rPr>
                <w:rFonts w:ascii="Verdana" w:hAnsi="Verdana" w:cs="Arial"/>
                <w:sz w:val="24"/>
                <w:szCs w:val="24"/>
                <w:lang w:eastAsia="en-GB"/>
              </w:rPr>
              <w:t xml:space="preserve"> August 2024 as an Enhanced Service with which GP practices may choose to participate.</w:t>
            </w:r>
          </w:p>
        </w:tc>
      </w:tr>
      <w:tr w:rsidR="0035745E" w:rsidRPr="00083705" w14:paraId="778ECF48" w14:textId="77777777" w:rsidTr="006B2D43">
        <w:tc>
          <w:tcPr>
            <w:tcW w:w="2122" w:type="dxa"/>
          </w:tcPr>
          <w:p w14:paraId="02C1F4BD" w14:textId="77777777" w:rsidR="0035745E" w:rsidRPr="00083705" w:rsidRDefault="0035745E" w:rsidP="006B2D43">
            <w:pPr>
              <w:pStyle w:val="Default"/>
              <w:rPr>
                <w:rFonts w:ascii="Verdana" w:hAnsi="Verdana" w:cs="Arial"/>
                <w:b/>
                <w:bCs/>
              </w:rPr>
            </w:pPr>
            <w:r w:rsidRPr="00083705">
              <w:rPr>
                <w:rFonts w:ascii="Verdana" w:hAnsi="Verdana" w:cs="Arial"/>
                <w:b/>
                <w:bCs/>
              </w:rPr>
              <w:t>WHC 2024 033: The Winter Respiratory Vaccination Programme: Autumn-Winter 2024/25</w:t>
            </w:r>
          </w:p>
        </w:tc>
        <w:tc>
          <w:tcPr>
            <w:tcW w:w="6894" w:type="dxa"/>
          </w:tcPr>
          <w:p w14:paraId="65D6ABEF" w14:textId="77777777" w:rsidR="0035745E" w:rsidRPr="00083705" w:rsidRDefault="0035745E" w:rsidP="006B2D43">
            <w:pPr>
              <w:rPr>
                <w:rFonts w:ascii="Verdana" w:hAnsi="Verdana" w:cs="Arial"/>
                <w:b/>
                <w:sz w:val="24"/>
                <w:szCs w:val="24"/>
              </w:rPr>
            </w:pPr>
            <w:r w:rsidRPr="00083705">
              <w:rPr>
                <w:rFonts w:ascii="Verdana" w:hAnsi="Verdana" w:cs="Arial"/>
                <w:sz w:val="24"/>
                <w:szCs w:val="24"/>
              </w:rPr>
              <w:t>Set out the targets for the coming year and role of Influenza programme in the implementation of the WRVP for 2024-25 with coordinated planning across Influenza and COVID-19 delivery.  Health Boards were required to response with plans identifying how the ambitions set out in this circular will be achieved.  The SBUHB WRVP plan details achievement uptake plans and performance targets, including the undertaking of equality impact assessments, and this was shared with Vaccine Programme Wales</w:t>
            </w:r>
            <w:r w:rsidRPr="00083705">
              <w:rPr>
                <w:rFonts w:ascii="Verdana" w:hAnsi="Verdana" w:cs="Arial"/>
                <w:sz w:val="24"/>
                <w:szCs w:val="24"/>
                <w:lang w:eastAsia="en-GB"/>
              </w:rPr>
              <w:t>.</w:t>
            </w:r>
          </w:p>
        </w:tc>
      </w:tr>
      <w:tr w:rsidR="0035745E" w:rsidRPr="00083705" w14:paraId="1E6E7790" w14:textId="77777777" w:rsidTr="006B2D43">
        <w:tc>
          <w:tcPr>
            <w:tcW w:w="2122" w:type="dxa"/>
          </w:tcPr>
          <w:p w14:paraId="3CB2FDBC" w14:textId="77777777" w:rsidR="0035745E" w:rsidRPr="00083705" w:rsidRDefault="0035745E" w:rsidP="006B2D43">
            <w:pPr>
              <w:rPr>
                <w:rFonts w:ascii="Verdana" w:hAnsi="Verdana" w:cs="Arial"/>
                <w:b/>
                <w:bCs/>
                <w:sz w:val="24"/>
                <w:szCs w:val="24"/>
              </w:rPr>
            </w:pPr>
            <w:r w:rsidRPr="00083705">
              <w:rPr>
                <w:rFonts w:ascii="Verdana" w:hAnsi="Verdana" w:cs="Arial"/>
                <w:b/>
                <w:bCs/>
                <w:sz w:val="24"/>
                <w:szCs w:val="24"/>
              </w:rPr>
              <w:t>WHC 2024 037: Winter Respiratory Framework 2024-2025</w:t>
            </w:r>
          </w:p>
        </w:tc>
        <w:tc>
          <w:tcPr>
            <w:tcW w:w="6894" w:type="dxa"/>
          </w:tcPr>
          <w:p w14:paraId="39BCE373" w14:textId="77777777" w:rsidR="0035745E" w:rsidRPr="00083705" w:rsidRDefault="0035745E" w:rsidP="006B2D43">
            <w:pPr>
              <w:rPr>
                <w:rFonts w:ascii="Verdana" w:hAnsi="Verdana" w:cs="Arial"/>
                <w:b/>
                <w:sz w:val="24"/>
                <w:szCs w:val="24"/>
              </w:rPr>
            </w:pPr>
            <w:r w:rsidRPr="00083705">
              <w:rPr>
                <w:rFonts w:ascii="Verdana" w:hAnsi="Verdana" w:cs="Arial"/>
                <w:sz w:val="24"/>
                <w:szCs w:val="24"/>
                <w:lang w:eastAsia="en-GB"/>
              </w:rPr>
              <w:t>Set out the public health context as we move into autumn and winter, highlighting priority areas of focus, setting out clear expectations of the health and social care system in responding to respiratory viruses and summarised modelling for respiratory viruses this winter.</w:t>
            </w:r>
          </w:p>
        </w:tc>
      </w:tr>
    </w:tbl>
    <w:p w14:paraId="05D4EFF4" w14:textId="77777777" w:rsidR="0035745E" w:rsidRPr="00083705" w:rsidRDefault="0035745E" w:rsidP="0035745E">
      <w:pPr>
        <w:pStyle w:val="NoSpacing"/>
        <w:jc w:val="both"/>
        <w:rPr>
          <w:rFonts w:ascii="Verdana" w:hAnsi="Verdana" w:cs="Arial"/>
          <w:sz w:val="24"/>
          <w:szCs w:val="24"/>
        </w:rPr>
      </w:pPr>
      <w:r w:rsidRPr="00083705">
        <w:rPr>
          <w:rFonts w:ascii="Verdana" w:hAnsi="Verdana" w:cs="Arial"/>
          <w:bCs/>
          <w:sz w:val="24"/>
          <w:szCs w:val="24"/>
        </w:rPr>
        <w:t xml:space="preserve">The SBUHB </w:t>
      </w:r>
      <w:r w:rsidRPr="00083705">
        <w:rPr>
          <w:rFonts w:ascii="Verdana" w:hAnsi="Verdana" w:cs="Arial"/>
          <w:sz w:val="24"/>
          <w:szCs w:val="24"/>
        </w:rPr>
        <w:t>Winter Respiratory Vaccination Programme Planning Group (WRVPPG) is a subgroup of the SBUHB Health Board Strategic Immunisation Group (SIG) that meets to plan and then oversee the Influenza programme delivery. Bi-weekly meetings took place throughout the season and service reports provided by each service lead.  Risks and issues relating to delivery and uptake were raised, discussed as escalated as appropriate to SIG.</w:t>
      </w:r>
    </w:p>
    <w:p w14:paraId="55061DA2" w14:textId="77777777" w:rsidR="0035745E" w:rsidRPr="00083705" w:rsidRDefault="0035745E" w:rsidP="0035745E">
      <w:pPr>
        <w:pStyle w:val="NoSpacing"/>
        <w:jc w:val="both"/>
        <w:rPr>
          <w:rFonts w:ascii="Verdana" w:hAnsi="Verdana" w:cs="Arial"/>
          <w:sz w:val="24"/>
          <w:szCs w:val="24"/>
        </w:rPr>
      </w:pPr>
      <w:r w:rsidRPr="00083705">
        <w:rPr>
          <w:rFonts w:ascii="Verdana" w:hAnsi="Verdana" w:cs="Arial"/>
          <w:sz w:val="24"/>
          <w:szCs w:val="24"/>
        </w:rPr>
        <w:t>The Data and Epidemiology Group was stood up after the commencement of Influenza season as a project by the SBUHB Immunisation Teams to oversee a deeper understanding of the data, escalating risks relating to the data to SIG.  Bi-weekly meetings took place throughout the season and service reports provided by each service lead, as for WRVPPG.  Risks and issues relating to delivery and uptake were raised, discussed and escalated as appropriate to SIG.</w:t>
      </w:r>
    </w:p>
    <w:p w14:paraId="55131091" w14:textId="77777777" w:rsidR="0035745E" w:rsidRPr="00083705" w:rsidRDefault="0035745E" w:rsidP="0035745E">
      <w:pPr>
        <w:pStyle w:val="NoSpacing"/>
        <w:rPr>
          <w:rFonts w:ascii="Verdana" w:hAnsi="Verdana" w:cs="Arial"/>
          <w:b/>
          <w:sz w:val="24"/>
          <w:szCs w:val="24"/>
        </w:rPr>
      </w:pPr>
      <w:r w:rsidRPr="00083705">
        <w:rPr>
          <w:rFonts w:ascii="Verdana" w:hAnsi="Verdana" w:cs="Arial"/>
          <w:b/>
          <w:sz w:val="24"/>
          <w:szCs w:val="24"/>
        </w:rPr>
        <w:t>2.2 Implementation and Monitoring</w:t>
      </w:r>
    </w:p>
    <w:p w14:paraId="576F73F3" w14:textId="77777777" w:rsidR="0035745E" w:rsidRPr="00083705" w:rsidRDefault="0035745E" w:rsidP="0035745E">
      <w:pPr>
        <w:jc w:val="both"/>
        <w:rPr>
          <w:rFonts w:ascii="Verdana" w:hAnsi="Verdana" w:cs="Arial"/>
          <w:sz w:val="24"/>
          <w:szCs w:val="24"/>
        </w:rPr>
      </w:pPr>
      <w:r w:rsidRPr="00083705">
        <w:rPr>
          <w:rFonts w:ascii="Verdana" w:hAnsi="Verdana" w:cs="Arial"/>
          <w:bCs/>
          <w:sz w:val="24"/>
          <w:szCs w:val="24"/>
        </w:rPr>
        <w:lastRenderedPageBreak/>
        <w:t>As per the Directed Supplementary Services Directions, General Practitioners were requested to submit</w:t>
      </w:r>
      <w:r w:rsidRPr="00083705">
        <w:rPr>
          <w:rFonts w:ascii="Verdana" w:hAnsi="Verdana" w:cs="Arial"/>
          <w:sz w:val="24"/>
          <w:szCs w:val="24"/>
        </w:rPr>
        <w:t xml:space="preserve"> flu plans via a Microsoft Forms template (</w:t>
      </w:r>
      <w:r w:rsidRPr="00083705">
        <w:rPr>
          <w:rFonts w:ascii="Verdana" w:hAnsi="Verdana" w:cs="Arial"/>
          <w:b/>
          <w:bCs/>
          <w:sz w:val="24"/>
          <w:szCs w:val="24"/>
        </w:rPr>
        <w:t>Appendix 1</w:t>
      </w:r>
      <w:r w:rsidRPr="00083705">
        <w:rPr>
          <w:rFonts w:ascii="Verdana" w:hAnsi="Verdana" w:cs="Arial"/>
          <w:sz w:val="24"/>
          <w:szCs w:val="24"/>
        </w:rPr>
        <w:t>) based on the advice contained within WHC 2024 028 and were supported by further practice guidance on how to order more stock if needed and good practice guide on maintaining cold chain and what to do in response to any fridge failures.</w:t>
      </w:r>
    </w:p>
    <w:p w14:paraId="69C012FB"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Responses were collated and fed into both WRVPPG and Data and Epidemiology meetings, with projected uptake based on GMS orders estimated.  It was not possible to take account of Community Pharmacy orders or planned activity within this projection.</w:t>
      </w:r>
    </w:p>
    <w:p w14:paraId="67BE9D2E" w14:textId="77777777" w:rsidR="0035745E" w:rsidRPr="00083705" w:rsidRDefault="0035745E" w:rsidP="0035745E">
      <w:pPr>
        <w:spacing w:after="0" w:line="360" w:lineRule="auto"/>
        <w:jc w:val="both"/>
        <w:rPr>
          <w:rFonts w:ascii="Verdana" w:hAnsi="Verdana" w:cs="Arial"/>
          <w:b/>
          <w:sz w:val="24"/>
          <w:szCs w:val="24"/>
        </w:rPr>
      </w:pPr>
      <w:r w:rsidRPr="00083705">
        <w:rPr>
          <w:rFonts w:ascii="Verdana" w:hAnsi="Verdana" w:cs="Arial"/>
          <w:b/>
          <w:sz w:val="24"/>
          <w:szCs w:val="24"/>
        </w:rPr>
        <w:t>2.3 Uptake 2024/2025</w:t>
      </w:r>
    </w:p>
    <w:p w14:paraId="16A0E3F3"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Weekly reports for Wales are prepared by Public Health Wales Vaccine Preventable Disease Programme and Communicable Disease Surveillance Centre, with health board specific data available via Influenza Vaccine Online Reporting (IVOR). The schools nursing service, who offer the vaccine to all children in primary and secondary schools inform Public Health Wales of their respective uptake rates throughout the season.</w:t>
      </w:r>
    </w:p>
    <w:p w14:paraId="3555ACE2"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There has been some fluctuation to weekly denominator figures this season as local data quality issues are addressed. Public Health Wales has put this down to a number of practices changing their practice IT systems.</w:t>
      </w:r>
    </w:p>
    <w:p w14:paraId="32D61825"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 xml:space="preserve">SBUHB has seen a decline in uptake rates across all cohorts for the 2024-25 season, and as shown in Figure 1 below, this decrease is common across Wales. </w:t>
      </w:r>
    </w:p>
    <w:p w14:paraId="5A690634"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 xml:space="preserve">Local Authority and Cluster uptake breakdown is detailed at </w:t>
      </w:r>
      <w:r w:rsidRPr="00083705">
        <w:rPr>
          <w:rFonts w:ascii="Verdana" w:hAnsi="Verdana" w:cs="Arial"/>
          <w:b/>
          <w:sz w:val="24"/>
          <w:szCs w:val="24"/>
        </w:rPr>
        <w:t>Appendix 2</w:t>
      </w:r>
      <w:r w:rsidRPr="00083705">
        <w:rPr>
          <w:rFonts w:ascii="Verdana" w:hAnsi="Verdana" w:cs="Arial"/>
          <w:sz w:val="24"/>
          <w:szCs w:val="24"/>
        </w:rPr>
        <w:t xml:space="preserve">. </w:t>
      </w:r>
    </w:p>
    <w:p w14:paraId="6D290421" w14:textId="7F206DE4" w:rsidR="00653AEC" w:rsidRPr="00083705" w:rsidRDefault="0035745E" w:rsidP="0035745E">
      <w:pPr>
        <w:spacing w:after="0" w:line="240" w:lineRule="auto"/>
        <w:rPr>
          <w:rFonts w:ascii="Verdana" w:hAnsi="Verdana" w:cs="Arial"/>
          <w:b/>
          <w:sz w:val="24"/>
          <w:szCs w:val="24"/>
        </w:rPr>
      </w:pPr>
      <w:r w:rsidRPr="00083705">
        <w:rPr>
          <w:rFonts w:ascii="Verdana" w:hAnsi="Verdana" w:cs="Arial"/>
          <w:noProof/>
          <w:sz w:val="24"/>
          <w:szCs w:val="24"/>
          <w:lang w:eastAsia="en-GB"/>
        </w:rPr>
        <w:lastRenderedPageBreak/>
        <w:drawing>
          <wp:inline distT="0" distB="0" distL="0" distR="0" wp14:anchorId="79D20944" wp14:editId="1B78AA0D">
            <wp:extent cx="5731510" cy="4064339"/>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4064339"/>
                    </a:xfrm>
                    <a:prstGeom prst="rect">
                      <a:avLst/>
                    </a:prstGeom>
                  </pic:spPr>
                </pic:pic>
              </a:graphicData>
            </a:graphic>
          </wp:inline>
        </w:drawing>
      </w:r>
    </w:p>
    <w:p w14:paraId="6B16A8D1" w14:textId="77777777" w:rsidR="0035745E" w:rsidRPr="00083705" w:rsidRDefault="0035745E" w:rsidP="0035745E">
      <w:pPr>
        <w:rPr>
          <w:rFonts w:ascii="Verdana" w:hAnsi="Verdana" w:cs="Arial"/>
          <w:sz w:val="24"/>
          <w:szCs w:val="24"/>
        </w:rPr>
      </w:pPr>
      <w:r w:rsidRPr="00083705">
        <w:rPr>
          <w:rFonts w:ascii="Verdana" w:hAnsi="Verdana" w:cs="Arial"/>
          <w:sz w:val="24"/>
          <w:szCs w:val="24"/>
        </w:rPr>
        <w:t xml:space="preserve">As shown in </w:t>
      </w:r>
      <w:r w:rsidRPr="00083705">
        <w:rPr>
          <w:rFonts w:ascii="Verdana" w:hAnsi="Verdana" w:cs="Arial"/>
          <w:b/>
          <w:bCs/>
          <w:sz w:val="24"/>
          <w:szCs w:val="24"/>
        </w:rPr>
        <w:t>Appendix 2</w:t>
      </w:r>
      <w:r w:rsidRPr="00083705">
        <w:rPr>
          <w:rFonts w:ascii="Verdana" w:hAnsi="Verdana" w:cs="Arial"/>
          <w:sz w:val="24"/>
          <w:szCs w:val="24"/>
        </w:rPr>
        <w:t>, where the local authority and cluster uptake is detailed, the decrease for SBUHB is comparable to that across Wales.</w:t>
      </w:r>
    </w:p>
    <w:p w14:paraId="5F5738C9" w14:textId="77777777" w:rsidR="0035745E" w:rsidRPr="00083705" w:rsidRDefault="0035745E" w:rsidP="00595B5F">
      <w:pPr>
        <w:pStyle w:val="ListParagraph"/>
        <w:numPr>
          <w:ilvl w:val="0"/>
          <w:numId w:val="11"/>
        </w:numPr>
        <w:spacing w:after="120" w:line="240" w:lineRule="auto"/>
        <w:jc w:val="both"/>
        <w:rPr>
          <w:rFonts w:ascii="Verdana" w:hAnsi="Verdana" w:cs="Arial"/>
          <w:sz w:val="24"/>
          <w:szCs w:val="24"/>
        </w:rPr>
      </w:pPr>
      <w:r w:rsidRPr="00083705">
        <w:rPr>
          <w:rFonts w:ascii="Verdana" w:hAnsi="Verdana" w:cs="Arial"/>
          <w:b/>
          <w:bCs/>
          <w:sz w:val="24"/>
          <w:szCs w:val="24"/>
        </w:rPr>
        <w:t>Over 65s cohort 68.5%</w:t>
      </w:r>
      <w:r w:rsidRPr="00083705">
        <w:rPr>
          <w:rFonts w:ascii="Verdana" w:hAnsi="Verdana" w:cs="Arial"/>
          <w:sz w:val="24"/>
          <w:szCs w:val="24"/>
        </w:rPr>
        <w:t xml:space="preserve"> - 1% decrease, in this cohort.  Bay cluster had the highest uptake with 74% and Neath had the lowest uptake at 64%. 3 out of 8 clusters showed an increase from last year’s figures.</w:t>
      </w:r>
    </w:p>
    <w:p w14:paraId="302A4F5C" w14:textId="3FC1C242" w:rsidR="0035745E" w:rsidRPr="00083705" w:rsidRDefault="0035745E" w:rsidP="00595B5F">
      <w:pPr>
        <w:pStyle w:val="ListParagraph"/>
        <w:numPr>
          <w:ilvl w:val="0"/>
          <w:numId w:val="11"/>
        </w:numPr>
        <w:spacing w:after="120" w:line="240" w:lineRule="auto"/>
        <w:jc w:val="both"/>
        <w:rPr>
          <w:rFonts w:ascii="Verdana" w:hAnsi="Verdana" w:cs="Arial"/>
          <w:sz w:val="24"/>
          <w:szCs w:val="24"/>
        </w:rPr>
      </w:pPr>
      <w:r w:rsidRPr="00083705">
        <w:rPr>
          <w:rFonts w:ascii="Verdana" w:hAnsi="Verdana" w:cs="Arial"/>
          <w:b/>
          <w:bCs/>
          <w:sz w:val="24"/>
          <w:szCs w:val="24"/>
        </w:rPr>
        <w:t>6 months to 64 years at risk cohort 36.8%</w:t>
      </w:r>
      <w:r w:rsidRPr="00083705">
        <w:rPr>
          <w:rFonts w:ascii="Verdana" w:hAnsi="Verdana" w:cs="Arial"/>
          <w:sz w:val="24"/>
          <w:szCs w:val="24"/>
        </w:rPr>
        <w:t xml:space="preserve"> - 1.8% decrease, in this cohort Afan and Bay had the highest uptake with 37% and Cwmtawe and Neath had the lowest uptake at </w:t>
      </w:r>
      <w:r w:rsidR="00FB1C0F" w:rsidRPr="00083705">
        <w:rPr>
          <w:rFonts w:ascii="Verdana" w:hAnsi="Verdana" w:cs="Arial"/>
          <w:sz w:val="24"/>
          <w:szCs w:val="24"/>
        </w:rPr>
        <w:t>31%</w:t>
      </w:r>
      <w:r w:rsidRPr="00083705">
        <w:rPr>
          <w:rFonts w:ascii="Verdana" w:hAnsi="Verdana" w:cs="Arial"/>
          <w:sz w:val="24"/>
          <w:szCs w:val="24"/>
        </w:rPr>
        <w:t>. 3 out of 8 clusters howes an increase from last year’s figures.</w:t>
      </w:r>
    </w:p>
    <w:p w14:paraId="62335C2E" w14:textId="55149B38" w:rsidR="0035745E" w:rsidRPr="00083705" w:rsidRDefault="0035745E" w:rsidP="00595B5F">
      <w:pPr>
        <w:pStyle w:val="ListParagraph"/>
        <w:numPr>
          <w:ilvl w:val="0"/>
          <w:numId w:val="11"/>
        </w:numPr>
        <w:spacing w:after="120" w:line="240" w:lineRule="auto"/>
        <w:jc w:val="both"/>
        <w:rPr>
          <w:rFonts w:ascii="Verdana" w:hAnsi="Verdana" w:cs="Arial"/>
          <w:sz w:val="24"/>
          <w:szCs w:val="24"/>
        </w:rPr>
      </w:pPr>
      <w:r w:rsidRPr="00083705">
        <w:rPr>
          <w:rFonts w:ascii="Verdana" w:hAnsi="Verdana" w:cs="Arial"/>
          <w:b/>
          <w:bCs/>
          <w:sz w:val="24"/>
          <w:szCs w:val="24"/>
        </w:rPr>
        <w:t xml:space="preserve">For the 2–3-year-old cohort 37% - </w:t>
      </w:r>
      <w:r w:rsidRPr="00083705">
        <w:rPr>
          <w:rFonts w:ascii="Verdana" w:hAnsi="Verdana" w:cs="Arial"/>
          <w:sz w:val="24"/>
          <w:szCs w:val="24"/>
        </w:rPr>
        <w:t>a decrease of 1.1%.  Upper valley had the lowest uptake with 26% and Bay had the highest at 44%. 5 out of 8 clusters showed an increase in this cohort uptake compared to last year’s figures.</w:t>
      </w:r>
      <w:r w:rsidR="00595B5F" w:rsidRPr="00083705">
        <w:rPr>
          <w:rFonts w:ascii="Verdana" w:hAnsi="Verdana" w:cs="Arial"/>
          <w:sz w:val="24"/>
          <w:szCs w:val="24"/>
        </w:rPr>
        <w:t xml:space="preserve"> Targeted work was undertaken by both the immunisation team and primary care team, this included seeking assurance on delivery and recall and immunisation support.</w:t>
      </w:r>
    </w:p>
    <w:p w14:paraId="67642FCB" w14:textId="77777777" w:rsidR="0035745E" w:rsidRPr="00083705" w:rsidRDefault="0035745E" w:rsidP="00595B5F">
      <w:pPr>
        <w:pStyle w:val="ListParagraph"/>
        <w:numPr>
          <w:ilvl w:val="0"/>
          <w:numId w:val="11"/>
        </w:numPr>
        <w:spacing w:after="120" w:line="240" w:lineRule="auto"/>
        <w:jc w:val="both"/>
        <w:rPr>
          <w:rFonts w:ascii="Verdana" w:hAnsi="Verdana" w:cs="Arial"/>
          <w:sz w:val="24"/>
          <w:szCs w:val="24"/>
        </w:rPr>
      </w:pPr>
      <w:r w:rsidRPr="00083705">
        <w:rPr>
          <w:rFonts w:ascii="Verdana" w:hAnsi="Verdana" w:cs="Arial"/>
          <w:b/>
          <w:bCs/>
          <w:sz w:val="24"/>
          <w:szCs w:val="24"/>
        </w:rPr>
        <w:t>For children in primary schools (aged 4-10 years)</w:t>
      </w:r>
      <w:r w:rsidRPr="00083705">
        <w:rPr>
          <w:rFonts w:ascii="Verdana" w:hAnsi="Verdana" w:cs="Arial"/>
          <w:sz w:val="24"/>
          <w:szCs w:val="24"/>
        </w:rPr>
        <w:t xml:space="preserve"> </w:t>
      </w:r>
      <w:r w:rsidRPr="00083705">
        <w:rPr>
          <w:rFonts w:ascii="Verdana" w:hAnsi="Verdana" w:cs="Arial"/>
          <w:b/>
          <w:bCs/>
          <w:sz w:val="24"/>
          <w:szCs w:val="24"/>
        </w:rPr>
        <w:t>uptake is 51.1%,</w:t>
      </w:r>
      <w:r w:rsidRPr="00083705">
        <w:rPr>
          <w:rFonts w:ascii="Verdana" w:hAnsi="Verdana" w:cs="Arial"/>
          <w:sz w:val="24"/>
          <w:szCs w:val="24"/>
        </w:rPr>
        <w:t xml:space="preserve"> which is below the Welsh average of 61.6%. SB UHB are ranked 7</w:t>
      </w:r>
      <w:r w:rsidRPr="00083705">
        <w:rPr>
          <w:rFonts w:ascii="Verdana" w:hAnsi="Verdana" w:cs="Arial"/>
          <w:sz w:val="24"/>
          <w:szCs w:val="24"/>
          <w:vertAlign w:val="superscript"/>
        </w:rPr>
        <w:t xml:space="preserve">th. </w:t>
      </w:r>
      <w:r w:rsidRPr="00083705">
        <w:rPr>
          <w:rFonts w:ascii="Verdana" w:hAnsi="Verdana" w:cs="Arial"/>
          <w:sz w:val="24"/>
          <w:szCs w:val="24"/>
        </w:rPr>
        <w:t>This is a decrease of 14% from 2023/24, where uptake was at 65.1%.</w:t>
      </w:r>
    </w:p>
    <w:p w14:paraId="098A6BD8" w14:textId="77777777" w:rsidR="0035745E" w:rsidRPr="00083705" w:rsidRDefault="0035745E" w:rsidP="00595B5F">
      <w:pPr>
        <w:pStyle w:val="ListParagraph"/>
        <w:numPr>
          <w:ilvl w:val="0"/>
          <w:numId w:val="11"/>
        </w:numPr>
        <w:spacing w:after="120" w:line="240" w:lineRule="auto"/>
        <w:jc w:val="both"/>
        <w:rPr>
          <w:rFonts w:ascii="Verdana" w:hAnsi="Verdana" w:cs="Arial"/>
          <w:sz w:val="24"/>
          <w:szCs w:val="24"/>
        </w:rPr>
      </w:pPr>
      <w:r w:rsidRPr="00083705">
        <w:rPr>
          <w:rFonts w:ascii="Verdana" w:hAnsi="Verdana" w:cs="Arial"/>
          <w:b/>
          <w:bCs/>
          <w:sz w:val="24"/>
          <w:szCs w:val="24"/>
        </w:rPr>
        <w:t>For children in secondary schools (</w:t>
      </w:r>
      <w:r w:rsidRPr="00083705">
        <w:rPr>
          <w:rFonts w:ascii="Verdana" w:hAnsi="Verdana" w:cs="Arial"/>
          <w:sz w:val="24"/>
          <w:szCs w:val="24"/>
        </w:rPr>
        <w:t xml:space="preserve">aged 11-15 years) </w:t>
      </w:r>
      <w:r w:rsidRPr="00083705">
        <w:rPr>
          <w:rFonts w:ascii="Verdana" w:hAnsi="Verdana" w:cs="Arial"/>
          <w:b/>
          <w:bCs/>
          <w:sz w:val="24"/>
          <w:szCs w:val="24"/>
        </w:rPr>
        <w:t>uptake is at 45.4%;</w:t>
      </w:r>
      <w:r w:rsidRPr="00083705">
        <w:rPr>
          <w:rFonts w:ascii="Verdana" w:hAnsi="Verdana" w:cs="Arial"/>
          <w:sz w:val="24"/>
          <w:szCs w:val="24"/>
        </w:rPr>
        <w:t xml:space="preserve"> below the Welsh average of 51.7%; SB UHB is ranked </w:t>
      </w:r>
      <w:r w:rsidRPr="00083705">
        <w:rPr>
          <w:rFonts w:ascii="Verdana" w:hAnsi="Verdana" w:cs="Arial"/>
          <w:sz w:val="24"/>
          <w:szCs w:val="24"/>
        </w:rPr>
        <w:lastRenderedPageBreak/>
        <w:t>6</w:t>
      </w:r>
      <w:r w:rsidRPr="00083705">
        <w:rPr>
          <w:rFonts w:ascii="Verdana" w:hAnsi="Verdana" w:cs="Arial"/>
          <w:sz w:val="24"/>
          <w:szCs w:val="24"/>
          <w:vertAlign w:val="superscript"/>
        </w:rPr>
        <w:t>th</w:t>
      </w:r>
      <w:r w:rsidRPr="00083705">
        <w:rPr>
          <w:rFonts w:ascii="Verdana" w:hAnsi="Verdana" w:cs="Arial"/>
          <w:sz w:val="24"/>
          <w:szCs w:val="24"/>
        </w:rPr>
        <w:t>. This is a decrease of 9.3% from 2023/24, where uptake was at 54.7%</w:t>
      </w:r>
    </w:p>
    <w:p w14:paraId="1E5802EE" w14:textId="2D1B9BC4" w:rsidR="0035745E" w:rsidRPr="00083705" w:rsidRDefault="0035745E" w:rsidP="0035745E">
      <w:pPr>
        <w:jc w:val="both"/>
        <w:rPr>
          <w:rFonts w:ascii="Verdana" w:hAnsi="Verdana" w:cs="Arial"/>
          <w:sz w:val="24"/>
          <w:szCs w:val="24"/>
        </w:rPr>
      </w:pPr>
      <w:r w:rsidRPr="00083705">
        <w:rPr>
          <w:rFonts w:ascii="Verdana" w:hAnsi="Verdana" w:cs="Arial"/>
          <w:sz w:val="24"/>
          <w:szCs w:val="24"/>
        </w:rPr>
        <w:t>GMS Contractors fed back concerns regarding duplication of effort with Immunisers</w:t>
      </w:r>
      <w:r w:rsidR="00A30ED6" w:rsidRPr="00083705">
        <w:rPr>
          <w:rFonts w:ascii="Verdana" w:hAnsi="Verdana" w:cs="Arial"/>
          <w:sz w:val="24"/>
          <w:szCs w:val="24"/>
        </w:rPr>
        <w:t xml:space="preserve"> from other HB teams</w:t>
      </w:r>
      <w:r w:rsidRPr="00083705">
        <w:rPr>
          <w:rFonts w:ascii="Verdana" w:hAnsi="Verdana" w:cs="Arial"/>
          <w:sz w:val="24"/>
          <w:szCs w:val="24"/>
        </w:rPr>
        <w:t xml:space="preserve"> attending care homes populations, difficulties in securing attendance at childhood vaccination clinics and language barriers particularly in more urban clusters.  </w:t>
      </w:r>
    </w:p>
    <w:p w14:paraId="6C9B4913"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These were discussed at meetings and actions taken forward to seek assurances on delivery to 2–3-year-olds, with practices confirming call and recall systems were in place and support provided by the Immunisation Team in contacting parents by telephone.  A padlet to address language barriers is in development with a view to addressing the equity barriers identified.</w:t>
      </w:r>
    </w:p>
    <w:p w14:paraId="1C4F4229"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 xml:space="preserve">There was also challenge regarding the process for allowing some contractors to start the programme delivery earlier than the agreed programme timeline, i.e. during September contractors were required to focus the programme on the 2&amp;3 year old and pregnant cohort and commence the full programme in October. </w:t>
      </w:r>
    </w:p>
    <w:p w14:paraId="27A9D3DF" w14:textId="77777777" w:rsidR="0035745E" w:rsidRPr="00083705" w:rsidRDefault="0035745E" w:rsidP="0035745E">
      <w:pPr>
        <w:jc w:val="both"/>
        <w:rPr>
          <w:rFonts w:ascii="Verdana" w:hAnsi="Verdana" w:cs="Arial"/>
          <w:b/>
          <w:bCs/>
          <w:sz w:val="24"/>
          <w:szCs w:val="24"/>
        </w:rPr>
      </w:pPr>
      <w:bookmarkStart w:id="0" w:name="_Hlk196908260"/>
      <w:r w:rsidRPr="00083705">
        <w:rPr>
          <w:rFonts w:ascii="Verdana" w:hAnsi="Verdana" w:cs="Arial"/>
          <w:b/>
          <w:bCs/>
          <w:sz w:val="24"/>
          <w:szCs w:val="24"/>
        </w:rPr>
        <w:t>On identifying practices that achieved less than 20% uptake in any patient cohort, the Primary Care Team followed up and sought:</w:t>
      </w:r>
    </w:p>
    <w:bookmarkEnd w:id="0"/>
    <w:p w14:paraId="3931D599" w14:textId="77777777" w:rsidR="0035745E" w:rsidRPr="00083705" w:rsidRDefault="0035745E" w:rsidP="0035745E">
      <w:pPr>
        <w:pStyle w:val="ListParagraph"/>
        <w:numPr>
          <w:ilvl w:val="0"/>
          <w:numId w:val="15"/>
        </w:numPr>
        <w:spacing w:after="120" w:line="240" w:lineRule="auto"/>
        <w:jc w:val="both"/>
        <w:rPr>
          <w:rFonts w:ascii="Verdana" w:hAnsi="Verdana" w:cs="Arial"/>
          <w:sz w:val="24"/>
          <w:szCs w:val="24"/>
        </w:rPr>
      </w:pPr>
      <w:r w:rsidRPr="00083705">
        <w:rPr>
          <w:rFonts w:ascii="Verdana" w:hAnsi="Verdana" w:cs="Arial"/>
          <w:sz w:val="24"/>
          <w:szCs w:val="24"/>
        </w:rPr>
        <w:t>Feedback on the reasons for low uptake and the actions taken by the practice to overcome these</w:t>
      </w:r>
    </w:p>
    <w:p w14:paraId="47DC2247" w14:textId="77777777" w:rsidR="0035745E" w:rsidRPr="00083705" w:rsidRDefault="0035745E" w:rsidP="0035745E">
      <w:pPr>
        <w:pStyle w:val="ListParagraph"/>
        <w:numPr>
          <w:ilvl w:val="0"/>
          <w:numId w:val="15"/>
        </w:numPr>
        <w:spacing w:after="120" w:line="240" w:lineRule="auto"/>
        <w:jc w:val="both"/>
        <w:rPr>
          <w:rFonts w:ascii="Verdana" w:hAnsi="Verdana" w:cs="Arial"/>
          <w:sz w:val="24"/>
          <w:szCs w:val="24"/>
        </w:rPr>
      </w:pPr>
      <w:r w:rsidRPr="00083705">
        <w:rPr>
          <w:rFonts w:ascii="Verdana" w:hAnsi="Verdana" w:cs="Arial"/>
          <w:sz w:val="24"/>
          <w:szCs w:val="24"/>
        </w:rPr>
        <w:t>Assurance on plans for the 2 and 3 year old cohort specifically (where less than 20%)</w:t>
      </w:r>
    </w:p>
    <w:p w14:paraId="631BD382" w14:textId="77777777" w:rsidR="0035745E" w:rsidRPr="00083705" w:rsidRDefault="0035745E" w:rsidP="0035745E">
      <w:pPr>
        <w:rPr>
          <w:rFonts w:ascii="Verdana" w:hAnsi="Verdana" w:cs="Arial"/>
          <w:sz w:val="24"/>
          <w:szCs w:val="24"/>
        </w:rPr>
      </w:pPr>
      <w:r w:rsidRPr="00083705">
        <w:rPr>
          <w:rFonts w:ascii="Verdana" w:hAnsi="Verdana" w:cs="Arial"/>
          <w:sz w:val="24"/>
          <w:szCs w:val="24"/>
        </w:rPr>
        <w:t>The following responses demonstrate the challenge faced:</w:t>
      </w:r>
    </w:p>
    <w:p w14:paraId="3D8E1AA3" w14:textId="77777777" w:rsidR="0035745E" w:rsidRPr="00083705" w:rsidRDefault="0035745E" w:rsidP="0035745E">
      <w:pPr>
        <w:ind w:firstLine="720"/>
        <w:rPr>
          <w:rFonts w:ascii="Verdana" w:hAnsi="Verdana" w:cs="Arial"/>
          <w:i/>
          <w:sz w:val="24"/>
          <w:szCs w:val="24"/>
        </w:rPr>
      </w:pPr>
      <w:r w:rsidRPr="00083705">
        <w:rPr>
          <w:rFonts w:ascii="Verdana" w:hAnsi="Verdana" w:cs="Arial"/>
          <w:i/>
          <w:sz w:val="24"/>
          <w:szCs w:val="24"/>
        </w:rPr>
        <w:t>“All eligible 2 &amp; 3 year old patients were invited by text messages in September and October and then by a telephone call in November and December. Out of those that booked an appointment, 23 DNA’d and 13 cancelled on the day. 46 out of the eligible cohort declined…. following a meeting with Imms Team in December, a member of the Team rang all the eligible patients and booked some in a pop-up clinic at Singleton hospital, not one of these patients turned up.”</w:t>
      </w:r>
    </w:p>
    <w:p w14:paraId="0FA0B516" w14:textId="77777777" w:rsidR="0035745E" w:rsidRPr="00083705" w:rsidRDefault="0035745E" w:rsidP="0035745E">
      <w:pPr>
        <w:ind w:firstLine="720"/>
        <w:rPr>
          <w:rFonts w:ascii="Verdana" w:hAnsi="Verdana" w:cs="Arial"/>
          <w:i/>
          <w:sz w:val="24"/>
          <w:szCs w:val="24"/>
        </w:rPr>
      </w:pPr>
      <w:r w:rsidRPr="00083705">
        <w:rPr>
          <w:rFonts w:ascii="Verdana" w:hAnsi="Verdana" w:cs="Arial"/>
          <w:i/>
          <w:sz w:val="24"/>
          <w:szCs w:val="24"/>
        </w:rPr>
        <w:t>“Eligible patients were also invited to a walk-in clinic… , again no one turned up.  We feel that as a practice we have done everything in our power to get these patients immunised, to no avail. I am unsure what we could have done differently but would welcome any suggestions for the coming season, as a lot of time and resources by ourselves and the immunisation team have been wasted.”</w:t>
      </w:r>
    </w:p>
    <w:p w14:paraId="234FC69D"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lastRenderedPageBreak/>
        <w:t>One practice struggled to commence in September due to fridge capacity taken up with COVID-19 vaccinations – this was fed back to the WRVPPG as a risk that would have been escalated to SIG, for consideration during future seasons.</w:t>
      </w:r>
    </w:p>
    <w:p w14:paraId="61216B13" w14:textId="77777777" w:rsidR="00083705" w:rsidRPr="00083705" w:rsidRDefault="00083705" w:rsidP="0035745E">
      <w:pPr>
        <w:rPr>
          <w:rFonts w:ascii="Verdana" w:hAnsi="Verdana" w:cs="Arial"/>
          <w:sz w:val="24"/>
          <w:szCs w:val="24"/>
        </w:rPr>
      </w:pPr>
    </w:p>
    <w:p w14:paraId="34A12E21" w14:textId="77777777" w:rsidR="0035745E" w:rsidRPr="00083705" w:rsidRDefault="0035745E" w:rsidP="0035745E">
      <w:pPr>
        <w:spacing w:line="360" w:lineRule="auto"/>
        <w:jc w:val="both"/>
        <w:rPr>
          <w:rFonts w:ascii="Verdana" w:hAnsi="Verdana" w:cs="Arial"/>
          <w:b/>
          <w:sz w:val="24"/>
          <w:szCs w:val="24"/>
        </w:rPr>
      </w:pPr>
      <w:r w:rsidRPr="00083705">
        <w:rPr>
          <w:rFonts w:ascii="Verdana" w:hAnsi="Verdana" w:cs="Arial"/>
          <w:b/>
          <w:sz w:val="24"/>
          <w:szCs w:val="24"/>
        </w:rPr>
        <w:t>2.5 Community Pharmacy provision</w:t>
      </w:r>
    </w:p>
    <w:p w14:paraId="26736E93"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For the 2024-25 season, 89 of the 91 community pharmacies were commissioned to provide the Seasonal Flu Vaccination. 89 pharmacies are commissioned to offer the SFV service in SBUHB. 85 pharmacies have a named pharmacist or pharmacy technician listed against them to offer the service, with 45 having 2 or more clinical staff members listed to offer the service.</w:t>
      </w:r>
    </w:p>
    <w:p w14:paraId="3565B4ED"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Of the 89 pharmacies commissioned, 26 pharmacies offered between 0-50 vaccines, 13 offered between 51-100, with the remaining 50 offering 101 or more, 9 of whom offered 500+. A total of 17,334 vaccines have been administered between the start of the season in September 2024 – 30</w:t>
      </w:r>
      <w:r w:rsidRPr="00083705">
        <w:rPr>
          <w:rFonts w:ascii="Verdana" w:hAnsi="Verdana" w:cs="Arial"/>
          <w:sz w:val="24"/>
          <w:szCs w:val="24"/>
          <w:vertAlign w:val="superscript"/>
        </w:rPr>
        <w:t>th</w:t>
      </w:r>
      <w:r w:rsidRPr="00083705">
        <w:rPr>
          <w:rFonts w:ascii="Verdana" w:hAnsi="Verdana" w:cs="Arial"/>
          <w:sz w:val="24"/>
          <w:szCs w:val="24"/>
        </w:rPr>
        <w:t xml:space="preserve"> of March 2025, which is a 6.5% increase on the total 2023-24 season. </w:t>
      </w:r>
    </w:p>
    <w:p w14:paraId="19DAB26E" w14:textId="77777777" w:rsidR="0035745E" w:rsidRPr="00083705" w:rsidRDefault="0035745E" w:rsidP="0035745E">
      <w:pPr>
        <w:rPr>
          <w:rFonts w:ascii="Verdana" w:hAnsi="Verdana" w:cs="Arial"/>
          <w:sz w:val="24"/>
          <w:szCs w:val="24"/>
        </w:rPr>
      </w:pPr>
      <w:r w:rsidRPr="00083705">
        <w:rPr>
          <w:rFonts w:ascii="Verdana" w:hAnsi="Verdana" w:cs="Arial"/>
          <w:sz w:val="24"/>
          <w:szCs w:val="24"/>
        </w:rPr>
        <w:t>These numbers are captured in the overall uptake figures reported.</w:t>
      </w:r>
    </w:p>
    <w:p w14:paraId="598F6BB7" w14:textId="7B960E02" w:rsidR="00595B5F" w:rsidRPr="00083705" w:rsidRDefault="0035745E" w:rsidP="0035745E">
      <w:pPr>
        <w:spacing w:after="0" w:line="240" w:lineRule="auto"/>
        <w:rPr>
          <w:rFonts w:ascii="Verdana" w:hAnsi="Verdana" w:cs="Arial"/>
          <w:b/>
          <w:sz w:val="24"/>
          <w:szCs w:val="24"/>
        </w:rPr>
      </w:pPr>
      <w:r w:rsidRPr="00083705">
        <w:rPr>
          <w:rFonts w:ascii="Verdana" w:hAnsi="Verdana"/>
          <w:noProof/>
          <w:sz w:val="24"/>
          <w:szCs w:val="24"/>
          <w:lang w:eastAsia="en-GB"/>
        </w:rPr>
        <w:drawing>
          <wp:inline distT="0" distB="0" distL="0" distR="0" wp14:anchorId="3B524D1E" wp14:editId="0028B5E8">
            <wp:extent cx="5731510" cy="3137586"/>
            <wp:effectExtent l="0" t="0" r="254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1510" cy="3137586"/>
                    </a:xfrm>
                    <a:prstGeom prst="rect">
                      <a:avLst/>
                    </a:prstGeom>
                    <a:noFill/>
                    <a:ln>
                      <a:noFill/>
                    </a:ln>
                  </pic:spPr>
                </pic:pic>
              </a:graphicData>
            </a:graphic>
          </wp:inline>
        </w:drawing>
      </w:r>
    </w:p>
    <w:p w14:paraId="46A46DB8" w14:textId="52DC4A57" w:rsidR="00595B5F" w:rsidRPr="00083705" w:rsidRDefault="00595B5F" w:rsidP="0035745E">
      <w:pPr>
        <w:spacing w:after="0" w:line="240" w:lineRule="auto"/>
        <w:rPr>
          <w:rFonts w:ascii="Verdana" w:hAnsi="Verdana" w:cs="Arial"/>
          <w:b/>
          <w:sz w:val="24"/>
          <w:szCs w:val="24"/>
        </w:rPr>
      </w:pPr>
    </w:p>
    <w:p w14:paraId="681CCD3C" w14:textId="77777777" w:rsidR="00595B5F" w:rsidRPr="00083705" w:rsidRDefault="00595B5F" w:rsidP="0035745E">
      <w:pPr>
        <w:spacing w:after="0" w:line="240" w:lineRule="auto"/>
        <w:rPr>
          <w:rFonts w:ascii="Verdana" w:hAnsi="Verdana" w:cs="Arial"/>
          <w:b/>
          <w:sz w:val="24"/>
          <w:szCs w:val="24"/>
        </w:rPr>
      </w:pPr>
    </w:p>
    <w:p w14:paraId="3E4A8BEE" w14:textId="66D917D4" w:rsidR="0035745E" w:rsidRPr="00083705" w:rsidRDefault="0035745E" w:rsidP="00595B5F">
      <w:pPr>
        <w:pStyle w:val="ListParagraph"/>
        <w:numPr>
          <w:ilvl w:val="1"/>
          <w:numId w:val="1"/>
        </w:numPr>
        <w:spacing w:after="0" w:line="240" w:lineRule="auto"/>
        <w:rPr>
          <w:rFonts w:ascii="Verdana" w:hAnsi="Verdana" w:cs="Arial"/>
          <w:b/>
          <w:sz w:val="24"/>
          <w:szCs w:val="24"/>
        </w:rPr>
      </w:pPr>
      <w:r w:rsidRPr="00083705">
        <w:rPr>
          <w:rFonts w:ascii="Verdana" w:hAnsi="Verdana" w:cs="Arial"/>
          <w:b/>
          <w:sz w:val="24"/>
          <w:szCs w:val="24"/>
        </w:rPr>
        <w:t>School immunisation sessions</w:t>
      </w:r>
    </w:p>
    <w:p w14:paraId="48806689" w14:textId="5D62D7ED" w:rsidR="00A26646" w:rsidRPr="00083705" w:rsidRDefault="00A26646" w:rsidP="002F5190">
      <w:pPr>
        <w:spacing w:before="100" w:beforeAutospacing="1" w:after="100" w:afterAutospacing="1" w:line="240" w:lineRule="auto"/>
        <w:rPr>
          <w:rFonts w:ascii="Verdana" w:eastAsia="Times New Roman" w:hAnsi="Verdana" w:cs="Arial"/>
          <w:sz w:val="24"/>
          <w:szCs w:val="24"/>
          <w:lang w:eastAsia="en-GB"/>
        </w:rPr>
      </w:pPr>
      <w:r w:rsidRPr="00083705">
        <w:rPr>
          <w:rFonts w:ascii="Verdana" w:eastAsia="Times New Roman" w:hAnsi="Verdana" w:cs="Arial"/>
          <w:sz w:val="24"/>
          <w:szCs w:val="24"/>
          <w:lang w:eastAsia="en-GB"/>
        </w:rPr>
        <w:t xml:space="preserve">The School Flu Vaccination programme this year saw a pilot of E-consent for the first time in SBUHB. The roll out of E-consent has been met with </w:t>
      </w:r>
      <w:r w:rsidRPr="00083705">
        <w:rPr>
          <w:rFonts w:ascii="Verdana" w:eastAsia="Times New Roman" w:hAnsi="Verdana" w:cs="Arial"/>
          <w:sz w:val="24"/>
          <w:szCs w:val="24"/>
          <w:lang w:eastAsia="en-GB"/>
        </w:rPr>
        <w:lastRenderedPageBreak/>
        <w:t>mixed results, and did take time to embed the process into the service. The E-consent tool was scoped and developed by both the Immunisation Team and the School nursing service, to ensure it was fit for purpose. Connectivity at some of the schools became problematic, however this has since been resolved and there is sufficient access to Wi-Fi networks within both local authorities now and going forward. The change in model, has impacted on the involvement from the schools, which may impact on the ability to chase outstanding consents from the schools. One of the benefits of the tool was the ability to clearly outline the demand for the Gelatine Free Vaccine across the schools. The tool also should enable the ability to forecast demand for vaccination across each school, in a timelier manner. </w:t>
      </w:r>
      <w:r w:rsidRPr="00083705">
        <w:rPr>
          <w:rFonts w:ascii="Verdana" w:eastAsia="Times New Roman" w:hAnsi="Verdana" w:cs="Arial"/>
          <w:sz w:val="24"/>
          <w:szCs w:val="24"/>
          <w:lang w:eastAsia="en-GB"/>
        </w:rPr>
        <w:br/>
      </w:r>
      <w:r w:rsidRPr="00083705">
        <w:rPr>
          <w:rFonts w:ascii="Verdana" w:eastAsia="Times New Roman" w:hAnsi="Verdana" w:cs="Arial"/>
          <w:sz w:val="24"/>
          <w:szCs w:val="24"/>
          <w:lang w:eastAsia="en-GB"/>
        </w:rPr>
        <w:br/>
        <w:t>Towards the end of the programme, there had been the ability to offer mop up sessions within schools below the 50% uptake mark, however this was met with a mixed response in terms of uptake, and did require many phone calls and chasing from School nursing staff to chase consent, which previously would have been supported and managed by School resources. </w:t>
      </w:r>
    </w:p>
    <w:p w14:paraId="00EA759B" w14:textId="77777777" w:rsidR="00A26646" w:rsidRPr="00083705" w:rsidRDefault="00A26646" w:rsidP="002F5190">
      <w:pPr>
        <w:spacing w:before="100" w:beforeAutospacing="1" w:after="100" w:afterAutospacing="1" w:line="240" w:lineRule="auto"/>
        <w:rPr>
          <w:rFonts w:ascii="Verdana" w:eastAsia="Times New Roman" w:hAnsi="Verdana" w:cs="Arial"/>
          <w:sz w:val="24"/>
          <w:szCs w:val="24"/>
          <w:lang w:eastAsia="en-GB"/>
        </w:rPr>
      </w:pPr>
      <w:r w:rsidRPr="00083705">
        <w:rPr>
          <w:rFonts w:ascii="Verdana" w:eastAsia="Times New Roman" w:hAnsi="Verdana" w:cs="Arial"/>
          <w:sz w:val="24"/>
          <w:szCs w:val="24"/>
          <w:lang w:eastAsia="en-GB"/>
        </w:rPr>
        <w:t>Another pilot that took place this year was the non-registrant model for school nursing. This has been met with relative success and is a cost-effective model for delivery. Again, as this was a further change to the school nursing delivery model this year, it did take time to embed the process but is something that the school nursing programme wants to continue with in the future.</w:t>
      </w:r>
    </w:p>
    <w:p w14:paraId="69B1719C" w14:textId="65B56EAF" w:rsidR="00A26646" w:rsidRPr="00083705" w:rsidRDefault="00A26646" w:rsidP="002F5190">
      <w:pPr>
        <w:spacing w:before="100" w:beforeAutospacing="1" w:after="100" w:afterAutospacing="1" w:line="240" w:lineRule="auto"/>
        <w:rPr>
          <w:rFonts w:ascii="Verdana" w:eastAsia="Times New Roman" w:hAnsi="Verdana" w:cs="Arial"/>
          <w:sz w:val="24"/>
          <w:szCs w:val="24"/>
          <w:lang w:eastAsia="en-GB"/>
        </w:rPr>
      </w:pPr>
      <w:r w:rsidRPr="00083705">
        <w:rPr>
          <w:rFonts w:ascii="Verdana" w:eastAsia="Times New Roman" w:hAnsi="Verdana" w:cs="Arial"/>
          <w:sz w:val="24"/>
          <w:szCs w:val="24"/>
          <w:lang w:eastAsia="en-GB"/>
        </w:rPr>
        <w:t>Overall, the uptake of Flu Vaccinations across</w:t>
      </w:r>
      <w:r w:rsidR="00E36768" w:rsidRPr="00083705">
        <w:rPr>
          <w:rFonts w:ascii="Verdana" w:eastAsia="Times New Roman" w:hAnsi="Verdana" w:cs="Arial"/>
          <w:sz w:val="24"/>
          <w:szCs w:val="24"/>
          <w:lang w:eastAsia="en-GB"/>
        </w:rPr>
        <w:t xml:space="preserve"> primary</w:t>
      </w:r>
      <w:r w:rsidRPr="00083705">
        <w:rPr>
          <w:rFonts w:ascii="Verdana" w:eastAsia="Times New Roman" w:hAnsi="Verdana" w:cs="Arial"/>
          <w:sz w:val="24"/>
          <w:szCs w:val="24"/>
          <w:lang w:eastAsia="en-GB"/>
        </w:rPr>
        <w:t xml:space="preserve"> schools in SBU has decreased</w:t>
      </w:r>
      <w:r w:rsidR="00A74795" w:rsidRPr="00083705">
        <w:rPr>
          <w:rFonts w:ascii="Verdana" w:eastAsia="Times New Roman" w:hAnsi="Verdana" w:cs="Arial"/>
          <w:sz w:val="24"/>
          <w:szCs w:val="24"/>
          <w:lang w:eastAsia="en-GB"/>
        </w:rPr>
        <w:t xml:space="preserve"> to </w:t>
      </w:r>
      <w:r w:rsidR="00A74795" w:rsidRPr="00083705">
        <w:rPr>
          <w:rFonts w:ascii="Verdana" w:hAnsi="Verdana" w:cs="Arial"/>
          <w:bCs/>
          <w:sz w:val="24"/>
          <w:szCs w:val="24"/>
        </w:rPr>
        <w:t>51.1% 2024/25</w:t>
      </w:r>
      <w:r w:rsidRPr="00083705">
        <w:rPr>
          <w:rFonts w:ascii="Verdana" w:eastAsia="Times New Roman" w:hAnsi="Verdana" w:cs="Arial"/>
          <w:sz w:val="24"/>
          <w:szCs w:val="24"/>
          <w:lang w:eastAsia="en-GB"/>
        </w:rPr>
        <w:t xml:space="preserve">, this is a theme over previous </w:t>
      </w:r>
      <w:r w:rsidR="00A74795" w:rsidRPr="00083705">
        <w:rPr>
          <w:rFonts w:ascii="Verdana" w:eastAsia="Times New Roman" w:hAnsi="Verdana" w:cs="Arial"/>
          <w:sz w:val="24"/>
          <w:szCs w:val="24"/>
          <w:lang w:eastAsia="en-GB"/>
        </w:rPr>
        <w:t>years and</w:t>
      </w:r>
      <w:r w:rsidRPr="00083705">
        <w:rPr>
          <w:rFonts w:ascii="Verdana" w:eastAsia="Times New Roman" w:hAnsi="Verdana" w:cs="Arial"/>
          <w:sz w:val="24"/>
          <w:szCs w:val="24"/>
          <w:lang w:eastAsia="en-GB"/>
        </w:rPr>
        <w:t xml:space="preserve"> is also seen across Wales</w:t>
      </w:r>
      <w:r w:rsidR="00A74795" w:rsidRPr="00083705">
        <w:rPr>
          <w:rFonts w:ascii="Verdana" w:eastAsia="Times New Roman" w:hAnsi="Verdana" w:cs="Arial"/>
          <w:sz w:val="24"/>
          <w:szCs w:val="24"/>
          <w:lang w:eastAsia="en-GB"/>
        </w:rPr>
        <w:t xml:space="preserve">. </w:t>
      </w:r>
      <w:r w:rsidR="00E36768" w:rsidRPr="00083705">
        <w:rPr>
          <w:rFonts w:ascii="Verdana" w:eastAsia="Times New Roman" w:hAnsi="Verdana" w:cs="Arial"/>
          <w:sz w:val="24"/>
          <w:szCs w:val="24"/>
          <w:lang w:eastAsia="en-GB"/>
        </w:rPr>
        <w:t>Decreased uptake rates is also seen in secondary school aged children.</w:t>
      </w:r>
      <w:r w:rsidR="00A74795" w:rsidRPr="00083705">
        <w:rPr>
          <w:rFonts w:ascii="Verdana" w:eastAsia="Times New Roman" w:hAnsi="Verdana" w:cs="Arial"/>
          <w:sz w:val="24"/>
          <w:szCs w:val="24"/>
          <w:lang w:eastAsia="en-GB"/>
        </w:rPr>
        <w:br/>
      </w:r>
      <w:r w:rsidR="00A74795" w:rsidRPr="00083705">
        <w:rPr>
          <w:rFonts w:ascii="Verdana" w:eastAsia="Times New Roman" w:hAnsi="Verdana" w:cs="Arial"/>
          <w:sz w:val="24"/>
          <w:szCs w:val="24"/>
          <w:lang w:eastAsia="en-GB"/>
        </w:rPr>
        <w:lastRenderedPageBreak/>
        <w:br/>
      </w:r>
      <w:r w:rsidR="00A74795" w:rsidRPr="00083705">
        <w:rPr>
          <w:rFonts w:ascii="Verdana" w:hAnsi="Verdana" w:cs="Arial"/>
          <w:bCs/>
          <w:noProof/>
          <w:sz w:val="24"/>
          <w:szCs w:val="24"/>
        </w:rPr>
        <w:drawing>
          <wp:inline distT="0" distB="0" distL="0" distR="0" wp14:anchorId="376731A5" wp14:editId="16C97D75">
            <wp:extent cx="5731510" cy="2973705"/>
            <wp:effectExtent l="0" t="0" r="2540" b="0"/>
            <wp:docPr id="1521025440" name="Picture 1" descr="A graph with blue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025440" name="Picture 1" descr="A graph with blue and white text&#10;&#10;AI-generated content may be incorrect."/>
                    <pic:cNvPicPr/>
                  </pic:nvPicPr>
                  <pic:blipFill>
                    <a:blip r:embed="rId11"/>
                    <a:stretch>
                      <a:fillRect/>
                    </a:stretch>
                  </pic:blipFill>
                  <pic:spPr>
                    <a:xfrm>
                      <a:off x="0" y="0"/>
                      <a:ext cx="5731510" cy="2973705"/>
                    </a:xfrm>
                    <a:prstGeom prst="rect">
                      <a:avLst/>
                    </a:prstGeom>
                  </pic:spPr>
                </pic:pic>
              </a:graphicData>
            </a:graphic>
          </wp:inline>
        </w:drawing>
      </w:r>
    </w:p>
    <w:p w14:paraId="1AF54DC5" w14:textId="6EB50EF4" w:rsidR="00E36768" w:rsidRPr="00083705" w:rsidRDefault="00E36768" w:rsidP="002F5190">
      <w:pPr>
        <w:spacing w:before="100" w:beforeAutospacing="1" w:after="100" w:afterAutospacing="1" w:line="240" w:lineRule="auto"/>
        <w:rPr>
          <w:rFonts w:ascii="Verdana" w:eastAsia="Times New Roman" w:hAnsi="Verdana" w:cs="Arial"/>
          <w:sz w:val="24"/>
          <w:szCs w:val="24"/>
          <w:lang w:eastAsia="en-GB"/>
        </w:rPr>
      </w:pPr>
      <w:r w:rsidRPr="00083705">
        <w:rPr>
          <w:rFonts w:ascii="Verdana" w:eastAsia="Times New Roman" w:hAnsi="Verdana" w:cs="Arial"/>
          <w:noProof/>
          <w:sz w:val="24"/>
          <w:szCs w:val="24"/>
          <w:lang w:eastAsia="en-GB"/>
        </w:rPr>
        <w:drawing>
          <wp:inline distT="0" distB="0" distL="0" distR="0" wp14:anchorId="330BAA71" wp14:editId="456D1EF5">
            <wp:extent cx="5731510" cy="1845945"/>
            <wp:effectExtent l="0" t="0" r="254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1845945"/>
                    </a:xfrm>
                    <a:prstGeom prst="rect">
                      <a:avLst/>
                    </a:prstGeom>
                  </pic:spPr>
                </pic:pic>
              </a:graphicData>
            </a:graphic>
          </wp:inline>
        </w:drawing>
      </w:r>
    </w:p>
    <w:p w14:paraId="31741B80" w14:textId="2E8BE809" w:rsidR="00595B5F" w:rsidRPr="00083705" w:rsidRDefault="00701B95" w:rsidP="00701B95">
      <w:pPr>
        <w:spacing w:after="0" w:line="240" w:lineRule="auto"/>
        <w:rPr>
          <w:rFonts w:ascii="Verdana" w:hAnsi="Verdana" w:cs="Arial"/>
          <w:b/>
          <w:sz w:val="24"/>
          <w:szCs w:val="24"/>
        </w:rPr>
      </w:pPr>
      <w:r w:rsidRPr="00083705">
        <w:rPr>
          <w:rFonts w:ascii="Verdana" w:hAnsi="Verdana" w:cs="Arial"/>
          <w:b/>
          <w:sz w:val="24"/>
          <w:szCs w:val="24"/>
        </w:rPr>
        <w:t xml:space="preserve">2.7 </w:t>
      </w:r>
      <w:r w:rsidR="002F5190" w:rsidRPr="00083705">
        <w:rPr>
          <w:rFonts w:ascii="Verdana" w:hAnsi="Verdana" w:cs="Arial"/>
          <w:b/>
          <w:sz w:val="24"/>
          <w:szCs w:val="24"/>
        </w:rPr>
        <w:t xml:space="preserve">Flu vaccination </w:t>
      </w:r>
      <w:r w:rsidR="00891AC3" w:rsidRPr="00083705">
        <w:rPr>
          <w:rFonts w:ascii="Verdana" w:hAnsi="Verdana" w:cs="Arial"/>
          <w:b/>
          <w:sz w:val="24"/>
          <w:szCs w:val="24"/>
        </w:rPr>
        <w:t xml:space="preserve">uptake rates </w:t>
      </w:r>
      <w:r w:rsidRPr="00083705">
        <w:rPr>
          <w:rFonts w:ascii="Verdana" w:hAnsi="Verdana" w:cs="Arial"/>
          <w:b/>
          <w:sz w:val="24"/>
          <w:szCs w:val="24"/>
        </w:rPr>
        <w:t xml:space="preserve">in pregnancy </w:t>
      </w:r>
    </w:p>
    <w:p w14:paraId="75C46547" w14:textId="77777777" w:rsidR="00701B95" w:rsidRPr="00083705" w:rsidRDefault="00701B95" w:rsidP="00701B95">
      <w:pPr>
        <w:rPr>
          <w:rFonts w:ascii="Verdana" w:hAnsi="Verdana"/>
          <w:sz w:val="24"/>
          <w:szCs w:val="24"/>
        </w:rPr>
      </w:pPr>
    </w:p>
    <w:p w14:paraId="0933C622" w14:textId="6055DFDE" w:rsidR="00701B95" w:rsidRPr="00083705" w:rsidRDefault="00701B95" w:rsidP="00701B95">
      <w:pPr>
        <w:rPr>
          <w:rFonts w:ascii="Verdana" w:hAnsi="Verdana" w:cs="Arial"/>
          <w:sz w:val="24"/>
          <w:szCs w:val="24"/>
        </w:rPr>
      </w:pPr>
      <w:r w:rsidRPr="00083705">
        <w:rPr>
          <w:rFonts w:ascii="Verdana" w:hAnsi="Verdana" w:cs="Arial"/>
          <w:sz w:val="24"/>
          <w:szCs w:val="24"/>
        </w:rPr>
        <w:t>We currently await release of the P</w:t>
      </w:r>
      <w:r w:rsidR="006C2001" w:rsidRPr="00083705">
        <w:rPr>
          <w:rFonts w:ascii="Verdana" w:hAnsi="Verdana" w:cs="Arial"/>
          <w:sz w:val="24"/>
          <w:szCs w:val="24"/>
        </w:rPr>
        <w:t>oint of Delivery report by PHW,</w:t>
      </w:r>
      <w:r w:rsidR="00E82F21" w:rsidRPr="00083705">
        <w:rPr>
          <w:rFonts w:ascii="Verdana" w:hAnsi="Verdana" w:cs="Arial"/>
          <w:sz w:val="24"/>
          <w:szCs w:val="24"/>
        </w:rPr>
        <w:t xml:space="preserve"> however the provisional data </w:t>
      </w:r>
      <w:r w:rsidR="001B7D3D" w:rsidRPr="00083705">
        <w:rPr>
          <w:rFonts w:ascii="Verdana" w:hAnsi="Verdana" w:cs="Arial"/>
          <w:sz w:val="24"/>
          <w:szCs w:val="24"/>
        </w:rPr>
        <w:t xml:space="preserve">in this report shows uptake to be at 60%. The </w:t>
      </w:r>
      <w:r w:rsidR="009F365E" w:rsidRPr="00083705">
        <w:rPr>
          <w:rFonts w:ascii="Verdana" w:hAnsi="Verdana" w:cs="Arial"/>
          <w:sz w:val="24"/>
          <w:szCs w:val="24"/>
        </w:rPr>
        <w:t>point of delivery survey is a snap shot audit of women who have delivered over a 5 day period in January</w:t>
      </w:r>
      <w:r w:rsidR="00982688" w:rsidRPr="00083705">
        <w:rPr>
          <w:rFonts w:ascii="Verdana" w:hAnsi="Verdana" w:cs="Arial"/>
          <w:sz w:val="24"/>
          <w:szCs w:val="24"/>
        </w:rPr>
        <w:t>.</w:t>
      </w:r>
      <w:r w:rsidR="00B0325D" w:rsidRPr="00083705">
        <w:rPr>
          <w:rFonts w:ascii="Verdana" w:hAnsi="Verdana" w:cs="Arial"/>
          <w:sz w:val="24"/>
          <w:szCs w:val="24"/>
        </w:rPr>
        <w:t xml:space="preserve"> </w:t>
      </w:r>
    </w:p>
    <w:p w14:paraId="3B5C1F8C" w14:textId="2278DD8A" w:rsidR="00E32FB4" w:rsidRPr="00083705" w:rsidRDefault="00E32FB4" w:rsidP="00701B95">
      <w:pPr>
        <w:rPr>
          <w:rFonts w:ascii="Verdana" w:hAnsi="Verdana" w:cs="Arial"/>
          <w:sz w:val="24"/>
          <w:szCs w:val="24"/>
        </w:rPr>
      </w:pPr>
      <w:r w:rsidRPr="00083705">
        <w:rPr>
          <w:rFonts w:ascii="Verdana" w:hAnsi="Verdana" w:cs="Arial"/>
          <w:noProof/>
          <w:sz w:val="24"/>
          <w:szCs w:val="24"/>
        </w:rPr>
        <w:lastRenderedPageBreak/>
        <w:drawing>
          <wp:inline distT="0" distB="0" distL="0" distR="0" wp14:anchorId="11D7BCE5" wp14:editId="09D8A219">
            <wp:extent cx="5731510" cy="3533775"/>
            <wp:effectExtent l="0" t="0" r="254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533775"/>
                    </a:xfrm>
                    <a:prstGeom prst="rect">
                      <a:avLst/>
                    </a:prstGeom>
                  </pic:spPr>
                </pic:pic>
              </a:graphicData>
            </a:graphic>
          </wp:inline>
        </w:drawing>
      </w:r>
    </w:p>
    <w:p w14:paraId="07F3CC4D" w14:textId="77777777" w:rsidR="00595B5F" w:rsidRPr="00083705" w:rsidRDefault="00595B5F" w:rsidP="00595B5F">
      <w:pPr>
        <w:spacing w:after="0" w:line="240" w:lineRule="auto"/>
        <w:ind w:left="360"/>
        <w:rPr>
          <w:rFonts w:ascii="Verdana" w:hAnsi="Verdana" w:cs="Arial"/>
          <w:b/>
          <w:sz w:val="24"/>
          <w:szCs w:val="24"/>
        </w:rPr>
      </w:pPr>
    </w:p>
    <w:p w14:paraId="06336D98" w14:textId="562A467B" w:rsidR="0035745E" w:rsidRPr="00083705" w:rsidRDefault="0035745E" w:rsidP="0035745E">
      <w:pPr>
        <w:rPr>
          <w:rFonts w:ascii="Verdana" w:hAnsi="Verdana" w:cs="Arial"/>
          <w:b/>
          <w:bCs/>
          <w:sz w:val="24"/>
          <w:szCs w:val="24"/>
        </w:rPr>
      </w:pPr>
      <w:r w:rsidRPr="00083705">
        <w:rPr>
          <w:rFonts w:ascii="Verdana" w:hAnsi="Verdana" w:cs="Arial"/>
          <w:b/>
          <w:bCs/>
          <w:sz w:val="24"/>
          <w:szCs w:val="24"/>
        </w:rPr>
        <w:t>2.</w:t>
      </w:r>
      <w:r w:rsidR="002F5190" w:rsidRPr="00083705">
        <w:rPr>
          <w:rFonts w:ascii="Verdana" w:hAnsi="Verdana" w:cs="Arial"/>
          <w:b/>
          <w:bCs/>
          <w:sz w:val="24"/>
          <w:szCs w:val="24"/>
        </w:rPr>
        <w:t>8</w:t>
      </w:r>
      <w:r w:rsidRPr="00083705">
        <w:rPr>
          <w:rFonts w:ascii="Verdana" w:hAnsi="Verdana" w:cs="Arial"/>
          <w:b/>
          <w:bCs/>
          <w:sz w:val="24"/>
          <w:szCs w:val="24"/>
        </w:rPr>
        <w:t xml:space="preserve"> Planning for 2025-26 Programme</w:t>
      </w:r>
    </w:p>
    <w:p w14:paraId="7E0024ED" w14:textId="77777777" w:rsidR="0035745E" w:rsidRPr="00083705" w:rsidRDefault="0035745E" w:rsidP="0035745E">
      <w:pPr>
        <w:spacing w:before="240"/>
        <w:jc w:val="both"/>
        <w:rPr>
          <w:rFonts w:ascii="Verdana" w:hAnsi="Verdana" w:cs="Arial"/>
          <w:bCs/>
          <w:sz w:val="24"/>
          <w:szCs w:val="24"/>
        </w:rPr>
      </w:pPr>
      <w:r w:rsidRPr="00083705">
        <w:rPr>
          <w:rFonts w:ascii="Verdana" w:hAnsi="Verdana" w:cs="Arial"/>
          <w:bCs/>
          <w:sz w:val="24"/>
          <w:szCs w:val="24"/>
        </w:rPr>
        <w:t xml:space="preserve">Finalised commissioning arrangement are awaited, draft </w:t>
      </w:r>
      <w:r w:rsidRPr="00083705">
        <w:rPr>
          <w:rFonts w:ascii="Verdana" w:hAnsi="Verdana" w:cs="Arial"/>
          <w:sz w:val="24"/>
          <w:szCs w:val="24"/>
        </w:rPr>
        <w:t>Primary Care Contracted Services: Immunisation Specification</w:t>
      </w:r>
      <w:r w:rsidRPr="00083705">
        <w:rPr>
          <w:rFonts w:ascii="Verdana" w:hAnsi="Verdana" w:cs="Arial"/>
          <w:bCs/>
          <w:sz w:val="24"/>
          <w:szCs w:val="24"/>
        </w:rPr>
        <w:t xml:space="preserve"> (PCCS:I) has been shared with health boards but awaits finalisation by Welsh Government, this will be a new approach to commissioning for both GMS and Community Pharmacy. Until this is received, along with the agreed planning framework commissioning arrangements cannot proceed. </w:t>
      </w:r>
    </w:p>
    <w:p w14:paraId="66958797"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Planning will continue through the WRVPPG and will focus on increasing uptake for 25/26 and will include as a minimum:</w:t>
      </w:r>
    </w:p>
    <w:p w14:paraId="117F907D" w14:textId="77777777" w:rsidR="0035745E" w:rsidRPr="00083705" w:rsidRDefault="0035745E" w:rsidP="0035745E">
      <w:pPr>
        <w:pStyle w:val="ListParagraph"/>
        <w:numPr>
          <w:ilvl w:val="0"/>
          <w:numId w:val="17"/>
        </w:numPr>
        <w:spacing w:after="120" w:line="240" w:lineRule="auto"/>
        <w:jc w:val="both"/>
        <w:rPr>
          <w:rFonts w:ascii="Verdana" w:hAnsi="Verdana" w:cs="Arial"/>
          <w:sz w:val="24"/>
          <w:szCs w:val="24"/>
        </w:rPr>
      </w:pPr>
      <w:r w:rsidRPr="00083705">
        <w:rPr>
          <w:rFonts w:ascii="Verdana" w:hAnsi="Verdana" w:cs="Arial"/>
          <w:sz w:val="24"/>
          <w:szCs w:val="24"/>
        </w:rPr>
        <w:t xml:space="preserve">Review of feedback, lessons learned and areas of good practice. </w:t>
      </w:r>
    </w:p>
    <w:p w14:paraId="65D6BCB6" w14:textId="77777777" w:rsidR="0035745E" w:rsidRPr="00083705" w:rsidRDefault="0035745E" w:rsidP="0035745E">
      <w:pPr>
        <w:pStyle w:val="ListParagraph"/>
        <w:numPr>
          <w:ilvl w:val="0"/>
          <w:numId w:val="17"/>
        </w:numPr>
        <w:spacing w:after="120" w:line="240" w:lineRule="auto"/>
        <w:jc w:val="both"/>
        <w:rPr>
          <w:rFonts w:ascii="Verdana" w:hAnsi="Verdana" w:cs="Arial"/>
          <w:sz w:val="24"/>
          <w:szCs w:val="24"/>
        </w:rPr>
      </w:pPr>
      <w:r w:rsidRPr="00083705">
        <w:rPr>
          <w:rFonts w:ascii="Verdana" w:hAnsi="Verdana" w:cs="Arial"/>
          <w:sz w:val="24"/>
          <w:szCs w:val="24"/>
        </w:rPr>
        <w:t>Scrutiny of commissioning arrangements and delivery plans</w:t>
      </w:r>
    </w:p>
    <w:p w14:paraId="7A127FE2" w14:textId="77777777" w:rsidR="0035745E" w:rsidRPr="00083705" w:rsidRDefault="0035745E" w:rsidP="0035745E">
      <w:pPr>
        <w:pStyle w:val="ListParagraph"/>
        <w:numPr>
          <w:ilvl w:val="0"/>
          <w:numId w:val="17"/>
        </w:numPr>
        <w:spacing w:after="120" w:line="240" w:lineRule="auto"/>
        <w:jc w:val="both"/>
        <w:rPr>
          <w:rFonts w:ascii="Verdana" w:hAnsi="Verdana" w:cs="Arial"/>
          <w:sz w:val="24"/>
          <w:szCs w:val="24"/>
        </w:rPr>
      </w:pPr>
      <w:r w:rsidRPr="00083705">
        <w:rPr>
          <w:rFonts w:ascii="Verdana" w:hAnsi="Verdana" w:cs="Arial"/>
          <w:sz w:val="24"/>
          <w:szCs w:val="24"/>
        </w:rPr>
        <w:t>Targeted efforts by the Health Board Immunisation Team and Primary Care Team in clusters and practices with low uptake. This includes a proposal for the immunisation team to support two clusters with the lowest uptake of fluenz in the 2 and 3 year olds, Upper Valleys and Cwmtawe to being in September 2025.</w:t>
      </w:r>
    </w:p>
    <w:p w14:paraId="32C10547" w14:textId="77777777" w:rsidR="0035745E" w:rsidRPr="00083705" w:rsidRDefault="0035745E" w:rsidP="0035745E">
      <w:pPr>
        <w:pStyle w:val="ListParagraph"/>
        <w:numPr>
          <w:ilvl w:val="0"/>
          <w:numId w:val="17"/>
        </w:numPr>
        <w:spacing w:after="120" w:line="240" w:lineRule="auto"/>
        <w:jc w:val="both"/>
        <w:rPr>
          <w:rFonts w:ascii="Verdana" w:hAnsi="Verdana" w:cs="Arial"/>
          <w:sz w:val="24"/>
          <w:szCs w:val="24"/>
        </w:rPr>
      </w:pPr>
      <w:r w:rsidRPr="00083705">
        <w:rPr>
          <w:rFonts w:ascii="Verdana" w:hAnsi="Verdana" w:cs="Arial"/>
          <w:sz w:val="24"/>
          <w:szCs w:val="24"/>
        </w:rPr>
        <w:t xml:space="preserve">Robust communication plan, which will begin with information (and video messaging) to remind individuals about the benefits of all vaccines. We will continue to engage with specialist nurses and teams who can actively  promote the benefits of vaccines to their client group. Messaging throughout the influenza </w:t>
      </w:r>
      <w:r w:rsidRPr="00083705">
        <w:rPr>
          <w:rFonts w:ascii="Verdana" w:hAnsi="Verdana" w:cs="Arial"/>
          <w:sz w:val="24"/>
          <w:szCs w:val="24"/>
        </w:rPr>
        <w:lastRenderedPageBreak/>
        <w:t>season will be tailored and adapted in accordance to the uptake rates within each cluster </w:t>
      </w:r>
    </w:p>
    <w:p w14:paraId="110D5E63" w14:textId="77777777" w:rsidR="0035745E" w:rsidRPr="00083705" w:rsidRDefault="0035745E" w:rsidP="0035745E">
      <w:pPr>
        <w:jc w:val="both"/>
        <w:rPr>
          <w:rFonts w:ascii="Verdana" w:hAnsi="Verdana" w:cs="Arial"/>
          <w:sz w:val="24"/>
          <w:szCs w:val="24"/>
          <w:lang w:eastAsia="en-GB"/>
        </w:rPr>
      </w:pPr>
      <w:r w:rsidRPr="00083705">
        <w:rPr>
          <w:rFonts w:ascii="Verdana" w:hAnsi="Verdana" w:cs="Arial"/>
          <w:sz w:val="24"/>
          <w:szCs w:val="24"/>
          <w:lang w:eastAsia="en-GB"/>
        </w:rPr>
        <w:t>The Winter Respiratory Vaccination Programme integrates the COVID-19 and seasonal influenza vaccination programmes, bringing together the strategy, planning and governance of these programmes. As part of this achieving the ambitions of the National Immunisation Framework, influenza vaccines will be centrally procured and supplied from autumn 2025. This will ensure that vaccination arrangements are fit for the future with the benefit of national infrastructure, have a strong value for money element and produce value-based outcomes.</w:t>
      </w:r>
    </w:p>
    <w:p w14:paraId="48EABAFB" w14:textId="77777777" w:rsidR="0035745E" w:rsidRPr="00083705" w:rsidRDefault="0035745E" w:rsidP="0035745E">
      <w:pPr>
        <w:spacing w:before="240"/>
        <w:jc w:val="both"/>
        <w:rPr>
          <w:rFonts w:ascii="Verdana" w:hAnsi="Verdana" w:cs="Arial"/>
          <w:bCs/>
          <w:sz w:val="24"/>
          <w:szCs w:val="24"/>
        </w:rPr>
      </w:pPr>
      <w:r w:rsidRPr="00083705">
        <w:rPr>
          <w:rFonts w:ascii="Verdana" w:hAnsi="Verdana" w:cs="Arial"/>
          <w:bCs/>
          <w:sz w:val="24"/>
          <w:szCs w:val="24"/>
        </w:rPr>
        <w:t>SBUHB has placed orders as per the supply and distribution operating model guidance and order review guide. National Implementation group meetings commenced in December 2024 and continue to meet on the planning and logistics.  A local SBUHB group was also stood up in December to coordinate this work.</w:t>
      </w:r>
    </w:p>
    <w:p w14:paraId="7013FFCE" w14:textId="77777777" w:rsidR="0035745E" w:rsidRPr="00083705" w:rsidRDefault="0035745E" w:rsidP="0035745E">
      <w:pPr>
        <w:spacing w:before="240"/>
        <w:rPr>
          <w:rFonts w:ascii="Verdana" w:hAnsi="Verdana" w:cs="Arial"/>
          <w:bCs/>
          <w:sz w:val="24"/>
          <w:szCs w:val="24"/>
        </w:rPr>
      </w:pPr>
      <w:r w:rsidRPr="00083705">
        <w:rPr>
          <w:rFonts w:ascii="Verdana" w:hAnsi="Verdana" w:cs="Arial"/>
          <w:bCs/>
          <w:sz w:val="24"/>
          <w:szCs w:val="24"/>
        </w:rPr>
        <w:t>The SBUHB order for centrally Procurement Influenza stock is as follows:</w:t>
      </w:r>
    </w:p>
    <w:tbl>
      <w:tblPr>
        <w:tblStyle w:val="TableGrid"/>
        <w:tblW w:w="0" w:type="auto"/>
        <w:tblLook w:val="04A0" w:firstRow="1" w:lastRow="0" w:firstColumn="1" w:lastColumn="0" w:noHBand="0" w:noVBand="1"/>
      </w:tblPr>
      <w:tblGrid>
        <w:gridCol w:w="3005"/>
        <w:gridCol w:w="3005"/>
        <w:gridCol w:w="3006"/>
      </w:tblGrid>
      <w:tr w:rsidR="0035745E" w:rsidRPr="00083705" w14:paraId="369EE56D" w14:textId="77777777" w:rsidTr="0035745E">
        <w:tc>
          <w:tcPr>
            <w:tcW w:w="3005" w:type="dxa"/>
            <w:shd w:val="clear" w:color="auto" w:fill="E7E6E6" w:themeFill="background2"/>
          </w:tcPr>
          <w:p w14:paraId="725DC1C4"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Order / delivery site type</w:t>
            </w:r>
          </w:p>
        </w:tc>
        <w:tc>
          <w:tcPr>
            <w:tcW w:w="3005" w:type="dxa"/>
            <w:shd w:val="clear" w:color="auto" w:fill="E7E6E6" w:themeFill="background2"/>
          </w:tcPr>
          <w:p w14:paraId="11DF8147"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aTIV (over 65 years)</w:t>
            </w:r>
          </w:p>
        </w:tc>
        <w:tc>
          <w:tcPr>
            <w:tcW w:w="3006" w:type="dxa"/>
            <w:shd w:val="clear" w:color="auto" w:fill="E7E6E6" w:themeFill="background2"/>
          </w:tcPr>
          <w:p w14:paraId="466F4B0C"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TIVc (under 65 years)</w:t>
            </w:r>
          </w:p>
        </w:tc>
      </w:tr>
      <w:tr w:rsidR="0035745E" w:rsidRPr="00083705" w14:paraId="42077871" w14:textId="77777777" w:rsidTr="006B2D43">
        <w:tc>
          <w:tcPr>
            <w:tcW w:w="3005" w:type="dxa"/>
          </w:tcPr>
          <w:p w14:paraId="08D446D1"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HB Central Pharmacy</w:t>
            </w:r>
          </w:p>
        </w:tc>
        <w:tc>
          <w:tcPr>
            <w:tcW w:w="3005" w:type="dxa"/>
          </w:tcPr>
          <w:p w14:paraId="52AD6697"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700</w:t>
            </w:r>
          </w:p>
        </w:tc>
        <w:tc>
          <w:tcPr>
            <w:tcW w:w="3006" w:type="dxa"/>
          </w:tcPr>
          <w:p w14:paraId="61457E34"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8,000</w:t>
            </w:r>
          </w:p>
        </w:tc>
      </w:tr>
      <w:tr w:rsidR="0035745E" w:rsidRPr="00083705" w14:paraId="7E2DA2E3" w14:textId="77777777" w:rsidTr="006B2D43">
        <w:tc>
          <w:tcPr>
            <w:tcW w:w="3005" w:type="dxa"/>
          </w:tcPr>
          <w:p w14:paraId="33A461F1"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Primary Care Contractors (GMS and Community Pharmacy</w:t>
            </w:r>
          </w:p>
        </w:tc>
        <w:tc>
          <w:tcPr>
            <w:tcW w:w="3005" w:type="dxa"/>
          </w:tcPr>
          <w:p w14:paraId="444E1AB1"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63,710</w:t>
            </w:r>
          </w:p>
        </w:tc>
        <w:tc>
          <w:tcPr>
            <w:tcW w:w="3006" w:type="dxa"/>
          </w:tcPr>
          <w:p w14:paraId="0362BE5D"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27,090</w:t>
            </w:r>
          </w:p>
        </w:tc>
      </w:tr>
      <w:tr w:rsidR="0035745E" w:rsidRPr="00083705" w14:paraId="4F745AEC" w14:textId="77777777" w:rsidTr="006B2D43">
        <w:tc>
          <w:tcPr>
            <w:tcW w:w="3005" w:type="dxa"/>
          </w:tcPr>
          <w:p w14:paraId="37CEEC01"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Total</w:t>
            </w:r>
          </w:p>
        </w:tc>
        <w:tc>
          <w:tcPr>
            <w:tcW w:w="3005" w:type="dxa"/>
          </w:tcPr>
          <w:p w14:paraId="1840C0DA"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 xml:space="preserve">64,410 </w:t>
            </w:r>
          </w:p>
        </w:tc>
        <w:tc>
          <w:tcPr>
            <w:tcW w:w="3006" w:type="dxa"/>
          </w:tcPr>
          <w:p w14:paraId="0733208C" w14:textId="77777777" w:rsidR="0035745E" w:rsidRPr="00083705" w:rsidRDefault="0035745E" w:rsidP="006B2D43">
            <w:pPr>
              <w:spacing w:before="240"/>
              <w:rPr>
                <w:rFonts w:ascii="Verdana" w:hAnsi="Verdana" w:cs="Arial"/>
                <w:bCs/>
                <w:sz w:val="24"/>
                <w:szCs w:val="24"/>
              </w:rPr>
            </w:pPr>
            <w:r w:rsidRPr="00083705">
              <w:rPr>
                <w:rFonts w:ascii="Verdana" w:hAnsi="Verdana" w:cs="Arial"/>
                <w:bCs/>
                <w:sz w:val="24"/>
                <w:szCs w:val="24"/>
              </w:rPr>
              <w:t xml:space="preserve">35,090 </w:t>
            </w:r>
          </w:p>
        </w:tc>
      </w:tr>
    </w:tbl>
    <w:p w14:paraId="62547E10" w14:textId="77777777" w:rsidR="0035745E" w:rsidRPr="00083705" w:rsidRDefault="0035745E" w:rsidP="0035745E">
      <w:pPr>
        <w:jc w:val="both"/>
        <w:rPr>
          <w:rFonts w:ascii="Verdana" w:hAnsi="Verdana" w:cs="Arial"/>
          <w:bCs/>
          <w:sz w:val="24"/>
          <w:szCs w:val="24"/>
        </w:rPr>
      </w:pPr>
      <w:r w:rsidRPr="00083705">
        <w:rPr>
          <w:rFonts w:ascii="Verdana" w:hAnsi="Verdana" w:cs="Arial"/>
          <w:bCs/>
          <w:sz w:val="24"/>
          <w:szCs w:val="24"/>
        </w:rPr>
        <w:t xml:space="preserve">The current denominators for flu are 84,432 (over 65 years) and 55,695 (under 65 years), the Primary Care orders, if taken up fully with minimal wastage, would result in increases in uptake from 2024-25 particularly in the under 65 years cohort, which will require significant focus and detailed planning to achieve. </w:t>
      </w:r>
    </w:p>
    <w:p w14:paraId="5E7508DF"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The SBUHB order was overseen by the local implementation group and data that fed into local Implementation group meetings on 24</w:t>
      </w:r>
      <w:r w:rsidRPr="00083705">
        <w:rPr>
          <w:rFonts w:ascii="Verdana" w:hAnsi="Verdana" w:cs="Arial"/>
          <w:sz w:val="24"/>
          <w:szCs w:val="24"/>
          <w:vertAlign w:val="superscript"/>
        </w:rPr>
        <w:t>th</w:t>
      </w:r>
      <w:r w:rsidRPr="00083705">
        <w:rPr>
          <w:rFonts w:ascii="Verdana" w:hAnsi="Verdana" w:cs="Arial"/>
          <w:sz w:val="24"/>
          <w:szCs w:val="24"/>
        </w:rPr>
        <w:t xml:space="preserve"> and 28</w:t>
      </w:r>
      <w:r w:rsidRPr="00083705">
        <w:rPr>
          <w:rFonts w:ascii="Verdana" w:hAnsi="Verdana" w:cs="Arial"/>
          <w:sz w:val="24"/>
          <w:szCs w:val="24"/>
          <w:vertAlign w:val="superscript"/>
        </w:rPr>
        <w:t>th</w:t>
      </w:r>
      <w:r w:rsidRPr="00083705">
        <w:rPr>
          <w:rFonts w:ascii="Verdana" w:hAnsi="Verdana" w:cs="Arial"/>
          <w:sz w:val="24"/>
          <w:szCs w:val="24"/>
        </w:rPr>
        <w:t xml:space="preserve"> February for consideration included:</w:t>
      </w:r>
    </w:p>
    <w:p w14:paraId="4AE243C7" w14:textId="77777777"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t>Target uptake levels for cohorts: 75%;</w:t>
      </w:r>
    </w:p>
    <w:p w14:paraId="654F114B" w14:textId="77777777"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t>Uptake rates achieved in 2024-25 to date of 68.5% (over 65s) and 33.7% (under 65 at risk) *this incorporated CP activity within the data extracted and presented on IVOR;</w:t>
      </w:r>
    </w:p>
    <w:p w14:paraId="25574895" w14:textId="1E907EF6"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lastRenderedPageBreak/>
        <w:t>Uptake rates achieved in 2023-24 of 69.5% (over 65s) and 35.6% (under 65 at risk) *this incorporated CP activity within the data extracted and presented on IVOR;</w:t>
      </w:r>
    </w:p>
    <w:p w14:paraId="208849E8" w14:textId="77777777"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t>Individual GMS practice’s claims data for 2023-24 and 2024-25 to date for both cohorts;</w:t>
      </w:r>
    </w:p>
    <w:p w14:paraId="27881197" w14:textId="77777777"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t>All practice orders over the above verifications; and</w:t>
      </w:r>
    </w:p>
    <w:p w14:paraId="2A178C33" w14:textId="52F578ED" w:rsidR="0035745E" w:rsidRPr="00083705" w:rsidRDefault="0035745E" w:rsidP="0035745E">
      <w:pPr>
        <w:pStyle w:val="ListParagraph"/>
        <w:numPr>
          <w:ilvl w:val="0"/>
          <w:numId w:val="18"/>
        </w:numPr>
        <w:spacing w:after="0" w:line="240" w:lineRule="auto"/>
        <w:contextualSpacing w:val="0"/>
        <w:jc w:val="both"/>
        <w:rPr>
          <w:rFonts w:ascii="Verdana" w:hAnsi="Verdana" w:cs="Arial"/>
          <w:sz w:val="24"/>
          <w:szCs w:val="24"/>
        </w:rPr>
      </w:pPr>
      <w:r w:rsidRPr="00083705">
        <w:rPr>
          <w:rFonts w:ascii="Verdana" w:hAnsi="Verdana" w:cs="Arial"/>
          <w:sz w:val="24"/>
          <w:szCs w:val="24"/>
        </w:rPr>
        <w:t>Pack size (x10) misread errors amended.</w:t>
      </w:r>
    </w:p>
    <w:p w14:paraId="2E2CFB55" w14:textId="77777777" w:rsidR="00595B5F" w:rsidRPr="00083705" w:rsidRDefault="00595B5F" w:rsidP="00595B5F">
      <w:pPr>
        <w:spacing w:after="0" w:line="240" w:lineRule="auto"/>
        <w:ind w:left="360"/>
        <w:jc w:val="both"/>
        <w:rPr>
          <w:rFonts w:ascii="Verdana" w:hAnsi="Verdana" w:cs="Arial"/>
          <w:sz w:val="24"/>
          <w:szCs w:val="24"/>
        </w:rPr>
      </w:pPr>
    </w:p>
    <w:p w14:paraId="6A54A1D3" w14:textId="77777777" w:rsidR="0035745E" w:rsidRPr="00083705" w:rsidRDefault="0035745E" w:rsidP="00595B5F">
      <w:pPr>
        <w:jc w:val="both"/>
        <w:rPr>
          <w:rFonts w:ascii="Verdana" w:hAnsi="Verdana" w:cs="Arial"/>
          <w:sz w:val="24"/>
          <w:szCs w:val="24"/>
        </w:rPr>
      </w:pPr>
      <w:r w:rsidRPr="00083705">
        <w:rPr>
          <w:rFonts w:ascii="Verdana" w:hAnsi="Verdana" w:cs="Arial"/>
          <w:sz w:val="24"/>
          <w:szCs w:val="24"/>
        </w:rPr>
        <w:t xml:space="preserve">Contractors were contacted by Primary Care Teams where they had ordered </w:t>
      </w:r>
      <w:r w:rsidRPr="00083705">
        <w:rPr>
          <w:rFonts w:ascii="Verdana" w:hAnsi="Verdana" w:cs="Arial"/>
          <w:bCs/>
          <w:sz w:val="24"/>
          <w:szCs w:val="24"/>
        </w:rPr>
        <w:t>significantly</w:t>
      </w:r>
      <w:r w:rsidRPr="00083705">
        <w:rPr>
          <w:rFonts w:ascii="Verdana" w:hAnsi="Verdana" w:cs="Arial"/>
          <w:sz w:val="24"/>
          <w:szCs w:val="24"/>
        </w:rPr>
        <w:t xml:space="preserve"> more than what they had delivered in previous seasons, often this was due to confusion around the pack sizes and was easily rectified and amended.  Two Pharmacies were contacted as they had </w:t>
      </w:r>
      <w:r w:rsidRPr="00083705">
        <w:rPr>
          <w:rFonts w:ascii="Verdana" w:hAnsi="Verdana" w:cs="Arial"/>
          <w:bCs/>
          <w:sz w:val="24"/>
          <w:szCs w:val="24"/>
        </w:rPr>
        <w:t>ordered more</w:t>
      </w:r>
      <w:r w:rsidRPr="00083705">
        <w:rPr>
          <w:rFonts w:ascii="Verdana" w:hAnsi="Verdana" w:cs="Arial"/>
          <w:sz w:val="24"/>
          <w:szCs w:val="24"/>
        </w:rPr>
        <w:t xml:space="preserve"> than what they have delivered last season, both contractors confirmed that the amount ordered was accurate as they plan to increase their activity.  A number of Community Pharmacy Contractors were also contacted due to </w:t>
      </w:r>
      <w:r w:rsidRPr="00083705">
        <w:rPr>
          <w:rFonts w:ascii="Verdana" w:hAnsi="Verdana" w:cs="Arial"/>
          <w:bCs/>
          <w:sz w:val="24"/>
          <w:szCs w:val="24"/>
        </w:rPr>
        <w:t>ordering slightly less</w:t>
      </w:r>
      <w:r w:rsidRPr="00083705">
        <w:rPr>
          <w:rFonts w:ascii="Verdana" w:hAnsi="Verdana" w:cs="Arial"/>
          <w:sz w:val="24"/>
          <w:szCs w:val="24"/>
        </w:rPr>
        <w:t xml:space="preserve"> than last year’s delivery, they confirmed that the order is accurate and reflects their business priorities for the forthcoming season.  Finally, any duplicate orders were amended and dates for additional deliveries agreed where fridge capacity could not accommodate orders.</w:t>
      </w:r>
    </w:p>
    <w:p w14:paraId="4BD111F7"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Following submission, some orders were further reduced at the request of the national team, i.e. the final order submitted by the Health Board was not accepted without reducing some of the orders.  However, all contractors have 100% + of last season’s delivery providing they have requested this. Stock held and Cefn Coed Pharmacy will also be allocated if required including the option to place ‘emergency orders’.</w:t>
      </w:r>
    </w:p>
    <w:p w14:paraId="2EAB034E" w14:textId="77777777" w:rsidR="0035745E" w:rsidRPr="00083705" w:rsidRDefault="0035745E" w:rsidP="0035745E">
      <w:pPr>
        <w:spacing w:before="240"/>
        <w:jc w:val="both"/>
        <w:rPr>
          <w:rFonts w:ascii="Verdana" w:hAnsi="Verdana" w:cs="Arial"/>
          <w:bCs/>
          <w:sz w:val="24"/>
          <w:szCs w:val="24"/>
        </w:rPr>
      </w:pPr>
      <w:r w:rsidRPr="00083705">
        <w:rPr>
          <w:rFonts w:ascii="Verdana" w:hAnsi="Verdana" w:cs="Arial"/>
          <w:bCs/>
          <w:sz w:val="24"/>
          <w:szCs w:val="24"/>
        </w:rPr>
        <w:t>GMS Practices will continue to order Fluenz for the children’s programme via ImmForm commencing at the start of, and throughout, the 2025-26 season.</w:t>
      </w:r>
    </w:p>
    <w:p w14:paraId="71AA8141"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SBU Primary Care Academy have immunisations and vaccinations training sessions booked for summer 2025, with two dates for practice nurses and one for healthcare support workers.</w:t>
      </w:r>
    </w:p>
    <w:p w14:paraId="3A3D749F" w14:textId="4A496CC2" w:rsidR="0035745E" w:rsidRPr="00083705" w:rsidRDefault="0035745E" w:rsidP="0035745E">
      <w:pPr>
        <w:spacing w:after="0" w:line="240" w:lineRule="auto"/>
        <w:rPr>
          <w:rFonts w:ascii="Verdana" w:hAnsi="Verdana" w:cs="Arial"/>
          <w:b/>
          <w:sz w:val="24"/>
          <w:szCs w:val="24"/>
        </w:rPr>
      </w:pPr>
    </w:p>
    <w:p w14:paraId="6D290422" w14:textId="53E08B1F" w:rsidR="00653AEC" w:rsidRPr="00083705" w:rsidRDefault="00653AEC" w:rsidP="00653AEC">
      <w:pPr>
        <w:pStyle w:val="ListParagraph"/>
        <w:numPr>
          <w:ilvl w:val="0"/>
          <w:numId w:val="1"/>
        </w:numPr>
        <w:spacing w:after="0" w:line="240" w:lineRule="auto"/>
        <w:rPr>
          <w:rFonts w:ascii="Verdana" w:hAnsi="Verdana" w:cs="Arial"/>
          <w:b/>
          <w:sz w:val="24"/>
          <w:szCs w:val="24"/>
        </w:rPr>
      </w:pPr>
      <w:r w:rsidRPr="00083705">
        <w:rPr>
          <w:rFonts w:ascii="Verdana" w:hAnsi="Verdana" w:cs="Arial"/>
          <w:b/>
          <w:sz w:val="24"/>
          <w:szCs w:val="24"/>
        </w:rPr>
        <w:t>GOVERNANCE AND RISK ISSUES</w:t>
      </w:r>
    </w:p>
    <w:p w14:paraId="6845FC3A" w14:textId="33E7EA06" w:rsidR="001977EF" w:rsidRPr="00083705" w:rsidRDefault="001977EF" w:rsidP="001977EF">
      <w:pPr>
        <w:spacing w:after="0" w:line="240" w:lineRule="auto"/>
        <w:ind w:left="360"/>
        <w:rPr>
          <w:rFonts w:ascii="Verdana" w:hAnsi="Verdana" w:cs="Arial"/>
          <w:b/>
          <w:sz w:val="24"/>
          <w:szCs w:val="24"/>
        </w:rPr>
      </w:pPr>
    </w:p>
    <w:p w14:paraId="3FC12B7C" w14:textId="77777777" w:rsidR="0035745E" w:rsidRPr="00083705" w:rsidRDefault="0035745E" w:rsidP="0035745E">
      <w:pPr>
        <w:pStyle w:val="NoSpacing"/>
        <w:jc w:val="both"/>
        <w:rPr>
          <w:rFonts w:ascii="Verdana" w:hAnsi="Verdana" w:cs="Arial"/>
          <w:sz w:val="24"/>
          <w:szCs w:val="24"/>
        </w:rPr>
      </w:pPr>
      <w:r w:rsidRPr="00083705">
        <w:rPr>
          <w:rFonts w:ascii="Verdana" w:hAnsi="Verdana" w:cs="Arial"/>
          <w:sz w:val="24"/>
          <w:szCs w:val="24"/>
        </w:rPr>
        <w:t>Overall, uptake of the Influenza vaccination in Swansea Bay University Health Board for 2024-25 was lower than the previous year.   This was despite planning for improved uptake.</w:t>
      </w:r>
    </w:p>
    <w:p w14:paraId="70ADFE4C" w14:textId="77777777" w:rsidR="0035745E" w:rsidRPr="00083705" w:rsidRDefault="0035745E" w:rsidP="0035745E">
      <w:pPr>
        <w:rPr>
          <w:rFonts w:ascii="Verdana" w:hAnsi="Verdana" w:cs="Arial"/>
          <w:sz w:val="24"/>
          <w:szCs w:val="24"/>
        </w:rPr>
      </w:pPr>
      <w:r w:rsidRPr="00083705">
        <w:rPr>
          <w:rFonts w:ascii="Verdana" w:hAnsi="Verdana" w:cs="Arial"/>
          <w:sz w:val="24"/>
          <w:szCs w:val="24"/>
        </w:rPr>
        <w:t xml:space="preserve">Welsh Government has advised SBUHB that flu vaccines will be procured centrally in 2025/26, and that the health board’s allocation will be reduced by £1.34m to accommodate this change. This has been assessed as being cost neutral to the health board if current levels of uptake </w:t>
      </w:r>
      <w:r w:rsidRPr="00083705">
        <w:rPr>
          <w:rFonts w:ascii="Verdana" w:hAnsi="Verdana" w:cs="Arial"/>
          <w:sz w:val="24"/>
          <w:szCs w:val="24"/>
        </w:rPr>
        <w:lastRenderedPageBreak/>
        <w:t>remain. However Welsh Government have an uptake target expectation of 75%. If this were to be achieved, then the fees paid to Primary Care Contractors would increase by around £300k.</w:t>
      </w:r>
    </w:p>
    <w:p w14:paraId="5E01AA09" w14:textId="77777777" w:rsidR="0035745E" w:rsidRPr="00083705" w:rsidRDefault="0035745E" w:rsidP="0035745E">
      <w:pPr>
        <w:rPr>
          <w:rFonts w:ascii="Verdana" w:hAnsi="Verdana" w:cs="Arial"/>
          <w:bCs/>
          <w:sz w:val="24"/>
          <w:szCs w:val="24"/>
        </w:rPr>
      </w:pPr>
      <w:r w:rsidRPr="00083705">
        <w:rPr>
          <w:rFonts w:ascii="Verdana" w:hAnsi="Verdana" w:cs="Arial"/>
          <w:sz w:val="24"/>
          <w:szCs w:val="24"/>
        </w:rPr>
        <w:t>The delay in receiving the f</w:t>
      </w:r>
      <w:r w:rsidRPr="00083705">
        <w:rPr>
          <w:rFonts w:ascii="Verdana" w:hAnsi="Verdana" w:cs="Arial"/>
          <w:bCs/>
          <w:sz w:val="24"/>
          <w:szCs w:val="24"/>
        </w:rPr>
        <w:t xml:space="preserve">inalised commissioning specification means arrangements for 25/26 programme cannot yet be confirmed.  There is a need to ensure that the planning learns from lessons and areas of good practice to ensure no risk of challenge and improved uptake. </w:t>
      </w:r>
    </w:p>
    <w:p w14:paraId="00E50200" w14:textId="77777777" w:rsidR="0035745E" w:rsidRPr="00083705" w:rsidRDefault="0035745E" w:rsidP="0035745E">
      <w:pPr>
        <w:jc w:val="both"/>
        <w:rPr>
          <w:rFonts w:ascii="Verdana" w:hAnsi="Verdana" w:cs="Arial"/>
          <w:sz w:val="24"/>
          <w:szCs w:val="24"/>
        </w:rPr>
      </w:pPr>
      <w:r w:rsidRPr="00083705">
        <w:rPr>
          <w:rFonts w:ascii="Verdana" w:hAnsi="Verdana" w:cs="Arial"/>
          <w:sz w:val="24"/>
          <w:szCs w:val="24"/>
        </w:rPr>
        <w:t>Planning will continue through the WRVPPG and will focus on increasing uptake for 25/26.</w:t>
      </w:r>
    </w:p>
    <w:p w14:paraId="6C8A6E99" w14:textId="77777777" w:rsidR="0035745E" w:rsidRPr="00083705" w:rsidRDefault="0035745E" w:rsidP="0035745E">
      <w:pPr>
        <w:rPr>
          <w:rFonts w:ascii="Verdana" w:hAnsi="Verdana" w:cs="Arial"/>
          <w:sz w:val="24"/>
          <w:szCs w:val="24"/>
        </w:rPr>
      </w:pPr>
      <w:r w:rsidRPr="00083705">
        <w:rPr>
          <w:rFonts w:ascii="Verdana" w:hAnsi="Verdana" w:cs="Arial"/>
          <w:sz w:val="24"/>
          <w:szCs w:val="24"/>
        </w:rPr>
        <w:t xml:space="preserve">The central procurement of flu is a new process and has risks associated with planning and delivering. To mitigate any risks to low stock locally arrangements are being confirmed for allocation of health board held stock from Cefn Coed Pharmacy in addition to in-programme emergency orders. </w:t>
      </w:r>
    </w:p>
    <w:p w14:paraId="6D290426" w14:textId="77777777" w:rsidR="00653AEC" w:rsidRPr="00083705" w:rsidRDefault="00653AEC" w:rsidP="00653AEC">
      <w:pPr>
        <w:pStyle w:val="ListParagraph"/>
        <w:spacing w:after="0" w:line="240" w:lineRule="auto"/>
        <w:rPr>
          <w:rFonts w:ascii="Verdana" w:hAnsi="Verdana" w:cs="Arial"/>
          <w:b/>
          <w:sz w:val="24"/>
          <w:szCs w:val="24"/>
        </w:rPr>
      </w:pPr>
    </w:p>
    <w:p w14:paraId="6D290427" w14:textId="77777777" w:rsidR="00653AEC" w:rsidRPr="00083705" w:rsidRDefault="00653AEC" w:rsidP="00653AEC">
      <w:pPr>
        <w:pStyle w:val="ListParagraph"/>
        <w:numPr>
          <w:ilvl w:val="0"/>
          <w:numId w:val="1"/>
        </w:numPr>
        <w:spacing w:after="0" w:line="240" w:lineRule="auto"/>
        <w:rPr>
          <w:rFonts w:ascii="Verdana" w:hAnsi="Verdana" w:cs="Arial"/>
          <w:b/>
          <w:sz w:val="24"/>
          <w:szCs w:val="24"/>
        </w:rPr>
      </w:pPr>
      <w:r w:rsidRPr="00083705">
        <w:rPr>
          <w:rFonts w:ascii="Verdana" w:hAnsi="Verdana" w:cs="Arial"/>
          <w:b/>
          <w:sz w:val="24"/>
          <w:szCs w:val="24"/>
        </w:rPr>
        <w:t xml:space="preserve"> FINANCIAL IMPLICATIONS</w:t>
      </w:r>
    </w:p>
    <w:p w14:paraId="36A6E307" w14:textId="77777777" w:rsidR="00083705" w:rsidRPr="00083705" w:rsidRDefault="00083705" w:rsidP="00083705">
      <w:pPr>
        <w:spacing w:after="0" w:line="240" w:lineRule="auto"/>
        <w:ind w:left="360"/>
        <w:rPr>
          <w:rFonts w:ascii="Verdana" w:hAnsi="Verdana" w:cs="Arial"/>
          <w:b/>
          <w:sz w:val="24"/>
          <w:szCs w:val="24"/>
        </w:rPr>
      </w:pPr>
    </w:p>
    <w:p w14:paraId="55FCF1B1" w14:textId="77777777" w:rsidR="00BD4C12" w:rsidRPr="00083705" w:rsidRDefault="00BD4C12" w:rsidP="00BD4C12">
      <w:pPr>
        <w:jc w:val="both"/>
        <w:rPr>
          <w:rFonts w:ascii="Verdana" w:hAnsi="Verdana" w:cs="Arial"/>
          <w:sz w:val="24"/>
          <w:szCs w:val="24"/>
          <w:highlight w:val="yellow"/>
        </w:rPr>
      </w:pPr>
      <w:r w:rsidRPr="00083705">
        <w:rPr>
          <w:rFonts w:ascii="Verdana" w:hAnsi="Verdana" w:cs="Arial"/>
          <w:sz w:val="24"/>
          <w:szCs w:val="24"/>
        </w:rPr>
        <w:t xml:space="preserve">The total cost for the Influenza programme 2024-25, paid to GMS Contractors in SBUHB to date was almost £705K (Item of Service) as well as circa £688K (Drug Tariff Reimbursement) totalling an estimated £1.41m.  </w:t>
      </w:r>
    </w:p>
    <w:p w14:paraId="63D0F801" w14:textId="77777777" w:rsidR="00BD4C12" w:rsidRPr="00083705" w:rsidRDefault="00BD4C12" w:rsidP="00BD4C12">
      <w:pPr>
        <w:rPr>
          <w:rFonts w:ascii="Verdana" w:hAnsi="Verdana" w:cs="Arial"/>
          <w:sz w:val="24"/>
          <w:szCs w:val="24"/>
        </w:rPr>
      </w:pPr>
      <w:r w:rsidRPr="00083705">
        <w:rPr>
          <w:rFonts w:ascii="Verdana" w:hAnsi="Verdana" w:cs="Arial"/>
          <w:sz w:val="24"/>
          <w:szCs w:val="24"/>
        </w:rPr>
        <w:t xml:space="preserve">The Community Pharmacy 2024-25 flu cost currently stands at £459,239. </w:t>
      </w:r>
    </w:p>
    <w:p w14:paraId="62C71CFF" w14:textId="77777777" w:rsidR="00BD4C12" w:rsidRPr="00083705" w:rsidRDefault="00BD4C12" w:rsidP="00BD4C12">
      <w:pPr>
        <w:pStyle w:val="Default"/>
        <w:jc w:val="both"/>
        <w:rPr>
          <w:rFonts w:ascii="Verdana" w:hAnsi="Verdana" w:cs="Arial"/>
        </w:rPr>
      </w:pPr>
      <w:r w:rsidRPr="00083705">
        <w:rPr>
          <w:rFonts w:ascii="Verdana" w:hAnsi="Verdana" w:cs="Arial"/>
        </w:rPr>
        <w:t xml:space="preserve">Welsh Government wrote to SBUHB in November 2024 explaining that to fund the new system of centrally procuring, storing and distributing vaccine, the Welsh Government will retain a proportion of the overall funding currently spent by health boards on flu vaccine procurement and personally administered vaccines. It also noted that because of the savings made through a central procurement model, the amount of funding retained in 2025-26 will be significantly less than the sum currently spent by health boards. </w:t>
      </w:r>
    </w:p>
    <w:p w14:paraId="0BB04C4A" w14:textId="77777777" w:rsidR="00BD4C12" w:rsidRPr="00083705" w:rsidRDefault="00BD4C12" w:rsidP="00BD4C12">
      <w:pPr>
        <w:pStyle w:val="Default"/>
        <w:jc w:val="both"/>
        <w:rPr>
          <w:rFonts w:ascii="Verdana" w:hAnsi="Verdana" w:cs="Arial"/>
        </w:rPr>
      </w:pPr>
      <w:r w:rsidRPr="00083705">
        <w:rPr>
          <w:rFonts w:ascii="Verdana" w:hAnsi="Verdana" w:cs="Arial"/>
        </w:rPr>
        <w:t>The letter shared details of the impact of this change on the health board’s budget. To ensure the figures are commensurate with existing levels of expenditure, the amounts set out below are based on the proportion of population eligible for flu vaccination. They also take into account the health board split between the amount spent reimbursing procurement undertaken by General Medical Services and that spent on other procurement routes.</w:t>
      </w:r>
    </w:p>
    <w:p w14:paraId="056B6AB5" w14:textId="77777777" w:rsidR="00BD4C12" w:rsidRPr="00083705" w:rsidRDefault="00BD4C12" w:rsidP="00BD4C12">
      <w:pPr>
        <w:pStyle w:val="Default"/>
        <w:jc w:val="both"/>
        <w:rPr>
          <w:rFonts w:ascii="Verdana" w:hAnsi="Verdana" w:cs="Arial"/>
          <w:bCs/>
        </w:rPr>
      </w:pPr>
      <w:r w:rsidRPr="00083705">
        <w:rPr>
          <w:rFonts w:ascii="Verdana" w:hAnsi="Verdana" w:cs="Arial"/>
        </w:rPr>
        <w:t xml:space="preserve">Whilst costs regarding Drug Tariff Reimbursement are mitigated due to Central Procurement and ImmForm ordering, the draft Commissioning arrangement described remuneration to be the standard Item of Service fee (currently £10.03 per dose) plus a time limited top-up of £2.75 per </w:t>
      </w:r>
      <w:r w:rsidRPr="00083705">
        <w:rPr>
          <w:rFonts w:ascii="Verdana" w:hAnsi="Verdana" w:cs="Arial"/>
        </w:rPr>
        <w:lastRenderedPageBreak/>
        <w:t>dose.  If all vaccines ordered for Contractors are taken up, this will cost SBUHB almost £1.18m.</w:t>
      </w:r>
    </w:p>
    <w:p w14:paraId="6D290429" w14:textId="77777777" w:rsidR="00653AEC" w:rsidRPr="00083705" w:rsidRDefault="00653AEC" w:rsidP="00083705">
      <w:pPr>
        <w:spacing w:after="0" w:line="240" w:lineRule="auto"/>
        <w:rPr>
          <w:rFonts w:ascii="Verdana" w:hAnsi="Verdana" w:cs="Arial"/>
          <w:b/>
          <w:sz w:val="24"/>
          <w:szCs w:val="24"/>
        </w:rPr>
      </w:pPr>
    </w:p>
    <w:p w14:paraId="6D29042A" w14:textId="77777777" w:rsidR="00653AEC" w:rsidRPr="00083705" w:rsidRDefault="00653AEC" w:rsidP="00653AEC">
      <w:pPr>
        <w:pStyle w:val="ListParagraph"/>
        <w:numPr>
          <w:ilvl w:val="0"/>
          <w:numId w:val="1"/>
        </w:numPr>
        <w:spacing w:after="0" w:line="240" w:lineRule="auto"/>
        <w:rPr>
          <w:rFonts w:ascii="Verdana" w:hAnsi="Verdana" w:cs="Arial"/>
          <w:b/>
          <w:sz w:val="24"/>
          <w:szCs w:val="24"/>
        </w:rPr>
      </w:pPr>
      <w:r w:rsidRPr="00083705">
        <w:rPr>
          <w:rFonts w:ascii="Verdana" w:hAnsi="Verdana" w:cs="Arial"/>
          <w:b/>
          <w:sz w:val="24"/>
          <w:szCs w:val="24"/>
        </w:rPr>
        <w:t>RECOMMENDATION</w:t>
      </w:r>
    </w:p>
    <w:p w14:paraId="4C56C6BB" w14:textId="77777777" w:rsidR="00BD4C12" w:rsidRPr="00083705" w:rsidRDefault="00BD4C12" w:rsidP="00653AEC">
      <w:pPr>
        <w:pStyle w:val="Default"/>
        <w:rPr>
          <w:rFonts w:ascii="Verdana" w:hAnsi="Verdana" w:cs="Arial"/>
          <w:color w:val="FF0000"/>
        </w:rPr>
      </w:pPr>
    </w:p>
    <w:p w14:paraId="6A7C8B2B" w14:textId="77777777" w:rsidR="00083705" w:rsidRPr="00083705" w:rsidRDefault="00083705" w:rsidP="00083705">
      <w:pPr>
        <w:ind w:right="96"/>
        <w:rPr>
          <w:rFonts w:ascii="Verdana" w:hAnsi="Verdana" w:cs="Arial"/>
          <w:sz w:val="24"/>
          <w:szCs w:val="24"/>
        </w:rPr>
      </w:pPr>
      <w:r w:rsidRPr="00083705">
        <w:rPr>
          <w:rFonts w:ascii="Verdana" w:hAnsi="Verdana" w:cs="Arial"/>
          <w:sz w:val="24"/>
          <w:szCs w:val="24"/>
        </w:rPr>
        <w:t>Members are asked to:</w:t>
      </w:r>
    </w:p>
    <w:p w14:paraId="46F3D47E" w14:textId="77777777" w:rsidR="00083705" w:rsidRPr="00083705" w:rsidRDefault="00083705" w:rsidP="00083705">
      <w:pPr>
        <w:pStyle w:val="ListParagraph"/>
        <w:numPr>
          <w:ilvl w:val="0"/>
          <w:numId w:val="6"/>
        </w:numPr>
        <w:spacing w:after="120"/>
        <w:ind w:right="96"/>
        <w:jc w:val="both"/>
        <w:rPr>
          <w:rFonts w:ascii="Verdana" w:hAnsi="Verdana" w:cs="Arial"/>
          <w:sz w:val="24"/>
          <w:szCs w:val="24"/>
        </w:rPr>
      </w:pPr>
      <w:r w:rsidRPr="00083705">
        <w:rPr>
          <w:rFonts w:ascii="Verdana" w:hAnsi="Verdana" w:cs="Arial"/>
          <w:b/>
          <w:bCs/>
          <w:sz w:val="24"/>
          <w:szCs w:val="24"/>
        </w:rPr>
        <w:t xml:space="preserve">RECEIVE </w:t>
      </w:r>
      <w:r w:rsidRPr="00083705">
        <w:rPr>
          <w:rFonts w:ascii="Verdana" w:hAnsi="Verdana" w:cs="Arial"/>
          <w:sz w:val="24"/>
          <w:szCs w:val="24"/>
        </w:rPr>
        <w:t xml:space="preserve">the uptake report on the 2024-25 Influenza vaccination campaign, which shows a reduction in uptake for 24/25. </w:t>
      </w:r>
    </w:p>
    <w:p w14:paraId="132BB533" w14:textId="77777777" w:rsidR="00083705" w:rsidRPr="00083705" w:rsidRDefault="00083705" w:rsidP="00083705">
      <w:pPr>
        <w:numPr>
          <w:ilvl w:val="0"/>
          <w:numId w:val="6"/>
        </w:numPr>
        <w:spacing w:after="120"/>
        <w:ind w:right="96"/>
        <w:jc w:val="both"/>
        <w:rPr>
          <w:rFonts w:ascii="Verdana" w:hAnsi="Verdana" w:cs="Arial"/>
          <w:sz w:val="24"/>
          <w:szCs w:val="24"/>
        </w:rPr>
      </w:pPr>
      <w:r w:rsidRPr="00083705">
        <w:rPr>
          <w:rFonts w:ascii="Verdana" w:hAnsi="Verdana" w:cs="Arial"/>
          <w:b/>
          <w:bCs/>
          <w:sz w:val="24"/>
          <w:szCs w:val="24"/>
        </w:rPr>
        <w:t xml:space="preserve">BE ASSURED </w:t>
      </w:r>
      <w:r w:rsidRPr="00083705">
        <w:rPr>
          <w:rFonts w:ascii="Verdana" w:hAnsi="Verdana" w:cs="Arial"/>
          <w:sz w:val="24"/>
          <w:szCs w:val="24"/>
        </w:rPr>
        <w:t>that the</w:t>
      </w:r>
      <w:r w:rsidRPr="00083705">
        <w:rPr>
          <w:rFonts w:ascii="Verdana" w:hAnsi="Verdana" w:cs="Arial"/>
          <w:b/>
          <w:bCs/>
          <w:sz w:val="24"/>
          <w:szCs w:val="24"/>
        </w:rPr>
        <w:t xml:space="preserve"> </w:t>
      </w:r>
      <w:r w:rsidRPr="00083705">
        <w:rPr>
          <w:rFonts w:ascii="Verdana" w:hAnsi="Verdana" w:cs="Arial"/>
          <w:sz w:val="24"/>
          <w:szCs w:val="24"/>
        </w:rPr>
        <w:t>SBUHB</w:t>
      </w:r>
      <w:r w:rsidRPr="00083705">
        <w:rPr>
          <w:rFonts w:ascii="Verdana" w:hAnsi="Verdana" w:cs="Arial"/>
          <w:b/>
          <w:bCs/>
          <w:sz w:val="24"/>
          <w:szCs w:val="24"/>
        </w:rPr>
        <w:t xml:space="preserve"> </w:t>
      </w:r>
      <w:r w:rsidRPr="00083705">
        <w:rPr>
          <w:rFonts w:ascii="Verdana" w:hAnsi="Verdana" w:cs="Arial"/>
          <w:sz w:val="24"/>
          <w:szCs w:val="24"/>
        </w:rPr>
        <w:t>Winter Respiratory Vaccination Programme Planning Group (WRVPPG) will take forward the planning and actions to improve uptake for 25/26.</w:t>
      </w:r>
    </w:p>
    <w:p w14:paraId="0CB56CCD" w14:textId="77777777" w:rsidR="00083705" w:rsidRPr="00083705" w:rsidRDefault="00083705" w:rsidP="00083705">
      <w:pPr>
        <w:pStyle w:val="ListParagraph"/>
        <w:numPr>
          <w:ilvl w:val="0"/>
          <w:numId w:val="6"/>
        </w:numPr>
        <w:ind w:right="96"/>
        <w:rPr>
          <w:rFonts w:ascii="Verdana" w:hAnsi="Verdana" w:cs="Arial"/>
          <w:b/>
          <w:color w:val="FF0000"/>
          <w:sz w:val="24"/>
          <w:szCs w:val="24"/>
        </w:rPr>
      </w:pPr>
      <w:r w:rsidRPr="00083705">
        <w:rPr>
          <w:rFonts w:ascii="Verdana" w:hAnsi="Verdana" w:cs="Arial"/>
          <w:b/>
          <w:bCs/>
          <w:sz w:val="24"/>
          <w:szCs w:val="24"/>
        </w:rPr>
        <w:t xml:space="preserve">BE ASSURED </w:t>
      </w:r>
      <w:r w:rsidRPr="00083705">
        <w:rPr>
          <w:rFonts w:ascii="Verdana" w:hAnsi="Verdana" w:cs="Arial"/>
          <w:sz w:val="24"/>
          <w:szCs w:val="24"/>
        </w:rPr>
        <w:t>on the process taken for the order of central procurement of influenza vaccinations in 2025-26, which was undertaken in line with the national requirements.</w:t>
      </w:r>
    </w:p>
    <w:p w14:paraId="387B4835" w14:textId="43A0D919" w:rsidR="00865130" w:rsidRPr="00083705" w:rsidRDefault="00865130" w:rsidP="00083705">
      <w:pPr>
        <w:pStyle w:val="ListParagraph"/>
        <w:numPr>
          <w:ilvl w:val="0"/>
          <w:numId w:val="6"/>
        </w:numPr>
        <w:ind w:right="96"/>
        <w:rPr>
          <w:rFonts w:ascii="Verdana" w:hAnsi="Verdana" w:cs="Arial"/>
          <w:b/>
          <w:color w:val="FF0000"/>
          <w:sz w:val="24"/>
          <w:szCs w:val="24"/>
        </w:rPr>
      </w:pPr>
      <w:r w:rsidRPr="00083705">
        <w:rPr>
          <w:rFonts w:ascii="Verdana" w:hAnsi="Verdana" w:cs="Arial"/>
          <w:b/>
          <w:bCs/>
          <w:sz w:val="24"/>
          <w:szCs w:val="24"/>
        </w:rPr>
        <w:t xml:space="preserve">NOTE </w:t>
      </w:r>
      <w:r w:rsidRPr="00083705">
        <w:rPr>
          <w:rFonts w:ascii="Verdana" w:hAnsi="Verdana" w:cs="Arial"/>
          <w:sz w:val="24"/>
          <w:szCs w:val="24"/>
        </w:rPr>
        <w:t xml:space="preserve">the </w:t>
      </w:r>
      <w:r w:rsidR="005A4CC9" w:rsidRPr="00083705">
        <w:rPr>
          <w:rFonts w:ascii="Verdana" w:hAnsi="Verdana" w:cs="Arial"/>
          <w:sz w:val="24"/>
          <w:szCs w:val="24"/>
        </w:rPr>
        <w:t>financial cost if all vaccine ordered</w:t>
      </w:r>
      <w:r w:rsidR="00FA4187" w:rsidRPr="00083705">
        <w:rPr>
          <w:rFonts w:ascii="Verdana" w:hAnsi="Verdana" w:cs="Arial"/>
          <w:sz w:val="24"/>
          <w:szCs w:val="24"/>
        </w:rPr>
        <w:t xml:space="preserve"> by the Health Board are administered.</w:t>
      </w:r>
    </w:p>
    <w:p w14:paraId="7525C8B8" w14:textId="77777777" w:rsidR="00463288" w:rsidRPr="00083705" w:rsidRDefault="00463288" w:rsidP="00463288">
      <w:pPr>
        <w:spacing w:after="120" w:line="240" w:lineRule="auto"/>
        <w:ind w:right="96"/>
        <w:jc w:val="both"/>
        <w:rPr>
          <w:rFonts w:ascii="Verdana" w:hAnsi="Verdana" w:cs="Arial"/>
          <w:sz w:val="24"/>
          <w:szCs w:val="24"/>
        </w:rPr>
      </w:pPr>
    </w:p>
    <w:p w14:paraId="4959E073" w14:textId="4FDE3C76" w:rsidR="00463288" w:rsidRPr="00083705" w:rsidRDefault="00463288" w:rsidP="00463288">
      <w:pPr>
        <w:spacing w:after="120" w:line="240" w:lineRule="auto"/>
        <w:ind w:right="96"/>
        <w:jc w:val="both"/>
        <w:rPr>
          <w:rFonts w:ascii="Verdana" w:hAnsi="Verdana" w:cs="Arial"/>
          <w:sz w:val="24"/>
          <w:szCs w:val="24"/>
        </w:rPr>
        <w:sectPr w:rsidR="00463288" w:rsidRPr="00083705" w:rsidSect="00083705">
          <w:headerReference w:type="default" r:id="rId14"/>
          <w:footerReference w:type="default" r:id="rId15"/>
          <w:pgSz w:w="11906" w:h="16838"/>
          <w:pgMar w:top="1843" w:right="1440" w:bottom="1440" w:left="1440" w:header="567" w:footer="454" w:gutter="0"/>
          <w:cols w:space="708"/>
          <w:docGrid w:linePitch="360"/>
        </w:sectPr>
      </w:pPr>
      <w:r w:rsidRPr="00083705">
        <w:rPr>
          <w:rFonts w:ascii="Verdana" w:hAnsi="Verdana" w:cs="Arial"/>
          <w:sz w:val="24"/>
          <w:szCs w:val="24"/>
        </w:rPr>
        <w:t xml:space="preserve">     </w:t>
      </w:r>
    </w:p>
    <w:tbl>
      <w:tblPr>
        <w:tblStyle w:val="TableGrid"/>
        <w:tblW w:w="9245" w:type="dxa"/>
        <w:tblInd w:w="988" w:type="dxa"/>
        <w:tblLayout w:type="fixed"/>
        <w:tblLook w:val="04A0" w:firstRow="1" w:lastRow="0" w:firstColumn="1" w:lastColumn="0" w:noHBand="0" w:noVBand="1"/>
      </w:tblPr>
      <w:tblGrid>
        <w:gridCol w:w="1809"/>
        <w:gridCol w:w="661"/>
        <w:gridCol w:w="5151"/>
        <w:gridCol w:w="1624"/>
      </w:tblGrid>
      <w:tr w:rsidR="00034194" w:rsidRPr="00083705" w14:paraId="6D290436" w14:textId="77777777" w:rsidTr="00083705">
        <w:tc>
          <w:tcPr>
            <w:tcW w:w="9245" w:type="dxa"/>
            <w:gridSpan w:val="4"/>
            <w:shd w:val="clear" w:color="auto" w:fill="D5DCE4" w:themeFill="text2" w:themeFillTint="33"/>
          </w:tcPr>
          <w:p w14:paraId="6D290434" w14:textId="77777777" w:rsidR="00034194" w:rsidRPr="00083705" w:rsidRDefault="0020539A">
            <w:pPr>
              <w:rPr>
                <w:rFonts w:ascii="Verdana" w:hAnsi="Verdana" w:cs="Arial"/>
                <w:b/>
                <w:sz w:val="24"/>
                <w:szCs w:val="24"/>
              </w:rPr>
            </w:pPr>
            <w:r w:rsidRPr="00083705">
              <w:rPr>
                <w:rFonts w:ascii="Verdana" w:hAnsi="Verdana" w:cs="Arial"/>
                <w:b/>
                <w:sz w:val="24"/>
                <w:szCs w:val="24"/>
              </w:rPr>
              <w:lastRenderedPageBreak/>
              <w:t>Governance and Assurance</w:t>
            </w:r>
          </w:p>
          <w:p w14:paraId="6D290435" w14:textId="77777777" w:rsidR="00034194" w:rsidRPr="00083705" w:rsidRDefault="00034194">
            <w:pPr>
              <w:rPr>
                <w:rFonts w:ascii="Verdana" w:hAnsi="Verdana" w:cs="Arial"/>
                <w:sz w:val="24"/>
                <w:szCs w:val="24"/>
              </w:rPr>
            </w:pPr>
          </w:p>
        </w:tc>
      </w:tr>
      <w:tr w:rsidR="00F5324A" w:rsidRPr="00083705" w14:paraId="6D29043A" w14:textId="77777777" w:rsidTr="00083705">
        <w:tc>
          <w:tcPr>
            <w:tcW w:w="1809" w:type="dxa"/>
            <w:vMerge w:val="restart"/>
          </w:tcPr>
          <w:p w14:paraId="6D290437" w14:textId="77777777" w:rsidR="00F5324A" w:rsidRPr="00083705" w:rsidRDefault="00F5324A">
            <w:pPr>
              <w:rPr>
                <w:rFonts w:ascii="Verdana" w:hAnsi="Verdana" w:cs="Arial"/>
                <w:b/>
                <w:sz w:val="24"/>
                <w:szCs w:val="24"/>
              </w:rPr>
            </w:pPr>
            <w:r w:rsidRPr="00083705">
              <w:rPr>
                <w:rFonts w:ascii="Verdana" w:hAnsi="Verdana" w:cs="Arial"/>
                <w:b/>
                <w:sz w:val="24"/>
                <w:szCs w:val="24"/>
              </w:rPr>
              <w:t>Link to Enabling Objectives</w:t>
            </w:r>
          </w:p>
          <w:p w14:paraId="6D290438" w14:textId="77777777" w:rsidR="00F5324A" w:rsidRPr="00083705" w:rsidRDefault="00F5324A" w:rsidP="00133EA1">
            <w:pPr>
              <w:rPr>
                <w:rFonts w:ascii="Verdana" w:hAnsi="Verdana" w:cs="Arial"/>
                <w:b/>
                <w:sz w:val="24"/>
                <w:szCs w:val="24"/>
              </w:rPr>
            </w:pPr>
            <w:r w:rsidRPr="00083705">
              <w:rPr>
                <w:rFonts w:ascii="Verdana" w:hAnsi="Verdana" w:cs="Arial"/>
                <w:b/>
                <w:i/>
                <w:sz w:val="24"/>
                <w:szCs w:val="24"/>
              </w:rPr>
              <w:t xml:space="preserve">(please </w:t>
            </w:r>
            <w:r w:rsidR="00133EA1" w:rsidRPr="00083705">
              <w:rPr>
                <w:rFonts w:ascii="Verdana" w:hAnsi="Verdana" w:cs="Arial"/>
                <w:b/>
                <w:i/>
                <w:sz w:val="24"/>
                <w:szCs w:val="24"/>
              </w:rPr>
              <w:t>choose</w:t>
            </w:r>
            <w:r w:rsidRPr="0008370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83705" w:rsidRDefault="00F5324A" w:rsidP="00F5324A">
            <w:pPr>
              <w:jc w:val="both"/>
              <w:rPr>
                <w:rFonts w:ascii="Verdana" w:hAnsi="Verdana" w:cs="Arial"/>
                <w:b/>
                <w:sz w:val="24"/>
                <w:szCs w:val="24"/>
              </w:rPr>
            </w:pPr>
            <w:r w:rsidRPr="00083705">
              <w:rPr>
                <w:rFonts w:ascii="Verdana" w:hAnsi="Verdana" w:cs="Arial"/>
                <w:b/>
                <w:sz w:val="24"/>
                <w:szCs w:val="24"/>
              </w:rPr>
              <w:t>Supporting better health and wellbeing by actively promoting and empowering people to live well in resilient communities</w:t>
            </w:r>
          </w:p>
        </w:tc>
      </w:tr>
      <w:tr w:rsidR="00F5324A" w:rsidRPr="00083705" w14:paraId="6D29043E" w14:textId="77777777" w:rsidTr="00083705">
        <w:tc>
          <w:tcPr>
            <w:tcW w:w="1809" w:type="dxa"/>
            <w:vMerge/>
          </w:tcPr>
          <w:p w14:paraId="6D29043B" w14:textId="77777777" w:rsidR="00F5324A" w:rsidRPr="00083705" w:rsidRDefault="00F5324A">
            <w:pPr>
              <w:rPr>
                <w:rFonts w:ascii="Verdana" w:hAnsi="Verdana" w:cs="Arial"/>
                <w:b/>
                <w:sz w:val="24"/>
                <w:szCs w:val="24"/>
              </w:rPr>
            </w:pPr>
          </w:p>
        </w:tc>
        <w:tc>
          <w:tcPr>
            <w:tcW w:w="5812" w:type="dxa"/>
            <w:gridSpan w:val="2"/>
          </w:tcPr>
          <w:p w14:paraId="6D29043C" w14:textId="77777777" w:rsidR="00F5324A" w:rsidRPr="00083705" w:rsidRDefault="00F5324A" w:rsidP="00F5324A">
            <w:pPr>
              <w:rPr>
                <w:rFonts w:ascii="Verdana" w:hAnsi="Verdana" w:cs="Arial"/>
                <w:sz w:val="24"/>
                <w:szCs w:val="24"/>
              </w:rPr>
            </w:pPr>
            <w:r w:rsidRPr="0008370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602AFF1" w:rsidR="00F5324A" w:rsidRPr="00083705" w:rsidRDefault="00BD4C12" w:rsidP="0020539A">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42" w14:textId="77777777" w:rsidTr="00083705">
        <w:tc>
          <w:tcPr>
            <w:tcW w:w="1809" w:type="dxa"/>
            <w:vMerge/>
          </w:tcPr>
          <w:p w14:paraId="6D29043F" w14:textId="77777777" w:rsidR="00F5324A" w:rsidRPr="00083705" w:rsidRDefault="00F5324A">
            <w:pPr>
              <w:rPr>
                <w:rFonts w:ascii="Verdana" w:hAnsi="Verdana" w:cs="Arial"/>
                <w:b/>
                <w:sz w:val="24"/>
                <w:szCs w:val="24"/>
              </w:rPr>
            </w:pPr>
          </w:p>
        </w:tc>
        <w:tc>
          <w:tcPr>
            <w:tcW w:w="5812" w:type="dxa"/>
            <w:gridSpan w:val="2"/>
          </w:tcPr>
          <w:p w14:paraId="6D290440" w14:textId="77777777" w:rsidR="00F5324A" w:rsidRPr="00083705" w:rsidRDefault="00F5324A" w:rsidP="00F5324A">
            <w:pPr>
              <w:rPr>
                <w:rFonts w:ascii="Verdana" w:hAnsi="Verdana" w:cs="Arial"/>
                <w:sz w:val="24"/>
                <w:szCs w:val="24"/>
              </w:rPr>
            </w:pPr>
            <w:r w:rsidRPr="0008370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83705" w:rsidRDefault="00133EA1" w:rsidP="0020539A">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46" w14:textId="77777777" w:rsidTr="00083705">
        <w:tc>
          <w:tcPr>
            <w:tcW w:w="1809" w:type="dxa"/>
            <w:vMerge/>
          </w:tcPr>
          <w:p w14:paraId="6D290443" w14:textId="77777777" w:rsidR="00F5324A" w:rsidRPr="00083705" w:rsidRDefault="00F5324A">
            <w:pPr>
              <w:rPr>
                <w:rFonts w:ascii="Verdana" w:hAnsi="Verdana" w:cs="Arial"/>
                <w:b/>
                <w:sz w:val="24"/>
                <w:szCs w:val="24"/>
              </w:rPr>
            </w:pPr>
          </w:p>
        </w:tc>
        <w:tc>
          <w:tcPr>
            <w:tcW w:w="5812" w:type="dxa"/>
            <w:gridSpan w:val="2"/>
          </w:tcPr>
          <w:p w14:paraId="6D290444" w14:textId="77777777" w:rsidR="00F5324A" w:rsidRPr="00083705" w:rsidRDefault="00F5324A" w:rsidP="00F5324A">
            <w:pPr>
              <w:jc w:val="both"/>
              <w:rPr>
                <w:rFonts w:ascii="Verdana" w:hAnsi="Verdana" w:cs="Arial"/>
                <w:sz w:val="24"/>
                <w:szCs w:val="24"/>
              </w:rPr>
            </w:pPr>
            <w:r w:rsidRPr="0008370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83705" w:rsidRDefault="00133EA1" w:rsidP="0020539A">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49" w14:textId="77777777" w:rsidTr="00083705">
        <w:tc>
          <w:tcPr>
            <w:tcW w:w="1809" w:type="dxa"/>
            <w:vMerge/>
          </w:tcPr>
          <w:p w14:paraId="6D290447" w14:textId="77777777" w:rsidR="00F5324A" w:rsidRPr="0008370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83705" w:rsidRDefault="00F5324A" w:rsidP="00C107F2">
            <w:pPr>
              <w:rPr>
                <w:rFonts w:ascii="Verdana" w:hAnsi="Verdana" w:cs="Arial"/>
                <w:b/>
                <w:sz w:val="24"/>
                <w:szCs w:val="24"/>
              </w:rPr>
            </w:pPr>
            <w:r w:rsidRPr="00083705">
              <w:rPr>
                <w:rFonts w:ascii="Verdana" w:hAnsi="Verdana" w:cs="Arial"/>
                <w:b/>
                <w:sz w:val="24"/>
                <w:szCs w:val="24"/>
              </w:rPr>
              <w:t xml:space="preserve">Deliver better care through excellent health and care services achieving the outcomes that matter most to people </w:t>
            </w:r>
          </w:p>
        </w:tc>
      </w:tr>
      <w:tr w:rsidR="00F5324A" w:rsidRPr="00083705" w14:paraId="6D29044D" w14:textId="77777777" w:rsidTr="00083705">
        <w:tc>
          <w:tcPr>
            <w:tcW w:w="1809" w:type="dxa"/>
            <w:vMerge/>
          </w:tcPr>
          <w:p w14:paraId="6D29044A" w14:textId="77777777" w:rsidR="00F5324A" w:rsidRPr="00083705" w:rsidRDefault="00F5324A" w:rsidP="00C107F2">
            <w:pPr>
              <w:rPr>
                <w:rFonts w:ascii="Verdana" w:hAnsi="Verdana" w:cs="Arial"/>
                <w:b/>
                <w:sz w:val="24"/>
                <w:szCs w:val="24"/>
              </w:rPr>
            </w:pPr>
          </w:p>
        </w:tc>
        <w:tc>
          <w:tcPr>
            <w:tcW w:w="5812" w:type="dxa"/>
            <w:gridSpan w:val="2"/>
          </w:tcPr>
          <w:p w14:paraId="6D29044B" w14:textId="77777777" w:rsidR="00F5324A" w:rsidRPr="00083705" w:rsidRDefault="00F5324A" w:rsidP="00F5324A">
            <w:pPr>
              <w:rPr>
                <w:rFonts w:ascii="Verdana" w:hAnsi="Verdana" w:cs="Arial"/>
                <w:sz w:val="24"/>
                <w:szCs w:val="24"/>
              </w:rPr>
            </w:pPr>
            <w:r w:rsidRPr="00083705">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883669" w:rsidR="00F5324A" w:rsidRPr="00083705" w:rsidRDefault="00BD4C12" w:rsidP="00133EA1">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51" w14:textId="77777777" w:rsidTr="00083705">
        <w:tc>
          <w:tcPr>
            <w:tcW w:w="1809" w:type="dxa"/>
            <w:vMerge/>
          </w:tcPr>
          <w:p w14:paraId="6D29044E" w14:textId="77777777" w:rsidR="00F5324A" w:rsidRPr="00083705" w:rsidRDefault="00F5324A" w:rsidP="00C107F2">
            <w:pPr>
              <w:rPr>
                <w:rFonts w:ascii="Verdana" w:hAnsi="Verdana" w:cs="Arial"/>
                <w:b/>
                <w:sz w:val="24"/>
                <w:szCs w:val="24"/>
              </w:rPr>
            </w:pPr>
          </w:p>
        </w:tc>
        <w:tc>
          <w:tcPr>
            <w:tcW w:w="5812" w:type="dxa"/>
            <w:gridSpan w:val="2"/>
          </w:tcPr>
          <w:p w14:paraId="6D29044F" w14:textId="77777777" w:rsidR="00F5324A" w:rsidRPr="00083705" w:rsidRDefault="00F5324A" w:rsidP="00F5324A">
            <w:pPr>
              <w:rPr>
                <w:rFonts w:ascii="Verdana" w:hAnsi="Verdana" w:cs="Arial"/>
                <w:sz w:val="24"/>
                <w:szCs w:val="24"/>
              </w:rPr>
            </w:pPr>
            <w:r w:rsidRPr="0008370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FE50354" w:rsidR="00F5324A" w:rsidRPr="00083705" w:rsidRDefault="00BD4C12" w:rsidP="00133EA1">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55" w14:textId="77777777" w:rsidTr="00083705">
        <w:tc>
          <w:tcPr>
            <w:tcW w:w="1809" w:type="dxa"/>
            <w:vMerge/>
          </w:tcPr>
          <w:p w14:paraId="6D290452" w14:textId="77777777" w:rsidR="00F5324A" w:rsidRPr="00083705" w:rsidRDefault="00F5324A" w:rsidP="00C107F2">
            <w:pPr>
              <w:rPr>
                <w:rFonts w:ascii="Verdana" w:hAnsi="Verdana" w:cs="Arial"/>
                <w:b/>
                <w:sz w:val="24"/>
                <w:szCs w:val="24"/>
              </w:rPr>
            </w:pPr>
          </w:p>
        </w:tc>
        <w:tc>
          <w:tcPr>
            <w:tcW w:w="5812" w:type="dxa"/>
            <w:gridSpan w:val="2"/>
          </w:tcPr>
          <w:p w14:paraId="6D290453"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59" w14:textId="77777777" w:rsidTr="00083705">
        <w:tc>
          <w:tcPr>
            <w:tcW w:w="1809" w:type="dxa"/>
            <w:vMerge/>
          </w:tcPr>
          <w:p w14:paraId="6D290456" w14:textId="77777777" w:rsidR="00F5324A" w:rsidRPr="00083705" w:rsidRDefault="00F5324A" w:rsidP="00C107F2">
            <w:pPr>
              <w:rPr>
                <w:rFonts w:ascii="Verdana" w:hAnsi="Verdana" w:cs="Arial"/>
                <w:b/>
                <w:sz w:val="24"/>
                <w:szCs w:val="24"/>
              </w:rPr>
            </w:pPr>
          </w:p>
        </w:tc>
        <w:tc>
          <w:tcPr>
            <w:tcW w:w="5812" w:type="dxa"/>
            <w:gridSpan w:val="2"/>
          </w:tcPr>
          <w:p w14:paraId="6D290457"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5D" w14:textId="77777777" w:rsidTr="00083705">
        <w:tc>
          <w:tcPr>
            <w:tcW w:w="1809" w:type="dxa"/>
            <w:vMerge/>
          </w:tcPr>
          <w:p w14:paraId="6D29045A" w14:textId="77777777" w:rsidR="00F5324A" w:rsidRPr="00083705" w:rsidRDefault="00F5324A" w:rsidP="00C107F2">
            <w:pPr>
              <w:rPr>
                <w:rFonts w:ascii="Verdana" w:hAnsi="Verdana" w:cs="Arial"/>
                <w:b/>
                <w:sz w:val="24"/>
                <w:szCs w:val="24"/>
              </w:rPr>
            </w:pPr>
          </w:p>
        </w:tc>
        <w:tc>
          <w:tcPr>
            <w:tcW w:w="5812" w:type="dxa"/>
            <w:gridSpan w:val="2"/>
          </w:tcPr>
          <w:p w14:paraId="6D29045B"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5F" w14:textId="77777777" w:rsidTr="00083705">
        <w:tc>
          <w:tcPr>
            <w:tcW w:w="9245" w:type="dxa"/>
            <w:gridSpan w:val="4"/>
            <w:shd w:val="clear" w:color="auto" w:fill="D5DCE4" w:themeFill="text2" w:themeFillTint="33"/>
          </w:tcPr>
          <w:p w14:paraId="6D29045E" w14:textId="77777777" w:rsidR="00F5324A" w:rsidRPr="00083705" w:rsidRDefault="00F5324A" w:rsidP="00C107F2">
            <w:pPr>
              <w:rPr>
                <w:rFonts w:ascii="Verdana" w:hAnsi="Verdana" w:cs="Arial"/>
                <w:b/>
                <w:sz w:val="24"/>
                <w:szCs w:val="24"/>
              </w:rPr>
            </w:pPr>
            <w:r w:rsidRPr="00083705">
              <w:rPr>
                <w:rFonts w:ascii="Verdana" w:hAnsi="Verdana" w:cs="Arial"/>
                <w:b/>
                <w:sz w:val="24"/>
                <w:szCs w:val="24"/>
              </w:rPr>
              <w:t>Health and Care Standards</w:t>
            </w:r>
          </w:p>
        </w:tc>
      </w:tr>
      <w:tr w:rsidR="00F5324A" w:rsidRPr="00083705" w14:paraId="6D290463" w14:textId="77777777" w:rsidTr="00083705">
        <w:tc>
          <w:tcPr>
            <w:tcW w:w="1809" w:type="dxa"/>
            <w:vMerge w:val="restart"/>
          </w:tcPr>
          <w:p w14:paraId="6D290460" w14:textId="77777777" w:rsidR="00F5324A" w:rsidRPr="00083705" w:rsidRDefault="00133EA1" w:rsidP="00F5324A">
            <w:pPr>
              <w:rPr>
                <w:rFonts w:ascii="Verdana" w:hAnsi="Verdana" w:cs="Arial"/>
                <w:sz w:val="24"/>
                <w:szCs w:val="24"/>
              </w:rPr>
            </w:pPr>
            <w:r w:rsidRPr="00083705">
              <w:rPr>
                <w:rFonts w:ascii="Verdana" w:hAnsi="Verdana" w:cs="Arial"/>
                <w:b/>
                <w:i/>
                <w:sz w:val="24"/>
                <w:szCs w:val="24"/>
              </w:rPr>
              <w:t>(please choose)</w:t>
            </w:r>
          </w:p>
        </w:tc>
        <w:tc>
          <w:tcPr>
            <w:tcW w:w="5812" w:type="dxa"/>
            <w:gridSpan w:val="2"/>
          </w:tcPr>
          <w:p w14:paraId="6D290461" w14:textId="77777777" w:rsidR="00F5324A" w:rsidRPr="00083705" w:rsidRDefault="00F5324A" w:rsidP="00C107F2">
            <w:pPr>
              <w:rPr>
                <w:rFonts w:ascii="Verdana" w:hAnsi="Verdana" w:cs="Arial"/>
                <w:sz w:val="24"/>
                <w:szCs w:val="24"/>
              </w:rPr>
            </w:pPr>
            <w:r w:rsidRPr="0008370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A25E484" w:rsidR="00F5324A" w:rsidRPr="00083705" w:rsidRDefault="00BD4C12" w:rsidP="00133EA1">
                <w:pPr>
                  <w:jc w:val="center"/>
                  <w:rPr>
                    <w:rFonts w:ascii="Verdana" w:hAnsi="Verdana" w:cs="Arial"/>
                    <w:sz w:val="24"/>
                    <w:szCs w:val="24"/>
                  </w:rPr>
                </w:pPr>
                <w:r w:rsidRPr="00083705">
                  <w:rPr>
                    <w:rFonts w:ascii="Segoe UI Symbol" w:eastAsia="MS Gothic" w:hAnsi="Segoe UI Symbol" w:cs="Segoe UI Symbol"/>
                    <w:sz w:val="24"/>
                    <w:szCs w:val="24"/>
                  </w:rPr>
                  <w:t>☒</w:t>
                </w:r>
              </w:p>
            </w:tc>
          </w:sdtContent>
        </w:sdt>
      </w:tr>
      <w:tr w:rsidR="00F5324A" w:rsidRPr="00083705" w14:paraId="6D290467" w14:textId="77777777" w:rsidTr="00083705">
        <w:tc>
          <w:tcPr>
            <w:tcW w:w="1809" w:type="dxa"/>
            <w:vMerge/>
          </w:tcPr>
          <w:p w14:paraId="6D290464" w14:textId="77777777" w:rsidR="00F5324A" w:rsidRPr="00083705" w:rsidRDefault="00F5324A" w:rsidP="00F5324A">
            <w:pPr>
              <w:rPr>
                <w:rFonts w:ascii="Verdana" w:hAnsi="Verdana" w:cs="Arial"/>
                <w:b/>
                <w:sz w:val="24"/>
                <w:szCs w:val="24"/>
              </w:rPr>
            </w:pPr>
          </w:p>
        </w:tc>
        <w:tc>
          <w:tcPr>
            <w:tcW w:w="5812" w:type="dxa"/>
            <w:gridSpan w:val="2"/>
          </w:tcPr>
          <w:p w14:paraId="6D290465"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101993B" w:rsidR="00F5324A" w:rsidRPr="00083705" w:rsidRDefault="00BD4C12"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6B" w14:textId="77777777" w:rsidTr="00083705">
        <w:tc>
          <w:tcPr>
            <w:tcW w:w="1809" w:type="dxa"/>
            <w:vMerge/>
          </w:tcPr>
          <w:p w14:paraId="6D290468" w14:textId="77777777" w:rsidR="00F5324A" w:rsidRPr="00083705" w:rsidRDefault="00F5324A" w:rsidP="00F5324A">
            <w:pPr>
              <w:rPr>
                <w:rFonts w:ascii="Verdana" w:hAnsi="Verdana" w:cs="Arial"/>
                <w:b/>
                <w:sz w:val="24"/>
                <w:szCs w:val="24"/>
              </w:rPr>
            </w:pPr>
          </w:p>
        </w:tc>
        <w:tc>
          <w:tcPr>
            <w:tcW w:w="5812" w:type="dxa"/>
            <w:gridSpan w:val="2"/>
          </w:tcPr>
          <w:p w14:paraId="6D290469"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6AEBD0D" w:rsidR="00F5324A" w:rsidRPr="00083705" w:rsidRDefault="00BD4C12"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6F" w14:textId="77777777" w:rsidTr="00083705">
        <w:tc>
          <w:tcPr>
            <w:tcW w:w="1809" w:type="dxa"/>
            <w:vMerge/>
          </w:tcPr>
          <w:p w14:paraId="6D29046C" w14:textId="77777777" w:rsidR="00F5324A" w:rsidRPr="00083705" w:rsidRDefault="00F5324A" w:rsidP="00F5324A">
            <w:pPr>
              <w:rPr>
                <w:rFonts w:ascii="Verdana" w:hAnsi="Verdana" w:cs="Arial"/>
                <w:b/>
                <w:sz w:val="24"/>
                <w:szCs w:val="24"/>
              </w:rPr>
            </w:pPr>
          </w:p>
        </w:tc>
        <w:tc>
          <w:tcPr>
            <w:tcW w:w="5812" w:type="dxa"/>
            <w:gridSpan w:val="2"/>
          </w:tcPr>
          <w:p w14:paraId="6D29046D"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73" w14:textId="77777777" w:rsidTr="00083705">
        <w:tc>
          <w:tcPr>
            <w:tcW w:w="1809" w:type="dxa"/>
            <w:vMerge/>
          </w:tcPr>
          <w:p w14:paraId="6D290470" w14:textId="77777777" w:rsidR="00F5324A" w:rsidRPr="00083705" w:rsidRDefault="00F5324A" w:rsidP="00F5324A">
            <w:pPr>
              <w:rPr>
                <w:rFonts w:ascii="Verdana" w:hAnsi="Verdana" w:cs="Arial"/>
                <w:b/>
                <w:sz w:val="24"/>
                <w:szCs w:val="24"/>
              </w:rPr>
            </w:pPr>
          </w:p>
        </w:tc>
        <w:tc>
          <w:tcPr>
            <w:tcW w:w="5812" w:type="dxa"/>
            <w:gridSpan w:val="2"/>
          </w:tcPr>
          <w:p w14:paraId="6D290471"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D08C8C1" w:rsidR="00F5324A" w:rsidRPr="00083705" w:rsidRDefault="00BD4C12"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77" w14:textId="77777777" w:rsidTr="00083705">
        <w:tc>
          <w:tcPr>
            <w:tcW w:w="1809" w:type="dxa"/>
            <w:vMerge/>
          </w:tcPr>
          <w:p w14:paraId="6D290474" w14:textId="77777777" w:rsidR="00F5324A" w:rsidRPr="00083705" w:rsidRDefault="00F5324A" w:rsidP="00F5324A">
            <w:pPr>
              <w:rPr>
                <w:rFonts w:ascii="Verdana" w:hAnsi="Verdana" w:cs="Arial"/>
                <w:b/>
                <w:sz w:val="24"/>
                <w:szCs w:val="24"/>
              </w:rPr>
            </w:pPr>
          </w:p>
        </w:tc>
        <w:tc>
          <w:tcPr>
            <w:tcW w:w="5812" w:type="dxa"/>
            <w:gridSpan w:val="2"/>
          </w:tcPr>
          <w:p w14:paraId="6D290475"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7B" w14:textId="77777777" w:rsidTr="00083705">
        <w:tc>
          <w:tcPr>
            <w:tcW w:w="1809" w:type="dxa"/>
            <w:vMerge/>
          </w:tcPr>
          <w:p w14:paraId="6D290478" w14:textId="77777777" w:rsidR="00F5324A" w:rsidRPr="00083705" w:rsidRDefault="00F5324A" w:rsidP="00F5324A">
            <w:pPr>
              <w:rPr>
                <w:rFonts w:ascii="Verdana" w:hAnsi="Verdana" w:cs="Arial"/>
                <w:b/>
                <w:sz w:val="24"/>
                <w:szCs w:val="24"/>
              </w:rPr>
            </w:pPr>
          </w:p>
        </w:tc>
        <w:tc>
          <w:tcPr>
            <w:tcW w:w="5812" w:type="dxa"/>
            <w:gridSpan w:val="2"/>
          </w:tcPr>
          <w:p w14:paraId="6D290479" w14:textId="77777777" w:rsidR="00F5324A" w:rsidRPr="00083705" w:rsidRDefault="00F5324A" w:rsidP="00F5324A">
            <w:pPr>
              <w:rPr>
                <w:rFonts w:ascii="Verdana" w:hAnsi="Verdana" w:cs="Arial"/>
                <w:b/>
                <w:sz w:val="24"/>
                <w:szCs w:val="24"/>
              </w:rPr>
            </w:pPr>
            <w:r w:rsidRPr="00083705">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083705" w:rsidRDefault="00133EA1" w:rsidP="00133EA1">
                <w:pPr>
                  <w:jc w:val="center"/>
                  <w:rPr>
                    <w:rFonts w:ascii="Verdana" w:hAnsi="Verdana" w:cs="Arial"/>
                    <w:b/>
                    <w:sz w:val="24"/>
                    <w:szCs w:val="24"/>
                  </w:rPr>
                </w:pPr>
                <w:r w:rsidRPr="00083705">
                  <w:rPr>
                    <w:rFonts w:ascii="Segoe UI Symbol" w:eastAsia="MS Gothic" w:hAnsi="Segoe UI Symbol" w:cs="Segoe UI Symbol"/>
                    <w:sz w:val="24"/>
                    <w:szCs w:val="24"/>
                  </w:rPr>
                  <w:t>☐</w:t>
                </w:r>
              </w:p>
            </w:tc>
          </w:sdtContent>
        </w:sdt>
      </w:tr>
      <w:tr w:rsidR="00F5324A" w:rsidRPr="00083705" w14:paraId="6D29047D" w14:textId="77777777" w:rsidTr="00083705">
        <w:tc>
          <w:tcPr>
            <w:tcW w:w="9245" w:type="dxa"/>
            <w:gridSpan w:val="4"/>
            <w:shd w:val="clear" w:color="auto" w:fill="D5DCE4" w:themeFill="text2" w:themeFillTint="33"/>
          </w:tcPr>
          <w:p w14:paraId="6D29047C" w14:textId="77777777" w:rsidR="00F5324A" w:rsidRPr="00083705" w:rsidRDefault="00F5324A" w:rsidP="00F5324A">
            <w:pPr>
              <w:rPr>
                <w:rFonts w:ascii="Verdana" w:hAnsi="Verdana" w:cs="Arial"/>
                <w:b/>
                <w:sz w:val="24"/>
                <w:szCs w:val="24"/>
              </w:rPr>
            </w:pPr>
            <w:r w:rsidRPr="00083705">
              <w:rPr>
                <w:rFonts w:ascii="Verdana" w:hAnsi="Verdana" w:cs="Arial"/>
                <w:b/>
                <w:sz w:val="24"/>
                <w:szCs w:val="24"/>
              </w:rPr>
              <w:t>Quality, Safety and Patient Experience</w:t>
            </w:r>
          </w:p>
        </w:tc>
      </w:tr>
      <w:tr w:rsidR="00BD4C12" w:rsidRPr="00083705" w14:paraId="6D290480" w14:textId="77777777" w:rsidTr="00083705">
        <w:tc>
          <w:tcPr>
            <w:tcW w:w="9245" w:type="dxa"/>
            <w:gridSpan w:val="4"/>
          </w:tcPr>
          <w:p w14:paraId="0A5768C3" w14:textId="77777777" w:rsidR="00BD4C12" w:rsidRPr="00083705" w:rsidRDefault="00BD4C12" w:rsidP="00BD4C12">
            <w:pPr>
              <w:rPr>
                <w:rFonts w:ascii="Verdana" w:hAnsi="Verdana" w:cs="Arial"/>
                <w:sz w:val="24"/>
                <w:szCs w:val="24"/>
              </w:rPr>
            </w:pPr>
            <w:r w:rsidRPr="00083705">
              <w:rPr>
                <w:rFonts w:ascii="Verdana" w:hAnsi="Verdana" w:cs="Arial"/>
                <w:sz w:val="24"/>
                <w:szCs w:val="24"/>
              </w:rPr>
              <w:t xml:space="preserve">The provision of the flu campaign is a key strategic priority for Quarter 3 and Quarter 4 that made a contribution to the protection of public health and the ability of the NHS to cope with Winter pressures, as well as the health threats posed by COVID-19. </w:t>
            </w:r>
          </w:p>
          <w:p w14:paraId="6D29047F" w14:textId="565AB66A" w:rsidR="00BD4C12" w:rsidRPr="00083705" w:rsidRDefault="00BD4C12" w:rsidP="00BD4C12">
            <w:pPr>
              <w:rPr>
                <w:rFonts w:ascii="Verdana" w:hAnsi="Verdana" w:cs="Arial"/>
                <w:b/>
                <w:sz w:val="24"/>
                <w:szCs w:val="24"/>
              </w:rPr>
            </w:pPr>
            <w:r w:rsidRPr="00083705">
              <w:rPr>
                <w:rFonts w:ascii="Verdana" w:hAnsi="Verdana" w:cs="Arial"/>
                <w:sz w:val="24"/>
                <w:szCs w:val="24"/>
              </w:rPr>
              <w:t>Language barriers identified have led to the development of a Padlet resource to support Practices in delivering equitable access to Health Protection Immunisations.</w:t>
            </w:r>
          </w:p>
        </w:tc>
      </w:tr>
      <w:tr w:rsidR="00BD4C12" w:rsidRPr="00083705" w14:paraId="6D290482" w14:textId="77777777" w:rsidTr="00083705">
        <w:tc>
          <w:tcPr>
            <w:tcW w:w="9245" w:type="dxa"/>
            <w:gridSpan w:val="4"/>
            <w:shd w:val="clear" w:color="auto" w:fill="D5DCE4" w:themeFill="text2" w:themeFillTint="33"/>
          </w:tcPr>
          <w:p w14:paraId="6D290481" w14:textId="77777777" w:rsidR="00BD4C12" w:rsidRPr="00083705" w:rsidRDefault="00BD4C12" w:rsidP="00BD4C12">
            <w:pPr>
              <w:rPr>
                <w:rFonts w:ascii="Verdana" w:hAnsi="Verdana" w:cs="Arial"/>
                <w:b/>
                <w:sz w:val="24"/>
                <w:szCs w:val="24"/>
              </w:rPr>
            </w:pPr>
            <w:r w:rsidRPr="00083705">
              <w:rPr>
                <w:rFonts w:ascii="Verdana" w:hAnsi="Verdana" w:cs="Arial"/>
                <w:b/>
                <w:sz w:val="24"/>
                <w:szCs w:val="24"/>
              </w:rPr>
              <w:t>Financial Implications</w:t>
            </w:r>
          </w:p>
        </w:tc>
      </w:tr>
      <w:tr w:rsidR="00BD4C12" w:rsidRPr="00083705" w14:paraId="6D290487" w14:textId="77777777" w:rsidTr="00083705">
        <w:tc>
          <w:tcPr>
            <w:tcW w:w="9245" w:type="dxa"/>
            <w:gridSpan w:val="4"/>
          </w:tcPr>
          <w:p w14:paraId="6D290486" w14:textId="474E8269" w:rsidR="00BD4C12" w:rsidRPr="00083705" w:rsidRDefault="00BD4C12" w:rsidP="00BD4C12">
            <w:pPr>
              <w:ind w:right="96"/>
              <w:rPr>
                <w:rFonts w:ascii="Verdana" w:hAnsi="Verdana" w:cs="Arial"/>
                <w:color w:val="FF0000"/>
                <w:sz w:val="24"/>
                <w:szCs w:val="24"/>
              </w:rPr>
            </w:pPr>
            <w:r w:rsidRPr="00083705">
              <w:rPr>
                <w:rFonts w:ascii="Verdana" w:hAnsi="Verdana" w:cs="Arial"/>
                <w:sz w:val="24"/>
                <w:szCs w:val="24"/>
              </w:rPr>
              <w:t>Challenging position on GMS portion of retained funding in 2025-26 against projected uptake.</w:t>
            </w:r>
          </w:p>
        </w:tc>
      </w:tr>
      <w:tr w:rsidR="00BD4C12" w:rsidRPr="00083705" w14:paraId="6D290489" w14:textId="77777777" w:rsidTr="00083705">
        <w:tc>
          <w:tcPr>
            <w:tcW w:w="9245" w:type="dxa"/>
            <w:gridSpan w:val="4"/>
            <w:shd w:val="clear" w:color="auto" w:fill="D5DCE4" w:themeFill="text2" w:themeFillTint="33"/>
          </w:tcPr>
          <w:p w14:paraId="6D290488" w14:textId="77777777" w:rsidR="00BD4C12" w:rsidRPr="00083705" w:rsidRDefault="00BD4C12" w:rsidP="00BD4C12">
            <w:pPr>
              <w:keepNext/>
              <w:keepLines/>
              <w:ind w:right="96"/>
              <w:rPr>
                <w:rFonts w:ascii="Verdana" w:hAnsi="Verdana" w:cs="Arial"/>
                <w:b/>
                <w:sz w:val="24"/>
                <w:szCs w:val="24"/>
              </w:rPr>
            </w:pPr>
            <w:r w:rsidRPr="00083705">
              <w:rPr>
                <w:rFonts w:ascii="Verdana" w:hAnsi="Verdana" w:cs="Arial"/>
                <w:b/>
                <w:sz w:val="24"/>
                <w:szCs w:val="24"/>
              </w:rPr>
              <w:t>Legal Implications (including equality and diversity assessment)</w:t>
            </w:r>
          </w:p>
        </w:tc>
      </w:tr>
      <w:tr w:rsidR="00BD4C12" w:rsidRPr="00083705" w14:paraId="6D29048C" w14:textId="77777777" w:rsidTr="00083705">
        <w:tc>
          <w:tcPr>
            <w:tcW w:w="9245" w:type="dxa"/>
            <w:gridSpan w:val="4"/>
          </w:tcPr>
          <w:p w14:paraId="6D29048B" w14:textId="4ADDB844" w:rsidR="00BD4C12" w:rsidRPr="00083705" w:rsidRDefault="00BD4C12" w:rsidP="00BD4C12">
            <w:pPr>
              <w:ind w:right="96"/>
              <w:rPr>
                <w:rFonts w:ascii="Verdana" w:hAnsi="Verdana" w:cs="Arial"/>
                <w:color w:val="FF0000"/>
                <w:sz w:val="24"/>
                <w:szCs w:val="24"/>
              </w:rPr>
            </w:pPr>
            <w:r w:rsidRPr="00083705">
              <w:rPr>
                <w:rFonts w:ascii="Verdana" w:hAnsi="Verdana" w:cs="Arial"/>
                <w:sz w:val="24"/>
                <w:szCs w:val="24"/>
              </w:rPr>
              <w:t>There are a number of statutory regulations and directions relating to the provision of the flu campaign, guidance is set out in the paper.</w:t>
            </w:r>
          </w:p>
        </w:tc>
      </w:tr>
      <w:tr w:rsidR="00BD4C12" w:rsidRPr="00083705" w14:paraId="6D29048E" w14:textId="77777777" w:rsidTr="00083705">
        <w:tc>
          <w:tcPr>
            <w:tcW w:w="9245" w:type="dxa"/>
            <w:gridSpan w:val="4"/>
            <w:shd w:val="clear" w:color="auto" w:fill="D5DCE4" w:themeFill="text2" w:themeFillTint="33"/>
          </w:tcPr>
          <w:p w14:paraId="6D29048D" w14:textId="77777777" w:rsidR="00BD4C12" w:rsidRPr="00083705" w:rsidRDefault="00BD4C12" w:rsidP="00BD4C12">
            <w:pPr>
              <w:ind w:right="96"/>
              <w:rPr>
                <w:rFonts w:ascii="Verdana" w:hAnsi="Verdana" w:cs="Arial"/>
                <w:b/>
                <w:color w:val="FF0000"/>
                <w:sz w:val="24"/>
                <w:szCs w:val="24"/>
              </w:rPr>
            </w:pPr>
            <w:r w:rsidRPr="00083705">
              <w:rPr>
                <w:rFonts w:ascii="Verdana" w:hAnsi="Verdana" w:cs="Arial"/>
                <w:b/>
                <w:sz w:val="24"/>
                <w:szCs w:val="24"/>
              </w:rPr>
              <w:t>Staffing Implications</w:t>
            </w:r>
          </w:p>
        </w:tc>
      </w:tr>
      <w:tr w:rsidR="00BD4C12" w:rsidRPr="00083705" w14:paraId="6D290491" w14:textId="77777777" w:rsidTr="00083705">
        <w:tc>
          <w:tcPr>
            <w:tcW w:w="9245" w:type="dxa"/>
            <w:gridSpan w:val="4"/>
          </w:tcPr>
          <w:p w14:paraId="6D290490" w14:textId="3E91664F" w:rsidR="00BD4C12" w:rsidRPr="00083705" w:rsidRDefault="00BD4C12" w:rsidP="00BD4C12">
            <w:pPr>
              <w:ind w:right="96"/>
              <w:rPr>
                <w:rFonts w:ascii="Verdana" w:hAnsi="Verdana" w:cs="Arial"/>
                <w:color w:val="FF0000"/>
                <w:sz w:val="24"/>
                <w:szCs w:val="24"/>
              </w:rPr>
            </w:pPr>
            <w:r w:rsidRPr="00083705">
              <w:rPr>
                <w:rFonts w:ascii="Verdana" w:hAnsi="Verdana" w:cs="Arial"/>
                <w:sz w:val="24"/>
                <w:szCs w:val="24"/>
              </w:rPr>
              <w:t>None</w:t>
            </w:r>
          </w:p>
        </w:tc>
      </w:tr>
      <w:tr w:rsidR="00BD4C12" w:rsidRPr="00083705" w14:paraId="6D290493" w14:textId="77777777" w:rsidTr="00083705">
        <w:tc>
          <w:tcPr>
            <w:tcW w:w="9245" w:type="dxa"/>
            <w:gridSpan w:val="4"/>
            <w:shd w:val="clear" w:color="auto" w:fill="D5DCE4" w:themeFill="text2" w:themeFillTint="33"/>
          </w:tcPr>
          <w:p w14:paraId="6D290492" w14:textId="77777777" w:rsidR="00BD4C12" w:rsidRPr="00083705" w:rsidRDefault="00BD4C12" w:rsidP="00BD4C12">
            <w:pPr>
              <w:ind w:right="96"/>
              <w:rPr>
                <w:rFonts w:ascii="Verdana" w:hAnsi="Verdana" w:cs="Arial"/>
                <w:b/>
                <w:color w:val="FF0000"/>
                <w:sz w:val="24"/>
                <w:szCs w:val="24"/>
              </w:rPr>
            </w:pPr>
            <w:r w:rsidRPr="00083705">
              <w:rPr>
                <w:rFonts w:ascii="Verdana" w:hAnsi="Verdana" w:cs="Arial"/>
                <w:b/>
                <w:sz w:val="24"/>
                <w:szCs w:val="24"/>
              </w:rPr>
              <w:t>Long Term Implications (including the impact of the Well-being of Future Generations (Wales) Act 2015)</w:t>
            </w:r>
          </w:p>
        </w:tc>
      </w:tr>
      <w:tr w:rsidR="00BD4C12" w:rsidRPr="00083705" w14:paraId="6D290496" w14:textId="77777777" w:rsidTr="00083705">
        <w:tc>
          <w:tcPr>
            <w:tcW w:w="9245" w:type="dxa"/>
            <w:gridSpan w:val="4"/>
          </w:tcPr>
          <w:p w14:paraId="6D290495" w14:textId="22484371" w:rsidR="00BD4C12" w:rsidRPr="00083705" w:rsidRDefault="00BD4C12" w:rsidP="00BD4C12">
            <w:pPr>
              <w:ind w:right="96"/>
              <w:rPr>
                <w:rFonts w:ascii="Verdana" w:hAnsi="Verdana" w:cs="Arial"/>
                <w:color w:val="FF0000"/>
                <w:sz w:val="24"/>
                <w:szCs w:val="24"/>
              </w:rPr>
            </w:pPr>
            <w:r w:rsidRPr="00083705">
              <w:rPr>
                <w:rFonts w:ascii="Verdana" w:hAnsi="Verdana" w:cs="Arial"/>
                <w:sz w:val="24"/>
                <w:szCs w:val="24"/>
              </w:rPr>
              <w:lastRenderedPageBreak/>
              <w:t>Uptake of the flu vaccine in the 2-3yrs cohort continues to present challenges and the Health Board is seeking to identify and overcome barriers to uptake.</w:t>
            </w:r>
          </w:p>
        </w:tc>
      </w:tr>
      <w:tr w:rsidR="00BD4C12" w:rsidRPr="00083705" w14:paraId="6D29049A" w14:textId="77777777" w:rsidTr="00083705">
        <w:tc>
          <w:tcPr>
            <w:tcW w:w="2470" w:type="dxa"/>
            <w:gridSpan w:val="2"/>
          </w:tcPr>
          <w:p w14:paraId="6D290497" w14:textId="77777777" w:rsidR="00BD4C12" w:rsidRPr="00083705" w:rsidRDefault="00BD4C12" w:rsidP="00BD4C12">
            <w:pPr>
              <w:ind w:right="96"/>
              <w:rPr>
                <w:rFonts w:ascii="Verdana" w:hAnsi="Verdana" w:cs="Arial"/>
                <w:color w:val="FF0000"/>
                <w:sz w:val="24"/>
                <w:szCs w:val="24"/>
              </w:rPr>
            </w:pPr>
            <w:r w:rsidRPr="00083705">
              <w:rPr>
                <w:rFonts w:ascii="Verdana" w:hAnsi="Verdana" w:cs="Arial"/>
                <w:b/>
                <w:color w:val="000000" w:themeColor="text1"/>
                <w:sz w:val="24"/>
                <w:szCs w:val="24"/>
              </w:rPr>
              <w:t>Report History</w:t>
            </w:r>
          </w:p>
        </w:tc>
        <w:tc>
          <w:tcPr>
            <w:tcW w:w="6775" w:type="dxa"/>
            <w:gridSpan w:val="2"/>
          </w:tcPr>
          <w:p w14:paraId="6D290499" w14:textId="77777777" w:rsidR="00BD4C12" w:rsidRPr="00083705" w:rsidRDefault="00BD4C12" w:rsidP="00BD4C12">
            <w:pPr>
              <w:ind w:right="96"/>
              <w:rPr>
                <w:rFonts w:ascii="Verdana" w:hAnsi="Verdana" w:cs="Arial"/>
                <w:color w:val="FF0000"/>
                <w:sz w:val="24"/>
                <w:szCs w:val="24"/>
              </w:rPr>
            </w:pPr>
          </w:p>
        </w:tc>
      </w:tr>
      <w:tr w:rsidR="00BD4C12" w:rsidRPr="00083705" w14:paraId="6D29049F" w14:textId="77777777" w:rsidTr="00083705">
        <w:tc>
          <w:tcPr>
            <w:tcW w:w="2470" w:type="dxa"/>
            <w:gridSpan w:val="2"/>
          </w:tcPr>
          <w:p w14:paraId="6D29049B" w14:textId="77777777" w:rsidR="00BD4C12" w:rsidRPr="00083705" w:rsidRDefault="00BD4C12" w:rsidP="00BD4C12">
            <w:pPr>
              <w:ind w:right="96"/>
              <w:rPr>
                <w:rFonts w:ascii="Verdana" w:hAnsi="Verdana" w:cs="Arial"/>
                <w:b/>
                <w:color w:val="000000" w:themeColor="text1"/>
                <w:sz w:val="24"/>
                <w:szCs w:val="24"/>
              </w:rPr>
            </w:pPr>
            <w:r w:rsidRPr="00083705">
              <w:rPr>
                <w:rFonts w:ascii="Verdana" w:hAnsi="Verdana" w:cs="Arial"/>
                <w:b/>
                <w:color w:val="000000" w:themeColor="text1"/>
                <w:sz w:val="24"/>
                <w:szCs w:val="24"/>
              </w:rPr>
              <w:t>Appendices</w:t>
            </w:r>
          </w:p>
        </w:tc>
        <w:tc>
          <w:tcPr>
            <w:tcW w:w="6775" w:type="dxa"/>
            <w:gridSpan w:val="2"/>
          </w:tcPr>
          <w:p w14:paraId="47E2577F" w14:textId="77777777" w:rsidR="00BD4C12" w:rsidRPr="00083705" w:rsidRDefault="00BD4C12" w:rsidP="00BD4C12">
            <w:pPr>
              <w:ind w:right="96"/>
              <w:rPr>
                <w:rFonts w:ascii="Verdana" w:hAnsi="Verdana" w:cs="Arial"/>
                <w:sz w:val="24"/>
                <w:szCs w:val="24"/>
              </w:rPr>
            </w:pPr>
            <w:r w:rsidRPr="00083705">
              <w:rPr>
                <w:rFonts w:ascii="Verdana" w:hAnsi="Verdana" w:cs="Arial"/>
                <w:sz w:val="24"/>
                <w:szCs w:val="24"/>
              </w:rPr>
              <w:t>Appendix 1 – GP Flu Plan Template 2024-25</w:t>
            </w:r>
          </w:p>
          <w:p w14:paraId="6D29049E" w14:textId="5B6C0295" w:rsidR="00BD4C12" w:rsidRPr="00083705" w:rsidRDefault="00BD4C12" w:rsidP="00083705">
            <w:pPr>
              <w:rPr>
                <w:rFonts w:ascii="Verdana" w:hAnsi="Verdana" w:cs="Arial"/>
                <w:color w:val="FF0000"/>
                <w:sz w:val="24"/>
                <w:szCs w:val="24"/>
              </w:rPr>
            </w:pPr>
            <w:r w:rsidRPr="00083705">
              <w:rPr>
                <w:rFonts w:ascii="Verdana" w:hAnsi="Verdana" w:cs="Arial"/>
                <w:sz w:val="24"/>
                <w:szCs w:val="24"/>
              </w:rPr>
              <w:t>Appendix 2 – Influenza vaccine uptake data</w:t>
            </w:r>
          </w:p>
        </w:tc>
      </w:tr>
    </w:tbl>
    <w:p w14:paraId="68F6CE84" w14:textId="77777777" w:rsidR="00083705" w:rsidRDefault="00083705">
      <w:pPr>
        <w:rPr>
          <w:rFonts w:ascii="Verdana" w:hAnsi="Verdana" w:cs="Arial"/>
          <w:b/>
          <w:sz w:val="24"/>
          <w:szCs w:val="24"/>
        </w:rPr>
      </w:pPr>
    </w:p>
    <w:p w14:paraId="6B238B46" w14:textId="77777777" w:rsidR="00083705" w:rsidRDefault="00083705">
      <w:pPr>
        <w:rPr>
          <w:rFonts w:ascii="Verdana" w:hAnsi="Verdana" w:cs="Arial"/>
          <w:b/>
          <w:sz w:val="24"/>
          <w:szCs w:val="24"/>
        </w:rPr>
      </w:pPr>
    </w:p>
    <w:p w14:paraId="7C5BD74A" w14:textId="77777777" w:rsidR="00083705" w:rsidRDefault="00083705">
      <w:pPr>
        <w:rPr>
          <w:rFonts w:ascii="Verdana" w:hAnsi="Verdana" w:cs="Arial"/>
          <w:b/>
          <w:sz w:val="24"/>
          <w:szCs w:val="24"/>
        </w:rPr>
      </w:pPr>
    </w:p>
    <w:p w14:paraId="62AC5552" w14:textId="77777777" w:rsidR="00083705" w:rsidRDefault="00083705">
      <w:pPr>
        <w:rPr>
          <w:rFonts w:ascii="Verdana" w:hAnsi="Verdana" w:cs="Arial"/>
          <w:b/>
          <w:sz w:val="24"/>
          <w:szCs w:val="24"/>
        </w:rPr>
      </w:pPr>
    </w:p>
    <w:p w14:paraId="4D7A06CE" w14:textId="77777777" w:rsidR="00083705" w:rsidRDefault="00083705">
      <w:pPr>
        <w:rPr>
          <w:rFonts w:ascii="Verdana" w:hAnsi="Verdana" w:cs="Arial"/>
          <w:b/>
          <w:sz w:val="24"/>
          <w:szCs w:val="24"/>
        </w:rPr>
      </w:pPr>
    </w:p>
    <w:p w14:paraId="5F9A89BB" w14:textId="77777777" w:rsidR="00083705" w:rsidRDefault="00083705">
      <w:pPr>
        <w:rPr>
          <w:rFonts w:ascii="Verdana" w:hAnsi="Verdana" w:cs="Arial"/>
          <w:b/>
          <w:sz w:val="24"/>
          <w:szCs w:val="24"/>
        </w:rPr>
      </w:pPr>
    </w:p>
    <w:p w14:paraId="691F2B85" w14:textId="77777777" w:rsidR="00083705" w:rsidRDefault="00083705">
      <w:pPr>
        <w:rPr>
          <w:rFonts w:ascii="Verdana" w:hAnsi="Verdana" w:cs="Arial"/>
          <w:b/>
          <w:sz w:val="24"/>
          <w:szCs w:val="24"/>
        </w:rPr>
      </w:pPr>
    </w:p>
    <w:p w14:paraId="7A49DCFE" w14:textId="77777777" w:rsidR="00083705" w:rsidRDefault="00083705">
      <w:pPr>
        <w:rPr>
          <w:rFonts w:ascii="Verdana" w:hAnsi="Verdana" w:cs="Arial"/>
          <w:b/>
          <w:sz w:val="24"/>
          <w:szCs w:val="24"/>
        </w:rPr>
      </w:pPr>
    </w:p>
    <w:p w14:paraId="424D10DC" w14:textId="77777777" w:rsidR="00083705" w:rsidRDefault="00083705">
      <w:pPr>
        <w:rPr>
          <w:rFonts w:ascii="Verdana" w:hAnsi="Verdana" w:cs="Arial"/>
          <w:b/>
          <w:sz w:val="24"/>
          <w:szCs w:val="24"/>
        </w:rPr>
      </w:pPr>
    </w:p>
    <w:p w14:paraId="28972500" w14:textId="77777777" w:rsidR="00083705" w:rsidRDefault="00083705">
      <w:pPr>
        <w:rPr>
          <w:rFonts w:ascii="Verdana" w:hAnsi="Verdana" w:cs="Arial"/>
          <w:b/>
          <w:sz w:val="24"/>
          <w:szCs w:val="24"/>
        </w:rPr>
      </w:pPr>
    </w:p>
    <w:p w14:paraId="640E4E2D" w14:textId="77777777" w:rsidR="00083705" w:rsidRDefault="00083705">
      <w:pPr>
        <w:rPr>
          <w:rFonts w:ascii="Verdana" w:hAnsi="Verdana" w:cs="Arial"/>
          <w:b/>
          <w:sz w:val="24"/>
          <w:szCs w:val="24"/>
        </w:rPr>
      </w:pPr>
    </w:p>
    <w:p w14:paraId="2DCF53DD" w14:textId="77777777" w:rsidR="00083705" w:rsidRDefault="00083705">
      <w:pPr>
        <w:rPr>
          <w:rFonts w:ascii="Verdana" w:hAnsi="Verdana" w:cs="Arial"/>
          <w:b/>
          <w:sz w:val="24"/>
          <w:szCs w:val="24"/>
        </w:rPr>
      </w:pPr>
    </w:p>
    <w:p w14:paraId="42EE9CEF" w14:textId="77777777" w:rsidR="00083705" w:rsidRDefault="00083705">
      <w:pPr>
        <w:rPr>
          <w:rFonts w:ascii="Verdana" w:hAnsi="Verdana" w:cs="Arial"/>
          <w:b/>
          <w:sz w:val="24"/>
          <w:szCs w:val="24"/>
        </w:rPr>
      </w:pPr>
    </w:p>
    <w:p w14:paraId="50B3FC7F" w14:textId="77777777" w:rsidR="00083705" w:rsidRDefault="00083705">
      <w:pPr>
        <w:rPr>
          <w:rFonts w:ascii="Verdana" w:hAnsi="Verdana" w:cs="Arial"/>
          <w:b/>
          <w:sz w:val="24"/>
          <w:szCs w:val="24"/>
        </w:rPr>
      </w:pPr>
    </w:p>
    <w:p w14:paraId="74F41132" w14:textId="77777777" w:rsidR="00083705" w:rsidRDefault="00083705">
      <w:pPr>
        <w:rPr>
          <w:rFonts w:ascii="Verdana" w:hAnsi="Verdana" w:cs="Arial"/>
          <w:b/>
          <w:sz w:val="24"/>
          <w:szCs w:val="24"/>
        </w:rPr>
      </w:pPr>
    </w:p>
    <w:p w14:paraId="2C4A2B1C" w14:textId="77777777" w:rsidR="00083705" w:rsidRDefault="00083705">
      <w:pPr>
        <w:rPr>
          <w:rFonts w:ascii="Verdana" w:hAnsi="Verdana" w:cs="Arial"/>
          <w:b/>
          <w:sz w:val="24"/>
          <w:szCs w:val="24"/>
        </w:rPr>
      </w:pPr>
    </w:p>
    <w:p w14:paraId="10AEB58E" w14:textId="77777777" w:rsidR="00083705" w:rsidRDefault="00083705">
      <w:pPr>
        <w:rPr>
          <w:rFonts w:ascii="Verdana" w:hAnsi="Verdana" w:cs="Arial"/>
          <w:b/>
          <w:sz w:val="24"/>
          <w:szCs w:val="24"/>
        </w:rPr>
      </w:pPr>
    </w:p>
    <w:p w14:paraId="23734C99" w14:textId="77777777" w:rsidR="00083705" w:rsidRDefault="00083705">
      <w:pPr>
        <w:rPr>
          <w:rFonts w:ascii="Verdana" w:hAnsi="Verdana" w:cs="Arial"/>
          <w:b/>
          <w:sz w:val="24"/>
          <w:szCs w:val="24"/>
        </w:rPr>
      </w:pPr>
    </w:p>
    <w:p w14:paraId="6963DBCD" w14:textId="77777777" w:rsidR="00083705" w:rsidRDefault="00083705">
      <w:pPr>
        <w:rPr>
          <w:rFonts w:ascii="Verdana" w:hAnsi="Verdana" w:cs="Arial"/>
          <w:b/>
          <w:sz w:val="24"/>
          <w:szCs w:val="24"/>
        </w:rPr>
      </w:pPr>
    </w:p>
    <w:p w14:paraId="50E51242" w14:textId="77777777" w:rsidR="00083705" w:rsidRDefault="00083705">
      <w:pPr>
        <w:rPr>
          <w:rFonts w:ascii="Verdana" w:hAnsi="Verdana" w:cs="Arial"/>
          <w:b/>
          <w:sz w:val="24"/>
          <w:szCs w:val="24"/>
        </w:rPr>
      </w:pPr>
    </w:p>
    <w:p w14:paraId="61A21A1B" w14:textId="77777777" w:rsidR="00083705" w:rsidRDefault="00083705">
      <w:pPr>
        <w:rPr>
          <w:rFonts w:ascii="Verdana" w:hAnsi="Verdana" w:cs="Arial"/>
          <w:b/>
          <w:sz w:val="24"/>
          <w:szCs w:val="24"/>
        </w:rPr>
      </w:pPr>
    </w:p>
    <w:p w14:paraId="30E9E882" w14:textId="77777777" w:rsidR="00083705" w:rsidRDefault="00083705">
      <w:pPr>
        <w:rPr>
          <w:rFonts w:ascii="Verdana" w:hAnsi="Verdana" w:cs="Arial"/>
          <w:b/>
          <w:sz w:val="24"/>
          <w:szCs w:val="24"/>
        </w:rPr>
      </w:pPr>
    </w:p>
    <w:p w14:paraId="709AFB05" w14:textId="77777777" w:rsidR="00083705" w:rsidRDefault="00083705">
      <w:pPr>
        <w:rPr>
          <w:rFonts w:ascii="Verdana" w:hAnsi="Verdana" w:cs="Arial"/>
          <w:b/>
          <w:sz w:val="24"/>
          <w:szCs w:val="24"/>
        </w:rPr>
      </w:pPr>
    </w:p>
    <w:p w14:paraId="1214B561" w14:textId="77777777" w:rsidR="00083705" w:rsidRDefault="00083705">
      <w:pPr>
        <w:rPr>
          <w:rFonts w:ascii="Verdana" w:hAnsi="Verdana" w:cs="Arial"/>
          <w:b/>
          <w:sz w:val="24"/>
          <w:szCs w:val="24"/>
        </w:rPr>
      </w:pPr>
    </w:p>
    <w:p w14:paraId="069E7E3C" w14:textId="77777777" w:rsidR="00083705" w:rsidRDefault="00083705">
      <w:pPr>
        <w:rPr>
          <w:rFonts w:ascii="Verdana" w:hAnsi="Verdana" w:cs="Arial"/>
          <w:b/>
          <w:sz w:val="24"/>
          <w:szCs w:val="24"/>
        </w:rPr>
      </w:pPr>
    </w:p>
    <w:p w14:paraId="4CB86831" w14:textId="3A018FCF" w:rsidR="00BD4C12" w:rsidRPr="00083705" w:rsidRDefault="00BD4C12">
      <w:pPr>
        <w:rPr>
          <w:rFonts w:ascii="Verdana" w:hAnsi="Verdana" w:cs="Arial"/>
          <w:b/>
          <w:sz w:val="24"/>
          <w:szCs w:val="24"/>
        </w:rPr>
      </w:pPr>
      <w:r w:rsidRPr="00083705">
        <w:rPr>
          <w:rFonts w:ascii="Verdana" w:hAnsi="Verdana" w:cs="Arial"/>
          <w:b/>
          <w:sz w:val="24"/>
          <w:szCs w:val="24"/>
        </w:rPr>
        <w:lastRenderedPageBreak/>
        <w:t>Appendix 1</w:t>
      </w:r>
    </w:p>
    <w:p w14:paraId="161ED0C3" w14:textId="59ABFF32" w:rsidR="00BD4C12" w:rsidRPr="00083705" w:rsidRDefault="00BD4C12">
      <w:pPr>
        <w:rPr>
          <w:rFonts w:ascii="Verdana" w:hAnsi="Verdana"/>
          <w:sz w:val="24"/>
          <w:szCs w:val="24"/>
        </w:rPr>
      </w:pPr>
    </w:p>
    <w:p w14:paraId="3BAB66E0" w14:textId="77777777" w:rsidR="00BD4C12" w:rsidRPr="00083705" w:rsidRDefault="00BD4C12" w:rsidP="00BD4C12">
      <w:pPr>
        <w:ind w:left="720" w:hanging="720"/>
        <w:jc w:val="center"/>
        <w:rPr>
          <w:rFonts w:ascii="Verdana" w:hAnsi="Verdana" w:cstheme="minorHAnsi"/>
          <w:sz w:val="24"/>
          <w:szCs w:val="24"/>
        </w:rPr>
      </w:pPr>
      <w:r w:rsidRPr="00083705">
        <w:rPr>
          <w:rFonts w:ascii="Verdana" w:hAnsi="Verdana" w:cstheme="minorHAnsi"/>
          <w:b/>
          <w:sz w:val="24"/>
          <w:szCs w:val="24"/>
          <w:u w:val="single"/>
        </w:rPr>
        <w:t>Primary Care Delivery Plan for Seasonal Influenza Vaccination Programme 2024/25</w:t>
      </w:r>
    </w:p>
    <w:p w14:paraId="39966775" w14:textId="77777777" w:rsidR="00BD4C12" w:rsidRPr="00083705" w:rsidRDefault="00BD4C12" w:rsidP="00BD4C12">
      <w:pPr>
        <w:spacing w:after="0"/>
        <w:ind w:right="-24"/>
        <w:jc w:val="both"/>
        <w:rPr>
          <w:rFonts w:ascii="Verdana" w:hAnsi="Verdana" w:cstheme="minorHAnsi"/>
          <w:sz w:val="24"/>
          <w:szCs w:val="24"/>
        </w:rPr>
      </w:pPr>
      <w:r w:rsidRPr="00083705">
        <w:rPr>
          <w:rFonts w:ascii="Verdana" w:hAnsi="Verdana" w:cstheme="minorHAnsi"/>
          <w:sz w:val="24"/>
          <w:szCs w:val="24"/>
        </w:rPr>
        <w:t xml:space="preserve">In line with the Primary Medical Services (Directed Enhanced Services) (Wales) Directions 2007, those practices contracted by Health Boards to deliver the influenza immunisation programme should have agreements set out in a plan for delivering the programme effectively.  This plan should include a register of all patients in at risk groups in addition to eligible age groups.  Please complete the information below to inform the development of a Health Board Primary Care Delivery Plan. </w:t>
      </w:r>
    </w:p>
    <w:p w14:paraId="5A0BC34D" w14:textId="77777777" w:rsidR="00BD4C12" w:rsidRPr="00083705" w:rsidRDefault="00BD4C12" w:rsidP="00BD4C12">
      <w:pPr>
        <w:spacing w:after="0"/>
        <w:ind w:left="720" w:hanging="720"/>
        <w:jc w:val="both"/>
        <w:rPr>
          <w:rFonts w:ascii="Verdana" w:hAnsi="Verdana" w:cstheme="minorHAnsi"/>
          <w:sz w:val="24"/>
          <w:szCs w:val="24"/>
        </w:rPr>
      </w:pPr>
    </w:p>
    <w:p w14:paraId="10504BF9" w14:textId="77777777" w:rsidR="00BD4C12" w:rsidRPr="00083705" w:rsidRDefault="00BD4C12" w:rsidP="00BD4C12">
      <w:pPr>
        <w:ind w:left="720" w:hanging="720"/>
        <w:rPr>
          <w:rFonts w:ascii="Verdana" w:hAnsi="Verdana" w:cstheme="minorHAnsi"/>
          <w:sz w:val="24"/>
          <w:szCs w:val="24"/>
        </w:rPr>
      </w:pPr>
      <w:r w:rsidRPr="00083705">
        <w:rPr>
          <w:rFonts w:ascii="Verdana" w:hAnsi="Verdana" w:cstheme="minorHAnsi"/>
          <w:noProof/>
          <w:sz w:val="24"/>
          <w:szCs w:val="24"/>
        </w:rPr>
        <w:lastRenderedPageBreak/>
        <w:drawing>
          <wp:inline distT="0" distB="0" distL="0" distR="0" wp14:anchorId="766B0325" wp14:editId="0264A040">
            <wp:extent cx="6645910" cy="686117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645910" cy="6861175"/>
                    </a:xfrm>
                    <a:prstGeom prst="rect">
                      <a:avLst/>
                    </a:prstGeom>
                  </pic:spPr>
                </pic:pic>
              </a:graphicData>
            </a:graphic>
          </wp:inline>
        </w:drawing>
      </w:r>
    </w:p>
    <w:p w14:paraId="737F519E" w14:textId="77777777" w:rsidR="00BD4C12" w:rsidRPr="00083705" w:rsidRDefault="00BD4C12" w:rsidP="00BD4C12">
      <w:pPr>
        <w:pStyle w:val="NoSpacing"/>
        <w:ind w:left="720" w:hanging="720"/>
        <w:jc w:val="center"/>
        <w:rPr>
          <w:rFonts w:ascii="Verdana" w:hAnsi="Verdana"/>
          <w:sz w:val="24"/>
          <w:szCs w:val="24"/>
        </w:rPr>
        <w:sectPr w:rsidR="00BD4C12" w:rsidRPr="00083705" w:rsidSect="002C66E0">
          <w:headerReference w:type="default" r:id="rId17"/>
          <w:pgSz w:w="11906" w:h="16838"/>
          <w:pgMar w:top="1843" w:right="720" w:bottom="709" w:left="720" w:header="284" w:footer="284" w:gutter="0"/>
          <w:cols w:space="708"/>
          <w:docGrid w:linePitch="360"/>
        </w:sectPr>
      </w:pPr>
    </w:p>
    <w:p w14:paraId="35BE875E" w14:textId="554C1637" w:rsidR="00BD4C12" w:rsidRPr="00083705" w:rsidRDefault="00BD4C12">
      <w:pPr>
        <w:rPr>
          <w:rFonts w:ascii="Verdana" w:hAnsi="Verdana"/>
          <w:sz w:val="24"/>
          <w:szCs w:val="24"/>
        </w:rPr>
      </w:pPr>
      <w:r w:rsidRPr="00083705">
        <w:rPr>
          <w:rFonts w:ascii="Verdana" w:hAnsi="Verdana"/>
          <w:noProof/>
          <w:sz w:val="24"/>
          <w:szCs w:val="24"/>
        </w:rPr>
        <w:lastRenderedPageBreak/>
        <w:drawing>
          <wp:inline distT="0" distB="0" distL="0" distR="0" wp14:anchorId="1C5D9E19" wp14:editId="3294DBD7">
            <wp:extent cx="5731510" cy="6931970"/>
            <wp:effectExtent l="0" t="0" r="254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6931970"/>
                    </a:xfrm>
                    <a:prstGeom prst="rect">
                      <a:avLst/>
                    </a:prstGeom>
                  </pic:spPr>
                </pic:pic>
              </a:graphicData>
            </a:graphic>
          </wp:inline>
        </w:drawing>
      </w:r>
    </w:p>
    <w:p w14:paraId="79959499" w14:textId="77777777" w:rsidR="001977EF" w:rsidRPr="00083705" w:rsidRDefault="001977EF" w:rsidP="00BD4C12">
      <w:pPr>
        <w:pStyle w:val="NoSpacing"/>
        <w:rPr>
          <w:rFonts w:ascii="Verdana" w:hAnsi="Verdana" w:cs="Arial"/>
          <w:b/>
          <w:sz w:val="24"/>
          <w:szCs w:val="24"/>
        </w:rPr>
      </w:pPr>
    </w:p>
    <w:p w14:paraId="1E9F4C62" w14:textId="77777777" w:rsidR="001977EF" w:rsidRPr="00083705" w:rsidRDefault="001977EF" w:rsidP="00BD4C12">
      <w:pPr>
        <w:pStyle w:val="NoSpacing"/>
        <w:rPr>
          <w:rFonts w:ascii="Verdana" w:hAnsi="Verdana" w:cs="Arial"/>
          <w:b/>
          <w:sz w:val="24"/>
          <w:szCs w:val="24"/>
        </w:rPr>
      </w:pPr>
    </w:p>
    <w:p w14:paraId="63C8BB8D" w14:textId="77777777" w:rsidR="001977EF" w:rsidRPr="00083705" w:rsidRDefault="001977EF" w:rsidP="00BD4C12">
      <w:pPr>
        <w:pStyle w:val="NoSpacing"/>
        <w:rPr>
          <w:rFonts w:ascii="Verdana" w:hAnsi="Verdana" w:cs="Arial"/>
          <w:b/>
          <w:sz w:val="24"/>
          <w:szCs w:val="24"/>
        </w:rPr>
      </w:pPr>
    </w:p>
    <w:p w14:paraId="12336F66" w14:textId="77777777" w:rsidR="001977EF" w:rsidRPr="00083705" w:rsidRDefault="001977EF" w:rsidP="00BD4C12">
      <w:pPr>
        <w:pStyle w:val="NoSpacing"/>
        <w:rPr>
          <w:rFonts w:ascii="Verdana" w:hAnsi="Verdana" w:cs="Arial"/>
          <w:b/>
          <w:sz w:val="24"/>
          <w:szCs w:val="24"/>
        </w:rPr>
      </w:pPr>
    </w:p>
    <w:p w14:paraId="3389BDBB" w14:textId="77777777" w:rsidR="001977EF" w:rsidRPr="00083705" w:rsidRDefault="001977EF" w:rsidP="00BD4C12">
      <w:pPr>
        <w:pStyle w:val="NoSpacing"/>
        <w:rPr>
          <w:rFonts w:ascii="Verdana" w:hAnsi="Verdana" w:cs="Arial"/>
          <w:b/>
          <w:sz w:val="24"/>
          <w:szCs w:val="24"/>
        </w:rPr>
      </w:pPr>
    </w:p>
    <w:p w14:paraId="1C3E9A25" w14:textId="3EF06FDB" w:rsidR="00BD4C12" w:rsidRPr="00083705" w:rsidRDefault="00BD4C12" w:rsidP="002C66E0">
      <w:pPr>
        <w:pStyle w:val="NoSpacing"/>
        <w:rPr>
          <w:rFonts w:ascii="Verdana" w:hAnsi="Verdana" w:cs="Arial"/>
          <w:b/>
          <w:sz w:val="24"/>
          <w:szCs w:val="24"/>
        </w:rPr>
      </w:pPr>
      <w:r w:rsidRPr="00083705">
        <w:rPr>
          <w:rFonts w:ascii="Verdana" w:hAnsi="Verdana" w:cs="Arial"/>
          <w:b/>
          <w:sz w:val="24"/>
          <w:szCs w:val="24"/>
        </w:rPr>
        <w:lastRenderedPageBreak/>
        <w:t>Appendix 2</w:t>
      </w:r>
    </w:p>
    <w:p w14:paraId="28AC3411" w14:textId="77777777" w:rsidR="00BD4C12" w:rsidRPr="00083705" w:rsidRDefault="00BD4C12" w:rsidP="00BD4C12">
      <w:pPr>
        <w:pStyle w:val="NoSpacing"/>
        <w:rPr>
          <w:rFonts w:ascii="Verdana" w:hAnsi="Verdana"/>
          <w:b/>
          <w:sz w:val="24"/>
          <w:szCs w:val="24"/>
        </w:rPr>
      </w:pPr>
    </w:p>
    <w:p w14:paraId="7156339C" w14:textId="77777777" w:rsidR="00BD4C12" w:rsidRPr="00083705" w:rsidRDefault="00BD4C12" w:rsidP="00BD4C12">
      <w:pPr>
        <w:pStyle w:val="NoSpacing"/>
        <w:rPr>
          <w:rFonts w:ascii="Verdana" w:hAnsi="Verdana"/>
          <w:b/>
          <w:sz w:val="24"/>
          <w:szCs w:val="24"/>
        </w:rPr>
      </w:pPr>
      <w:r w:rsidRPr="00083705">
        <w:rPr>
          <w:rFonts w:ascii="Verdana" w:hAnsi="Verdana"/>
          <w:b/>
          <w:sz w:val="24"/>
          <w:szCs w:val="24"/>
        </w:rPr>
        <w:t>2024-25 Influenza vaccine uptake summary by Local Authority</w:t>
      </w:r>
    </w:p>
    <w:p w14:paraId="62FD2A20" w14:textId="59065EDA" w:rsidR="00BD4C12" w:rsidRPr="00083705" w:rsidRDefault="00BD4C12">
      <w:pPr>
        <w:rPr>
          <w:rFonts w:ascii="Verdana" w:eastAsia="Times New Roman" w:hAnsi="Verdana" w:cs="Calibri"/>
          <w:b/>
          <w:bCs/>
          <w:color w:val="000000"/>
          <w:sz w:val="24"/>
          <w:szCs w:val="24"/>
          <w:lang w:eastAsia="en-GB"/>
        </w:rPr>
      </w:pPr>
    </w:p>
    <w:tbl>
      <w:tblPr>
        <w:tblW w:w="10160" w:type="dxa"/>
        <w:tblInd w:w="-426" w:type="dxa"/>
        <w:tblLook w:val="04A0" w:firstRow="1" w:lastRow="0" w:firstColumn="1" w:lastColumn="0" w:noHBand="0" w:noVBand="1"/>
      </w:tblPr>
      <w:tblGrid>
        <w:gridCol w:w="1481"/>
        <w:gridCol w:w="2223"/>
        <w:gridCol w:w="1876"/>
        <w:gridCol w:w="1852"/>
        <w:gridCol w:w="1364"/>
        <w:gridCol w:w="1364"/>
      </w:tblGrid>
      <w:tr w:rsidR="00BD4C12" w:rsidRPr="00083705" w14:paraId="08DCA2A5" w14:textId="77777777" w:rsidTr="002C66E0">
        <w:trPr>
          <w:trHeight w:val="370"/>
        </w:trPr>
        <w:tc>
          <w:tcPr>
            <w:tcW w:w="10160" w:type="dxa"/>
            <w:gridSpan w:val="6"/>
            <w:tcBorders>
              <w:top w:val="nil"/>
              <w:left w:val="nil"/>
              <w:bottom w:val="nil"/>
              <w:right w:val="nil"/>
            </w:tcBorders>
            <w:shd w:val="clear" w:color="auto" w:fill="auto"/>
            <w:noWrap/>
            <w:vAlign w:val="bottom"/>
            <w:hideMark/>
          </w:tcPr>
          <w:p w14:paraId="797B4395"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SBUHB Summary 2024-25</w:t>
            </w:r>
          </w:p>
        </w:tc>
      </w:tr>
      <w:tr w:rsidR="00BD4C12" w:rsidRPr="00083705" w14:paraId="6C63DB73" w14:textId="77777777" w:rsidTr="002C66E0">
        <w:trPr>
          <w:trHeight w:val="380"/>
        </w:trPr>
        <w:tc>
          <w:tcPr>
            <w:tcW w:w="1481" w:type="dxa"/>
            <w:tcBorders>
              <w:top w:val="nil"/>
              <w:left w:val="nil"/>
              <w:bottom w:val="nil"/>
              <w:right w:val="nil"/>
            </w:tcBorders>
            <w:shd w:val="clear" w:color="auto" w:fill="auto"/>
            <w:noWrap/>
            <w:vAlign w:val="bottom"/>
            <w:hideMark/>
          </w:tcPr>
          <w:p w14:paraId="13583CA1"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p>
        </w:tc>
        <w:tc>
          <w:tcPr>
            <w:tcW w:w="2223" w:type="dxa"/>
            <w:tcBorders>
              <w:top w:val="nil"/>
              <w:left w:val="nil"/>
              <w:bottom w:val="nil"/>
              <w:right w:val="nil"/>
            </w:tcBorders>
            <w:shd w:val="clear" w:color="auto" w:fill="auto"/>
            <w:noWrap/>
            <w:vAlign w:val="bottom"/>
            <w:hideMark/>
          </w:tcPr>
          <w:p w14:paraId="3B1AB82B" w14:textId="77777777" w:rsidR="00BD4C12" w:rsidRPr="00083705" w:rsidRDefault="00BD4C12" w:rsidP="006B2D43">
            <w:pPr>
              <w:spacing w:after="0"/>
              <w:jc w:val="center"/>
              <w:rPr>
                <w:rFonts w:ascii="Verdana" w:eastAsia="Times New Roman" w:hAnsi="Verdana"/>
                <w:sz w:val="24"/>
                <w:szCs w:val="24"/>
                <w:lang w:eastAsia="en-GB"/>
              </w:rPr>
            </w:pPr>
          </w:p>
        </w:tc>
        <w:tc>
          <w:tcPr>
            <w:tcW w:w="1876" w:type="dxa"/>
            <w:tcBorders>
              <w:top w:val="nil"/>
              <w:left w:val="nil"/>
              <w:bottom w:val="nil"/>
              <w:right w:val="nil"/>
            </w:tcBorders>
            <w:shd w:val="clear" w:color="auto" w:fill="auto"/>
            <w:noWrap/>
            <w:vAlign w:val="bottom"/>
            <w:hideMark/>
          </w:tcPr>
          <w:p w14:paraId="0B180EA2" w14:textId="77777777" w:rsidR="00BD4C12" w:rsidRPr="00083705" w:rsidRDefault="00BD4C12" w:rsidP="006B2D43">
            <w:pPr>
              <w:spacing w:after="0"/>
              <w:jc w:val="center"/>
              <w:rPr>
                <w:rFonts w:ascii="Verdana" w:eastAsia="Times New Roman" w:hAnsi="Verdana"/>
                <w:sz w:val="24"/>
                <w:szCs w:val="24"/>
                <w:lang w:eastAsia="en-GB"/>
              </w:rPr>
            </w:pPr>
          </w:p>
        </w:tc>
        <w:tc>
          <w:tcPr>
            <w:tcW w:w="1852" w:type="dxa"/>
            <w:tcBorders>
              <w:top w:val="nil"/>
              <w:left w:val="nil"/>
              <w:bottom w:val="nil"/>
              <w:right w:val="nil"/>
            </w:tcBorders>
            <w:shd w:val="clear" w:color="auto" w:fill="auto"/>
            <w:noWrap/>
            <w:vAlign w:val="bottom"/>
            <w:hideMark/>
          </w:tcPr>
          <w:p w14:paraId="34F61B7E" w14:textId="77777777" w:rsidR="00BD4C12" w:rsidRPr="00083705" w:rsidRDefault="00BD4C12" w:rsidP="006B2D43">
            <w:pPr>
              <w:spacing w:after="0"/>
              <w:jc w:val="center"/>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608984EB" w14:textId="77777777" w:rsidR="00BD4C12" w:rsidRPr="00083705" w:rsidRDefault="00BD4C12" w:rsidP="006B2D43">
            <w:pPr>
              <w:spacing w:after="0"/>
              <w:jc w:val="center"/>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16BD048A" w14:textId="77777777" w:rsidR="00BD4C12" w:rsidRPr="00083705" w:rsidRDefault="00BD4C12" w:rsidP="006B2D43">
            <w:pPr>
              <w:spacing w:after="0"/>
              <w:jc w:val="center"/>
              <w:rPr>
                <w:rFonts w:ascii="Verdana" w:eastAsia="Times New Roman" w:hAnsi="Verdana"/>
                <w:sz w:val="24"/>
                <w:szCs w:val="24"/>
                <w:lang w:eastAsia="en-GB"/>
              </w:rPr>
            </w:pPr>
          </w:p>
        </w:tc>
      </w:tr>
      <w:tr w:rsidR="00BD4C12" w:rsidRPr="00083705" w14:paraId="61D7A921" w14:textId="77777777" w:rsidTr="002C66E0">
        <w:trPr>
          <w:trHeight w:val="320"/>
        </w:trPr>
        <w:tc>
          <w:tcPr>
            <w:tcW w:w="1481" w:type="dxa"/>
            <w:tcBorders>
              <w:top w:val="nil"/>
              <w:left w:val="nil"/>
              <w:bottom w:val="nil"/>
              <w:right w:val="nil"/>
            </w:tcBorders>
            <w:shd w:val="clear" w:color="auto" w:fill="auto"/>
            <w:noWrap/>
            <w:vAlign w:val="bottom"/>
            <w:hideMark/>
          </w:tcPr>
          <w:p w14:paraId="4DE6C941" w14:textId="77777777" w:rsidR="00BD4C12" w:rsidRPr="00083705" w:rsidRDefault="00BD4C12" w:rsidP="006B2D43">
            <w:pPr>
              <w:spacing w:after="0"/>
              <w:jc w:val="center"/>
              <w:rPr>
                <w:rFonts w:ascii="Verdana" w:eastAsia="Times New Roman" w:hAnsi="Verdana"/>
                <w:sz w:val="24"/>
                <w:szCs w:val="24"/>
                <w:lang w:eastAsia="en-GB"/>
              </w:rPr>
            </w:pPr>
          </w:p>
        </w:tc>
        <w:tc>
          <w:tcPr>
            <w:tcW w:w="5951" w:type="dxa"/>
            <w:gridSpan w:val="3"/>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29C3B3D5"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Children 2 to 3 years</w:t>
            </w:r>
          </w:p>
        </w:tc>
        <w:tc>
          <w:tcPr>
            <w:tcW w:w="1364" w:type="dxa"/>
            <w:tcBorders>
              <w:top w:val="nil"/>
              <w:left w:val="nil"/>
              <w:bottom w:val="nil"/>
              <w:right w:val="nil"/>
            </w:tcBorders>
            <w:shd w:val="clear" w:color="auto" w:fill="auto"/>
            <w:noWrap/>
            <w:vAlign w:val="bottom"/>
            <w:hideMark/>
          </w:tcPr>
          <w:p w14:paraId="53D6B776"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p>
        </w:tc>
        <w:tc>
          <w:tcPr>
            <w:tcW w:w="1364" w:type="dxa"/>
            <w:tcBorders>
              <w:top w:val="nil"/>
              <w:left w:val="nil"/>
              <w:bottom w:val="nil"/>
              <w:right w:val="nil"/>
            </w:tcBorders>
            <w:shd w:val="clear" w:color="auto" w:fill="auto"/>
            <w:noWrap/>
            <w:vAlign w:val="bottom"/>
            <w:hideMark/>
          </w:tcPr>
          <w:p w14:paraId="6F4915D6"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42D7EC34" w14:textId="77777777" w:rsidTr="002C66E0">
        <w:trPr>
          <w:trHeight w:val="320"/>
        </w:trPr>
        <w:tc>
          <w:tcPr>
            <w:tcW w:w="1481" w:type="dxa"/>
            <w:tcBorders>
              <w:top w:val="nil"/>
              <w:left w:val="nil"/>
              <w:bottom w:val="nil"/>
              <w:right w:val="nil"/>
            </w:tcBorders>
            <w:shd w:val="clear" w:color="auto" w:fill="auto"/>
            <w:noWrap/>
            <w:vAlign w:val="bottom"/>
            <w:hideMark/>
          </w:tcPr>
          <w:p w14:paraId="29803087" w14:textId="77777777" w:rsidR="00BD4C12" w:rsidRPr="00083705" w:rsidRDefault="00BD4C12" w:rsidP="006B2D43">
            <w:pPr>
              <w:spacing w:after="0"/>
              <w:rPr>
                <w:rFonts w:ascii="Verdana" w:eastAsia="Times New Roman" w:hAnsi="Verdana"/>
                <w:sz w:val="24"/>
                <w:szCs w:val="24"/>
                <w:lang w:eastAsia="en-GB"/>
              </w:rPr>
            </w:pPr>
          </w:p>
        </w:tc>
        <w:tc>
          <w:tcPr>
            <w:tcW w:w="2223" w:type="dxa"/>
            <w:tcBorders>
              <w:top w:val="nil"/>
              <w:left w:val="single" w:sz="8" w:space="0" w:color="auto"/>
              <w:bottom w:val="nil"/>
              <w:right w:val="single" w:sz="8" w:space="0" w:color="auto"/>
            </w:tcBorders>
            <w:shd w:val="clear" w:color="auto" w:fill="auto"/>
            <w:noWrap/>
            <w:vAlign w:val="bottom"/>
            <w:hideMark/>
          </w:tcPr>
          <w:p w14:paraId="35D28735"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Denominator</w:t>
            </w:r>
          </w:p>
        </w:tc>
        <w:tc>
          <w:tcPr>
            <w:tcW w:w="1876" w:type="dxa"/>
            <w:tcBorders>
              <w:top w:val="nil"/>
              <w:left w:val="nil"/>
              <w:bottom w:val="nil"/>
              <w:right w:val="single" w:sz="8" w:space="0" w:color="auto"/>
            </w:tcBorders>
            <w:shd w:val="clear" w:color="auto" w:fill="auto"/>
            <w:noWrap/>
            <w:vAlign w:val="bottom"/>
            <w:hideMark/>
          </w:tcPr>
          <w:p w14:paraId="6899BFC3"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Immunised</w:t>
            </w:r>
          </w:p>
        </w:tc>
        <w:tc>
          <w:tcPr>
            <w:tcW w:w="1852" w:type="dxa"/>
            <w:tcBorders>
              <w:top w:val="nil"/>
              <w:left w:val="nil"/>
              <w:bottom w:val="nil"/>
              <w:right w:val="single" w:sz="8" w:space="0" w:color="auto"/>
            </w:tcBorders>
            <w:shd w:val="clear" w:color="auto" w:fill="auto"/>
            <w:noWrap/>
            <w:vAlign w:val="bottom"/>
            <w:hideMark/>
          </w:tcPr>
          <w:p w14:paraId="6D5E8EED"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Uptake (%)</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5F9E1A4C"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2023-24</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4F63CDB8"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2022-23</w:t>
            </w:r>
          </w:p>
        </w:tc>
      </w:tr>
      <w:tr w:rsidR="00BD4C12" w:rsidRPr="00083705" w14:paraId="47ED8450" w14:textId="77777777" w:rsidTr="002C66E0">
        <w:trPr>
          <w:trHeight w:val="320"/>
        </w:trPr>
        <w:tc>
          <w:tcPr>
            <w:tcW w:w="1481" w:type="dxa"/>
            <w:tcBorders>
              <w:top w:val="single" w:sz="8" w:space="0" w:color="auto"/>
              <w:left w:val="single" w:sz="8" w:space="0" w:color="auto"/>
              <w:bottom w:val="single" w:sz="8" w:space="0" w:color="auto"/>
              <w:right w:val="single" w:sz="8" w:space="0" w:color="auto"/>
            </w:tcBorders>
            <w:shd w:val="clear" w:color="000000" w:fill="F2F2F2"/>
            <w:noWrap/>
            <w:hideMark/>
          </w:tcPr>
          <w:p w14:paraId="708D50FE"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NPT</w:t>
            </w:r>
          </w:p>
        </w:tc>
        <w:tc>
          <w:tcPr>
            <w:tcW w:w="2223" w:type="dxa"/>
            <w:tcBorders>
              <w:top w:val="single" w:sz="8" w:space="0" w:color="auto"/>
              <w:left w:val="nil"/>
              <w:bottom w:val="single" w:sz="8" w:space="0" w:color="auto"/>
              <w:right w:val="single" w:sz="8" w:space="0" w:color="auto"/>
            </w:tcBorders>
            <w:shd w:val="clear" w:color="000000" w:fill="F2F2F2"/>
            <w:noWrap/>
            <w:vAlign w:val="center"/>
            <w:hideMark/>
          </w:tcPr>
          <w:p w14:paraId="786912C3"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2,580</w:t>
            </w:r>
          </w:p>
        </w:tc>
        <w:tc>
          <w:tcPr>
            <w:tcW w:w="1876" w:type="dxa"/>
            <w:tcBorders>
              <w:top w:val="single" w:sz="8" w:space="0" w:color="auto"/>
              <w:left w:val="nil"/>
              <w:bottom w:val="single" w:sz="8" w:space="0" w:color="auto"/>
              <w:right w:val="single" w:sz="8" w:space="0" w:color="auto"/>
            </w:tcBorders>
            <w:shd w:val="clear" w:color="000000" w:fill="F2F2F2"/>
            <w:noWrap/>
            <w:vAlign w:val="center"/>
            <w:hideMark/>
          </w:tcPr>
          <w:p w14:paraId="7201B1A8"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895</w:t>
            </w:r>
          </w:p>
        </w:tc>
        <w:tc>
          <w:tcPr>
            <w:tcW w:w="1852" w:type="dxa"/>
            <w:tcBorders>
              <w:top w:val="single" w:sz="8" w:space="0" w:color="auto"/>
              <w:left w:val="nil"/>
              <w:bottom w:val="single" w:sz="8" w:space="0" w:color="auto"/>
              <w:right w:val="single" w:sz="8" w:space="0" w:color="auto"/>
            </w:tcBorders>
            <w:shd w:val="clear" w:color="000000" w:fill="F2F2F2"/>
            <w:noWrap/>
            <w:vAlign w:val="center"/>
            <w:hideMark/>
          </w:tcPr>
          <w:p w14:paraId="46096CB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34.7%</w:t>
            </w:r>
          </w:p>
        </w:tc>
        <w:tc>
          <w:tcPr>
            <w:tcW w:w="1364" w:type="dxa"/>
            <w:tcBorders>
              <w:top w:val="nil"/>
              <w:left w:val="nil"/>
              <w:bottom w:val="single" w:sz="8" w:space="0" w:color="auto"/>
              <w:right w:val="single" w:sz="8" w:space="0" w:color="auto"/>
            </w:tcBorders>
            <w:shd w:val="clear" w:color="000000" w:fill="F2F2F2"/>
            <w:noWrap/>
            <w:vAlign w:val="center"/>
            <w:hideMark/>
          </w:tcPr>
          <w:p w14:paraId="729DB8D2"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34.8%</w:t>
            </w:r>
          </w:p>
        </w:tc>
        <w:tc>
          <w:tcPr>
            <w:tcW w:w="1364" w:type="dxa"/>
            <w:tcBorders>
              <w:top w:val="nil"/>
              <w:left w:val="nil"/>
              <w:bottom w:val="single" w:sz="8" w:space="0" w:color="auto"/>
              <w:right w:val="single" w:sz="8" w:space="0" w:color="auto"/>
            </w:tcBorders>
            <w:shd w:val="clear" w:color="000000" w:fill="F2F2F2"/>
            <w:noWrap/>
            <w:vAlign w:val="center"/>
            <w:hideMark/>
          </w:tcPr>
          <w:p w14:paraId="27C83D89"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37.10%</w:t>
            </w:r>
          </w:p>
        </w:tc>
      </w:tr>
      <w:tr w:rsidR="00BD4C12" w:rsidRPr="00083705" w14:paraId="40FB25B3" w14:textId="77777777" w:rsidTr="002C66E0">
        <w:trPr>
          <w:trHeight w:val="320"/>
        </w:trPr>
        <w:tc>
          <w:tcPr>
            <w:tcW w:w="1481" w:type="dxa"/>
            <w:tcBorders>
              <w:top w:val="nil"/>
              <w:left w:val="single" w:sz="8" w:space="0" w:color="auto"/>
              <w:bottom w:val="single" w:sz="8" w:space="0" w:color="auto"/>
              <w:right w:val="single" w:sz="8" w:space="0" w:color="auto"/>
            </w:tcBorders>
            <w:shd w:val="clear" w:color="auto" w:fill="auto"/>
            <w:noWrap/>
            <w:hideMark/>
          </w:tcPr>
          <w:p w14:paraId="7DF9DF34"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Swansea</w:t>
            </w:r>
          </w:p>
        </w:tc>
        <w:tc>
          <w:tcPr>
            <w:tcW w:w="2223" w:type="dxa"/>
            <w:tcBorders>
              <w:top w:val="nil"/>
              <w:left w:val="nil"/>
              <w:bottom w:val="single" w:sz="8" w:space="0" w:color="auto"/>
              <w:right w:val="single" w:sz="8" w:space="0" w:color="auto"/>
            </w:tcBorders>
            <w:shd w:val="clear" w:color="auto" w:fill="auto"/>
            <w:noWrap/>
            <w:vAlign w:val="center"/>
            <w:hideMark/>
          </w:tcPr>
          <w:p w14:paraId="75F4CE8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4,519</w:t>
            </w:r>
          </w:p>
        </w:tc>
        <w:tc>
          <w:tcPr>
            <w:tcW w:w="1876" w:type="dxa"/>
            <w:tcBorders>
              <w:top w:val="nil"/>
              <w:left w:val="nil"/>
              <w:bottom w:val="single" w:sz="8" w:space="0" w:color="auto"/>
              <w:right w:val="single" w:sz="8" w:space="0" w:color="auto"/>
            </w:tcBorders>
            <w:shd w:val="clear" w:color="auto" w:fill="auto"/>
            <w:noWrap/>
            <w:vAlign w:val="center"/>
            <w:hideMark/>
          </w:tcPr>
          <w:p w14:paraId="4BA47FB0"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1,730</w:t>
            </w:r>
          </w:p>
        </w:tc>
        <w:tc>
          <w:tcPr>
            <w:tcW w:w="1852" w:type="dxa"/>
            <w:tcBorders>
              <w:top w:val="nil"/>
              <w:left w:val="nil"/>
              <w:bottom w:val="single" w:sz="8" w:space="0" w:color="auto"/>
              <w:right w:val="single" w:sz="8" w:space="0" w:color="auto"/>
            </w:tcBorders>
            <w:shd w:val="clear" w:color="auto" w:fill="auto"/>
            <w:noWrap/>
            <w:vAlign w:val="center"/>
            <w:hideMark/>
          </w:tcPr>
          <w:p w14:paraId="00C37103"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38.3%</w:t>
            </w:r>
          </w:p>
        </w:tc>
        <w:tc>
          <w:tcPr>
            <w:tcW w:w="1364" w:type="dxa"/>
            <w:tcBorders>
              <w:top w:val="nil"/>
              <w:left w:val="nil"/>
              <w:bottom w:val="single" w:sz="8" w:space="0" w:color="auto"/>
              <w:right w:val="single" w:sz="8" w:space="0" w:color="auto"/>
            </w:tcBorders>
            <w:shd w:val="clear" w:color="auto" w:fill="auto"/>
            <w:noWrap/>
            <w:vAlign w:val="center"/>
            <w:hideMark/>
          </w:tcPr>
          <w:p w14:paraId="64D32D0B"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39.8%</w:t>
            </w:r>
          </w:p>
        </w:tc>
        <w:tc>
          <w:tcPr>
            <w:tcW w:w="1364" w:type="dxa"/>
            <w:tcBorders>
              <w:top w:val="nil"/>
              <w:left w:val="nil"/>
              <w:bottom w:val="single" w:sz="8" w:space="0" w:color="auto"/>
              <w:right w:val="single" w:sz="8" w:space="0" w:color="auto"/>
            </w:tcBorders>
            <w:shd w:val="clear" w:color="auto" w:fill="auto"/>
            <w:noWrap/>
            <w:vAlign w:val="center"/>
            <w:hideMark/>
          </w:tcPr>
          <w:p w14:paraId="1473FE9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39.70%</w:t>
            </w:r>
          </w:p>
        </w:tc>
      </w:tr>
      <w:tr w:rsidR="00BD4C12" w:rsidRPr="00083705" w14:paraId="30244DDF" w14:textId="77777777" w:rsidTr="002C66E0">
        <w:trPr>
          <w:trHeight w:val="320"/>
        </w:trPr>
        <w:tc>
          <w:tcPr>
            <w:tcW w:w="1481" w:type="dxa"/>
            <w:tcBorders>
              <w:top w:val="nil"/>
              <w:left w:val="single" w:sz="8" w:space="0" w:color="auto"/>
              <w:bottom w:val="single" w:sz="8" w:space="0" w:color="auto"/>
              <w:right w:val="single" w:sz="8" w:space="0" w:color="auto"/>
            </w:tcBorders>
            <w:shd w:val="clear" w:color="000000" w:fill="F2F2F2"/>
            <w:noWrap/>
            <w:hideMark/>
          </w:tcPr>
          <w:p w14:paraId="7DE21000"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SB Total</w:t>
            </w:r>
          </w:p>
        </w:tc>
        <w:tc>
          <w:tcPr>
            <w:tcW w:w="2223" w:type="dxa"/>
            <w:tcBorders>
              <w:top w:val="nil"/>
              <w:left w:val="nil"/>
              <w:bottom w:val="single" w:sz="8" w:space="0" w:color="auto"/>
              <w:right w:val="single" w:sz="8" w:space="0" w:color="auto"/>
            </w:tcBorders>
            <w:shd w:val="clear" w:color="000000" w:fill="F2F2F2"/>
            <w:noWrap/>
            <w:vAlign w:val="center"/>
            <w:hideMark/>
          </w:tcPr>
          <w:p w14:paraId="648CD73E"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7,099</w:t>
            </w:r>
          </w:p>
        </w:tc>
        <w:tc>
          <w:tcPr>
            <w:tcW w:w="1876" w:type="dxa"/>
            <w:tcBorders>
              <w:top w:val="nil"/>
              <w:left w:val="nil"/>
              <w:bottom w:val="single" w:sz="8" w:space="0" w:color="auto"/>
              <w:right w:val="single" w:sz="8" w:space="0" w:color="auto"/>
            </w:tcBorders>
            <w:shd w:val="clear" w:color="000000" w:fill="F2F2F2"/>
            <w:noWrap/>
            <w:vAlign w:val="center"/>
            <w:hideMark/>
          </w:tcPr>
          <w:p w14:paraId="0A2A607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2,625</w:t>
            </w:r>
          </w:p>
        </w:tc>
        <w:tc>
          <w:tcPr>
            <w:tcW w:w="1852" w:type="dxa"/>
            <w:tcBorders>
              <w:top w:val="nil"/>
              <w:left w:val="nil"/>
              <w:bottom w:val="single" w:sz="8" w:space="0" w:color="auto"/>
              <w:right w:val="single" w:sz="8" w:space="0" w:color="auto"/>
            </w:tcBorders>
            <w:shd w:val="clear" w:color="000000" w:fill="F2F2F2"/>
            <w:noWrap/>
            <w:vAlign w:val="center"/>
            <w:hideMark/>
          </w:tcPr>
          <w:p w14:paraId="16C42B4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37.0%</w:t>
            </w:r>
          </w:p>
        </w:tc>
        <w:tc>
          <w:tcPr>
            <w:tcW w:w="1364" w:type="dxa"/>
            <w:tcBorders>
              <w:top w:val="nil"/>
              <w:left w:val="nil"/>
              <w:bottom w:val="single" w:sz="8" w:space="0" w:color="auto"/>
              <w:right w:val="single" w:sz="8" w:space="0" w:color="auto"/>
            </w:tcBorders>
            <w:shd w:val="clear" w:color="000000" w:fill="F2F2F2"/>
            <w:noWrap/>
            <w:vAlign w:val="center"/>
            <w:hideMark/>
          </w:tcPr>
          <w:p w14:paraId="7EBDC990"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38.0%</w:t>
            </w:r>
          </w:p>
        </w:tc>
        <w:tc>
          <w:tcPr>
            <w:tcW w:w="1364" w:type="dxa"/>
            <w:tcBorders>
              <w:top w:val="nil"/>
              <w:left w:val="nil"/>
              <w:bottom w:val="single" w:sz="8" w:space="0" w:color="auto"/>
              <w:right w:val="single" w:sz="8" w:space="0" w:color="auto"/>
            </w:tcBorders>
            <w:shd w:val="clear" w:color="000000" w:fill="F2F2F2"/>
            <w:noWrap/>
            <w:vAlign w:val="center"/>
            <w:hideMark/>
          </w:tcPr>
          <w:p w14:paraId="51EA9A0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38.80%</w:t>
            </w:r>
          </w:p>
        </w:tc>
      </w:tr>
      <w:tr w:rsidR="00BD4C12" w:rsidRPr="00083705" w14:paraId="064B2A3E" w14:textId="77777777" w:rsidTr="002C66E0">
        <w:trPr>
          <w:trHeight w:val="320"/>
        </w:trPr>
        <w:tc>
          <w:tcPr>
            <w:tcW w:w="1481" w:type="dxa"/>
            <w:tcBorders>
              <w:top w:val="nil"/>
              <w:left w:val="single" w:sz="8" w:space="0" w:color="auto"/>
              <w:bottom w:val="single" w:sz="8" w:space="0" w:color="auto"/>
              <w:right w:val="single" w:sz="8" w:space="0" w:color="auto"/>
            </w:tcBorders>
            <w:shd w:val="clear" w:color="auto" w:fill="auto"/>
            <w:noWrap/>
            <w:hideMark/>
          </w:tcPr>
          <w:p w14:paraId="7BCC2E7D"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Wales</w:t>
            </w:r>
          </w:p>
        </w:tc>
        <w:tc>
          <w:tcPr>
            <w:tcW w:w="2223" w:type="dxa"/>
            <w:tcBorders>
              <w:top w:val="nil"/>
              <w:left w:val="nil"/>
              <w:bottom w:val="single" w:sz="8" w:space="0" w:color="auto"/>
              <w:right w:val="single" w:sz="8" w:space="0" w:color="auto"/>
            </w:tcBorders>
            <w:shd w:val="clear" w:color="auto" w:fill="auto"/>
            <w:noWrap/>
            <w:vAlign w:val="center"/>
            <w:hideMark/>
          </w:tcPr>
          <w:p w14:paraId="63206061"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60,023</w:t>
            </w:r>
          </w:p>
        </w:tc>
        <w:tc>
          <w:tcPr>
            <w:tcW w:w="1876" w:type="dxa"/>
            <w:tcBorders>
              <w:top w:val="nil"/>
              <w:left w:val="nil"/>
              <w:bottom w:val="single" w:sz="8" w:space="0" w:color="auto"/>
              <w:right w:val="single" w:sz="8" w:space="0" w:color="auto"/>
            </w:tcBorders>
            <w:shd w:val="clear" w:color="auto" w:fill="auto"/>
            <w:noWrap/>
            <w:vAlign w:val="center"/>
            <w:hideMark/>
          </w:tcPr>
          <w:p w14:paraId="6C1E4386"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26,190</w:t>
            </w:r>
          </w:p>
        </w:tc>
        <w:tc>
          <w:tcPr>
            <w:tcW w:w="1852" w:type="dxa"/>
            <w:tcBorders>
              <w:top w:val="nil"/>
              <w:left w:val="nil"/>
              <w:bottom w:val="single" w:sz="8" w:space="0" w:color="auto"/>
              <w:right w:val="single" w:sz="8" w:space="0" w:color="auto"/>
            </w:tcBorders>
            <w:shd w:val="clear" w:color="auto" w:fill="auto"/>
            <w:noWrap/>
            <w:vAlign w:val="center"/>
            <w:hideMark/>
          </w:tcPr>
          <w:p w14:paraId="60116729"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43.6%</w:t>
            </w:r>
          </w:p>
        </w:tc>
        <w:tc>
          <w:tcPr>
            <w:tcW w:w="1364" w:type="dxa"/>
            <w:tcBorders>
              <w:top w:val="nil"/>
              <w:left w:val="nil"/>
              <w:bottom w:val="single" w:sz="8" w:space="0" w:color="auto"/>
              <w:right w:val="single" w:sz="8" w:space="0" w:color="auto"/>
            </w:tcBorders>
            <w:shd w:val="clear" w:color="auto" w:fill="auto"/>
            <w:noWrap/>
            <w:vAlign w:val="center"/>
            <w:hideMark/>
          </w:tcPr>
          <w:p w14:paraId="16AF76E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42.8%</w:t>
            </w:r>
          </w:p>
        </w:tc>
        <w:tc>
          <w:tcPr>
            <w:tcW w:w="1364" w:type="dxa"/>
            <w:tcBorders>
              <w:top w:val="nil"/>
              <w:left w:val="nil"/>
              <w:bottom w:val="single" w:sz="8" w:space="0" w:color="auto"/>
              <w:right w:val="single" w:sz="8" w:space="0" w:color="auto"/>
            </w:tcBorders>
            <w:shd w:val="clear" w:color="auto" w:fill="auto"/>
            <w:noWrap/>
            <w:vAlign w:val="center"/>
            <w:hideMark/>
          </w:tcPr>
          <w:p w14:paraId="64720C35"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44.00%</w:t>
            </w:r>
          </w:p>
        </w:tc>
      </w:tr>
      <w:tr w:rsidR="00BD4C12" w:rsidRPr="00083705" w14:paraId="4A55C9A0" w14:textId="77777777" w:rsidTr="002C66E0">
        <w:trPr>
          <w:trHeight w:val="310"/>
        </w:trPr>
        <w:tc>
          <w:tcPr>
            <w:tcW w:w="1481" w:type="dxa"/>
            <w:tcBorders>
              <w:top w:val="nil"/>
              <w:left w:val="nil"/>
              <w:bottom w:val="nil"/>
              <w:right w:val="nil"/>
            </w:tcBorders>
            <w:shd w:val="clear" w:color="auto" w:fill="auto"/>
            <w:noWrap/>
            <w:vAlign w:val="bottom"/>
            <w:hideMark/>
          </w:tcPr>
          <w:p w14:paraId="0CA04FF6" w14:textId="77777777" w:rsidR="00BD4C12" w:rsidRPr="00083705" w:rsidRDefault="00BD4C12" w:rsidP="006B2D43">
            <w:pPr>
              <w:spacing w:after="0"/>
              <w:jc w:val="center"/>
              <w:rPr>
                <w:rFonts w:ascii="Verdana" w:eastAsia="Times New Roman" w:hAnsi="Verdana" w:cs="Calibri"/>
                <w:color w:val="000000"/>
                <w:sz w:val="24"/>
                <w:szCs w:val="24"/>
                <w:lang w:eastAsia="en-GB"/>
              </w:rPr>
            </w:pPr>
          </w:p>
        </w:tc>
        <w:tc>
          <w:tcPr>
            <w:tcW w:w="2223" w:type="dxa"/>
            <w:tcBorders>
              <w:top w:val="nil"/>
              <w:left w:val="nil"/>
              <w:bottom w:val="nil"/>
              <w:right w:val="nil"/>
            </w:tcBorders>
            <w:shd w:val="clear" w:color="auto" w:fill="auto"/>
            <w:noWrap/>
            <w:vAlign w:val="bottom"/>
            <w:hideMark/>
          </w:tcPr>
          <w:p w14:paraId="7D28561F" w14:textId="77777777" w:rsidR="00BD4C12" w:rsidRPr="00083705" w:rsidRDefault="00BD4C12" w:rsidP="006B2D43">
            <w:pPr>
              <w:spacing w:after="0"/>
              <w:rPr>
                <w:rFonts w:ascii="Verdana" w:eastAsia="Times New Roman" w:hAnsi="Verdana"/>
                <w:sz w:val="24"/>
                <w:szCs w:val="24"/>
                <w:lang w:eastAsia="en-GB"/>
              </w:rPr>
            </w:pPr>
          </w:p>
        </w:tc>
        <w:tc>
          <w:tcPr>
            <w:tcW w:w="1876" w:type="dxa"/>
            <w:tcBorders>
              <w:top w:val="nil"/>
              <w:left w:val="nil"/>
              <w:bottom w:val="nil"/>
              <w:right w:val="nil"/>
            </w:tcBorders>
            <w:shd w:val="clear" w:color="auto" w:fill="auto"/>
            <w:noWrap/>
            <w:vAlign w:val="bottom"/>
            <w:hideMark/>
          </w:tcPr>
          <w:p w14:paraId="0F7CE797" w14:textId="77777777" w:rsidR="00BD4C12" w:rsidRPr="00083705" w:rsidRDefault="00BD4C12" w:rsidP="006B2D43">
            <w:pPr>
              <w:spacing w:after="0"/>
              <w:rPr>
                <w:rFonts w:ascii="Verdana" w:eastAsia="Times New Roman" w:hAnsi="Verdana"/>
                <w:sz w:val="24"/>
                <w:szCs w:val="24"/>
                <w:lang w:eastAsia="en-GB"/>
              </w:rPr>
            </w:pPr>
          </w:p>
        </w:tc>
        <w:tc>
          <w:tcPr>
            <w:tcW w:w="1852" w:type="dxa"/>
            <w:tcBorders>
              <w:top w:val="nil"/>
              <w:left w:val="nil"/>
              <w:bottom w:val="nil"/>
              <w:right w:val="nil"/>
            </w:tcBorders>
            <w:shd w:val="clear" w:color="auto" w:fill="auto"/>
            <w:noWrap/>
            <w:vAlign w:val="bottom"/>
            <w:hideMark/>
          </w:tcPr>
          <w:p w14:paraId="45CD36F0"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6CC18008"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5659B3DB"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5300B002" w14:textId="77777777" w:rsidTr="002C66E0">
        <w:trPr>
          <w:trHeight w:val="320"/>
        </w:trPr>
        <w:tc>
          <w:tcPr>
            <w:tcW w:w="1481" w:type="dxa"/>
            <w:tcBorders>
              <w:top w:val="nil"/>
              <w:left w:val="nil"/>
              <w:bottom w:val="nil"/>
              <w:right w:val="nil"/>
            </w:tcBorders>
            <w:shd w:val="clear" w:color="auto" w:fill="auto"/>
            <w:noWrap/>
            <w:vAlign w:val="bottom"/>
            <w:hideMark/>
          </w:tcPr>
          <w:p w14:paraId="5824DCA2" w14:textId="77777777" w:rsidR="00BD4C12" w:rsidRPr="00083705" w:rsidRDefault="00BD4C12" w:rsidP="006B2D43">
            <w:pPr>
              <w:spacing w:after="0"/>
              <w:rPr>
                <w:rFonts w:ascii="Verdana" w:eastAsia="Times New Roman" w:hAnsi="Verdana"/>
                <w:sz w:val="24"/>
                <w:szCs w:val="24"/>
                <w:lang w:eastAsia="en-GB"/>
              </w:rPr>
            </w:pPr>
          </w:p>
        </w:tc>
        <w:tc>
          <w:tcPr>
            <w:tcW w:w="2223" w:type="dxa"/>
            <w:tcBorders>
              <w:top w:val="nil"/>
              <w:left w:val="nil"/>
              <w:bottom w:val="nil"/>
              <w:right w:val="nil"/>
            </w:tcBorders>
            <w:shd w:val="clear" w:color="auto" w:fill="auto"/>
            <w:noWrap/>
            <w:vAlign w:val="bottom"/>
            <w:hideMark/>
          </w:tcPr>
          <w:p w14:paraId="19312711" w14:textId="77777777" w:rsidR="00BD4C12" w:rsidRPr="00083705" w:rsidRDefault="00BD4C12" w:rsidP="006B2D43">
            <w:pPr>
              <w:spacing w:after="0"/>
              <w:rPr>
                <w:rFonts w:ascii="Verdana" w:eastAsia="Times New Roman" w:hAnsi="Verdana"/>
                <w:sz w:val="24"/>
                <w:szCs w:val="24"/>
                <w:lang w:eastAsia="en-GB"/>
              </w:rPr>
            </w:pPr>
          </w:p>
        </w:tc>
        <w:tc>
          <w:tcPr>
            <w:tcW w:w="1876" w:type="dxa"/>
            <w:tcBorders>
              <w:top w:val="nil"/>
              <w:left w:val="nil"/>
              <w:bottom w:val="nil"/>
              <w:right w:val="nil"/>
            </w:tcBorders>
            <w:shd w:val="clear" w:color="auto" w:fill="auto"/>
            <w:noWrap/>
            <w:vAlign w:val="bottom"/>
            <w:hideMark/>
          </w:tcPr>
          <w:p w14:paraId="0DB48674" w14:textId="77777777" w:rsidR="00BD4C12" w:rsidRPr="00083705" w:rsidRDefault="00BD4C12" w:rsidP="006B2D43">
            <w:pPr>
              <w:spacing w:after="0"/>
              <w:rPr>
                <w:rFonts w:ascii="Verdana" w:eastAsia="Times New Roman" w:hAnsi="Verdana"/>
                <w:sz w:val="24"/>
                <w:szCs w:val="24"/>
                <w:lang w:eastAsia="en-GB"/>
              </w:rPr>
            </w:pPr>
          </w:p>
        </w:tc>
        <w:tc>
          <w:tcPr>
            <w:tcW w:w="1852" w:type="dxa"/>
            <w:tcBorders>
              <w:top w:val="nil"/>
              <w:left w:val="nil"/>
              <w:bottom w:val="nil"/>
              <w:right w:val="nil"/>
            </w:tcBorders>
            <w:shd w:val="clear" w:color="auto" w:fill="auto"/>
            <w:noWrap/>
            <w:vAlign w:val="bottom"/>
            <w:hideMark/>
          </w:tcPr>
          <w:p w14:paraId="6196CA5C"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70DE0A6E"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11430417"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7FE62780" w14:textId="77777777" w:rsidTr="002C66E0">
        <w:trPr>
          <w:trHeight w:val="320"/>
        </w:trPr>
        <w:tc>
          <w:tcPr>
            <w:tcW w:w="1481" w:type="dxa"/>
            <w:tcBorders>
              <w:top w:val="nil"/>
              <w:left w:val="nil"/>
              <w:bottom w:val="nil"/>
              <w:right w:val="nil"/>
            </w:tcBorders>
            <w:shd w:val="clear" w:color="auto" w:fill="auto"/>
            <w:noWrap/>
            <w:vAlign w:val="bottom"/>
            <w:hideMark/>
          </w:tcPr>
          <w:p w14:paraId="5C6D2BC5" w14:textId="77777777" w:rsidR="00BD4C12" w:rsidRPr="00083705" w:rsidRDefault="00BD4C12" w:rsidP="006B2D43">
            <w:pPr>
              <w:spacing w:after="0"/>
              <w:rPr>
                <w:rFonts w:ascii="Verdana" w:eastAsia="Times New Roman" w:hAnsi="Verdana"/>
                <w:sz w:val="24"/>
                <w:szCs w:val="24"/>
                <w:lang w:eastAsia="en-GB"/>
              </w:rPr>
            </w:pPr>
          </w:p>
        </w:tc>
        <w:tc>
          <w:tcPr>
            <w:tcW w:w="5951" w:type="dxa"/>
            <w:gridSpan w:val="3"/>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633505BF"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Clinical risk 6m to 64y</w:t>
            </w:r>
          </w:p>
        </w:tc>
        <w:tc>
          <w:tcPr>
            <w:tcW w:w="1364" w:type="dxa"/>
            <w:tcBorders>
              <w:top w:val="nil"/>
              <w:left w:val="nil"/>
              <w:bottom w:val="nil"/>
              <w:right w:val="nil"/>
            </w:tcBorders>
            <w:shd w:val="clear" w:color="auto" w:fill="auto"/>
            <w:noWrap/>
            <w:vAlign w:val="bottom"/>
            <w:hideMark/>
          </w:tcPr>
          <w:p w14:paraId="042A60C8"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p>
        </w:tc>
        <w:tc>
          <w:tcPr>
            <w:tcW w:w="1364" w:type="dxa"/>
            <w:tcBorders>
              <w:top w:val="nil"/>
              <w:left w:val="nil"/>
              <w:bottom w:val="nil"/>
              <w:right w:val="nil"/>
            </w:tcBorders>
            <w:shd w:val="clear" w:color="auto" w:fill="auto"/>
            <w:noWrap/>
            <w:vAlign w:val="bottom"/>
            <w:hideMark/>
          </w:tcPr>
          <w:p w14:paraId="68CF9DD0"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0AAAB101" w14:textId="77777777" w:rsidTr="002C66E0">
        <w:trPr>
          <w:trHeight w:val="320"/>
        </w:trPr>
        <w:tc>
          <w:tcPr>
            <w:tcW w:w="1481" w:type="dxa"/>
            <w:tcBorders>
              <w:top w:val="nil"/>
              <w:left w:val="nil"/>
              <w:bottom w:val="nil"/>
              <w:right w:val="nil"/>
            </w:tcBorders>
            <w:shd w:val="clear" w:color="auto" w:fill="auto"/>
            <w:noWrap/>
            <w:vAlign w:val="bottom"/>
            <w:hideMark/>
          </w:tcPr>
          <w:p w14:paraId="3B864BC4" w14:textId="77777777" w:rsidR="00BD4C12" w:rsidRPr="00083705" w:rsidRDefault="00BD4C12" w:rsidP="006B2D43">
            <w:pPr>
              <w:spacing w:after="0"/>
              <w:rPr>
                <w:rFonts w:ascii="Verdana" w:eastAsia="Times New Roman" w:hAnsi="Verdana"/>
                <w:sz w:val="24"/>
                <w:szCs w:val="24"/>
                <w:lang w:eastAsia="en-GB"/>
              </w:rPr>
            </w:pPr>
          </w:p>
        </w:tc>
        <w:tc>
          <w:tcPr>
            <w:tcW w:w="2223" w:type="dxa"/>
            <w:tcBorders>
              <w:top w:val="nil"/>
              <w:left w:val="single" w:sz="8" w:space="0" w:color="auto"/>
              <w:bottom w:val="nil"/>
              <w:right w:val="single" w:sz="8" w:space="0" w:color="auto"/>
            </w:tcBorders>
            <w:shd w:val="clear" w:color="auto" w:fill="auto"/>
            <w:noWrap/>
            <w:vAlign w:val="bottom"/>
            <w:hideMark/>
          </w:tcPr>
          <w:p w14:paraId="2A157832"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Denominator</w:t>
            </w:r>
          </w:p>
        </w:tc>
        <w:tc>
          <w:tcPr>
            <w:tcW w:w="1876" w:type="dxa"/>
            <w:tcBorders>
              <w:top w:val="nil"/>
              <w:left w:val="nil"/>
              <w:bottom w:val="nil"/>
              <w:right w:val="single" w:sz="8" w:space="0" w:color="auto"/>
            </w:tcBorders>
            <w:shd w:val="clear" w:color="auto" w:fill="auto"/>
            <w:noWrap/>
            <w:vAlign w:val="bottom"/>
            <w:hideMark/>
          </w:tcPr>
          <w:p w14:paraId="14B0CF6A"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Immunised</w:t>
            </w:r>
          </w:p>
        </w:tc>
        <w:tc>
          <w:tcPr>
            <w:tcW w:w="1852" w:type="dxa"/>
            <w:tcBorders>
              <w:top w:val="nil"/>
              <w:left w:val="nil"/>
              <w:bottom w:val="nil"/>
              <w:right w:val="single" w:sz="8" w:space="0" w:color="auto"/>
            </w:tcBorders>
            <w:shd w:val="clear" w:color="auto" w:fill="auto"/>
            <w:noWrap/>
            <w:vAlign w:val="bottom"/>
            <w:hideMark/>
          </w:tcPr>
          <w:p w14:paraId="5E11C04A"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Uptake (%)</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6A0ACC38"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2023-24</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3B496B6B"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2022-23</w:t>
            </w:r>
          </w:p>
        </w:tc>
      </w:tr>
      <w:tr w:rsidR="00BD4C12" w:rsidRPr="00083705" w14:paraId="0A1199A3" w14:textId="77777777" w:rsidTr="002C66E0">
        <w:trPr>
          <w:trHeight w:val="320"/>
        </w:trPr>
        <w:tc>
          <w:tcPr>
            <w:tcW w:w="1481" w:type="dxa"/>
            <w:tcBorders>
              <w:top w:val="single" w:sz="8" w:space="0" w:color="auto"/>
              <w:left w:val="single" w:sz="8" w:space="0" w:color="auto"/>
              <w:bottom w:val="single" w:sz="8" w:space="0" w:color="auto"/>
              <w:right w:val="nil"/>
            </w:tcBorders>
            <w:shd w:val="clear" w:color="000000" w:fill="F2F2F2"/>
            <w:noWrap/>
            <w:hideMark/>
          </w:tcPr>
          <w:p w14:paraId="515531A1"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NPT</w:t>
            </w:r>
          </w:p>
        </w:tc>
        <w:tc>
          <w:tcPr>
            <w:tcW w:w="2223"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4C5DC527"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20,909</w:t>
            </w:r>
          </w:p>
        </w:tc>
        <w:tc>
          <w:tcPr>
            <w:tcW w:w="1876" w:type="dxa"/>
            <w:tcBorders>
              <w:top w:val="single" w:sz="8" w:space="0" w:color="auto"/>
              <w:left w:val="nil"/>
              <w:bottom w:val="single" w:sz="8" w:space="0" w:color="auto"/>
              <w:right w:val="single" w:sz="8" w:space="0" w:color="auto"/>
            </w:tcBorders>
            <w:shd w:val="clear" w:color="000000" w:fill="F2F2F2"/>
            <w:noWrap/>
            <w:vAlign w:val="center"/>
            <w:hideMark/>
          </w:tcPr>
          <w:p w14:paraId="446156F0"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6,889</w:t>
            </w:r>
          </w:p>
        </w:tc>
        <w:tc>
          <w:tcPr>
            <w:tcW w:w="1852" w:type="dxa"/>
            <w:tcBorders>
              <w:top w:val="single" w:sz="8" w:space="0" w:color="auto"/>
              <w:left w:val="nil"/>
              <w:bottom w:val="single" w:sz="8" w:space="0" w:color="auto"/>
              <w:right w:val="single" w:sz="8" w:space="0" w:color="auto"/>
            </w:tcBorders>
            <w:shd w:val="clear" w:color="000000" w:fill="F2F2F2"/>
            <w:noWrap/>
            <w:vAlign w:val="center"/>
            <w:hideMark/>
          </w:tcPr>
          <w:p w14:paraId="655112F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32.9%</w:t>
            </w:r>
          </w:p>
        </w:tc>
        <w:tc>
          <w:tcPr>
            <w:tcW w:w="1364" w:type="dxa"/>
            <w:tcBorders>
              <w:top w:val="nil"/>
              <w:left w:val="nil"/>
              <w:bottom w:val="single" w:sz="8" w:space="0" w:color="auto"/>
              <w:right w:val="single" w:sz="8" w:space="0" w:color="auto"/>
            </w:tcBorders>
            <w:shd w:val="clear" w:color="000000" w:fill="F2F2F2"/>
            <w:noWrap/>
            <w:vAlign w:val="center"/>
            <w:hideMark/>
          </w:tcPr>
          <w:p w14:paraId="7252AA5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35.3%</w:t>
            </w:r>
          </w:p>
        </w:tc>
        <w:tc>
          <w:tcPr>
            <w:tcW w:w="1364" w:type="dxa"/>
            <w:tcBorders>
              <w:top w:val="nil"/>
              <w:left w:val="nil"/>
              <w:bottom w:val="single" w:sz="8" w:space="0" w:color="auto"/>
              <w:right w:val="single" w:sz="8" w:space="0" w:color="auto"/>
            </w:tcBorders>
            <w:shd w:val="clear" w:color="000000" w:fill="F2F2F2"/>
            <w:noWrap/>
            <w:vAlign w:val="center"/>
            <w:hideMark/>
          </w:tcPr>
          <w:p w14:paraId="685E7093"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44.4%</w:t>
            </w:r>
          </w:p>
        </w:tc>
      </w:tr>
      <w:tr w:rsidR="00BD4C12" w:rsidRPr="00083705" w14:paraId="7D0EE0E0" w14:textId="77777777" w:rsidTr="002C66E0">
        <w:trPr>
          <w:trHeight w:val="320"/>
        </w:trPr>
        <w:tc>
          <w:tcPr>
            <w:tcW w:w="1481" w:type="dxa"/>
            <w:tcBorders>
              <w:top w:val="nil"/>
              <w:left w:val="single" w:sz="8" w:space="0" w:color="auto"/>
              <w:bottom w:val="single" w:sz="8" w:space="0" w:color="auto"/>
              <w:right w:val="nil"/>
            </w:tcBorders>
            <w:shd w:val="clear" w:color="auto" w:fill="auto"/>
            <w:noWrap/>
            <w:hideMark/>
          </w:tcPr>
          <w:p w14:paraId="603FBAB6"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Swansea</w:t>
            </w:r>
          </w:p>
        </w:tc>
        <w:tc>
          <w:tcPr>
            <w:tcW w:w="2223" w:type="dxa"/>
            <w:tcBorders>
              <w:top w:val="nil"/>
              <w:left w:val="single" w:sz="8" w:space="0" w:color="auto"/>
              <w:bottom w:val="single" w:sz="8" w:space="0" w:color="auto"/>
              <w:right w:val="single" w:sz="8" w:space="0" w:color="auto"/>
            </w:tcBorders>
            <w:shd w:val="clear" w:color="auto" w:fill="auto"/>
            <w:noWrap/>
            <w:vAlign w:val="center"/>
            <w:hideMark/>
          </w:tcPr>
          <w:p w14:paraId="07EAB050"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34,786</w:t>
            </w:r>
          </w:p>
        </w:tc>
        <w:tc>
          <w:tcPr>
            <w:tcW w:w="1876" w:type="dxa"/>
            <w:tcBorders>
              <w:top w:val="nil"/>
              <w:left w:val="nil"/>
              <w:bottom w:val="single" w:sz="8" w:space="0" w:color="auto"/>
              <w:right w:val="single" w:sz="8" w:space="0" w:color="auto"/>
            </w:tcBorders>
            <w:shd w:val="clear" w:color="auto" w:fill="auto"/>
            <w:noWrap/>
            <w:vAlign w:val="center"/>
            <w:hideMark/>
          </w:tcPr>
          <w:p w14:paraId="517A9885"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11,881</w:t>
            </w:r>
          </w:p>
        </w:tc>
        <w:tc>
          <w:tcPr>
            <w:tcW w:w="1852" w:type="dxa"/>
            <w:tcBorders>
              <w:top w:val="nil"/>
              <w:left w:val="nil"/>
              <w:bottom w:val="single" w:sz="8" w:space="0" w:color="auto"/>
              <w:right w:val="single" w:sz="8" w:space="0" w:color="auto"/>
            </w:tcBorders>
            <w:shd w:val="clear" w:color="auto" w:fill="auto"/>
            <w:noWrap/>
            <w:vAlign w:val="center"/>
            <w:hideMark/>
          </w:tcPr>
          <w:p w14:paraId="673A0DA4"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34.2%</w:t>
            </w:r>
          </w:p>
        </w:tc>
        <w:tc>
          <w:tcPr>
            <w:tcW w:w="1364" w:type="dxa"/>
            <w:tcBorders>
              <w:top w:val="nil"/>
              <w:left w:val="nil"/>
              <w:bottom w:val="single" w:sz="8" w:space="0" w:color="auto"/>
              <w:right w:val="single" w:sz="8" w:space="0" w:color="auto"/>
            </w:tcBorders>
            <w:shd w:val="clear" w:color="auto" w:fill="auto"/>
            <w:noWrap/>
            <w:vAlign w:val="center"/>
            <w:hideMark/>
          </w:tcPr>
          <w:p w14:paraId="392A38ED"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35.8%</w:t>
            </w:r>
          </w:p>
        </w:tc>
        <w:tc>
          <w:tcPr>
            <w:tcW w:w="1364" w:type="dxa"/>
            <w:tcBorders>
              <w:top w:val="nil"/>
              <w:left w:val="nil"/>
              <w:bottom w:val="single" w:sz="8" w:space="0" w:color="auto"/>
              <w:right w:val="single" w:sz="8" w:space="0" w:color="auto"/>
            </w:tcBorders>
            <w:shd w:val="clear" w:color="auto" w:fill="auto"/>
            <w:noWrap/>
            <w:vAlign w:val="center"/>
            <w:hideMark/>
          </w:tcPr>
          <w:p w14:paraId="23D6A89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43.4%</w:t>
            </w:r>
          </w:p>
        </w:tc>
      </w:tr>
      <w:tr w:rsidR="00BD4C12" w:rsidRPr="00083705" w14:paraId="49D42B41" w14:textId="77777777" w:rsidTr="002C66E0">
        <w:trPr>
          <w:trHeight w:val="320"/>
        </w:trPr>
        <w:tc>
          <w:tcPr>
            <w:tcW w:w="1481" w:type="dxa"/>
            <w:tcBorders>
              <w:top w:val="nil"/>
              <w:left w:val="single" w:sz="8" w:space="0" w:color="auto"/>
              <w:bottom w:val="single" w:sz="8" w:space="0" w:color="auto"/>
              <w:right w:val="nil"/>
            </w:tcBorders>
            <w:shd w:val="clear" w:color="000000" w:fill="F2F2F2"/>
            <w:noWrap/>
            <w:hideMark/>
          </w:tcPr>
          <w:p w14:paraId="3ED5F5C6"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SB Total</w:t>
            </w:r>
          </w:p>
        </w:tc>
        <w:tc>
          <w:tcPr>
            <w:tcW w:w="2223" w:type="dxa"/>
            <w:tcBorders>
              <w:top w:val="nil"/>
              <w:left w:val="single" w:sz="8" w:space="0" w:color="auto"/>
              <w:bottom w:val="single" w:sz="8" w:space="0" w:color="auto"/>
              <w:right w:val="single" w:sz="8" w:space="0" w:color="auto"/>
            </w:tcBorders>
            <w:shd w:val="clear" w:color="000000" w:fill="F2F2F2"/>
            <w:noWrap/>
            <w:vAlign w:val="center"/>
            <w:hideMark/>
          </w:tcPr>
          <w:p w14:paraId="31428545"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55,695</w:t>
            </w:r>
          </w:p>
        </w:tc>
        <w:tc>
          <w:tcPr>
            <w:tcW w:w="1876" w:type="dxa"/>
            <w:tcBorders>
              <w:top w:val="nil"/>
              <w:left w:val="nil"/>
              <w:bottom w:val="single" w:sz="8" w:space="0" w:color="auto"/>
              <w:right w:val="single" w:sz="8" w:space="0" w:color="auto"/>
            </w:tcBorders>
            <w:shd w:val="clear" w:color="000000" w:fill="F2F2F2"/>
            <w:noWrap/>
            <w:vAlign w:val="center"/>
            <w:hideMark/>
          </w:tcPr>
          <w:p w14:paraId="5FFF87D3"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18,770</w:t>
            </w:r>
          </w:p>
        </w:tc>
        <w:tc>
          <w:tcPr>
            <w:tcW w:w="1852" w:type="dxa"/>
            <w:tcBorders>
              <w:top w:val="nil"/>
              <w:left w:val="nil"/>
              <w:bottom w:val="single" w:sz="8" w:space="0" w:color="auto"/>
              <w:right w:val="single" w:sz="8" w:space="0" w:color="auto"/>
            </w:tcBorders>
            <w:shd w:val="clear" w:color="000000" w:fill="F2F2F2"/>
            <w:noWrap/>
            <w:vAlign w:val="center"/>
            <w:hideMark/>
          </w:tcPr>
          <w:p w14:paraId="690A88B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33.7%</w:t>
            </w:r>
          </w:p>
        </w:tc>
        <w:tc>
          <w:tcPr>
            <w:tcW w:w="1364" w:type="dxa"/>
            <w:tcBorders>
              <w:top w:val="nil"/>
              <w:left w:val="nil"/>
              <w:bottom w:val="single" w:sz="8" w:space="0" w:color="auto"/>
              <w:right w:val="single" w:sz="8" w:space="0" w:color="auto"/>
            </w:tcBorders>
            <w:shd w:val="clear" w:color="000000" w:fill="F2F2F2"/>
            <w:noWrap/>
            <w:vAlign w:val="center"/>
            <w:hideMark/>
          </w:tcPr>
          <w:p w14:paraId="542C8164"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35.6%</w:t>
            </w:r>
          </w:p>
        </w:tc>
        <w:tc>
          <w:tcPr>
            <w:tcW w:w="1364" w:type="dxa"/>
            <w:tcBorders>
              <w:top w:val="nil"/>
              <w:left w:val="nil"/>
              <w:bottom w:val="single" w:sz="8" w:space="0" w:color="auto"/>
              <w:right w:val="single" w:sz="8" w:space="0" w:color="auto"/>
            </w:tcBorders>
            <w:shd w:val="clear" w:color="000000" w:fill="F2F2F2"/>
            <w:noWrap/>
            <w:vAlign w:val="center"/>
            <w:hideMark/>
          </w:tcPr>
          <w:p w14:paraId="4A6CC526"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43.8%</w:t>
            </w:r>
          </w:p>
        </w:tc>
      </w:tr>
      <w:tr w:rsidR="00BD4C12" w:rsidRPr="00083705" w14:paraId="4CEA7A39" w14:textId="77777777" w:rsidTr="002C66E0">
        <w:trPr>
          <w:trHeight w:val="320"/>
        </w:trPr>
        <w:tc>
          <w:tcPr>
            <w:tcW w:w="1481" w:type="dxa"/>
            <w:tcBorders>
              <w:top w:val="nil"/>
              <w:left w:val="single" w:sz="8" w:space="0" w:color="auto"/>
              <w:bottom w:val="single" w:sz="8" w:space="0" w:color="auto"/>
              <w:right w:val="nil"/>
            </w:tcBorders>
            <w:shd w:val="clear" w:color="auto" w:fill="auto"/>
            <w:noWrap/>
            <w:hideMark/>
          </w:tcPr>
          <w:p w14:paraId="6B8C3E64"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Wales</w:t>
            </w:r>
          </w:p>
        </w:tc>
        <w:tc>
          <w:tcPr>
            <w:tcW w:w="2223" w:type="dxa"/>
            <w:tcBorders>
              <w:top w:val="nil"/>
              <w:left w:val="single" w:sz="8" w:space="0" w:color="auto"/>
              <w:bottom w:val="single" w:sz="8" w:space="0" w:color="auto"/>
              <w:right w:val="single" w:sz="8" w:space="0" w:color="auto"/>
            </w:tcBorders>
            <w:shd w:val="clear" w:color="auto" w:fill="auto"/>
            <w:noWrap/>
            <w:vAlign w:val="center"/>
            <w:hideMark/>
          </w:tcPr>
          <w:p w14:paraId="7E42841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473,177</w:t>
            </w:r>
          </w:p>
        </w:tc>
        <w:tc>
          <w:tcPr>
            <w:tcW w:w="1876" w:type="dxa"/>
            <w:tcBorders>
              <w:top w:val="nil"/>
              <w:left w:val="nil"/>
              <w:bottom w:val="single" w:sz="8" w:space="0" w:color="auto"/>
              <w:right w:val="single" w:sz="8" w:space="0" w:color="auto"/>
            </w:tcBorders>
            <w:shd w:val="clear" w:color="auto" w:fill="auto"/>
            <w:noWrap/>
            <w:vAlign w:val="center"/>
            <w:hideMark/>
          </w:tcPr>
          <w:p w14:paraId="58D2CA5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174,016</w:t>
            </w:r>
          </w:p>
        </w:tc>
        <w:tc>
          <w:tcPr>
            <w:tcW w:w="1852" w:type="dxa"/>
            <w:tcBorders>
              <w:top w:val="nil"/>
              <w:left w:val="nil"/>
              <w:bottom w:val="single" w:sz="8" w:space="0" w:color="auto"/>
              <w:right w:val="single" w:sz="8" w:space="0" w:color="auto"/>
            </w:tcBorders>
            <w:shd w:val="clear" w:color="auto" w:fill="auto"/>
            <w:noWrap/>
            <w:vAlign w:val="center"/>
            <w:hideMark/>
          </w:tcPr>
          <w:p w14:paraId="29AA2170"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36.8%</w:t>
            </w:r>
          </w:p>
        </w:tc>
        <w:tc>
          <w:tcPr>
            <w:tcW w:w="1364" w:type="dxa"/>
            <w:tcBorders>
              <w:top w:val="nil"/>
              <w:left w:val="nil"/>
              <w:bottom w:val="single" w:sz="8" w:space="0" w:color="auto"/>
              <w:right w:val="single" w:sz="8" w:space="0" w:color="auto"/>
            </w:tcBorders>
            <w:shd w:val="clear" w:color="auto" w:fill="auto"/>
            <w:noWrap/>
            <w:vAlign w:val="center"/>
            <w:hideMark/>
          </w:tcPr>
          <w:p w14:paraId="7ED17C62"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39.1%</w:t>
            </w:r>
          </w:p>
        </w:tc>
        <w:tc>
          <w:tcPr>
            <w:tcW w:w="1364" w:type="dxa"/>
            <w:tcBorders>
              <w:top w:val="nil"/>
              <w:left w:val="nil"/>
              <w:bottom w:val="single" w:sz="8" w:space="0" w:color="auto"/>
              <w:right w:val="single" w:sz="8" w:space="0" w:color="auto"/>
            </w:tcBorders>
            <w:shd w:val="clear" w:color="auto" w:fill="auto"/>
            <w:noWrap/>
            <w:vAlign w:val="center"/>
            <w:hideMark/>
          </w:tcPr>
          <w:p w14:paraId="459DAC5E"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44.2%</w:t>
            </w:r>
          </w:p>
        </w:tc>
      </w:tr>
      <w:tr w:rsidR="00BD4C12" w:rsidRPr="00083705" w14:paraId="39A0738D" w14:textId="77777777" w:rsidTr="002C66E0">
        <w:trPr>
          <w:trHeight w:val="310"/>
        </w:trPr>
        <w:tc>
          <w:tcPr>
            <w:tcW w:w="1481" w:type="dxa"/>
            <w:tcBorders>
              <w:top w:val="nil"/>
              <w:left w:val="nil"/>
              <w:bottom w:val="nil"/>
              <w:right w:val="nil"/>
            </w:tcBorders>
            <w:shd w:val="clear" w:color="auto" w:fill="auto"/>
            <w:noWrap/>
            <w:vAlign w:val="bottom"/>
            <w:hideMark/>
          </w:tcPr>
          <w:p w14:paraId="5A5FC202" w14:textId="77777777" w:rsidR="00BD4C12" w:rsidRPr="00083705" w:rsidRDefault="00BD4C12" w:rsidP="006B2D43">
            <w:pPr>
              <w:spacing w:after="0"/>
              <w:jc w:val="center"/>
              <w:rPr>
                <w:rFonts w:ascii="Verdana" w:eastAsia="Times New Roman" w:hAnsi="Verdana" w:cs="Calibri"/>
                <w:color w:val="000000"/>
                <w:sz w:val="24"/>
                <w:szCs w:val="24"/>
                <w:lang w:eastAsia="en-GB"/>
              </w:rPr>
            </w:pPr>
          </w:p>
        </w:tc>
        <w:tc>
          <w:tcPr>
            <w:tcW w:w="2223" w:type="dxa"/>
            <w:tcBorders>
              <w:top w:val="nil"/>
              <w:left w:val="nil"/>
              <w:bottom w:val="nil"/>
              <w:right w:val="nil"/>
            </w:tcBorders>
            <w:shd w:val="clear" w:color="auto" w:fill="auto"/>
            <w:noWrap/>
            <w:vAlign w:val="bottom"/>
            <w:hideMark/>
          </w:tcPr>
          <w:p w14:paraId="26A2B6BF" w14:textId="77777777" w:rsidR="00BD4C12" w:rsidRPr="00083705" w:rsidRDefault="00BD4C12" w:rsidP="006B2D43">
            <w:pPr>
              <w:spacing w:after="0"/>
              <w:rPr>
                <w:rFonts w:ascii="Verdana" w:eastAsia="Times New Roman" w:hAnsi="Verdana"/>
                <w:sz w:val="24"/>
                <w:szCs w:val="24"/>
                <w:lang w:eastAsia="en-GB"/>
              </w:rPr>
            </w:pPr>
          </w:p>
        </w:tc>
        <w:tc>
          <w:tcPr>
            <w:tcW w:w="1876" w:type="dxa"/>
            <w:tcBorders>
              <w:top w:val="nil"/>
              <w:left w:val="nil"/>
              <w:bottom w:val="nil"/>
              <w:right w:val="nil"/>
            </w:tcBorders>
            <w:shd w:val="clear" w:color="auto" w:fill="auto"/>
            <w:noWrap/>
            <w:vAlign w:val="bottom"/>
            <w:hideMark/>
          </w:tcPr>
          <w:p w14:paraId="4B498611" w14:textId="77777777" w:rsidR="00BD4C12" w:rsidRPr="00083705" w:rsidRDefault="00BD4C12" w:rsidP="006B2D43">
            <w:pPr>
              <w:spacing w:after="0"/>
              <w:rPr>
                <w:rFonts w:ascii="Verdana" w:eastAsia="Times New Roman" w:hAnsi="Verdana"/>
                <w:sz w:val="24"/>
                <w:szCs w:val="24"/>
                <w:lang w:eastAsia="en-GB"/>
              </w:rPr>
            </w:pPr>
          </w:p>
        </w:tc>
        <w:tc>
          <w:tcPr>
            <w:tcW w:w="1852" w:type="dxa"/>
            <w:tcBorders>
              <w:top w:val="nil"/>
              <w:left w:val="nil"/>
              <w:bottom w:val="nil"/>
              <w:right w:val="nil"/>
            </w:tcBorders>
            <w:shd w:val="clear" w:color="auto" w:fill="auto"/>
            <w:noWrap/>
            <w:vAlign w:val="bottom"/>
            <w:hideMark/>
          </w:tcPr>
          <w:p w14:paraId="5EA91B5B"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188B6274"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364CC14D"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4460123E" w14:textId="77777777" w:rsidTr="002C66E0">
        <w:trPr>
          <w:trHeight w:val="320"/>
        </w:trPr>
        <w:tc>
          <w:tcPr>
            <w:tcW w:w="1481" w:type="dxa"/>
            <w:tcBorders>
              <w:top w:val="nil"/>
              <w:left w:val="nil"/>
              <w:bottom w:val="nil"/>
              <w:right w:val="nil"/>
            </w:tcBorders>
            <w:shd w:val="clear" w:color="auto" w:fill="auto"/>
            <w:noWrap/>
            <w:vAlign w:val="bottom"/>
            <w:hideMark/>
          </w:tcPr>
          <w:p w14:paraId="5B7DB420" w14:textId="77777777" w:rsidR="00BD4C12" w:rsidRPr="00083705" w:rsidRDefault="00BD4C12" w:rsidP="006B2D43">
            <w:pPr>
              <w:spacing w:after="0"/>
              <w:rPr>
                <w:rFonts w:ascii="Verdana" w:eastAsia="Times New Roman" w:hAnsi="Verdana"/>
                <w:sz w:val="24"/>
                <w:szCs w:val="24"/>
                <w:lang w:eastAsia="en-GB"/>
              </w:rPr>
            </w:pPr>
          </w:p>
        </w:tc>
        <w:tc>
          <w:tcPr>
            <w:tcW w:w="2223" w:type="dxa"/>
            <w:tcBorders>
              <w:top w:val="nil"/>
              <w:left w:val="nil"/>
              <w:bottom w:val="nil"/>
              <w:right w:val="nil"/>
            </w:tcBorders>
            <w:shd w:val="clear" w:color="auto" w:fill="auto"/>
            <w:noWrap/>
            <w:vAlign w:val="bottom"/>
            <w:hideMark/>
          </w:tcPr>
          <w:p w14:paraId="0074098B" w14:textId="77777777" w:rsidR="00BD4C12" w:rsidRPr="00083705" w:rsidRDefault="00BD4C12" w:rsidP="006B2D43">
            <w:pPr>
              <w:spacing w:after="0"/>
              <w:rPr>
                <w:rFonts w:ascii="Verdana" w:eastAsia="Times New Roman" w:hAnsi="Verdana"/>
                <w:sz w:val="24"/>
                <w:szCs w:val="24"/>
                <w:lang w:eastAsia="en-GB"/>
              </w:rPr>
            </w:pPr>
          </w:p>
        </w:tc>
        <w:tc>
          <w:tcPr>
            <w:tcW w:w="1876" w:type="dxa"/>
            <w:tcBorders>
              <w:top w:val="nil"/>
              <w:left w:val="nil"/>
              <w:bottom w:val="nil"/>
              <w:right w:val="nil"/>
            </w:tcBorders>
            <w:shd w:val="clear" w:color="auto" w:fill="auto"/>
            <w:noWrap/>
            <w:vAlign w:val="bottom"/>
            <w:hideMark/>
          </w:tcPr>
          <w:p w14:paraId="7E9ECBC5" w14:textId="77777777" w:rsidR="00BD4C12" w:rsidRPr="00083705" w:rsidRDefault="00BD4C12" w:rsidP="006B2D43">
            <w:pPr>
              <w:spacing w:after="0"/>
              <w:rPr>
                <w:rFonts w:ascii="Verdana" w:eastAsia="Times New Roman" w:hAnsi="Verdana"/>
                <w:sz w:val="24"/>
                <w:szCs w:val="24"/>
                <w:lang w:eastAsia="en-GB"/>
              </w:rPr>
            </w:pPr>
          </w:p>
        </w:tc>
        <w:tc>
          <w:tcPr>
            <w:tcW w:w="1852" w:type="dxa"/>
            <w:tcBorders>
              <w:top w:val="nil"/>
              <w:left w:val="nil"/>
              <w:bottom w:val="nil"/>
              <w:right w:val="nil"/>
            </w:tcBorders>
            <w:shd w:val="clear" w:color="auto" w:fill="auto"/>
            <w:noWrap/>
            <w:vAlign w:val="bottom"/>
            <w:hideMark/>
          </w:tcPr>
          <w:p w14:paraId="2CFC4033"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6437BEAA" w14:textId="77777777" w:rsidR="00BD4C12" w:rsidRPr="00083705" w:rsidRDefault="00BD4C12" w:rsidP="006B2D43">
            <w:pPr>
              <w:spacing w:after="0"/>
              <w:rPr>
                <w:rFonts w:ascii="Verdana" w:eastAsia="Times New Roman" w:hAnsi="Verdana"/>
                <w:sz w:val="24"/>
                <w:szCs w:val="24"/>
                <w:lang w:eastAsia="en-GB"/>
              </w:rPr>
            </w:pPr>
          </w:p>
        </w:tc>
        <w:tc>
          <w:tcPr>
            <w:tcW w:w="1364" w:type="dxa"/>
            <w:tcBorders>
              <w:top w:val="nil"/>
              <w:left w:val="nil"/>
              <w:bottom w:val="nil"/>
              <w:right w:val="nil"/>
            </w:tcBorders>
            <w:shd w:val="clear" w:color="auto" w:fill="auto"/>
            <w:noWrap/>
            <w:vAlign w:val="bottom"/>
            <w:hideMark/>
          </w:tcPr>
          <w:p w14:paraId="499A6D4D"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2F8080E3" w14:textId="77777777" w:rsidTr="002C66E0">
        <w:trPr>
          <w:trHeight w:val="320"/>
        </w:trPr>
        <w:tc>
          <w:tcPr>
            <w:tcW w:w="1481" w:type="dxa"/>
            <w:tcBorders>
              <w:top w:val="nil"/>
              <w:left w:val="nil"/>
              <w:bottom w:val="nil"/>
              <w:right w:val="nil"/>
            </w:tcBorders>
            <w:shd w:val="clear" w:color="auto" w:fill="auto"/>
            <w:noWrap/>
            <w:vAlign w:val="bottom"/>
            <w:hideMark/>
          </w:tcPr>
          <w:p w14:paraId="34A8A440" w14:textId="77777777" w:rsidR="00BD4C12" w:rsidRPr="00083705" w:rsidRDefault="00BD4C12" w:rsidP="006B2D43">
            <w:pPr>
              <w:spacing w:after="0"/>
              <w:rPr>
                <w:rFonts w:ascii="Verdana" w:eastAsia="Times New Roman" w:hAnsi="Verdana"/>
                <w:sz w:val="24"/>
                <w:szCs w:val="24"/>
                <w:lang w:eastAsia="en-GB"/>
              </w:rPr>
            </w:pPr>
          </w:p>
        </w:tc>
        <w:tc>
          <w:tcPr>
            <w:tcW w:w="5951" w:type="dxa"/>
            <w:gridSpan w:val="3"/>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44B1E8EB"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65y and older</w:t>
            </w:r>
          </w:p>
        </w:tc>
        <w:tc>
          <w:tcPr>
            <w:tcW w:w="1364" w:type="dxa"/>
            <w:tcBorders>
              <w:top w:val="nil"/>
              <w:left w:val="nil"/>
              <w:bottom w:val="nil"/>
              <w:right w:val="nil"/>
            </w:tcBorders>
            <w:shd w:val="clear" w:color="auto" w:fill="auto"/>
            <w:noWrap/>
            <w:vAlign w:val="bottom"/>
            <w:hideMark/>
          </w:tcPr>
          <w:p w14:paraId="784145A7"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p>
        </w:tc>
        <w:tc>
          <w:tcPr>
            <w:tcW w:w="1364" w:type="dxa"/>
            <w:tcBorders>
              <w:top w:val="nil"/>
              <w:left w:val="nil"/>
              <w:bottom w:val="nil"/>
              <w:right w:val="nil"/>
            </w:tcBorders>
            <w:shd w:val="clear" w:color="auto" w:fill="auto"/>
            <w:noWrap/>
            <w:vAlign w:val="bottom"/>
            <w:hideMark/>
          </w:tcPr>
          <w:p w14:paraId="7B1A000A" w14:textId="77777777" w:rsidR="00BD4C12" w:rsidRPr="00083705" w:rsidRDefault="00BD4C12" w:rsidP="006B2D43">
            <w:pPr>
              <w:spacing w:after="0"/>
              <w:rPr>
                <w:rFonts w:ascii="Verdana" w:eastAsia="Times New Roman" w:hAnsi="Verdana"/>
                <w:sz w:val="24"/>
                <w:szCs w:val="24"/>
                <w:lang w:eastAsia="en-GB"/>
              </w:rPr>
            </w:pPr>
          </w:p>
        </w:tc>
      </w:tr>
      <w:tr w:rsidR="00BD4C12" w:rsidRPr="00083705" w14:paraId="2DE0C8FC" w14:textId="77777777" w:rsidTr="002C66E0">
        <w:trPr>
          <w:trHeight w:val="320"/>
        </w:trPr>
        <w:tc>
          <w:tcPr>
            <w:tcW w:w="1481" w:type="dxa"/>
            <w:tcBorders>
              <w:top w:val="nil"/>
              <w:left w:val="nil"/>
              <w:bottom w:val="nil"/>
              <w:right w:val="nil"/>
            </w:tcBorders>
            <w:shd w:val="clear" w:color="auto" w:fill="auto"/>
            <w:noWrap/>
            <w:vAlign w:val="bottom"/>
            <w:hideMark/>
          </w:tcPr>
          <w:p w14:paraId="6FDD44AD" w14:textId="77777777" w:rsidR="00BD4C12" w:rsidRPr="00083705" w:rsidRDefault="00BD4C12" w:rsidP="006B2D43">
            <w:pPr>
              <w:spacing w:after="0"/>
              <w:rPr>
                <w:rFonts w:ascii="Verdana" w:eastAsia="Times New Roman" w:hAnsi="Verdana"/>
                <w:sz w:val="24"/>
                <w:szCs w:val="24"/>
                <w:lang w:eastAsia="en-GB"/>
              </w:rPr>
            </w:pPr>
          </w:p>
        </w:tc>
        <w:tc>
          <w:tcPr>
            <w:tcW w:w="2223" w:type="dxa"/>
            <w:tcBorders>
              <w:top w:val="nil"/>
              <w:left w:val="single" w:sz="8" w:space="0" w:color="auto"/>
              <w:bottom w:val="nil"/>
              <w:right w:val="single" w:sz="8" w:space="0" w:color="auto"/>
            </w:tcBorders>
            <w:shd w:val="clear" w:color="auto" w:fill="auto"/>
            <w:noWrap/>
            <w:vAlign w:val="bottom"/>
            <w:hideMark/>
          </w:tcPr>
          <w:p w14:paraId="16A0943D"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Denominator</w:t>
            </w:r>
          </w:p>
        </w:tc>
        <w:tc>
          <w:tcPr>
            <w:tcW w:w="1876" w:type="dxa"/>
            <w:tcBorders>
              <w:top w:val="nil"/>
              <w:left w:val="nil"/>
              <w:bottom w:val="nil"/>
              <w:right w:val="single" w:sz="8" w:space="0" w:color="auto"/>
            </w:tcBorders>
            <w:shd w:val="clear" w:color="auto" w:fill="auto"/>
            <w:noWrap/>
            <w:vAlign w:val="bottom"/>
            <w:hideMark/>
          </w:tcPr>
          <w:p w14:paraId="2963B783"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Immunised</w:t>
            </w:r>
          </w:p>
        </w:tc>
        <w:tc>
          <w:tcPr>
            <w:tcW w:w="1852" w:type="dxa"/>
            <w:tcBorders>
              <w:top w:val="nil"/>
              <w:left w:val="nil"/>
              <w:bottom w:val="nil"/>
              <w:right w:val="single" w:sz="8" w:space="0" w:color="auto"/>
            </w:tcBorders>
            <w:shd w:val="clear" w:color="auto" w:fill="auto"/>
            <w:noWrap/>
            <w:vAlign w:val="bottom"/>
            <w:hideMark/>
          </w:tcPr>
          <w:p w14:paraId="7183DDC6"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Uptake (%)</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6ADFF62E"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2023-24</w:t>
            </w:r>
          </w:p>
        </w:tc>
        <w:tc>
          <w:tcPr>
            <w:tcW w:w="1364" w:type="dxa"/>
            <w:tcBorders>
              <w:top w:val="single" w:sz="8" w:space="0" w:color="auto"/>
              <w:left w:val="nil"/>
              <w:bottom w:val="single" w:sz="8" w:space="0" w:color="auto"/>
              <w:right w:val="single" w:sz="8" w:space="0" w:color="auto"/>
            </w:tcBorders>
            <w:shd w:val="clear" w:color="000000" w:fill="FFFFFF"/>
            <w:noWrap/>
            <w:vAlign w:val="center"/>
            <w:hideMark/>
          </w:tcPr>
          <w:p w14:paraId="2CF4294A" w14:textId="77777777" w:rsidR="00BD4C12" w:rsidRPr="00083705" w:rsidRDefault="00BD4C12"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2022-23</w:t>
            </w:r>
          </w:p>
        </w:tc>
      </w:tr>
      <w:tr w:rsidR="00BD4C12" w:rsidRPr="00083705" w14:paraId="246CF7A8" w14:textId="77777777" w:rsidTr="002C66E0">
        <w:trPr>
          <w:trHeight w:val="320"/>
        </w:trPr>
        <w:tc>
          <w:tcPr>
            <w:tcW w:w="1481" w:type="dxa"/>
            <w:tcBorders>
              <w:top w:val="single" w:sz="8" w:space="0" w:color="auto"/>
              <w:left w:val="single" w:sz="8" w:space="0" w:color="auto"/>
              <w:bottom w:val="single" w:sz="8" w:space="0" w:color="auto"/>
              <w:right w:val="single" w:sz="8" w:space="0" w:color="auto"/>
            </w:tcBorders>
            <w:shd w:val="clear" w:color="000000" w:fill="F2F2F2"/>
            <w:noWrap/>
            <w:hideMark/>
          </w:tcPr>
          <w:p w14:paraId="238B41DE"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NPT</w:t>
            </w:r>
          </w:p>
        </w:tc>
        <w:tc>
          <w:tcPr>
            <w:tcW w:w="2223" w:type="dxa"/>
            <w:tcBorders>
              <w:top w:val="single" w:sz="8" w:space="0" w:color="auto"/>
              <w:left w:val="nil"/>
              <w:bottom w:val="single" w:sz="8" w:space="0" w:color="auto"/>
              <w:right w:val="single" w:sz="8" w:space="0" w:color="auto"/>
            </w:tcBorders>
            <w:shd w:val="clear" w:color="000000" w:fill="F2F2F2"/>
            <w:noWrap/>
            <w:vAlign w:val="center"/>
            <w:hideMark/>
          </w:tcPr>
          <w:p w14:paraId="306A9EB7"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31,312</w:t>
            </w:r>
          </w:p>
        </w:tc>
        <w:tc>
          <w:tcPr>
            <w:tcW w:w="1876" w:type="dxa"/>
            <w:tcBorders>
              <w:top w:val="single" w:sz="8" w:space="0" w:color="auto"/>
              <w:left w:val="nil"/>
              <w:bottom w:val="single" w:sz="8" w:space="0" w:color="auto"/>
              <w:right w:val="single" w:sz="8" w:space="0" w:color="auto"/>
            </w:tcBorders>
            <w:shd w:val="clear" w:color="000000" w:fill="F2F2F2"/>
            <w:noWrap/>
            <w:vAlign w:val="center"/>
            <w:hideMark/>
          </w:tcPr>
          <w:p w14:paraId="0557ADB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20,488</w:t>
            </w:r>
          </w:p>
        </w:tc>
        <w:tc>
          <w:tcPr>
            <w:tcW w:w="1852" w:type="dxa"/>
            <w:tcBorders>
              <w:top w:val="single" w:sz="8" w:space="0" w:color="auto"/>
              <w:left w:val="nil"/>
              <w:bottom w:val="single" w:sz="8" w:space="0" w:color="auto"/>
              <w:right w:val="single" w:sz="8" w:space="0" w:color="auto"/>
            </w:tcBorders>
            <w:shd w:val="clear" w:color="000000" w:fill="F2F2F2"/>
            <w:noWrap/>
            <w:vAlign w:val="center"/>
            <w:hideMark/>
          </w:tcPr>
          <w:p w14:paraId="0FB13502"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65.4%</w:t>
            </w:r>
          </w:p>
        </w:tc>
        <w:tc>
          <w:tcPr>
            <w:tcW w:w="1364" w:type="dxa"/>
            <w:tcBorders>
              <w:top w:val="nil"/>
              <w:left w:val="nil"/>
              <w:bottom w:val="single" w:sz="8" w:space="0" w:color="auto"/>
              <w:right w:val="single" w:sz="8" w:space="0" w:color="auto"/>
            </w:tcBorders>
            <w:shd w:val="clear" w:color="000000" w:fill="F2F2F2"/>
            <w:noWrap/>
            <w:vAlign w:val="center"/>
            <w:hideMark/>
          </w:tcPr>
          <w:p w14:paraId="1C4B3F2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67.9%</w:t>
            </w:r>
          </w:p>
        </w:tc>
        <w:tc>
          <w:tcPr>
            <w:tcW w:w="1364" w:type="dxa"/>
            <w:tcBorders>
              <w:top w:val="nil"/>
              <w:left w:val="nil"/>
              <w:bottom w:val="single" w:sz="8" w:space="0" w:color="auto"/>
              <w:right w:val="single" w:sz="8" w:space="0" w:color="auto"/>
            </w:tcBorders>
            <w:shd w:val="clear" w:color="000000" w:fill="F2F2F2"/>
            <w:noWrap/>
            <w:vAlign w:val="center"/>
            <w:hideMark/>
          </w:tcPr>
          <w:p w14:paraId="0DC39D0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75.3%</w:t>
            </w:r>
          </w:p>
        </w:tc>
      </w:tr>
      <w:tr w:rsidR="00BD4C12" w:rsidRPr="00083705" w14:paraId="30EDCA6F" w14:textId="77777777" w:rsidTr="002C66E0">
        <w:trPr>
          <w:trHeight w:val="320"/>
        </w:trPr>
        <w:tc>
          <w:tcPr>
            <w:tcW w:w="1481" w:type="dxa"/>
            <w:tcBorders>
              <w:top w:val="nil"/>
              <w:left w:val="single" w:sz="8" w:space="0" w:color="auto"/>
              <w:bottom w:val="nil"/>
              <w:right w:val="single" w:sz="8" w:space="0" w:color="auto"/>
            </w:tcBorders>
            <w:shd w:val="clear" w:color="auto" w:fill="auto"/>
            <w:noWrap/>
            <w:hideMark/>
          </w:tcPr>
          <w:p w14:paraId="0365AC25"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Swansea</w:t>
            </w:r>
          </w:p>
        </w:tc>
        <w:tc>
          <w:tcPr>
            <w:tcW w:w="2223" w:type="dxa"/>
            <w:tcBorders>
              <w:top w:val="nil"/>
              <w:left w:val="nil"/>
              <w:bottom w:val="nil"/>
              <w:right w:val="single" w:sz="8" w:space="0" w:color="auto"/>
            </w:tcBorders>
            <w:shd w:val="clear" w:color="auto" w:fill="auto"/>
            <w:noWrap/>
            <w:vAlign w:val="center"/>
            <w:hideMark/>
          </w:tcPr>
          <w:p w14:paraId="6E89BF2F"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53,120</w:t>
            </w:r>
          </w:p>
        </w:tc>
        <w:tc>
          <w:tcPr>
            <w:tcW w:w="1876" w:type="dxa"/>
            <w:tcBorders>
              <w:top w:val="nil"/>
              <w:left w:val="nil"/>
              <w:bottom w:val="nil"/>
              <w:right w:val="single" w:sz="8" w:space="0" w:color="auto"/>
            </w:tcBorders>
            <w:shd w:val="clear" w:color="auto" w:fill="auto"/>
            <w:noWrap/>
            <w:vAlign w:val="center"/>
            <w:hideMark/>
          </w:tcPr>
          <w:p w14:paraId="357873AC"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37,385</w:t>
            </w:r>
          </w:p>
        </w:tc>
        <w:tc>
          <w:tcPr>
            <w:tcW w:w="1852" w:type="dxa"/>
            <w:tcBorders>
              <w:top w:val="nil"/>
              <w:left w:val="nil"/>
              <w:bottom w:val="nil"/>
              <w:right w:val="single" w:sz="8" w:space="0" w:color="auto"/>
            </w:tcBorders>
            <w:shd w:val="clear" w:color="auto" w:fill="auto"/>
            <w:noWrap/>
            <w:vAlign w:val="center"/>
            <w:hideMark/>
          </w:tcPr>
          <w:p w14:paraId="68FA623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70.4%</w:t>
            </w:r>
          </w:p>
        </w:tc>
        <w:tc>
          <w:tcPr>
            <w:tcW w:w="1364" w:type="dxa"/>
            <w:tcBorders>
              <w:top w:val="nil"/>
              <w:left w:val="nil"/>
              <w:bottom w:val="single" w:sz="8" w:space="0" w:color="auto"/>
              <w:right w:val="single" w:sz="8" w:space="0" w:color="auto"/>
            </w:tcBorders>
            <w:shd w:val="clear" w:color="auto" w:fill="auto"/>
            <w:noWrap/>
            <w:vAlign w:val="center"/>
            <w:hideMark/>
          </w:tcPr>
          <w:p w14:paraId="6897359E"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70.4%</w:t>
            </w:r>
          </w:p>
        </w:tc>
        <w:tc>
          <w:tcPr>
            <w:tcW w:w="1364" w:type="dxa"/>
            <w:tcBorders>
              <w:top w:val="nil"/>
              <w:left w:val="nil"/>
              <w:bottom w:val="nil"/>
              <w:right w:val="single" w:sz="8" w:space="0" w:color="auto"/>
            </w:tcBorders>
            <w:shd w:val="clear" w:color="auto" w:fill="auto"/>
            <w:noWrap/>
            <w:vAlign w:val="center"/>
            <w:hideMark/>
          </w:tcPr>
          <w:p w14:paraId="0BF0D37B"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76.2%</w:t>
            </w:r>
          </w:p>
        </w:tc>
      </w:tr>
      <w:tr w:rsidR="00BD4C12" w:rsidRPr="00083705" w14:paraId="15E41017" w14:textId="77777777" w:rsidTr="002C66E0">
        <w:trPr>
          <w:trHeight w:val="320"/>
        </w:trPr>
        <w:tc>
          <w:tcPr>
            <w:tcW w:w="1481" w:type="dxa"/>
            <w:tcBorders>
              <w:top w:val="single" w:sz="8" w:space="0" w:color="auto"/>
              <w:left w:val="single" w:sz="8" w:space="0" w:color="auto"/>
              <w:bottom w:val="single" w:sz="8" w:space="0" w:color="auto"/>
              <w:right w:val="single" w:sz="8" w:space="0" w:color="auto"/>
            </w:tcBorders>
            <w:shd w:val="clear" w:color="000000" w:fill="F2F2F2"/>
            <w:noWrap/>
            <w:hideMark/>
          </w:tcPr>
          <w:p w14:paraId="2D7BD95F"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SB Total</w:t>
            </w:r>
          </w:p>
        </w:tc>
        <w:tc>
          <w:tcPr>
            <w:tcW w:w="2223" w:type="dxa"/>
            <w:tcBorders>
              <w:top w:val="single" w:sz="8" w:space="0" w:color="auto"/>
              <w:left w:val="nil"/>
              <w:bottom w:val="single" w:sz="8" w:space="0" w:color="auto"/>
              <w:right w:val="single" w:sz="8" w:space="0" w:color="auto"/>
            </w:tcBorders>
            <w:shd w:val="clear" w:color="000000" w:fill="F2F2F2"/>
            <w:noWrap/>
            <w:vAlign w:val="center"/>
            <w:hideMark/>
          </w:tcPr>
          <w:p w14:paraId="034ECB36"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84,432</w:t>
            </w:r>
          </w:p>
        </w:tc>
        <w:tc>
          <w:tcPr>
            <w:tcW w:w="1876" w:type="dxa"/>
            <w:tcBorders>
              <w:top w:val="single" w:sz="8" w:space="0" w:color="auto"/>
              <w:left w:val="nil"/>
              <w:bottom w:val="single" w:sz="8" w:space="0" w:color="auto"/>
              <w:right w:val="single" w:sz="8" w:space="0" w:color="auto"/>
            </w:tcBorders>
            <w:shd w:val="clear" w:color="000000" w:fill="F2F2F2"/>
            <w:noWrap/>
            <w:vAlign w:val="center"/>
            <w:hideMark/>
          </w:tcPr>
          <w:p w14:paraId="00D684DA"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57,873</w:t>
            </w:r>
          </w:p>
        </w:tc>
        <w:tc>
          <w:tcPr>
            <w:tcW w:w="1852" w:type="dxa"/>
            <w:tcBorders>
              <w:top w:val="single" w:sz="8" w:space="0" w:color="auto"/>
              <w:left w:val="nil"/>
              <w:bottom w:val="single" w:sz="8" w:space="0" w:color="auto"/>
              <w:right w:val="single" w:sz="8" w:space="0" w:color="auto"/>
            </w:tcBorders>
            <w:shd w:val="clear" w:color="000000" w:fill="F2F2F2"/>
            <w:noWrap/>
            <w:vAlign w:val="center"/>
            <w:hideMark/>
          </w:tcPr>
          <w:p w14:paraId="40B35572"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68.5%</w:t>
            </w:r>
          </w:p>
        </w:tc>
        <w:tc>
          <w:tcPr>
            <w:tcW w:w="1364" w:type="dxa"/>
            <w:tcBorders>
              <w:top w:val="nil"/>
              <w:left w:val="nil"/>
              <w:bottom w:val="single" w:sz="8" w:space="0" w:color="auto"/>
              <w:right w:val="single" w:sz="8" w:space="0" w:color="auto"/>
            </w:tcBorders>
            <w:shd w:val="clear" w:color="000000" w:fill="F2F2F2"/>
            <w:noWrap/>
            <w:vAlign w:val="center"/>
            <w:hideMark/>
          </w:tcPr>
          <w:p w14:paraId="3AE1D45E"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69.5%</w:t>
            </w:r>
          </w:p>
        </w:tc>
        <w:tc>
          <w:tcPr>
            <w:tcW w:w="1364" w:type="dxa"/>
            <w:tcBorders>
              <w:top w:val="single" w:sz="8" w:space="0" w:color="auto"/>
              <w:left w:val="nil"/>
              <w:bottom w:val="single" w:sz="8" w:space="0" w:color="auto"/>
              <w:right w:val="single" w:sz="8" w:space="0" w:color="auto"/>
            </w:tcBorders>
            <w:shd w:val="clear" w:color="000000" w:fill="F2F2F2"/>
            <w:noWrap/>
            <w:vAlign w:val="center"/>
            <w:hideMark/>
          </w:tcPr>
          <w:p w14:paraId="049CFEB5"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75.9%</w:t>
            </w:r>
          </w:p>
        </w:tc>
      </w:tr>
      <w:tr w:rsidR="00BD4C12" w:rsidRPr="00083705" w14:paraId="42BD7585" w14:textId="77777777" w:rsidTr="002C66E0">
        <w:trPr>
          <w:trHeight w:val="320"/>
        </w:trPr>
        <w:tc>
          <w:tcPr>
            <w:tcW w:w="1481" w:type="dxa"/>
            <w:tcBorders>
              <w:top w:val="nil"/>
              <w:left w:val="single" w:sz="8" w:space="0" w:color="auto"/>
              <w:bottom w:val="single" w:sz="8" w:space="0" w:color="auto"/>
              <w:right w:val="single" w:sz="8" w:space="0" w:color="auto"/>
            </w:tcBorders>
            <w:shd w:val="clear" w:color="auto" w:fill="auto"/>
            <w:noWrap/>
            <w:hideMark/>
          </w:tcPr>
          <w:p w14:paraId="694A0DE2" w14:textId="77777777" w:rsidR="00BD4C12" w:rsidRPr="00083705" w:rsidRDefault="00BD4C12"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Wales</w:t>
            </w:r>
          </w:p>
        </w:tc>
        <w:tc>
          <w:tcPr>
            <w:tcW w:w="2223" w:type="dxa"/>
            <w:tcBorders>
              <w:top w:val="nil"/>
              <w:left w:val="nil"/>
              <w:bottom w:val="single" w:sz="8" w:space="0" w:color="auto"/>
              <w:right w:val="single" w:sz="8" w:space="0" w:color="auto"/>
            </w:tcBorders>
            <w:shd w:val="clear" w:color="auto" w:fill="auto"/>
            <w:noWrap/>
            <w:vAlign w:val="center"/>
            <w:hideMark/>
          </w:tcPr>
          <w:p w14:paraId="59037489"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710,796</w:t>
            </w:r>
          </w:p>
        </w:tc>
        <w:tc>
          <w:tcPr>
            <w:tcW w:w="1876" w:type="dxa"/>
            <w:tcBorders>
              <w:top w:val="nil"/>
              <w:left w:val="nil"/>
              <w:bottom w:val="single" w:sz="8" w:space="0" w:color="auto"/>
              <w:right w:val="single" w:sz="8" w:space="0" w:color="auto"/>
            </w:tcBorders>
            <w:shd w:val="clear" w:color="auto" w:fill="auto"/>
            <w:noWrap/>
            <w:vAlign w:val="center"/>
            <w:hideMark/>
          </w:tcPr>
          <w:p w14:paraId="749A9903"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499,466</w:t>
            </w:r>
          </w:p>
        </w:tc>
        <w:tc>
          <w:tcPr>
            <w:tcW w:w="1852" w:type="dxa"/>
            <w:tcBorders>
              <w:top w:val="nil"/>
              <w:left w:val="nil"/>
              <w:bottom w:val="single" w:sz="8" w:space="0" w:color="auto"/>
              <w:right w:val="single" w:sz="8" w:space="0" w:color="auto"/>
            </w:tcBorders>
            <w:shd w:val="clear" w:color="auto" w:fill="auto"/>
            <w:noWrap/>
            <w:vAlign w:val="center"/>
            <w:hideMark/>
          </w:tcPr>
          <w:p w14:paraId="69ED01D9"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70.3%</w:t>
            </w:r>
          </w:p>
        </w:tc>
        <w:tc>
          <w:tcPr>
            <w:tcW w:w="1364" w:type="dxa"/>
            <w:tcBorders>
              <w:top w:val="nil"/>
              <w:left w:val="nil"/>
              <w:bottom w:val="single" w:sz="8" w:space="0" w:color="auto"/>
              <w:right w:val="single" w:sz="8" w:space="0" w:color="auto"/>
            </w:tcBorders>
            <w:shd w:val="clear" w:color="auto" w:fill="auto"/>
            <w:noWrap/>
            <w:vAlign w:val="center"/>
            <w:hideMark/>
          </w:tcPr>
          <w:p w14:paraId="446CC21D"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72.5%</w:t>
            </w:r>
          </w:p>
        </w:tc>
        <w:tc>
          <w:tcPr>
            <w:tcW w:w="1364" w:type="dxa"/>
            <w:tcBorders>
              <w:top w:val="nil"/>
              <w:left w:val="nil"/>
              <w:bottom w:val="single" w:sz="8" w:space="0" w:color="auto"/>
              <w:right w:val="single" w:sz="8" w:space="0" w:color="auto"/>
            </w:tcBorders>
            <w:shd w:val="clear" w:color="auto" w:fill="auto"/>
            <w:noWrap/>
            <w:vAlign w:val="center"/>
            <w:hideMark/>
          </w:tcPr>
          <w:p w14:paraId="1B5FBC09" w14:textId="77777777" w:rsidR="00BD4C12" w:rsidRPr="00083705" w:rsidRDefault="00BD4C12"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76.3%</w:t>
            </w:r>
          </w:p>
        </w:tc>
      </w:tr>
    </w:tbl>
    <w:p w14:paraId="3F0BDDFE" w14:textId="77777777" w:rsidR="001977EF" w:rsidRDefault="001977EF" w:rsidP="001977EF">
      <w:pPr>
        <w:pStyle w:val="NoSpacing"/>
        <w:rPr>
          <w:rFonts w:ascii="Verdana" w:hAnsi="Verdana"/>
          <w:b/>
          <w:sz w:val="24"/>
          <w:szCs w:val="24"/>
        </w:rPr>
      </w:pPr>
    </w:p>
    <w:p w14:paraId="354002A5" w14:textId="77777777" w:rsidR="002C66E0" w:rsidRDefault="002C66E0" w:rsidP="001977EF">
      <w:pPr>
        <w:pStyle w:val="NoSpacing"/>
        <w:rPr>
          <w:rFonts w:ascii="Verdana" w:hAnsi="Verdana"/>
          <w:b/>
          <w:sz w:val="24"/>
          <w:szCs w:val="24"/>
        </w:rPr>
      </w:pPr>
    </w:p>
    <w:p w14:paraId="16767056" w14:textId="77777777" w:rsidR="002C66E0" w:rsidRDefault="002C66E0" w:rsidP="001977EF">
      <w:pPr>
        <w:pStyle w:val="NoSpacing"/>
        <w:rPr>
          <w:rFonts w:ascii="Verdana" w:hAnsi="Verdana"/>
          <w:b/>
          <w:sz w:val="24"/>
          <w:szCs w:val="24"/>
        </w:rPr>
      </w:pPr>
    </w:p>
    <w:p w14:paraId="658DB9AF" w14:textId="77777777" w:rsidR="002C66E0" w:rsidRDefault="002C66E0" w:rsidP="001977EF">
      <w:pPr>
        <w:pStyle w:val="NoSpacing"/>
        <w:rPr>
          <w:rFonts w:ascii="Verdana" w:hAnsi="Verdana"/>
          <w:b/>
          <w:sz w:val="24"/>
          <w:szCs w:val="24"/>
        </w:rPr>
      </w:pPr>
    </w:p>
    <w:p w14:paraId="2C128420" w14:textId="77777777" w:rsidR="002C66E0" w:rsidRDefault="002C66E0" w:rsidP="001977EF">
      <w:pPr>
        <w:pStyle w:val="NoSpacing"/>
        <w:rPr>
          <w:rFonts w:ascii="Verdana" w:hAnsi="Verdana"/>
          <w:b/>
          <w:sz w:val="24"/>
          <w:szCs w:val="24"/>
        </w:rPr>
      </w:pPr>
    </w:p>
    <w:p w14:paraId="510EBB62" w14:textId="77777777" w:rsidR="002C66E0" w:rsidRDefault="002C66E0" w:rsidP="001977EF">
      <w:pPr>
        <w:pStyle w:val="NoSpacing"/>
        <w:rPr>
          <w:rFonts w:ascii="Verdana" w:hAnsi="Verdana"/>
          <w:b/>
          <w:sz w:val="24"/>
          <w:szCs w:val="24"/>
        </w:rPr>
      </w:pPr>
    </w:p>
    <w:p w14:paraId="174A73BD" w14:textId="77777777" w:rsidR="002C66E0" w:rsidRDefault="002C66E0" w:rsidP="001977EF">
      <w:pPr>
        <w:pStyle w:val="NoSpacing"/>
        <w:rPr>
          <w:rFonts w:ascii="Verdana" w:hAnsi="Verdana"/>
          <w:b/>
          <w:sz w:val="24"/>
          <w:szCs w:val="24"/>
        </w:rPr>
      </w:pPr>
    </w:p>
    <w:p w14:paraId="1EBF77CD" w14:textId="77777777" w:rsidR="002C66E0" w:rsidRDefault="002C66E0" w:rsidP="001977EF">
      <w:pPr>
        <w:pStyle w:val="NoSpacing"/>
        <w:rPr>
          <w:rFonts w:ascii="Verdana" w:hAnsi="Verdana"/>
          <w:b/>
          <w:sz w:val="24"/>
          <w:szCs w:val="24"/>
        </w:rPr>
      </w:pPr>
    </w:p>
    <w:p w14:paraId="6BD0A5DB" w14:textId="6210D395" w:rsidR="001977EF" w:rsidRPr="00083705" w:rsidRDefault="001977EF" w:rsidP="001977EF">
      <w:pPr>
        <w:pStyle w:val="NoSpacing"/>
        <w:rPr>
          <w:rFonts w:ascii="Verdana" w:hAnsi="Verdana"/>
          <w:b/>
          <w:sz w:val="24"/>
          <w:szCs w:val="24"/>
        </w:rPr>
      </w:pPr>
      <w:r w:rsidRPr="00083705">
        <w:rPr>
          <w:rFonts w:ascii="Verdana" w:hAnsi="Verdana"/>
          <w:b/>
          <w:sz w:val="24"/>
          <w:szCs w:val="24"/>
        </w:rPr>
        <w:lastRenderedPageBreak/>
        <w:t>2023-24 &amp; 2024-25 Cluster flu immunisation uptake by cohort</w:t>
      </w:r>
    </w:p>
    <w:tbl>
      <w:tblPr>
        <w:tblW w:w="3740" w:type="dxa"/>
        <w:tblLook w:val="04A0" w:firstRow="1" w:lastRow="0" w:firstColumn="1" w:lastColumn="0" w:noHBand="0" w:noVBand="1"/>
      </w:tblPr>
      <w:tblGrid>
        <w:gridCol w:w="1521"/>
        <w:gridCol w:w="1259"/>
        <w:gridCol w:w="1169"/>
      </w:tblGrid>
      <w:tr w:rsidR="001977EF" w:rsidRPr="00083705" w14:paraId="3FD14E9F" w14:textId="77777777" w:rsidTr="006B2D43">
        <w:trPr>
          <w:trHeight w:val="310"/>
        </w:trPr>
        <w:tc>
          <w:tcPr>
            <w:tcW w:w="2780" w:type="dxa"/>
            <w:gridSpan w:val="2"/>
            <w:tcBorders>
              <w:top w:val="single" w:sz="8" w:space="0" w:color="auto"/>
              <w:left w:val="single" w:sz="8" w:space="0" w:color="auto"/>
              <w:bottom w:val="nil"/>
              <w:right w:val="nil"/>
            </w:tcBorders>
            <w:shd w:val="clear" w:color="000000" w:fill="F2F2F2"/>
            <w:noWrap/>
            <w:vAlign w:val="bottom"/>
            <w:hideMark/>
          </w:tcPr>
          <w:p w14:paraId="09F9E4DF"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65 years and over</w:t>
            </w:r>
          </w:p>
        </w:tc>
        <w:tc>
          <w:tcPr>
            <w:tcW w:w="960" w:type="dxa"/>
            <w:tcBorders>
              <w:top w:val="single" w:sz="8" w:space="0" w:color="auto"/>
              <w:left w:val="nil"/>
              <w:bottom w:val="nil"/>
              <w:right w:val="single" w:sz="8" w:space="0" w:color="auto"/>
            </w:tcBorders>
            <w:shd w:val="clear" w:color="000000" w:fill="F2F2F2"/>
            <w:noWrap/>
            <w:vAlign w:val="bottom"/>
            <w:hideMark/>
          </w:tcPr>
          <w:p w14:paraId="52CDE4DA"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 </w:t>
            </w:r>
          </w:p>
        </w:tc>
      </w:tr>
      <w:tr w:rsidR="001977EF" w:rsidRPr="00083705" w14:paraId="595BADC1" w14:textId="77777777" w:rsidTr="006B2D43">
        <w:trPr>
          <w:trHeight w:val="320"/>
        </w:trPr>
        <w:tc>
          <w:tcPr>
            <w:tcW w:w="1521" w:type="dxa"/>
            <w:tcBorders>
              <w:top w:val="nil"/>
              <w:left w:val="single" w:sz="8" w:space="0" w:color="auto"/>
              <w:bottom w:val="single" w:sz="8" w:space="0" w:color="auto"/>
              <w:right w:val="nil"/>
            </w:tcBorders>
            <w:shd w:val="clear" w:color="000000" w:fill="F2F2F2"/>
            <w:noWrap/>
            <w:vAlign w:val="bottom"/>
            <w:hideMark/>
          </w:tcPr>
          <w:p w14:paraId="5BC1F1EB" w14:textId="77777777" w:rsidR="001977EF" w:rsidRPr="00083705" w:rsidRDefault="001977EF"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Cluster</w:t>
            </w:r>
          </w:p>
        </w:tc>
        <w:tc>
          <w:tcPr>
            <w:tcW w:w="1259" w:type="dxa"/>
            <w:tcBorders>
              <w:top w:val="nil"/>
              <w:left w:val="nil"/>
              <w:bottom w:val="single" w:sz="8" w:space="0" w:color="auto"/>
              <w:right w:val="nil"/>
            </w:tcBorders>
            <w:shd w:val="clear" w:color="000000" w:fill="F2F2F2"/>
            <w:noWrap/>
            <w:vAlign w:val="bottom"/>
            <w:hideMark/>
          </w:tcPr>
          <w:p w14:paraId="3A6A9B24"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 </w:t>
            </w:r>
          </w:p>
        </w:tc>
        <w:tc>
          <w:tcPr>
            <w:tcW w:w="960" w:type="dxa"/>
            <w:tcBorders>
              <w:top w:val="nil"/>
              <w:left w:val="nil"/>
              <w:bottom w:val="single" w:sz="8" w:space="0" w:color="auto"/>
              <w:right w:val="single" w:sz="8" w:space="0" w:color="auto"/>
            </w:tcBorders>
            <w:shd w:val="clear" w:color="000000" w:fill="F2F2F2"/>
            <w:noWrap/>
            <w:vAlign w:val="bottom"/>
            <w:hideMark/>
          </w:tcPr>
          <w:p w14:paraId="26CE7498"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Uptake</w:t>
            </w:r>
          </w:p>
        </w:tc>
      </w:tr>
      <w:tr w:rsidR="001977EF" w:rsidRPr="00083705" w14:paraId="04839531"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2D25AA58"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Afan</w:t>
            </w:r>
          </w:p>
        </w:tc>
        <w:tc>
          <w:tcPr>
            <w:tcW w:w="1259" w:type="dxa"/>
            <w:tcBorders>
              <w:top w:val="nil"/>
              <w:left w:val="nil"/>
              <w:bottom w:val="nil"/>
              <w:right w:val="nil"/>
            </w:tcBorders>
            <w:shd w:val="clear" w:color="auto" w:fill="auto"/>
            <w:noWrap/>
            <w:vAlign w:val="bottom"/>
            <w:hideMark/>
          </w:tcPr>
          <w:p w14:paraId="1904B4A8"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64935DD5"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66%</w:t>
            </w:r>
          </w:p>
        </w:tc>
      </w:tr>
      <w:tr w:rsidR="001977EF" w:rsidRPr="00083705" w14:paraId="49622FBC"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46FF1FFD"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447B06A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3EBBE58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67%</w:t>
            </w:r>
          </w:p>
        </w:tc>
      </w:tr>
      <w:tr w:rsidR="001977EF" w:rsidRPr="00083705" w14:paraId="57FDF0D7"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56CE0D25"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Bay</w:t>
            </w:r>
          </w:p>
        </w:tc>
        <w:tc>
          <w:tcPr>
            <w:tcW w:w="1259" w:type="dxa"/>
            <w:tcBorders>
              <w:top w:val="nil"/>
              <w:left w:val="nil"/>
              <w:bottom w:val="nil"/>
              <w:right w:val="nil"/>
            </w:tcBorders>
            <w:shd w:val="clear" w:color="000000" w:fill="F2F2F2"/>
            <w:noWrap/>
            <w:vAlign w:val="bottom"/>
            <w:hideMark/>
          </w:tcPr>
          <w:p w14:paraId="39DB3A1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2A4FF1D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72%</w:t>
            </w:r>
          </w:p>
        </w:tc>
      </w:tr>
      <w:tr w:rsidR="001977EF" w:rsidRPr="00083705" w14:paraId="554DF694"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440D4E3C"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4D7F1D60"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2096D3F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74%</w:t>
            </w:r>
          </w:p>
        </w:tc>
      </w:tr>
      <w:tr w:rsidR="001977EF" w:rsidRPr="00083705" w14:paraId="576B0BA5"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2AF97BC9"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City</w:t>
            </w:r>
          </w:p>
        </w:tc>
        <w:tc>
          <w:tcPr>
            <w:tcW w:w="1259" w:type="dxa"/>
            <w:tcBorders>
              <w:top w:val="nil"/>
              <w:left w:val="nil"/>
              <w:bottom w:val="nil"/>
              <w:right w:val="nil"/>
            </w:tcBorders>
            <w:shd w:val="clear" w:color="auto" w:fill="auto"/>
            <w:noWrap/>
            <w:vAlign w:val="bottom"/>
            <w:hideMark/>
          </w:tcPr>
          <w:p w14:paraId="400E96B3"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0AB83237"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68%</w:t>
            </w:r>
          </w:p>
        </w:tc>
      </w:tr>
      <w:tr w:rsidR="001977EF" w:rsidRPr="00083705" w14:paraId="4160496F"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40AAA477"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6D7435CE"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1E41121B"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66%</w:t>
            </w:r>
          </w:p>
        </w:tc>
      </w:tr>
      <w:tr w:rsidR="001977EF" w:rsidRPr="00083705" w14:paraId="704E3108"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25EE06EF"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Cwmtawe</w:t>
            </w:r>
          </w:p>
        </w:tc>
        <w:tc>
          <w:tcPr>
            <w:tcW w:w="1259" w:type="dxa"/>
            <w:tcBorders>
              <w:top w:val="nil"/>
              <w:left w:val="nil"/>
              <w:bottom w:val="nil"/>
              <w:right w:val="nil"/>
            </w:tcBorders>
            <w:shd w:val="clear" w:color="000000" w:fill="F2F2F2"/>
            <w:noWrap/>
            <w:vAlign w:val="bottom"/>
            <w:hideMark/>
          </w:tcPr>
          <w:p w14:paraId="378CCFF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3013526F"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67%</w:t>
            </w:r>
          </w:p>
        </w:tc>
      </w:tr>
      <w:tr w:rsidR="001977EF" w:rsidRPr="00083705" w14:paraId="4B895602"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02BBEF67"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7EDC00AE"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5913113E"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68%</w:t>
            </w:r>
          </w:p>
        </w:tc>
      </w:tr>
      <w:tr w:rsidR="001977EF" w:rsidRPr="00083705" w14:paraId="38432F5F"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6EB56670"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Llwchwr</w:t>
            </w:r>
          </w:p>
        </w:tc>
        <w:tc>
          <w:tcPr>
            <w:tcW w:w="1259" w:type="dxa"/>
            <w:tcBorders>
              <w:top w:val="nil"/>
              <w:left w:val="nil"/>
              <w:bottom w:val="nil"/>
              <w:right w:val="nil"/>
            </w:tcBorders>
            <w:shd w:val="clear" w:color="auto" w:fill="auto"/>
            <w:noWrap/>
            <w:vAlign w:val="bottom"/>
            <w:hideMark/>
          </w:tcPr>
          <w:p w14:paraId="4027BD1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4F8EE710"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73%</w:t>
            </w:r>
          </w:p>
        </w:tc>
      </w:tr>
      <w:tr w:rsidR="001977EF" w:rsidRPr="00083705" w14:paraId="0748524A"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047D3232"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51FB641B"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343C45A3"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71%</w:t>
            </w:r>
          </w:p>
        </w:tc>
      </w:tr>
      <w:tr w:rsidR="001977EF" w:rsidRPr="00083705" w14:paraId="08310CB8"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7C898CB6"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Neath</w:t>
            </w:r>
          </w:p>
        </w:tc>
        <w:tc>
          <w:tcPr>
            <w:tcW w:w="1259" w:type="dxa"/>
            <w:tcBorders>
              <w:top w:val="nil"/>
              <w:left w:val="nil"/>
              <w:bottom w:val="nil"/>
              <w:right w:val="nil"/>
            </w:tcBorders>
            <w:shd w:val="clear" w:color="000000" w:fill="F2F2F2"/>
            <w:noWrap/>
            <w:vAlign w:val="bottom"/>
            <w:hideMark/>
          </w:tcPr>
          <w:p w14:paraId="43E82C4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3CF7C443"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67%</w:t>
            </w:r>
          </w:p>
        </w:tc>
      </w:tr>
      <w:tr w:rsidR="001977EF" w:rsidRPr="00083705" w14:paraId="07C2D6CD"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5CC1A22B"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0B7735B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7754B57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64%</w:t>
            </w:r>
          </w:p>
        </w:tc>
      </w:tr>
      <w:tr w:rsidR="001977EF" w:rsidRPr="00083705" w14:paraId="726312B0"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58B7230E"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Penderi</w:t>
            </w:r>
          </w:p>
        </w:tc>
        <w:tc>
          <w:tcPr>
            <w:tcW w:w="1259" w:type="dxa"/>
            <w:tcBorders>
              <w:top w:val="nil"/>
              <w:left w:val="nil"/>
              <w:bottom w:val="nil"/>
              <w:right w:val="nil"/>
            </w:tcBorders>
            <w:shd w:val="clear" w:color="auto" w:fill="auto"/>
            <w:noWrap/>
            <w:vAlign w:val="bottom"/>
            <w:hideMark/>
          </w:tcPr>
          <w:p w14:paraId="04C8ACD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219BD5B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71%</w:t>
            </w:r>
          </w:p>
        </w:tc>
      </w:tr>
      <w:tr w:rsidR="001977EF" w:rsidRPr="00083705" w14:paraId="000CE04F"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5DD0ED23"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332633A7"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5B9862A3"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69%</w:t>
            </w:r>
          </w:p>
        </w:tc>
      </w:tr>
      <w:tr w:rsidR="001977EF" w:rsidRPr="00083705" w14:paraId="11E823DA"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0905E90E"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U Valleys</w:t>
            </w:r>
          </w:p>
        </w:tc>
        <w:tc>
          <w:tcPr>
            <w:tcW w:w="1259" w:type="dxa"/>
            <w:tcBorders>
              <w:top w:val="nil"/>
              <w:left w:val="nil"/>
              <w:bottom w:val="nil"/>
              <w:right w:val="nil"/>
            </w:tcBorders>
            <w:shd w:val="clear" w:color="000000" w:fill="F2F2F2"/>
            <w:noWrap/>
            <w:vAlign w:val="bottom"/>
            <w:hideMark/>
          </w:tcPr>
          <w:p w14:paraId="42CA73F6"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6BCF7C80"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71%</w:t>
            </w:r>
          </w:p>
        </w:tc>
      </w:tr>
      <w:tr w:rsidR="001977EF" w:rsidRPr="00083705" w14:paraId="6002B083" w14:textId="77777777" w:rsidTr="006B2D43">
        <w:trPr>
          <w:trHeight w:val="320"/>
        </w:trPr>
        <w:tc>
          <w:tcPr>
            <w:tcW w:w="1521" w:type="dxa"/>
            <w:tcBorders>
              <w:top w:val="nil"/>
              <w:left w:val="single" w:sz="8" w:space="0" w:color="auto"/>
              <w:bottom w:val="single" w:sz="8" w:space="0" w:color="auto"/>
              <w:right w:val="nil"/>
            </w:tcBorders>
            <w:shd w:val="clear" w:color="000000" w:fill="F2F2F2"/>
            <w:noWrap/>
            <w:vAlign w:val="bottom"/>
            <w:hideMark/>
          </w:tcPr>
          <w:p w14:paraId="11B424A9"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single" w:sz="8" w:space="0" w:color="auto"/>
              <w:right w:val="nil"/>
            </w:tcBorders>
            <w:shd w:val="clear" w:color="000000" w:fill="F2F2F2"/>
            <w:noWrap/>
            <w:vAlign w:val="bottom"/>
            <w:hideMark/>
          </w:tcPr>
          <w:p w14:paraId="46EF1F4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single" w:sz="8" w:space="0" w:color="auto"/>
              <w:right w:val="single" w:sz="8" w:space="0" w:color="auto"/>
            </w:tcBorders>
            <w:shd w:val="clear" w:color="000000" w:fill="F2F2F2"/>
            <w:noWrap/>
            <w:vAlign w:val="bottom"/>
            <w:hideMark/>
          </w:tcPr>
          <w:p w14:paraId="5E90470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67%</w:t>
            </w:r>
          </w:p>
        </w:tc>
      </w:tr>
      <w:tr w:rsidR="001977EF" w:rsidRPr="00083705" w14:paraId="66A52135" w14:textId="77777777" w:rsidTr="006B2D43">
        <w:trPr>
          <w:trHeight w:val="320"/>
        </w:trPr>
        <w:tc>
          <w:tcPr>
            <w:tcW w:w="1521" w:type="dxa"/>
            <w:tcBorders>
              <w:top w:val="nil"/>
              <w:left w:val="nil"/>
              <w:bottom w:val="nil"/>
              <w:right w:val="nil"/>
            </w:tcBorders>
            <w:shd w:val="clear" w:color="auto" w:fill="auto"/>
            <w:noWrap/>
            <w:vAlign w:val="bottom"/>
            <w:hideMark/>
          </w:tcPr>
          <w:p w14:paraId="623A75EB" w14:textId="77777777" w:rsidR="001977EF" w:rsidRPr="00083705" w:rsidRDefault="001977EF" w:rsidP="006B2D43">
            <w:pPr>
              <w:spacing w:after="0"/>
              <w:jc w:val="center"/>
              <w:rPr>
                <w:rFonts w:ascii="Verdana" w:eastAsia="Times New Roman" w:hAnsi="Verdana" w:cs="Calibri"/>
                <w:color w:val="000000"/>
                <w:sz w:val="24"/>
                <w:szCs w:val="24"/>
                <w:lang w:eastAsia="en-GB"/>
              </w:rPr>
            </w:pPr>
          </w:p>
        </w:tc>
        <w:tc>
          <w:tcPr>
            <w:tcW w:w="1259" w:type="dxa"/>
            <w:tcBorders>
              <w:top w:val="nil"/>
              <w:left w:val="nil"/>
              <w:bottom w:val="nil"/>
              <w:right w:val="nil"/>
            </w:tcBorders>
            <w:shd w:val="clear" w:color="auto" w:fill="auto"/>
            <w:noWrap/>
            <w:vAlign w:val="bottom"/>
            <w:hideMark/>
          </w:tcPr>
          <w:p w14:paraId="77CA9A86" w14:textId="77777777" w:rsidR="001977EF" w:rsidRPr="00083705" w:rsidRDefault="001977EF" w:rsidP="006B2D43">
            <w:pPr>
              <w:spacing w:after="0"/>
              <w:rPr>
                <w:rFonts w:ascii="Verdana" w:eastAsia="Times New Roman" w:hAnsi="Verdana"/>
                <w:sz w:val="24"/>
                <w:szCs w:val="24"/>
                <w:lang w:eastAsia="en-GB"/>
              </w:rPr>
            </w:pPr>
          </w:p>
        </w:tc>
        <w:tc>
          <w:tcPr>
            <w:tcW w:w="960" w:type="dxa"/>
            <w:tcBorders>
              <w:top w:val="nil"/>
              <w:left w:val="nil"/>
              <w:bottom w:val="nil"/>
              <w:right w:val="nil"/>
            </w:tcBorders>
            <w:shd w:val="clear" w:color="auto" w:fill="auto"/>
            <w:noWrap/>
            <w:vAlign w:val="bottom"/>
            <w:hideMark/>
          </w:tcPr>
          <w:p w14:paraId="329704EF" w14:textId="77777777" w:rsidR="001977EF" w:rsidRPr="00083705" w:rsidRDefault="001977EF" w:rsidP="006B2D43">
            <w:pPr>
              <w:spacing w:after="0"/>
              <w:jc w:val="center"/>
              <w:rPr>
                <w:rFonts w:ascii="Verdana" w:eastAsia="Times New Roman" w:hAnsi="Verdana"/>
                <w:sz w:val="24"/>
                <w:szCs w:val="24"/>
                <w:lang w:eastAsia="en-GB"/>
              </w:rPr>
            </w:pPr>
          </w:p>
        </w:tc>
      </w:tr>
      <w:tr w:rsidR="001977EF" w:rsidRPr="00083705" w14:paraId="059C4BD2" w14:textId="77777777" w:rsidTr="006B2D43">
        <w:trPr>
          <w:trHeight w:val="310"/>
        </w:trPr>
        <w:tc>
          <w:tcPr>
            <w:tcW w:w="2780" w:type="dxa"/>
            <w:gridSpan w:val="2"/>
            <w:tcBorders>
              <w:top w:val="single" w:sz="8" w:space="0" w:color="auto"/>
              <w:left w:val="single" w:sz="8" w:space="0" w:color="auto"/>
              <w:bottom w:val="nil"/>
              <w:right w:val="nil"/>
            </w:tcBorders>
            <w:shd w:val="clear" w:color="000000" w:fill="F2F2F2"/>
            <w:noWrap/>
            <w:vAlign w:val="bottom"/>
            <w:hideMark/>
          </w:tcPr>
          <w:p w14:paraId="67F7ED08"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Under 65 at risk</w:t>
            </w:r>
          </w:p>
        </w:tc>
        <w:tc>
          <w:tcPr>
            <w:tcW w:w="960" w:type="dxa"/>
            <w:tcBorders>
              <w:top w:val="single" w:sz="8" w:space="0" w:color="auto"/>
              <w:left w:val="nil"/>
              <w:bottom w:val="nil"/>
              <w:right w:val="single" w:sz="8" w:space="0" w:color="auto"/>
            </w:tcBorders>
            <w:shd w:val="clear" w:color="000000" w:fill="F2F2F2"/>
            <w:noWrap/>
            <w:vAlign w:val="bottom"/>
            <w:hideMark/>
          </w:tcPr>
          <w:p w14:paraId="2D4D32A2"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 </w:t>
            </w:r>
          </w:p>
        </w:tc>
      </w:tr>
      <w:tr w:rsidR="001977EF" w:rsidRPr="00083705" w14:paraId="41071EBD" w14:textId="77777777" w:rsidTr="006B2D43">
        <w:trPr>
          <w:trHeight w:val="320"/>
        </w:trPr>
        <w:tc>
          <w:tcPr>
            <w:tcW w:w="1521" w:type="dxa"/>
            <w:tcBorders>
              <w:top w:val="nil"/>
              <w:left w:val="single" w:sz="8" w:space="0" w:color="auto"/>
              <w:bottom w:val="single" w:sz="8" w:space="0" w:color="auto"/>
              <w:right w:val="nil"/>
            </w:tcBorders>
            <w:shd w:val="clear" w:color="000000" w:fill="F2F2F2"/>
            <w:noWrap/>
            <w:vAlign w:val="bottom"/>
            <w:hideMark/>
          </w:tcPr>
          <w:p w14:paraId="58155808" w14:textId="77777777" w:rsidR="001977EF" w:rsidRPr="00083705" w:rsidRDefault="001977EF" w:rsidP="006B2D43">
            <w:pPr>
              <w:spacing w:after="0"/>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Cluster</w:t>
            </w:r>
          </w:p>
        </w:tc>
        <w:tc>
          <w:tcPr>
            <w:tcW w:w="1259" w:type="dxa"/>
            <w:tcBorders>
              <w:top w:val="nil"/>
              <w:left w:val="nil"/>
              <w:bottom w:val="single" w:sz="8" w:space="0" w:color="auto"/>
              <w:right w:val="nil"/>
            </w:tcBorders>
            <w:shd w:val="clear" w:color="000000" w:fill="F2F2F2"/>
            <w:noWrap/>
            <w:vAlign w:val="bottom"/>
            <w:hideMark/>
          </w:tcPr>
          <w:p w14:paraId="45DF1335"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 </w:t>
            </w:r>
          </w:p>
        </w:tc>
        <w:tc>
          <w:tcPr>
            <w:tcW w:w="960" w:type="dxa"/>
            <w:tcBorders>
              <w:top w:val="nil"/>
              <w:left w:val="nil"/>
              <w:bottom w:val="single" w:sz="8" w:space="0" w:color="auto"/>
              <w:right w:val="single" w:sz="8" w:space="0" w:color="auto"/>
            </w:tcBorders>
            <w:shd w:val="clear" w:color="000000" w:fill="F2F2F2"/>
            <w:noWrap/>
            <w:vAlign w:val="bottom"/>
            <w:hideMark/>
          </w:tcPr>
          <w:p w14:paraId="19F0AC1A" w14:textId="77777777" w:rsidR="001977EF" w:rsidRPr="00083705" w:rsidRDefault="001977EF" w:rsidP="006B2D43">
            <w:pPr>
              <w:spacing w:after="0"/>
              <w:jc w:val="center"/>
              <w:rPr>
                <w:rFonts w:ascii="Verdana" w:eastAsia="Times New Roman" w:hAnsi="Verdana" w:cs="Calibri"/>
                <w:b/>
                <w:bCs/>
                <w:color w:val="000000"/>
                <w:sz w:val="24"/>
                <w:szCs w:val="24"/>
                <w:lang w:eastAsia="en-GB"/>
              </w:rPr>
            </w:pPr>
            <w:r w:rsidRPr="00083705">
              <w:rPr>
                <w:rFonts w:ascii="Verdana" w:eastAsia="Times New Roman" w:hAnsi="Verdana" w:cs="Calibri"/>
                <w:b/>
                <w:bCs/>
                <w:color w:val="000000"/>
                <w:sz w:val="24"/>
                <w:szCs w:val="24"/>
                <w:lang w:eastAsia="en-GB"/>
              </w:rPr>
              <w:t>Uptake</w:t>
            </w:r>
          </w:p>
        </w:tc>
      </w:tr>
      <w:tr w:rsidR="001977EF" w:rsidRPr="00083705" w14:paraId="28558CB6"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49330277"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Afan</w:t>
            </w:r>
          </w:p>
        </w:tc>
        <w:tc>
          <w:tcPr>
            <w:tcW w:w="1259" w:type="dxa"/>
            <w:tcBorders>
              <w:top w:val="nil"/>
              <w:left w:val="nil"/>
              <w:bottom w:val="nil"/>
              <w:right w:val="nil"/>
            </w:tcBorders>
            <w:shd w:val="clear" w:color="auto" w:fill="auto"/>
            <w:noWrap/>
            <w:vAlign w:val="bottom"/>
            <w:hideMark/>
          </w:tcPr>
          <w:p w14:paraId="44F265D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223A0EC6"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33%</w:t>
            </w:r>
          </w:p>
        </w:tc>
      </w:tr>
      <w:tr w:rsidR="001977EF" w:rsidRPr="00083705" w14:paraId="1EBBA45D"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7503E03B"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30BE2787"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09FF35B2"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w:t>
            </w:r>
          </w:p>
        </w:tc>
      </w:tr>
      <w:tr w:rsidR="001977EF" w:rsidRPr="00083705" w14:paraId="68DC8607"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1F9D4E31"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Bay</w:t>
            </w:r>
          </w:p>
        </w:tc>
        <w:tc>
          <w:tcPr>
            <w:tcW w:w="1259" w:type="dxa"/>
            <w:tcBorders>
              <w:top w:val="nil"/>
              <w:left w:val="nil"/>
              <w:bottom w:val="nil"/>
              <w:right w:val="nil"/>
            </w:tcBorders>
            <w:shd w:val="clear" w:color="000000" w:fill="F2F2F2"/>
            <w:noWrap/>
            <w:vAlign w:val="bottom"/>
            <w:hideMark/>
          </w:tcPr>
          <w:p w14:paraId="70CD6F6F"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1438FA06"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36%</w:t>
            </w:r>
          </w:p>
        </w:tc>
      </w:tr>
      <w:tr w:rsidR="001977EF" w:rsidRPr="00083705" w14:paraId="11C3CC9D"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6F0EB02E"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2189B54C"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3AFCDD55"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w:t>
            </w:r>
          </w:p>
        </w:tc>
      </w:tr>
      <w:tr w:rsidR="001977EF" w:rsidRPr="00083705" w14:paraId="690A74D2"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1F8D687F"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City</w:t>
            </w:r>
          </w:p>
        </w:tc>
        <w:tc>
          <w:tcPr>
            <w:tcW w:w="1259" w:type="dxa"/>
            <w:tcBorders>
              <w:top w:val="nil"/>
              <w:left w:val="nil"/>
              <w:bottom w:val="nil"/>
              <w:right w:val="nil"/>
            </w:tcBorders>
            <w:shd w:val="clear" w:color="auto" w:fill="auto"/>
            <w:noWrap/>
            <w:vAlign w:val="bottom"/>
            <w:hideMark/>
          </w:tcPr>
          <w:p w14:paraId="0EEE923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716C767C"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37%</w:t>
            </w:r>
          </w:p>
        </w:tc>
      </w:tr>
      <w:tr w:rsidR="001977EF" w:rsidRPr="00083705" w14:paraId="296CD0B3"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51308D35"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4EA5F9D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506E101C"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w:t>
            </w:r>
          </w:p>
        </w:tc>
      </w:tr>
      <w:tr w:rsidR="001977EF" w:rsidRPr="00083705" w14:paraId="1FBA196E"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4E8F244A"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Cwmtawe</w:t>
            </w:r>
          </w:p>
        </w:tc>
        <w:tc>
          <w:tcPr>
            <w:tcW w:w="1259" w:type="dxa"/>
            <w:tcBorders>
              <w:top w:val="nil"/>
              <w:left w:val="nil"/>
              <w:bottom w:val="nil"/>
              <w:right w:val="nil"/>
            </w:tcBorders>
            <w:shd w:val="clear" w:color="000000" w:fill="F2F2F2"/>
            <w:noWrap/>
            <w:vAlign w:val="bottom"/>
            <w:hideMark/>
          </w:tcPr>
          <w:p w14:paraId="64700CB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39A5910B"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29%</w:t>
            </w:r>
          </w:p>
        </w:tc>
      </w:tr>
      <w:tr w:rsidR="001977EF" w:rsidRPr="00083705" w14:paraId="50631ED7"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416E60E9"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42889D37"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0E04274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31%</w:t>
            </w:r>
          </w:p>
        </w:tc>
      </w:tr>
      <w:tr w:rsidR="001977EF" w:rsidRPr="00083705" w14:paraId="525F095F"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05A2EE5C"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Llwchwr</w:t>
            </w:r>
          </w:p>
        </w:tc>
        <w:tc>
          <w:tcPr>
            <w:tcW w:w="1259" w:type="dxa"/>
            <w:tcBorders>
              <w:top w:val="nil"/>
              <w:left w:val="nil"/>
              <w:bottom w:val="nil"/>
              <w:right w:val="nil"/>
            </w:tcBorders>
            <w:shd w:val="clear" w:color="auto" w:fill="auto"/>
            <w:noWrap/>
            <w:vAlign w:val="bottom"/>
            <w:hideMark/>
          </w:tcPr>
          <w:p w14:paraId="569EE123"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282FF1E1"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39%</w:t>
            </w:r>
          </w:p>
        </w:tc>
      </w:tr>
      <w:tr w:rsidR="001977EF" w:rsidRPr="00083705" w14:paraId="4DFBBC1A"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22F76A0A"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08ABC406"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408BCB1C"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w:t>
            </w:r>
          </w:p>
        </w:tc>
      </w:tr>
      <w:tr w:rsidR="001977EF" w:rsidRPr="00083705" w14:paraId="1C6BD6B8"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4D6BFD7F"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Neath</w:t>
            </w:r>
          </w:p>
        </w:tc>
        <w:tc>
          <w:tcPr>
            <w:tcW w:w="1259" w:type="dxa"/>
            <w:tcBorders>
              <w:top w:val="nil"/>
              <w:left w:val="nil"/>
              <w:bottom w:val="nil"/>
              <w:right w:val="nil"/>
            </w:tcBorders>
            <w:shd w:val="clear" w:color="000000" w:fill="F2F2F2"/>
            <w:noWrap/>
            <w:vAlign w:val="bottom"/>
            <w:hideMark/>
          </w:tcPr>
          <w:p w14:paraId="42E8D8F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79D9324E"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36%</w:t>
            </w:r>
          </w:p>
        </w:tc>
      </w:tr>
      <w:tr w:rsidR="001977EF" w:rsidRPr="00083705" w14:paraId="6D8A1748"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70191866"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000000" w:fill="F2F2F2"/>
            <w:noWrap/>
            <w:vAlign w:val="bottom"/>
            <w:hideMark/>
          </w:tcPr>
          <w:p w14:paraId="0DC9ECCE"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000000" w:fill="F2F2F2"/>
            <w:noWrap/>
            <w:vAlign w:val="bottom"/>
            <w:hideMark/>
          </w:tcPr>
          <w:p w14:paraId="168E561B"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31%</w:t>
            </w:r>
          </w:p>
        </w:tc>
      </w:tr>
      <w:tr w:rsidR="001977EF" w:rsidRPr="00083705" w14:paraId="22CECD3B"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65AC1E50"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Penderi</w:t>
            </w:r>
          </w:p>
        </w:tc>
        <w:tc>
          <w:tcPr>
            <w:tcW w:w="1259" w:type="dxa"/>
            <w:tcBorders>
              <w:top w:val="nil"/>
              <w:left w:val="nil"/>
              <w:bottom w:val="nil"/>
              <w:right w:val="nil"/>
            </w:tcBorders>
            <w:shd w:val="clear" w:color="auto" w:fill="auto"/>
            <w:noWrap/>
            <w:vAlign w:val="bottom"/>
            <w:hideMark/>
          </w:tcPr>
          <w:p w14:paraId="1713D85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auto" w:fill="auto"/>
            <w:noWrap/>
            <w:vAlign w:val="bottom"/>
            <w:hideMark/>
          </w:tcPr>
          <w:p w14:paraId="6F5ECC41"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36%</w:t>
            </w:r>
          </w:p>
        </w:tc>
      </w:tr>
      <w:tr w:rsidR="001977EF" w:rsidRPr="00083705" w14:paraId="293BF348" w14:textId="77777777" w:rsidTr="006B2D43">
        <w:trPr>
          <w:trHeight w:val="310"/>
        </w:trPr>
        <w:tc>
          <w:tcPr>
            <w:tcW w:w="1521" w:type="dxa"/>
            <w:tcBorders>
              <w:top w:val="nil"/>
              <w:left w:val="single" w:sz="8" w:space="0" w:color="auto"/>
              <w:bottom w:val="nil"/>
              <w:right w:val="nil"/>
            </w:tcBorders>
            <w:shd w:val="clear" w:color="auto" w:fill="auto"/>
            <w:noWrap/>
            <w:vAlign w:val="bottom"/>
            <w:hideMark/>
          </w:tcPr>
          <w:p w14:paraId="72A40E66"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nil"/>
              <w:right w:val="nil"/>
            </w:tcBorders>
            <w:shd w:val="clear" w:color="auto" w:fill="auto"/>
            <w:noWrap/>
            <w:vAlign w:val="bottom"/>
            <w:hideMark/>
          </w:tcPr>
          <w:p w14:paraId="1AC94137"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nil"/>
              <w:right w:val="single" w:sz="8" w:space="0" w:color="auto"/>
            </w:tcBorders>
            <w:shd w:val="clear" w:color="auto" w:fill="auto"/>
            <w:noWrap/>
            <w:vAlign w:val="bottom"/>
            <w:hideMark/>
          </w:tcPr>
          <w:p w14:paraId="35D78CA9"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w:t>
            </w:r>
          </w:p>
        </w:tc>
      </w:tr>
      <w:tr w:rsidR="001977EF" w:rsidRPr="00083705" w14:paraId="41787D91" w14:textId="77777777" w:rsidTr="006B2D43">
        <w:trPr>
          <w:trHeight w:val="310"/>
        </w:trPr>
        <w:tc>
          <w:tcPr>
            <w:tcW w:w="1521" w:type="dxa"/>
            <w:tcBorders>
              <w:top w:val="nil"/>
              <w:left w:val="single" w:sz="8" w:space="0" w:color="auto"/>
              <w:bottom w:val="nil"/>
              <w:right w:val="nil"/>
            </w:tcBorders>
            <w:shd w:val="clear" w:color="000000" w:fill="F2F2F2"/>
            <w:noWrap/>
            <w:vAlign w:val="bottom"/>
            <w:hideMark/>
          </w:tcPr>
          <w:p w14:paraId="7BF0DA5C"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U Valleys</w:t>
            </w:r>
          </w:p>
        </w:tc>
        <w:tc>
          <w:tcPr>
            <w:tcW w:w="1259" w:type="dxa"/>
            <w:tcBorders>
              <w:top w:val="nil"/>
              <w:left w:val="nil"/>
              <w:bottom w:val="nil"/>
              <w:right w:val="nil"/>
            </w:tcBorders>
            <w:shd w:val="clear" w:color="000000" w:fill="F2F2F2"/>
            <w:noWrap/>
            <w:vAlign w:val="bottom"/>
            <w:hideMark/>
          </w:tcPr>
          <w:p w14:paraId="61F5E704"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2023-24</w:t>
            </w:r>
          </w:p>
        </w:tc>
        <w:tc>
          <w:tcPr>
            <w:tcW w:w="960" w:type="dxa"/>
            <w:tcBorders>
              <w:top w:val="nil"/>
              <w:left w:val="nil"/>
              <w:bottom w:val="nil"/>
              <w:right w:val="single" w:sz="8" w:space="0" w:color="auto"/>
            </w:tcBorders>
            <w:shd w:val="clear" w:color="000000" w:fill="F2F2F2"/>
            <w:noWrap/>
            <w:vAlign w:val="bottom"/>
            <w:hideMark/>
          </w:tcPr>
          <w:p w14:paraId="31AC7E5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38%</w:t>
            </w:r>
          </w:p>
        </w:tc>
      </w:tr>
      <w:tr w:rsidR="001977EF" w:rsidRPr="00083705" w14:paraId="1C203066" w14:textId="77777777" w:rsidTr="006B2D43">
        <w:trPr>
          <w:trHeight w:val="320"/>
        </w:trPr>
        <w:tc>
          <w:tcPr>
            <w:tcW w:w="1521" w:type="dxa"/>
            <w:tcBorders>
              <w:top w:val="nil"/>
              <w:left w:val="single" w:sz="8" w:space="0" w:color="auto"/>
              <w:bottom w:val="single" w:sz="8" w:space="0" w:color="auto"/>
              <w:right w:val="nil"/>
            </w:tcBorders>
            <w:shd w:val="clear" w:color="000000" w:fill="F2F2F2"/>
            <w:noWrap/>
            <w:vAlign w:val="bottom"/>
            <w:hideMark/>
          </w:tcPr>
          <w:p w14:paraId="4675FDF7" w14:textId="77777777" w:rsidR="001977EF" w:rsidRPr="00083705" w:rsidRDefault="001977EF" w:rsidP="006B2D43">
            <w:pPr>
              <w:spacing w:after="0"/>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 </w:t>
            </w:r>
          </w:p>
        </w:tc>
        <w:tc>
          <w:tcPr>
            <w:tcW w:w="1259" w:type="dxa"/>
            <w:tcBorders>
              <w:top w:val="nil"/>
              <w:left w:val="nil"/>
              <w:bottom w:val="single" w:sz="8" w:space="0" w:color="auto"/>
              <w:right w:val="nil"/>
            </w:tcBorders>
            <w:shd w:val="clear" w:color="000000" w:fill="F2F2F2"/>
            <w:noWrap/>
            <w:vAlign w:val="bottom"/>
            <w:hideMark/>
          </w:tcPr>
          <w:p w14:paraId="379CC1DA"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2024-25</w:t>
            </w:r>
          </w:p>
        </w:tc>
        <w:tc>
          <w:tcPr>
            <w:tcW w:w="960" w:type="dxa"/>
            <w:tcBorders>
              <w:top w:val="nil"/>
              <w:left w:val="nil"/>
              <w:bottom w:val="single" w:sz="8" w:space="0" w:color="auto"/>
              <w:right w:val="single" w:sz="8" w:space="0" w:color="auto"/>
            </w:tcBorders>
            <w:shd w:val="clear" w:color="000000" w:fill="F2F2F2"/>
            <w:noWrap/>
            <w:vAlign w:val="bottom"/>
            <w:hideMark/>
          </w:tcPr>
          <w:p w14:paraId="13C588DD" w14:textId="77777777" w:rsidR="001977EF" w:rsidRPr="00083705" w:rsidRDefault="001977EF" w:rsidP="006B2D43">
            <w:pPr>
              <w:spacing w:after="0"/>
              <w:jc w:val="center"/>
              <w:rPr>
                <w:rFonts w:ascii="Verdana" w:eastAsia="Times New Roman" w:hAnsi="Verdana" w:cs="Calibri"/>
                <w:color w:val="000000"/>
                <w:sz w:val="24"/>
                <w:szCs w:val="24"/>
                <w:lang w:eastAsia="en-GB"/>
              </w:rPr>
            </w:pPr>
            <w:r w:rsidRPr="00083705">
              <w:rPr>
                <w:rFonts w:ascii="Verdana" w:eastAsia="Times New Roman" w:hAnsi="Verdana" w:cs="Calibri"/>
                <w:color w:val="000000"/>
                <w:sz w:val="24"/>
                <w:szCs w:val="24"/>
                <w:lang w:eastAsia="en-GB"/>
              </w:rPr>
              <w:t>34%</w:t>
            </w:r>
          </w:p>
        </w:tc>
      </w:tr>
    </w:tbl>
    <w:p w14:paraId="3A91E48E" w14:textId="671448FB" w:rsidR="001977EF" w:rsidRPr="00083705" w:rsidRDefault="001977EF" w:rsidP="001977EF">
      <w:pPr>
        <w:pStyle w:val="NoSpacing"/>
        <w:rPr>
          <w:rFonts w:ascii="Verdana" w:hAnsi="Verdana"/>
          <w:b/>
          <w:sz w:val="24"/>
          <w:szCs w:val="24"/>
        </w:rPr>
      </w:pPr>
      <w:r w:rsidRPr="00083705">
        <w:rPr>
          <w:rFonts w:ascii="Verdana" w:hAnsi="Verdana"/>
          <w:noProof/>
          <w:sz w:val="24"/>
          <w:szCs w:val="24"/>
          <w:lang w:eastAsia="en-GB"/>
        </w:rPr>
        <w:lastRenderedPageBreak/>
        <w:drawing>
          <wp:inline distT="0" distB="0" distL="0" distR="0" wp14:anchorId="1040A804" wp14:editId="48AEE169">
            <wp:extent cx="5731510" cy="3958506"/>
            <wp:effectExtent l="0" t="0" r="254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3958506"/>
                    </a:xfrm>
                    <a:prstGeom prst="rect">
                      <a:avLst/>
                    </a:prstGeom>
                  </pic:spPr>
                </pic:pic>
              </a:graphicData>
            </a:graphic>
          </wp:inline>
        </w:drawing>
      </w:r>
    </w:p>
    <w:p w14:paraId="18AE8043" w14:textId="77777777" w:rsidR="00BD4C12" w:rsidRPr="00083705" w:rsidRDefault="00BD4C12">
      <w:pPr>
        <w:rPr>
          <w:rFonts w:ascii="Verdana" w:hAnsi="Verdana"/>
          <w:sz w:val="24"/>
          <w:szCs w:val="24"/>
        </w:rPr>
      </w:pPr>
    </w:p>
    <w:sectPr w:rsidR="00BD4C12" w:rsidRPr="00083705" w:rsidSect="002C66E0">
      <w:headerReference w:type="default" r:id="rId20"/>
      <w:footerReference w:type="default" r:id="rId21"/>
      <w:pgSz w:w="11906" w:h="16838"/>
      <w:pgMar w:top="1701" w:right="1440"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28827A" w14:textId="77777777" w:rsidR="00855A1E" w:rsidRDefault="00855A1E" w:rsidP="00C107F2">
      <w:pPr>
        <w:spacing w:after="0" w:line="240" w:lineRule="auto"/>
      </w:pPr>
      <w:r>
        <w:separator/>
      </w:r>
    </w:p>
  </w:endnote>
  <w:endnote w:type="continuationSeparator" w:id="0">
    <w:p w14:paraId="588045CD" w14:textId="77777777" w:rsidR="00855A1E" w:rsidRDefault="00855A1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2046743"/>
      <w:docPartObj>
        <w:docPartGallery w:val="Page Numbers (Bottom of Page)"/>
        <w:docPartUnique/>
      </w:docPartObj>
    </w:sdtPr>
    <w:sdtEndPr>
      <w:rPr>
        <w:noProof/>
      </w:rPr>
    </w:sdtEndPr>
    <w:sdtContent>
      <w:p w14:paraId="70102F7A" w14:textId="77777777" w:rsidR="00A5735F" w:rsidRDefault="00A5735F">
        <w:pPr>
          <w:pStyle w:val="Footer"/>
          <w:jc w:val="right"/>
          <w:rPr>
            <w:noProof/>
          </w:rPr>
        </w:pPr>
        <w:r w:rsidRPr="00767E3E">
          <w:rPr>
            <w:noProof/>
            <w:lang w:eastAsia="en-GB"/>
          </w:rPr>
          <w:drawing>
            <wp:anchor distT="0" distB="0" distL="114300" distR="114300" simplePos="0" relativeHeight="251665408" behindDoc="1" locked="0" layoutInCell="1" allowOverlap="1" wp14:anchorId="7B6673E6" wp14:editId="73E427D8">
              <wp:simplePos x="0" y="0"/>
              <wp:positionH relativeFrom="margin">
                <wp:posOffset>-55789</wp:posOffset>
              </wp:positionH>
              <wp:positionV relativeFrom="paragraph">
                <wp:posOffset>74295</wp:posOffset>
              </wp:positionV>
              <wp:extent cx="1933575" cy="590550"/>
              <wp:effectExtent l="0" t="0" r="9525" b="0"/>
              <wp:wrapTight wrapText="bothSides">
                <wp:wrapPolygon edited="0">
                  <wp:start x="0" y="0"/>
                  <wp:lineTo x="0" y="20903"/>
                  <wp:lineTo x="21494" y="20903"/>
                  <wp:lineTo x="21494" y="0"/>
                  <wp:lineTo x="0" y="0"/>
                </wp:wrapPolygon>
              </wp:wrapTight>
              <wp:docPr id="1273023882" name="Picture 127302388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D4C12">
          <w:fldChar w:fldCharType="begin"/>
        </w:r>
        <w:r w:rsidR="00BD4C12">
          <w:instrText xml:space="preserve"> PAGE   \* MERGEFORMAT </w:instrText>
        </w:r>
        <w:r w:rsidR="00BD4C12">
          <w:fldChar w:fldCharType="separate"/>
        </w:r>
        <w:r w:rsidR="00BD4C12">
          <w:rPr>
            <w:noProof/>
          </w:rPr>
          <w:t>2</w:t>
        </w:r>
        <w:r w:rsidR="00BD4C12">
          <w:rPr>
            <w:noProof/>
          </w:rPr>
          <w:fldChar w:fldCharType="end"/>
        </w:r>
      </w:p>
      <w:p w14:paraId="18047F36" w14:textId="513796CD" w:rsidR="00BD4C12" w:rsidRDefault="00A5735F">
        <w:pPr>
          <w:pStyle w:val="Footer"/>
          <w:jc w:val="right"/>
          <w:rPr>
            <w:noProof/>
          </w:rPr>
        </w:pPr>
        <w:r>
          <w:rPr>
            <w:noProof/>
          </w:rPr>
          <w:t>Population Health Committee – 5 June 2025</w:t>
        </w:r>
      </w:p>
    </w:sdtContent>
  </w:sdt>
  <w:p w14:paraId="047C0D79" w14:textId="77777777" w:rsidR="00083705" w:rsidRDefault="00083705">
    <w:pPr>
      <w:pStyle w:val="Footer"/>
      <w:jc w:val="right"/>
      <w:rPr>
        <w:noProof/>
      </w:rPr>
    </w:pPr>
  </w:p>
  <w:p w14:paraId="04FA2032" w14:textId="77777777" w:rsidR="00083705" w:rsidRDefault="00083705">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3E7DE06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045534331" name="Picture 104553433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sdt>
    <w:sdtPr>
      <w:id w:val="388226901"/>
      <w:docPartObj>
        <w:docPartGallery w:val="Page Numbers (Bottom of Page)"/>
        <w:docPartUnique/>
      </w:docPartObj>
    </w:sdtPr>
    <w:sdtEndPr>
      <w:rPr>
        <w:noProof/>
      </w:rPr>
    </w:sdtEndPr>
    <w:sdtContent>
      <w:p w14:paraId="1C8FD69B" w14:textId="77777777" w:rsidR="002C66E0" w:rsidRDefault="002C66E0" w:rsidP="002C66E0">
        <w:pPr>
          <w:pStyle w:val="Footer"/>
          <w:jc w:val="right"/>
          <w:rPr>
            <w:noProof/>
          </w:rPr>
        </w:pPr>
        <w:r w:rsidRPr="00767E3E">
          <w:rPr>
            <w:noProof/>
            <w:lang w:eastAsia="en-GB"/>
          </w:rPr>
          <w:drawing>
            <wp:anchor distT="0" distB="0" distL="114300" distR="114300" simplePos="0" relativeHeight="251669504" behindDoc="1" locked="0" layoutInCell="1" allowOverlap="1" wp14:anchorId="17D9A716" wp14:editId="13EBB45D">
              <wp:simplePos x="0" y="0"/>
              <wp:positionH relativeFrom="margin">
                <wp:posOffset>-55789</wp:posOffset>
              </wp:positionH>
              <wp:positionV relativeFrom="paragraph">
                <wp:posOffset>74295</wp:posOffset>
              </wp:positionV>
              <wp:extent cx="1933575" cy="590550"/>
              <wp:effectExtent l="0" t="0" r="9525" b="0"/>
              <wp:wrapTight wrapText="bothSides">
                <wp:wrapPolygon edited="0">
                  <wp:start x="0" y="0"/>
                  <wp:lineTo x="0" y="20903"/>
                  <wp:lineTo x="21494" y="20903"/>
                  <wp:lineTo x="21494" y="0"/>
                  <wp:lineTo x="0" y="0"/>
                </wp:wrapPolygon>
              </wp:wrapTight>
              <wp:docPr id="1717630245" name="Picture 171763024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t>20</w:t>
        </w:r>
        <w:r>
          <w:rPr>
            <w:noProof/>
          </w:rPr>
          <w:fldChar w:fldCharType="end"/>
        </w:r>
      </w:p>
      <w:p w14:paraId="5528C350" w14:textId="77777777" w:rsidR="002C66E0" w:rsidRDefault="002C66E0" w:rsidP="002C66E0">
        <w:pPr>
          <w:pStyle w:val="Footer"/>
          <w:jc w:val="right"/>
          <w:rPr>
            <w:noProof/>
          </w:rPr>
        </w:pPr>
        <w:r>
          <w:rPr>
            <w:noProof/>
          </w:rPr>
          <w:t>Population Health Committee – 5 June 2025</w:t>
        </w:r>
      </w:p>
    </w:sdtContent>
  </w:sdt>
  <w:p w14:paraId="6D2904A9" w14:textId="289F8A84" w:rsidR="003324CB" w:rsidRDefault="003324CB" w:rsidP="002C66E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B2FF3C" w14:textId="77777777" w:rsidR="00855A1E" w:rsidRDefault="00855A1E" w:rsidP="00C107F2">
      <w:pPr>
        <w:spacing w:after="0" w:line="240" w:lineRule="auto"/>
      </w:pPr>
      <w:r>
        <w:separator/>
      </w:r>
    </w:p>
  </w:footnote>
  <w:footnote w:type="continuationSeparator" w:id="0">
    <w:p w14:paraId="790307FA" w14:textId="77777777" w:rsidR="00855A1E" w:rsidRDefault="00855A1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9944F" w14:textId="6DCB8D44" w:rsidR="001977EF" w:rsidRDefault="001977EF">
    <w:pPr>
      <w:pStyle w:val="Header"/>
    </w:pPr>
    <w:r>
      <w:rPr>
        <w:noProof/>
        <w:lang w:eastAsia="en-GB"/>
      </w:rPr>
      <w:drawing>
        <wp:anchor distT="0" distB="0" distL="114300" distR="114300" simplePos="0" relativeHeight="251663360" behindDoc="1" locked="0" layoutInCell="1" allowOverlap="1" wp14:anchorId="34F74CAF" wp14:editId="46C1439B">
          <wp:simplePos x="0" y="0"/>
          <wp:positionH relativeFrom="margin">
            <wp:align>center</wp:align>
          </wp:positionH>
          <wp:positionV relativeFrom="paragraph">
            <wp:posOffset>-286385</wp:posOffset>
          </wp:positionV>
          <wp:extent cx="3124200" cy="751840"/>
          <wp:effectExtent l="0" t="0" r="0" b="0"/>
          <wp:wrapTight wrapText="bothSides">
            <wp:wrapPolygon edited="0">
              <wp:start x="0" y="0"/>
              <wp:lineTo x="0" y="20797"/>
              <wp:lineTo x="21468" y="20797"/>
              <wp:lineTo x="21468" y="0"/>
              <wp:lineTo x="0" y="0"/>
            </wp:wrapPolygon>
          </wp:wrapTight>
          <wp:docPr id="1152687318" name="Picture 11526873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E73BA" w14:textId="79B61065" w:rsidR="00083705" w:rsidRDefault="00083705">
    <w:pPr>
      <w:pStyle w:val="Header"/>
    </w:pPr>
    <w:r>
      <w:rPr>
        <w:noProof/>
        <w:lang w:eastAsia="en-GB"/>
      </w:rPr>
      <w:drawing>
        <wp:anchor distT="0" distB="0" distL="114300" distR="114300" simplePos="0" relativeHeight="251667456" behindDoc="1" locked="0" layoutInCell="1" allowOverlap="1" wp14:anchorId="6F897343" wp14:editId="26DD6908">
          <wp:simplePos x="0" y="0"/>
          <wp:positionH relativeFrom="margin">
            <wp:posOffset>1879055</wp:posOffset>
          </wp:positionH>
          <wp:positionV relativeFrom="paragraph">
            <wp:posOffset>-90987</wp:posOffset>
          </wp:positionV>
          <wp:extent cx="3124200" cy="751840"/>
          <wp:effectExtent l="0" t="0" r="0" b="0"/>
          <wp:wrapTight wrapText="bothSides">
            <wp:wrapPolygon edited="0">
              <wp:start x="0" y="0"/>
              <wp:lineTo x="0" y="20797"/>
              <wp:lineTo x="21468" y="20797"/>
              <wp:lineTo x="21468" y="0"/>
              <wp:lineTo x="0" y="0"/>
            </wp:wrapPolygon>
          </wp:wrapTight>
          <wp:docPr id="634951590" name="Picture 63495159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6469D3" w14:textId="3D8A323D" w:rsidR="00BD4C12" w:rsidRDefault="00BD4C1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1537008" name="Picture 18153700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multilevel"/>
    <w:tmpl w:val="15827666"/>
    <w:lvl w:ilvl="0">
      <w:start w:val="1"/>
      <w:numFmt w:val="decimal"/>
      <w:lvlText w:val="%1."/>
      <w:lvlJc w:val="left"/>
      <w:pPr>
        <w:ind w:left="720" w:hanging="360"/>
      </w:pPr>
    </w:lvl>
    <w:lvl w:ilvl="1">
      <w:start w:val="6"/>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16C06972"/>
    <w:multiLevelType w:val="hybridMultilevel"/>
    <w:tmpl w:val="2020D766"/>
    <w:lvl w:ilvl="0" w:tplc="22A0DD14">
      <w:start w:val="1"/>
      <w:numFmt w:val="decimal"/>
      <w:lvlText w:val="%1."/>
      <w:lvlJc w:val="left"/>
      <w:pPr>
        <w:ind w:left="720" w:hanging="360"/>
      </w:pPr>
      <w:rPr>
        <w:rFonts w:ascii="Arial" w:eastAsia="Calibri" w:hAnsi="Arial" w:cs="Arial"/>
      </w:rPr>
    </w:lvl>
    <w:lvl w:ilvl="1" w:tplc="08F4D96A">
      <w:numFmt w:val="bullet"/>
      <w:lvlText w:val="•"/>
      <w:lvlJc w:val="left"/>
      <w:pPr>
        <w:ind w:left="1440" w:hanging="360"/>
      </w:pPr>
      <w:rPr>
        <w:rFonts w:ascii="Arial" w:eastAsiaTheme="minorEastAsia"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A483E73"/>
    <w:multiLevelType w:val="hybridMultilevel"/>
    <w:tmpl w:val="7296831A"/>
    <w:lvl w:ilvl="0" w:tplc="3FC00F7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CB6703"/>
    <w:multiLevelType w:val="hybridMultilevel"/>
    <w:tmpl w:val="3564C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651C4E"/>
    <w:multiLevelType w:val="hybridMultilevel"/>
    <w:tmpl w:val="28FE10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8FB4D5F"/>
    <w:multiLevelType w:val="hybridMultilevel"/>
    <w:tmpl w:val="C3925280"/>
    <w:lvl w:ilvl="0" w:tplc="BA3C46F6">
      <w:start w:val="15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5CC001AA"/>
    <w:multiLevelType w:val="hybridMultilevel"/>
    <w:tmpl w:val="1A4C4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312C66"/>
    <w:multiLevelType w:val="hybridMultilevel"/>
    <w:tmpl w:val="1422C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7CD410C"/>
    <w:multiLevelType w:val="hybridMultilevel"/>
    <w:tmpl w:val="5DE6B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4A4B94"/>
    <w:multiLevelType w:val="hybridMultilevel"/>
    <w:tmpl w:val="3DAEC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7933F3"/>
    <w:multiLevelType w:val="hybridMultilevel"/>
    <w:tmpl w:val="54D03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96106F1A"/>
    <w:lvl w:ilvl="0" w:tplc="951CCBD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06346068">
    <w:abstractNumId w:val="0"/>
  </w:num>
  <w:num w:numId="2" w16cid:durableId="1609699771">
    <w:abstractNumId w:val="7"/>
  </w:num>
  <w:num w:numId="3" w16cid:durableId="495191579">
    <w:abstractNumId w:val="6"/>
  </w:num>
  <w:num w:numId="4" w16cid:durableId="666984627">
    <w:abstractNumId w:val="5"/>
  </w:num>
  <w:num w:numId="5" w16cid:durableId="1448508444">
    <w:abstractNumId w:val="2"/>
  </w:num>
  <w:num w:numId="6" w16cid:durableId="1926693738">
    <w:abstractNumId w:val="18"/>
  </w:num>
  <w:num w:numId="7" w16cid:durableId="1444692140">
    <w:abstractNumId w:val="19"/>
  </w:num>
  <w:num w:numId="8" w16cid:durableId="585193972">
    <w:abstractNumId w:val="12"/>
  </w:num>
  <w:num w:numId="9" w16cid:durableId="1370716276">
    <w:abstractNumId w:val="13"/>
  </w:num>
  <w:num w:numId="10" w16cid:durableId="985622773">
    <w:abstractNumId w:val="15"/>
  </w:num>
  <w:num w:numId="11" w16cid:durableId="2105759350">
    <w:abstractNumId w:val="17"/>
  </w:num>
  <w:num w:numId="12" w16cid:durableId="1801917575">
    <w:abstractNumId w:val="1"/>
  </w:num>
  <w:num w:numId="13" w16cid:durableId="748042147">
    <w:abstractNumId w:val="10"/>
  </w:num>
  <w:num w:numId="14" w16cid:durableId="351225286">
    <w:abstractNumId w:val="14"/>
  </w:num>
  <w:num w:numId="15" w16cid:durableId="1157459647">
    <w:abstractNumId w:val="11"/>
  </w:num>
  <w:num w:numId="16" w16cid:durableId="872964567">
    <w:abstractNumId w:val="4"/>
  </w:num>
  <w:num w:numId="17" w16cid:durableId="1200121299">
    <w:abstractNumId w:val="8"/>
  </w:num>
  <w:num w:numId="18" w16cid:durableId="793862997">
    <w:abstractNumId w:val="9"/>
  </w:num>
  <w:num w:numId="19" w16cid:durableId="79638609">
    <w:abstractNumId w:val="3"/>
  </w:num>
  <w:num w:numId="20" w16cid:durableId="118898459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8"/>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67CD"/>
    <w:rsid w:val="00083705"/>
    <w:rsid w:val="00083FC0"/>
    <w:rsid w:val="000F361B"/>
    <w:rsid w:val="00121D07"/>
    <w:rsid w:val="00133EA1"/>
    <w:rsid w:val="0016096B"/>
    <w:rsid w:val="001977EF"/>
    <w:rsid w:val="001B7D3D"/>
    <w:rsid w:val="001F1FD0"/>
    <w:rsid w:val="0020539A"/>
    <w:rsid w:val="00233330"/>
    <w:rsid w:val="00241662"/>
    <w:rsid w:val="002518B7"/>
    <w:rsid w:val="002950FF"/>
    <w:rsid w:val="00296CD9"/>
    <w:rsid w:val="002B7C9A"/>
    <w:rsid w:val="002C3DD6"/>
    <w:rsid w:val="002C66E0"/>
    <w:rsid w:val="002F5190"/>
    <w:rsid w:val="00322DCC"/>
    <w:rsid w:val="0032747D"/>
    <w:rsid w:val="003324CB"/>
    <w:rsid w:val="0035745E"/>
    <w:rsid w:val="003C0FF8"/>
    <w:rsid w:val="003F795B"/>
    <w:rsid w:val="00414894"/>
    <w:rsid w:val="00461835"/>
    <w:rsid w:val="00463288"/>
    <w:rsid w:val="00474720"/>
    <w:rsid w:val="0052297E"/>
    <w:rsid w:val="00564376"/>
    <w:rsid w:val="00574BCF"/>
    <w:rsid w:val="00585277"/>
    <w:rsid w:val="00595B5F"/>
    <w:rsid w:val="005A2802"/>
    <w:rsid w:val="005A4CC9"/>
    <w:rsid w:val="005C1B65"/>
    <w:rsid w:val="005D1652"/>
    <w:rsid w:val="005D2C4A"/>
    <w:rsid w:val="005D3DF1"/>
    <w:rsid w:val="006201D0"/>
    <w:rsid w:val="00653AEC"/>
    <w:rsid w:val="00655190"/>
    <w:rsid w:val="00662218"/>
    <w:rsid w:val="00675D21"/>
    <w:rsid w:val="00685AE0"/>
    <w:rsid w:val="006C2001"/>
    <w:rsid w:val="006D1998"/>
    <w:rsid w:val="006E05FF"/>
    <w:rsid w:val="00701B95"/>
    <w:rsid w:val="00703D77"/>
    <w:rsid w:val="00711095"/>
    <w:rsid w:val="00716A0E"/>
    <w:rsid w:val="0072604C"/>
    <w:rsid w:val="00762BBE"/>
    <w:rsid w:val="00767E3E"/>
    <w:rsid w:val="00820546"/>
    <w:rsid w:val="00844BAF"/>
    <w:rsid w:val="00855A1E"/>
    <w:rsid w:val="00865130"/>
    <w:rsid w:val="00867335"/>
    <w:rsid w:val="00891AC3"/>
    <w:rsid w:val="008C15D9"/>
    <w:rsid w:val="008D0747"/>
    <w:rsid w:val="008D1C67"/>
    <w:rsid w:val="009112DC"/>
    <w:rsid w:val="00982688"/>
    <w:rsid w:val="00996159"/>
    <w:rsid w:val="009E7AF7"/>
    <w:rsid w:val="009F365E"/>
    <w:rsid w:val="00A1118E"/>
    <w:rsid w:val="00A122BB"/>
    <w:rsid w:val="00A26646"/>
    <w:rsid w:val="00A30ED6"/>
    <w:rsid w:val="00A5735F"/>
    <w:rsid w:val="00A74795"/>
    <w:rsid w:val="00AD064D"/>
    <w:rsid w:val="00AD71BC"/>
    <w:rsid w:val="00B0325D"/>
    <w:rsid w:val="00B0479E"/>
    <w:rsid w:val="00B0564E"/>
    <w:rsid w:val="00B17EDA"/>
    <w:rsid w:val="00B224D7"/>
    <w:rsid w:val="00B35ECC"/>
    <w:rsid w:val="00BA2507"/>
    <w:rsid w:val="00BC241D"/>
    <w:rsid w:val="00BD4C12"/>
    <w:rsid w:val="00BE4CD6"/>
    <w:rsid w:val="00BE5963"/>
    <w:rsid w:val="00C107F2"/>
    <w:rsid w:val="00C2143D"/>
    <w:rsid w:val="00C3204A"/>
    <w:rsid w:val="00C33A04"/>
    <w:rsid w:val="00C56152"/>
    <w:rsid w:val="00C61658"/>
    <w:rsid w:val="00C95B3C"/>
    <w:rsid w:val="00CA6B7F"/>
    <w:rsid w:val="00CA6D65"/>
    <w:rsid w:val="00CB1C7D"/>
    <w:rsid w:val="00CD7AA5"/>
    <w:rsid w:val="00D471FB"/>
    <w:rsid w:val="00DA76AD"/>
    <w:rsid w:val="00DB7DAE"/>
    <w:rsid w:val="00DE7158"/>
    <w:rsid w:val="00E242E5"/>
    <w:rsid w:val="00E32FB4"/>
    <w:rsid w:val="00E36768"/>
    <w:rsid w:val="00E82F21"/>
    <w:rsid w:val="00EA1502"/>
    <w:rsid w:val="00EF31AD"/>
    <w:rsid w:val="00F06D6F"/>
    <w:rsid w:val="00F11CD2"/>
    <w:rsid w:val="00F352E2"/>
    <w:rsid w:val="00F5082D"/>
    <w:rsid w:val="00F531BD"/>
    <w:rsid w:val="00F5324A"/>
    <w:rsid w:val="00F55629"/>
    <w:rsid w:val="00F57042"/>
    <w:rsid w:val="00F57C68"/>
    <w:rsid w:val="00F75EBF"/>
    <w:rsid w:val="00FA0CA9"/>
    <w:rsid w:val="00FA4187"/>
    <w:rsid w:val="00FB1C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link w:val="NoSpacingChar"/>
    <w:uiPriority w:val="1"/>
    <w:qFormat/>
    <w:rsid w:val="00867335"/>
    <w:pPr>
      <w:spacing w:after="120" w:line="240" w:lineRule="auto"/>
    </w:pPr>
    <w:rPr>
      <w:rFonts w:ascii="Calibri" w:eastAsia="Calibri" w:hAnsi="Calibri" w:cs="Times New Roman"/>
    </w:rPr>
  </w:style>
  <w:style w:type="character" w:customStyle="1" w:styleId="NoSpacingChar">
    <w:name w:val="No Spacing Char"/>
    <w:link w:val="NoSpacing"/>
    <w:uiPriority w:val="1"/>
    <w:rsid w:val="00867335"/>
    <w:rPr>
      <w:rFonts w:ascii="Calibri" w:eastAsia="Calibri" w:hAnsi="Calibri" w:cs="Times New Roman"/>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8673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227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image" Target="cid:image003.png@01DBA494.C0BE1780"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24</Pages>
  <Words>4629</Words>
  <Characters>25175</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cp:revision>
  <dcterms:created xsi:type="dcterms:W3CDTF">2025-05-21T07:16:00Z</dcterms:created>
  <dcterms:modified xsi:type="dcterms:W3CDTF">2025-05-28T10:45:00Z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