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3402"/>
        <w:gridCol w:w="1801"/>
        <w:gridCol w:w="841"/>
      </w:tblGrid>
      <w:tr w:rsidR="00083FC0" w:rsidRPr="003E68DB" w14:paraId="6D2903E2" w14:textId="77777777" w:rsidTr="00F52867">
        <w:tc>
          <w:tcPr>
            <w:tcW w:w="2977" w:type="dxa"/>
            <w:shd w:val="clear" w:color="auto" w:fill="163E64"/>
          </w:tcPr>
          <w:p w14:paraId="6D2903DE" w14:textId="77777777" w:rsidR="00F5082D" w:rsidRPr="003E68DB" w:rsidRDefault="00F5082D" w:rsidP="00FA0CA9">
            <w:pPr>
              <w:rPr>
                <w:b/>
              </w:rPr>
            </w:pPr>
            <w:r w:rsidRPr="003E68DB">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22T00:00:00Z">
              <w:dateFormat w:val="dd MMMM yyyy"/>
              <w:lid w:val="en-GB"/>
              <w:storeMappedDataAs w:val="dateTime"/>
              <w:calendar w:val="gregorian"/>
            </w:date>
          </w:sdtPr>
          <w:sdtEndPr>
            <w:rPr>
              <w:rStyle w:val="DefaultParagraphFont"/>
            </w:rPr>
          </w:sdtEndPr>
          <w:sdtContent>
            <w:tc>
              <w:tcPr>
                <w:tcW w:w="3402" w:type="dxa"/>
              </w:tcPr>
              <w:p w14:paraId="6D2903DF" w14:textId="7794598D" w:rsidR="00F5082D" w:rsidRPr="003E68DB" w:rsidRDefault="00976DD7" w:rsidP="00FA0CA9">
                <w:pPr>
                  <w:rPr>
                    <w:b/>
                    <w:bCs/>
                  </w:rPr>
                </w:pPr>
                <w:r>
                  <w:rPr>
                    <w:rStyle w:val="Style1"/>
                    <w:b/>
                    <w:bCs/>
                  </w:rPr>
                  <w:t>22 September 2026</w:t>
                </w:r>
              </w:p>
            </w:tc>
          </w:sdtContent>
        </w:sdt>
        <w:tc>
          <w:tcPr>
            <w:tcW w:w="1801" w:type="dxa"/>
            <w:shd w:val="clear" w:color="auto" w:fill="163E64"/>
          </w:tcPr>
          <w:p w14:paraId="6D2903E0" w14:textId="77777777" w:rsidR="00F5082D" w:rsidRPr="003E68DB" w:rsidRDefault="00F5082D" w:rsidP="00FA0CA9">
            <w:pPr>
              <w:rPr>
                <w:b/>
              </w:rPr>
            </w:pPr>
            <w:r w:rsidRPr="003E68DB">
              <w:rPr>
                <w:b/>
              </w:rPr>
              <w:t>Agenda Item</w:t>
            </w:r>
          </w:p>
        </w:tc>
        <w:tc>
          <w:tcPr>
            <w:tcW w:w="841" w:type="dxa"/>
          </w:tcPr>
          <w:p w14:paraId="6D2903E1" w14:textId="73C8434F" w:rsidR="00F5082D" w:rsidRPr="003E68DB" w:rsidRDefault="34E2AE62" w:rsidP="00FA0CA9">
            <w:r w:rsidRPr="254FB3CE">
              <w:rPr>
                <w:b/>
                <w:bCs/>
              </w:rPr>
              <w:t>3.3</w:t>
            </w:r>
          </w:p>
        </w:tc>
      </w:tr>
      <w:tr w:rsidR="00B0479E" w:rsidRPr="003E68DB" w14:paraId="1EEB45B2" w14:textId="77777777" w:rsidTr="58B8C8FD">
        <w:tc>
          <w:tcPr>
            <w:tcW w:w="2977" w:type="dxa"/>
            <w:shd w:val="clear" w:color="auto" w:fill="163E64"/>
          </w:tcPr>
          <w:p w14:paraId="4A48663E" w14:textId="6879CA0B" w:rsidR="00B0479E" w:rsidRPr="003E68DB" w:rsidRDefault="00B0479E" w:rsidP="00FA0CA9">
            <w:pPr>
              <w:rPr>
                <w:b/>
              </w:rPr>
            </w:pPr>
            <w:r w:rsidRPr="003E68DB">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05C6384E" w:rsidR="00B0479E" w:rsidRPr="003E68DB" w:rsidRDefault="003E68DB" w:rsidP="00FA0CA9">
                <w:pPr>
                  <w:rPr>
                    <w:b/>
                    <w:bCs/>
                  </w:rPr>
                </w:pPr>
                <w:r w:rsidRPr="003E68DB">
                  <w:rPr>
                    <w:rStyle w:val="CorporateFont"/>
                    <w:b/>
                    <w:bCs/>
                  </w:rPr>
                  <w:t>Finance and Performance Committee</w:t>
                </w:r>
              </w:p>
            </w:tc>
          </w:sdtContent>
        </w:sdt>
      </w:tr>
      <w:tr w:rsidR="00083FC0" w:rsidRPr="003E68DB" w14:paraId="6D2903E5" w14:textId="77777777" w:rsidTr="58B8C8FD">
        <w:tc>
          <w:tcPr>
            <w:tcW w:w="2977" w:type="dxa"/>
            <w:shd w:val="clear" w:color="auto" w:fill="163E64"/>
          </w:tcPr>
          <w:p w14:paraId="6D2903E3" w14:textId="77777777" w:rsidR="00034194" w:rsidRPr="003E68DB" w:rsidRDefault="00034194" w:rsidP="00FA0CA9">
            <w:pPr>
              <w:rPr>
                <w:b/>
              </w:rPr>
            </w:pPr>
            <w:r w:rsidRPr="003E68DB">
              <w:rPr>
                <w:b/>
              </w:rPr>
              <w:t>Report Title</w:t>
            </w:r>
          </w:p>
        </w:tc>
        <w:tc>
          <w:tcPr>
            <w:tcW w:w="6044" w:type="dxa"/>
            <w:gridSpan w:val="3"/>
          </w:tcPr>
          <w:p w14:paraId="6D2903E4" w14:textId="54E3F543" w:rsidR="00034194" w:rsidRPr="003E68DB" w:rsidRDefault="003E68DB" w:rsidP="00FA0CA9">
            <w:pPr>
              <w:rPr>
                <w:b/>
                <w:bCs/>
              </w:rPr>
            </w:pPr>
            <w:r w:rsidRPr="003E68DB">
              <w:rPr>
                <w:b/>
              </w:rPr>
              <w:t>Theatre Utilisation and Efficiency</w:t>
            </w:r>
          </w:p>
        </w:tc>
      </w:tr>
      <w:tr w:rsidR="00083FC0" w:rsidRPr="003E68DB" w14:paraId="6D2903E8" w14:textId="77777777" w:rsidTr="58B8C8FD">
        <w:tc>
          <w:tcPr>
            <w:tcW w:w="2977" w:type="dxa"/>
            <w:shd w:val="clear" w:color="auto" w:fill="163E64"/>
          </w:tcPr>
          <w:p w14:paraId="6D2903E6" w14:textId="77777777" w:rsidR="00034194" w:rsidRPr="003E68DB" w:rsidRDefault="00034194" w:rsidP="00FA0CA9">
            <w:pPr>
              <w:rPr>
                <w:b/>
              </w:rPr>
            </w:pPr>
            <w:r w:rsidRPr="003E68DB">
              <w:rPr>
                <w:b/>
              </w:rPr>
              <w:t>Report Author</w:t>
            </w:r>
          </w:p>
        </w:tc>
        <w:tc>
          <w:tcPr>
            <w:tcW w:w="6044" w:type="dxa"/>
            <w:gridSpan w:val="3"/>
          </w:tcPr>
          <w:p w14:paraId="266F51D9" w14:textId="77777777" w:rsidR="003E68DB" w:rsidRPr="003E68DB" w:rsidRDefault="003E68DB" w:rsidP="003E68DB">
            <w:r w:rsidRPr="003E68DB">
              <w:t>Rhodri Davies, Associate Service Group Director Surgery</w:t>
            </w:r>
          </w:p>
          <w:p w14:paraId="6D2903E7" w14:textId="17A3C9E0" w:rsidR="00034194" w:rsidRPr="003E68DB" w:rsidRDefault="003E68DB" w:rsidP="003E68DB">
            <w:r w:rsidRPr="003E68DB">
              <w:t>Jonathan Gates, Head of Nursing Surgery</w:t>
            </w:r>
          </w:p>
        </w:tc>
      </w:tr>
      <w:tr w:rsidR="00762BBE" w:rsidRPr="003E68DB" w14:paraId="6D2903EB" w14:textId="77777777" w:rsidTr="58B8C8FD">
        <w:tc>
          <w:tcPr>
            <w:tcW w:w="2977" w:type="dxa"/>
            <w:shd w:val="clear" w:color="auto" w:fill="163E64"/>
          </w:tcPr>
          <w:p w14:paraId="6D2903E9" w14:textId="77777777" w:rsidR="00762BBE" w:rsidRPr="003E68DB" w:rsidRDefault="00762BBE" w:rsidP="00762BBE">
            <w:pPr>
              <w:rPr>
                <w:b/>
              </w:rPr>
            </w:pPr>
            <w:r w:rsidRPr="003E68DB">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14:paraId="6D2903EA" w14:textId="7FC71E60" w:rsidR="00762BBE" w:rsidRPr="003E68DB" w:rsidRDefault="003E68DB" w:rsidP="00762BBE">
                <w:r w:rsidRPr="003E68DB">
                  <w:rPr>
                    <w:rStyle w:val="Style1"/>
                  </w:rPr>
                  <w:t>Chief Operating Officer</w:t>
                </w:r>
              </w:p>
            </w:tc>
          </w:sdtContent>
        </w:sdt>
      </w:tr>
      <w:tr w:rsidR="003E68DB" w:rsidRPr="003E68DB" w14:paraId="6D2903EE" w14:textId="77777777" w:rsidTr="58B8C8FD">
        <w:tc>
          <w:tcPr>
            <w:tcW w:w="2977" w:type="dxa"/>
            <w:shd w:val="clear" w:color="auto" w:fill="163E64"/>
          </w:tcPr>
          <w:p w14:paraId="6D2903EC" w14:textId="77777777" w:rsidR="003E68DB" w:rsidRPr="003E68DB" w:rsidRDefault="003E68DB" w:rsidP="003E68DB">
            <w:pPr>
              <w:rPr>
                <w:b/>
              </w:rPr>
            </w:pPr>
            <w:r w:rsidRPr="003E68DB">
              <w:rPr>
                <w:b/>
              </w:rPr>
              <w:t>Presented by</w:t>
            </w:r>
          </w:p>
        </w:tc>
        <w:tc>
          <w:tcPr>
            <w:tcW w:w="6044" w:type="dxa"/>
            <w:gridSpan w:val="3"/>
          </w:tcPr>
          <w:p w14:paraId="6D2903ED" w14:textId="7D66B02A" w:rsidR="003E68DB" w:rsidRPr="003E68DB" w:rsidRDefault="003E68DB" w:rsidP="003E68DB">
            <w:r w:rsidRPr="003E68DB">
              <w:t>Rhodri Davies, Associate Service Group Director, Surgery</w:t>
            </w:r>
          </w:p>
        </w:tc>
      </w:tr>
      <w:tr w:rsidR="003E68DB" w:rsidRPr="003E68DB" w14:paraId="6D2903F1" w14:textId="77777777" w:rsidTr="58B8C8FD">
        <w:tc>
          <w:tcPr>
            <w:tcW w:w="2977" w:type="dxa"/>
            <w:shd w:val="clear" w:color="auto" w:fill="C1A775"/>
          </w:tcPr>
          <w:p w14:paraId="6D2903EF" w14:textId="5CD60EB8" w:rsidR="003E68DB" w:rsidRPr="003E68DB" w:rsidRDefault="003E68DB" w:rsidP="003E68DB">
            <w:pPr>
              <w:rPr>
                <w:b/>
                <w:bCs/>
              </w:rPr>
            </w:pPr>
            <w:r w:rsidRPr="003E68DB">
              <w:rPr>
                <w:b/>
                <w:bCs/>
              </w:rPr>
              <w:t>Freedom of Information</w:t>
            </w:r>
          </w:p>
        </w:tc>
        <w:tc>
          <w:tcPr>
            <w:tcW w:w="6044" w:type="dxa"/>
            <w:gridSpan w:val="3"/>
          </w:tcPr>
          <w:sdt>
            <w:sdtPr>
              <w:rPr>
                <w:rStyle w:val="Style1"/>
              </w:rPr>
              <w:alias w:val="Choose FoI type"/>
              <w:tag w:val="Choose FoI type"/>
              <w:id w:val="-291602971"/>
              <w:lock w:val="sdtLocked"/>
              <w:placeholder>
                <w:docPart w:val="7AB225EEC3C64F689319EEDFB082D202"/>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34F992F5" w:rsidR="003E68DB" w:rsidRPr="003E68DB" w:rsidRDefault="003E68DB" w:rsidP="003E68DB">
                <w:r w:rsidRPr="003E68DB">
                  <w:rPr>
                    <w:rStyle w:val="Style1"/>
                  </w:rPr>
                  <w:t>Open</w:t>
                </w:r>
              </w:p>
            </w:sdtContent>
          </w:sdt>
        </w:tc>
      </w:tr>
      <w:tr w:rsidR="003E68DB" w:rsidRPr="003E68DB" w14:paraId="3533518D" w14:textId="77777777" w:rsidTr="58B8C8FD">
        <w:tc>
          <w:tcPr>
            <w:tcW w:w="2977" w:type="dxa"/>
            <w:shd w:val="clear" w:color="auto" w:fill="C1A775"/>
          </w:tcPr>
          <w:p w14:paraId="388BDD7E" w14:textId="6876BB65" w:rsidR="003E68DB" w:rsidRPr="003E68DB" w:rsidRDefault="003E68DB" w:rsidP="003E68DB">
            <w:pPr>
              <w:rPr>
                <w:b/>
              </w:rPr>
            </w:pPr>
            <w:r w:rsidRPr="003E68DB">
              <w:rPr>
                <w:b/>
              </w:rPr>
              <w:t>FoI Closed detail</w:t>
            </w:r>
          </w:p>
        </w:tc>
        <w:sdt>
          <w:sdtPr>
            <w:rPr>
              <w:rStyle w:val="Style1"/>
            </w:rPr>
            <w:alias w:val="If closed, choose detail"/>
            <w:tag w:val="If closed, choose detail"/>
            <w:id w:val="-2103939202"/>
            <w:placeholder>
              <w:docPart w:val="C669DD432631453182014B3A71E3D84D"/>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68BCFC98" w14:textId="74614C13" w:rsidR="003E68DB" w:rsidRPr="003E68DB" w:rsidRDefault="003E68DB" w:rsidP="003E68DB">
                <w:pPr>
                  <w:rPr>
                    <w:rStyle w:val="Style1"/>
                  </w:rPr>
                </w:pPr>
                <w:r w:rsidRPr="003E68DB">
                  <w:rPr>
                    <w:rStyle w:val="Style1"/>
                  </w:rPr>
                  <w:t>If closed, choose detail</w:t>
                </w:r>
              </w:p>
            </w:tc>
          </w:sdtContent>
        </w:sdt>
      </w:tr>
      <w:tr w:rsidR="003E68DB" w:rsidRPr="003E68DB" w14:paraId="56774493" w14:textId="77777777" w:rsidTr="00F52867">
        <w:tc>
          <w:tcPr>
            <w:tcW w:w="6379" w:type="dxa"/>
            <w:gridSpan w:val="2"/>
            <w:shd w:val="clear" w:color="auto" w:fill="C1A775"/>
          </w:tcPr>
          <w:p w14:paraId="50DAF23B" w14:textId="77777777" w:rsidR="003E68DB" w:rsidRPr="003E68DB" w:rsidRDefault="003E68DB" w:rsidP="003E68DB">
            <w:pPr>
              <w:rPr>
                <w:b/>
              </w:rPr>
            </w:pPr>
            <w:r w:rsidRPr="003E68DB">
              <w:rPr>
                <w:b/>
              </w:rPr>
              <w:t>Impact Assessment Summary Outcome</w:t>
            </w:r>
          </w:p>
        </w:tc>
        <w:tc>
          <w:tcPr>
            <w:tcW w:w="2642" w:type="dxa"/>
            <w:gridSpan w:val="2"/>
            <w:shd w:val="clear" w:color="auto" w:fill="C1A775"/>
          </w:tcPr>
          <w:p w14:paraId="1FF00833" w14:textId="403A5B42" w:rsidR="003E68DB" w:rsidRPr="003E68DB" w:rsidRDefault="003E68DB" w:rsidP="003E68DB">
            <w:pPr>
              <w:rPr>
                <w:b/>
              </w:rPr>
            </w:pPr>
            <w:r w:rsidRPr="003E68DB">
              <w:rPr>
                <w:b/>
              </w:rPr>
              <w:t>IA Completion date</w:t>
            </w:r>
          </w:p>
        </w:tc>
      </w:tr>
      <w:tr w:rsidR="003E68DB" w:rsidRPr="003E68DB" w14:paraId="44E771AC" w14:textId="77777777" w:rsidTr="00F52867">
        <w:tc>
          <w:tcPr>
            <w:tcW w:w="6379" w:type="dxa"/>
            <w:gridSpan w:val="2"/>
          </w:tcPr>
          <w:p w14:paraId="5E84E502" w14:textId="07F8CEB7" w:rsidR="003E68DB" w:rsidRPr="003E68DB" w:rsidRDefault="003E68DB" w:rsidP="003E68DB">
            <w:pPr>
              <w:rPr>
                <w:b/>
                <w:color w:val="FF0000"/>
              </w:rPr>
            </w:pPr>
            <w:r w:rsidRPr="003E68DB">
              <w:t>N/A</w:t>
            </w:r>
          </w:p>
        </w:tc>
        <w:sdt>
          <w:sdtPr>
            <w:rPr>
              <w:bCs/>
            </w:rPr>
            <w:alias w:val="Insert IA completion date"/>
            <w:tag w:val="Insert IA Completion date"/>
            <w:id w:val="-1846939928"/>
            <w:placeholder>
              <w:docPart w:val="5E57510160B942148539515831D44FEE"/>
            </w:placeholder>
            <w:showingPlcHdr/>
            <w15:color w:val="000000"/>
            <w:date w:fullDate="2025-12-19T00:00:00Z">
              <w:dateFormat w:val="dd MMMM yyyy"/>
              <w:lid w:val="en-GB"/>
              <w:storeMappedDataAs w:val="dateTime"/>
              <w:calendar w:val="gregorian"/>
            </w:date>
          </w:sdtPr>
          <w:sdtEndPr/>
          <w:sdtContent>
            <w:tc>
              <w:tcPr>
                <w:tcW w:w="2642" w:type="dxa"/>
                <w:gridSpan w:val="2"/>
              </w:tcPr>
              <w:p w14:paraId="6CF9C42A" w14:textId="06AA5658" w:rsidR="003E68DB" w:rsidRPr="003E68DB" w:rsidRDefault="003E68DB" w:rsidP="003E68DB">
                <w:pPr>
                  <w:rPr>
                    <w:bCs/>
                  </w:rPr>
                </w:pPr>
                <w:r w:rsidRPr="003E68DB">
                  <w:rPr>
                    <w:rStyle w:val="PlaceholderText"/>
                    <w:color w:val="auto"/>
                  </w:rPr>
                  <w:t>Click or tap to enter a date.</w:t>
                </w:r>
              </w:p>
            </w:tc>
          </w:sdtContent>
        </w:sdt>
      </w:tr>
      <w:tr w:rsidR="003E68DB" w:rsidRPr="003E68DB" w14:paraId="2BABD8F1" w14:textId="77777777" w:rsidTr="58B8C8FD">
        <w:tc>
          <w:tcPr>
            <w:tcW w:w="2977" w:type="dxa"/>
            <w:shd w:val="clear" w:color="auto" w:fill="C1A775"/>
          </w:tcPr>
          <w:p w14:paraId="4CAAEA69" w14:textId="77777777" w:rsidR="003E68DB" w:rsidRPr="003E68DB" w:rsidRDefault="003E68DB" w:rsidP="003E68DB">
            <w:pPr>
              <w:rPr>
                <w:b/>
              </w:rPr>
            </w:pPr>
            <w:r w:rsidRPr="003E68DB">
              <w:rPr>
                <w:b/>
              </w:rPr>
              <w:t>Purpose of the Report</w:t>
            </w:r>
          </w:p>
        </w:tc>
        <w:sdt>
          <w:sdtPr>
            <w:rPr>
              <w:rStyle w:val="Style1"/>
            </w:rPr>
            <w:alias w:val="Choose Purpose"/>
            <w:tag w:val="Choose Purpose"/>
            <w:id w:val="1702367869"/>
            <w:lock w:val="sdtLocked"/>
            <w:placeholder>
              <w:docPart w:val="00CBCDF56E6D42E4B14568B67FA21999"/>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11E86884" w:rsidR="003E68DB" w:rsidRPr="003E68DB" w:rsidRDefault="003E68DB" w:rsidP="003E68DB">
                <w:pPr>
                  <w:ind w:right="96"/>
                </w:pPr>
                <w:r w:rsidRPr="003E68DB">
                  <w:rPr>
                    <w:rStyle w:val="Style1"/>
                  </w:rPr>
                  <w:t>For Assurance</w:t>
                </w:r>
              </w:p>
            </w:tc>
          </w:sdtContent>
        </w:sdt>
      </w:tr>
      <w:tr w:rsidR="003E68DB" w:rsidRPr="003E68DB" w14:paraId="2607A37D" w14:textId="77777777" w:rsidTr="58B8C8FD">
        <w:tc>
          <w:tcPr>
            <w:tcW w:w="9021" w:type="dxa"/>
            <w:gridSpan w:val="4"/>
            <w:shd w:val="clear" w:color="auto" w:fill="C1A775"/>
          </w:tcPr>
          <w:p w14:paraId="213FC224" w14:textId="4833FD62" w:rsidR="003E68DB" w:rsidRPr="003E68DB" w:rsidRDefault="003E68DB" w:rsidP="003E68DB">
            <w:pPr>
              <w:rPr>
                <w:color w:val="FF0000"/>
              </w:rPr>
            </w:pPr>
            <w:r w:rsidRPr="003E68DB">
              <w:rPr>
                <w:b/>
              </w:rPr>
              <w:t>Report Summary; detailing any action required</w:t>
            </w:r>
          </w:p>
        </w:tc>
      </w:tr>
      <w:tr w:rsidR="003E68DB" w:rsidRPr="003E68DB" w14:paraId="6D2903F8" w14:textId="77777777" w:rsidTr="58B8C8FD">
        <w:tc>
          <w:tcPr>
            <w:tcW w:w="9021" w:type="dxa"/>
            <w:gridSpan w:val="4"/>
          </w:tcPr>
          <w:p w14:paraId="6D2903F7" w14:textId="289EAAEE" w:rsidR="003E68DB" w:rsidRPr="003E68DB" w:rsidRDefault="003E68DB" w:rsidP="003E68DB">
            <w:pPr>
              <w:rPr>
                <w:b/>
                <w:color w:val="FF0000"/>
              </w:rPr>
            </w:pPr>
            <w:r w:rsidRPr="003E68DB">
              <w:t>To highlight to the committee the next steps taken in improving utilisation and efficiency across SBUHB Theatres</w:t>
            </w:r>
          </w:p>
        </w:tc>
      </w:tr>
      <w:tr w:rsidR="003E68DB" w:rsidRPr="003E68DB" w14:paraId="70491417" w14:textId="77777777" w:rsidTr="58B8C8FD">
        <w:tc>
          <w:tcPr>
            <w:tcW w:w="9021" w:type="dxa"/>
            <w:gridSpan w:val="4"/>
            <w:shd w:val="clear" w:color="auto" w:fill="C1A775"/>
          </w:tcPr>
          <w:p w14:paraId="012E824A" w14:textId="7C1EDF26" w:rsidR="003E68DB" w:rsidRPr="003E68DB" w:rsidRDefault="003E68DB" w:rsidP="003E68DB">
            <w:pPr>
              <w:rPr>
                <w:b/>
              </w:rPr>
            </w:pPr>
            <w:r w:rsidRPr="003E68DB">
              <w:rPr>
                <w:b/>
              </w:rPr>
              <w:t>Key Issues</w:t>
            </w:r>
          </w:p>
        </w:tc>
      </w:tr>
      <w:tr w:rsidR="003E68DB" w:rsidRPr="003E68DB" w14:paraId="6D290402" w14:textId="77777777" w:rsidTr="58B8C8FD">
        <w:tc>
          <w:tcPr>
            <w:tcW w:w="9021" w:type="dxa"/>
            <w:gridSpan w:val="4"/>
          </w:tcPr>
          <w:p w14:paraId="7C67C707" w14:textId="27E538A3" w:rsidR="003E68DB" w:rsidRPr="003E68DB" w:rsidRDefault="003E68DB" w:rsidP="003E68DB">
            <w:pPr>
              <w:ind w:right="96"/>
              <w:jc w:val="both"/>
            </w:pPr>
            <w:r w:rsidRPr="003E68DB">
              <w:rPr>
                <w:b/>
                <w:bCs/>
              </w:rPr>
              <w:t>1. Theatre Utilisation Performance</w:t>
            </w:r>
          </w:p>
          <w:p w14:paraId="26564AFE" w14:textId="15F32ED4" w:rsidR="003E68DB" w:rsidRPr="003E68DB" w:rsidRDefault="003E68DB" w:rsidP="003E68DB">
            <w:pPr>
              <w:ind w:right="96"/>
              <w:jc w:val="both"/>
              <w:rPr>
                <w:b/>
                <w:bCs/>
              </w:rPr>
            </w:pPr>
            <w:r w:rsidRPr="58B8C8FD">
              <w:rPr>
                <w:b/>
                <w:bCs/>
              </w:rPr>
              <w:t>2.</w:t>
            </w:r>
            <w:r w:rsidR="00976DD7" w:rsidRPr="58B8C8FD">
              <w:rPr>
                <w:b/>
                <w:bCs/>
              </w:rPr>
              <w:t>Specific specialty performance impacting on higher performing specialties, bringing overall performance down</w:t>
            </w:r>
          </w:p>
          <w:p w14:paraId="0FD1B550" w14:textId="6C530E26" w:rsidR="00976DD7" w:rsidRPr="003E68DB" w:rsidRDefault="00976DD7" w:rsidP="00976DD7">
            <w:pPr>
              <w:ind w:right="96"/>
              <w:jc w:val="both"/>
              <w:rPr>
                <w:b/>
                <w:bCs/>
              </w:rPr>
            </w:pPr>
          </w:p>
          <w:p w14:paraId="6D290401" w14:textId="63E869C5" w:rsidR="003E68DB" w:rsidRPr="003E68DB" w:rsidRDefault="003E68DB" w:rsidP="003E68DB">
            <w:pPr>
              <w:ind w:right="96"/>
              <w:jc w:val="both"/>
              <w:rPr>
                <w:b/>
                <w:bCs/>
              </w:rPr>
            </w:pPr>
          </w:p>
        </w:tc>
      </w:tr>
      <w:tr w:rsidR="003E68DB" w:rsidRPr="003E68DB" w14:paraId="78C95897" w14:textId="77777777" w:rsidTr="58B8C8FD">
        <w:tc>
          <w:tcPr>
            <w:tcW w:w="2977" w:type="dxa"/>
            <w:shd w:val="clear" w:color="auto" w:fill="C1A775"/>
          </w:tcPr>
          <w:p w14:paraId="1B78D4FE" w14:textId="54876F52" w:rsidR="003E68DB" w:rsidRPr="003E68DB" w:rsidRDefault="003E68DB" w:rsidP="003E68DB">
            <w:pPr>
              <w:rPr>
                <w:b/>
                <w:bCs/>
              </w:rPr>
            </w:pPr>
            <w:r w:rsidRPr="003E68DB">
              <w:rPr>
                <w:b/>
                <w:bCs/>
              </w:rPr>
              <w:t>Decision / Action required</w:t>
            </w:r>
          </w:p>
        </w:tc>
        <w:tc>
          <w:tcPr>
            <w:tcW w:w="6044" w:type="dxa"/>
            <w:gridSpan w:val="3"/>
          </w:tcPr>
          <w:sdt>
            <w:sdtPr>
              <w:rPr>
                <w:rStyle w:val="Style1"/>
              </w:rPr>
              <w:alias w:val="Decision / Action required"/>
              <w:tag w:val="Decision / Action required"/>
              <w:id w:val="-1313094805"/>
              <w:placeholder>
                <w:docPart w:val="4DA4F958BE504C159CCCA36D2140C8C7"/>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353A97AF" w:rsidR="003E68DB" w:rsidRPr="003E68DB" w:rsidRDefault="00976DD7" w:rsidP="003E68DB">
                <w:pPr>
                  <w:rPr>
                    <w:b/>
                  </w:rPr>
                </w:pPr>
                <w:r>
                  <w:rPr>
                    <w:rStyle w:val="Style1"/>
                  </w:rPr>
                  <w:t>No</w:t>
                </w:r>
              </w:p>
            </w:sdtContent>
          </w:sdt>
        </w:tc>
      </w:tr>
      <w:tr w:rsidR="003E68DB" w:rsidRPr="003E68DB" w14:paraId="4682E8B7" w14:textId="77777777" w:rsidTr="58B8C8FD">
        <w:tc>
          <w:tcPr>
            <w:tcW w:w="9021" w:type="dxa"/>
            <w:gridSpan w:val="4"/>
            <w:shd w:val="clear" w:color="auto" w:fill="C1A775"/>
          </w:tcPr>
          <w:p w14:paraId="155705B7" w14:textId="5CCD1FFB" w:rsidR="003E68DB" w:rsidRPr="003E68DB" w:rsidRDefault="003E68DB" w:rsidP="003E68DB">
            <w:pPr>
              <w:rPr>
                <w:b/>
              </w:rPr>
            </w:pPr>
            <w:r w:rsidRPr="003E68DB">
              <w:rPr>
                <w:b/>
              </w:rPr>
              <w:t>Recommendations</w:t>
            </w:r>
          </w:p>
        </w:tc>
      </w:tr>
      <w:tr w:rsidR="003E68DB" w:rsidRPr="003E68DB" w14:paraId="6D290418" w14:textId="77777777" w:rsidTr="58B8C8FD">
        <w:tc>
          <w:tcPr>
            <w:tcW w:w="9021" w:type="dxa"/>
            <w:gridSpan w:val="4"/>
          </w:tcPr>
          <w:p w14:paraId="6D290412" w14:textId="77777777" w:rsidR="003E68DB" w:rsidRPr="003E68DB" w:rsidRDefault="003E68DB" w:rsidP="003E68DB">
            <w:pPr>
              <w:ind w:right="96"/>
            </w:pPr>
            <w:r w:rsidRPr="003E68DB">
              <w:t>Members are asked to:</w:t>
            </w:r>
          </w:p>
          <w:p w14:paraId="6D290415" w14:textId="714CC5E6" w:rsidR="003E68DB" w:rsidRPr="003E68DB" w:rsidRDefault="00F52867" w:rsidP="254FB3CE">
            <w:pPr>
              <w:pStyle w:val="ListParagraph"/>
              <w:numPr>
                <w:ilvl w:val="0"/>
                <w:numId w:val="1"/>
              </w:numPr>
              <w:ind w:right="96"/>
            </w:pPr>
            <w:r>
              <w:rPr>
                <w:b/>
                <w:bCs/>
              </w:rPr>
              <w:t xml:space="preserve">ACKNOWLEDGE </w:t>
            </w:r>
            <w:r w:rsidR="003E68DB">
              <w:t>the Theatres efficiency update and the actions being taken to improve the overall performance in a sustainable and consistent manner.</w:t>
            </w:r>
          </w:p>
          <w:p w14:paraId="6D290417" w14:textId="77777777" w:rsidR="003E68DB" w:rsidRPr="003E68DB" w:rsidRDefault="003E68DB" w:rsidP="003E68DB">
            <w:pPr>
              <w:ind w:right="96"/>
            </w:pPr>
          </w:p>
        </w:tc>
      </w:tr>
    </w:tbl>
    <w:p w14:paraId="6D29041A" w14:textId="0E9C1863" w:rsidR="00653AEC" w:rsidRPr="003E68DB" w:rsidRDefault="0020539A" w:rsidP="00653AEC">
      <w:pPr>
        <w:spacing w:after="0" w:line="240" w:lineRule="auto"/>
        <w:jc w:val="center"/>
        <w:rPr>
          <w:b/>
        </w:rPr>
      </w:pPr>
      <w:r w:rsidRPr="003E68DB">
        <w:br w:type="page"/>
      </w:r>
      <w:r w:rsidR="003E68DB" w:rsidRPr="003E68DB">
        <w:rPr>
          <w:b/>
        </w:rPr>
        <w:lastRenderedPageBreak/>
        <w:t>Theatre Utilisation and Efficiency</w:t>
      </w:r>
    </w:p>
    <w:p w14:paraId="6D29041B" w14:textId="77777777" w:rsidR="00653AEC" w:rsidRPr="003E68DB" w:rsidRDefault="00653AEC" w:rsidP="00653AEC">
      <w:pPr>
        <w:spacing w:after="0" w:line="240" w:lineRule="auto"/>
        <w:jc w:val="center"/>
        <w:rPr>
          <w:b/>
        </w:rPr>
      </w:pPr>
    </w:p>
    <w:p w14:paraId="6D29041C" w14:textId="77777777" w:rsidR="00653AEC" w:rsidRPr="003E68DB" w:rsidRDefault="00653AEC" w:rsidP="00653AEC">
      <w:pPr>
        <w:pStyle w:val="ListParagraph"/>
        <w:numPr>
          <w:ilvl w:val="0"/>
          <w:numId w:val="2"/>
        </w:numPr>
        <w:spacing w:after="0" w:line="240" w:lineRule="auto"/>
        <w:rPr>
          <w:b/>
        </w:rPr>
      </w:pPr>
      <w:r w:rsidRPr="003E68DB">
        <w:rPr>
          <w:b/>
        </w:rPr>
        <w:t>INTRODUCTION</w:t>
      </w:r>
    </w:p>
    <w:p w14:paraId="7B42EB3B" w14:textId="77777777" w:rsidR="00976DD7" w:rsidRDefault="00976DD7" w:rsidP="003E68DB">
      <w:pPr>
        <w:spacing w:after="0" w:line="240" w:lineRule="auto"/>
        <w:jc w:val="both"/>
        <w:rPr>
          <w:bCs/>
        </w:rPr>
      </w:pPr>
    </w:p>
    <w:p w14:paraId="2FE07DD6" w14:textId="0D0E5E43" w:rsidR="003E68DB" w:rsidRPr="003E68DB" w:rsidRDefault="003E68DB" w:rsidP="003E68DB">
      <w:pPr>
        <w:spacing w:after="0" w:line="240" w:lineRule="auto"/>
        <w:jc w:val="both"/>
        <w:rPr>
          <w:bCs/>
        </w:rPr>
      </w:pPr>
      <w:r w:rsidRPr="003E68DB">
        <w:rPr>
          <w:bCs/>
        </w:rPr>
        <w:t>This report provides an update to the Performance and Finance Committee on progress made in improving theatre utilisation and operational efficiency across Swansea Bay University Health Board (SBUHB). It outlines the actions being implemented to maximise productivity, reduce unwarranted variation, and optimise the use of existing theatre capacity to support elective recovery and long-term sustainability.</w:t>
      </w:r>
    </w:p>
    <w:p w14:paraId="6D29041E" w14:textId="77777777" w:rsidR="00653AEC" w:rsidRPr="003E68DB" w:rsidRDefault="00653AEC" w:rsidP="00653AEC">
      <w:pPr>
        <w:pStyle w:val="ListParagraph"/>
        <w:spacing w:after="0" w:line="240" w:lineRule="auto"/>
        <w:rPr>
          <w:b/>
        </w:rPr>
      </w:pPr>
    </w:p>
    <w:p w14:paraId="6D29041F" w14:textId="77777777" w:rsidR="00653AEC" w:rsidRPr="003E68DB" w:rsidRDefault="00653AEC" w:rsidP="00653AEC">
      <w:pPr>
        <w:pStyle w:val="ListParagraph"/>
        <w:numPr>
          <w:ilvl w:val="0"/>
          <w:numId w:val="2"/>
        </w:numPr>
        <w:spacing w:after="0" w:line="240" w:lineRule="auto"/>
        <w:rPr>
          <w:b/>
        </w:rPr>
      </w:pPr>
      <w:r w:rsidRPr="003E68DB">
        <w:rPr>
          <w:b/>
        </w:rPr>
        <w:t>BACKGROUND</w:t>
      </w:r>
    </w:p>
    <w:p w14:paraId="0FE2DB93" w14:textId="77777777" w:rsidR="00976DD7" w:rsidRDefault="00976DD7" w:rsidP="003E68DB">
      <w:pPr>
        <w:spacing w:after="0"/>
        <w:jc w:val="both"/>
      </w:pPr>
    </w:p>
    <w:p w14:paraId="4E63BD1D" w14:textId="0C14AAA3" w:rsidR="003E68DB" w:rsidRPr="003E68DB" w:rsidRDefault="003E68DB" w:rsidP="003E68DB">
      <w:pPr>
        <w:spacing w:after="0"/>
        <w:jc w:val="both"/>
      </w:pPr>
      <w:r w:rsidRPr="003E68DB">
        <w:t xml:space="preserve">Improving theatre utilisation remains a critical </w:t>
      </w:r>
      <w:r w:rsidR="00976DD7">
        <w:t>organisational</w:t>
      </w:r>
      <w:r w:rsidRPr="003E68DB">
        <w:t xml:space="preserve"> priority, with a Welsh Government expectation of achieving and sustaining 85% utilisation across all theatre capacity.</w:t>
      </w:r>
    </w:p>
    <w:p w14:paraId="635AD90D" w14:textId="77777777" w:rsidR="003E68DB" w:rsidRPr="003E68DB" w:rsidRDefault="003E68DB" w:rsidP="003E68DB">
      <w:pPr>
        <w:spacing w:after="0"/>
        <w:jc w:val="both"/>
      </w:pPr>
    </w:p>
    <w:p w14:paraId="4860788E" w14:textId="0B3B4789" w:rsidR="003E68DB" w:rsidRDefault="003E68DB" w:rsidP="00976DD7">
      <w:pPr>
        <w:spacing w:after="0"/>
        <w:jc w:val="both"/>
      </w:pPr>
      <w:r w:rsidRPr="003E68DB">
        <w:t xml:space="preserve">Performance across the Health Board continues to demonstrate variation between sites and specialties. While Morriston Hospital consistently achieves expected utilisation levels, Singleton Hospital and Neath Port Talbot Hospital (NPTH) continue to operate below the required benchmark, highlighting opportunities to release additional capacity. </w:t>
      </w:r>
    </w:p>
    <w:p w14:paraId="7302EF01" w14:textId="77777777" w:rsidR="00976DD7" w:rsidRDefault="00976DD7" w:rsidP="00976DD7">
      <w:pPr>
        <w:spacing w:after="0"/>
        <w:jc w:val="both"/>
      </w:pPr>
    </w:p>
    <w:p w14:paraId="26F73165" w14:textId="112E664E" w:rsidR="003E68DB" w:rsidRPr="003E68DB" w:rsidRDefault="00976DD7" w:rsidP="003E68DB">
      <w:pPr>
        <w:spacing w:after="0"/>
        <w:jc w:val="both"/>
      </w:pPr>
      <w:r>
        <w:t>In June’s update to the Performance and Finance Committee, the Health Board reported the May performance data, which highlighted, for the first time, theatre utilisation had reached an average of 80% across the three theatre sites.  The Health Board reported that there were specific initiatives underway as part of establishing the monthly Theatre Operational Group, with a particular focus on late theatre starts at NPTH.</w:t>
      </w:r>
    </w:p>
    <w:p w14:paraId="41CB1A05" w14:textId="77777777" w:rsidR="003E68DB" w:rsidRPr="003E68DB" w:rsidRDefault="003E68DB" w:rsidP="003E68DB">
      <w:pPr>
        <w:spacing w:after="0"/>
        <w:jc w:val="both"/>
      </w:pPr>
    </w:p>
    <w:p w14:paraId="27B1FC5F" w14:textId="77777777" w:rsidR="003E68DB" w:rsidRPr="003E68DB" w:rsidRDefault="003E68DB" w:rsidP="003E68DB">
      <w:pPr>
        <w:spacing w:after="0"/>
        <w:jc w:val="both"/>
      </w:pPr>
    </w:p>
    <w:p w14:paraId="722B9815" w14:textId="77777777" w:rsidR="003E68DB" w:rsidRPr="003E68DB" w:rsidRDefault="003E68DB" w:rsidP="003E68DB">
      <w:pPr>
        <w:pStyle w:val="ListParagraph"/>
        <w:numPr>
          <w:ilvl w:val="0"/>
          <w:numId w:val="19"/>
        </w:numPr>
        <w:rPr>
          <w:b/>
        </w:rPr>
      </w:pPr>
      <w:r w:rsidRPr="003E68DB">
        <w:rPr>
          <w:b/>
        </w:rPr>
        <w:t>Site-Level Performance Overview</w:t>
      </w:r>
    </w:p>
    <w:p w14:paraId="0D765A17" w14:textId="073DEEEE" w:rsidR="003E68DB" w:rsidRPr="003E68DB" w:rsidRDefault="00976DD7" w:rsidP="00BB5FC2">
      <w:pPr>
        <w:jc w:val="both"/>
        <w:rPr>
          <w:bCs/>
        </w:rPr>
      </w:pPr>
      <w:r>
        <w:rPr>
          <w:bCs/>
        </w:rPr>
        <w:t>Overall performance for the reporting periods June and July show performance has plateaued and remains around the 80% utilisation</w:t>
      </w:r>
      <w:r w:rsidR="003E68DB" w:rsidRPr="003E68DB">
        <w:rPr>
          <w:bCs/>
        </w:rPr>
        <w:t>.  Morriston Hospital continues to deliver utilisation levels at or near the 85% target.  Singleton Hospital and NPTH remain below target</w:t>
      </w:r>
      <w:r w:rsidR="00806EDF">
        <w:rPr>
          <w:bCs/>
        </w:rPr>
        <w:t>.</w:t>
      </w:r>
    </w:p>
    <w:p w14:paraId="6C37AB72" w14:textId="5C609CC4" w:rsidR="003E68DB" w:rsidRDefault="003E68DB" w:rsidP="00BB5FC2">
      <w:pPr>
        <w:jc w:val="both"/>
        <w:rPr>
          <w:bCs/>
        </w:rPr>
      </w:pPr>
      <w:r w:rsidRPr="003E68DB">
        <w:rPr>
          <w:bCs/>
        </w:rPr>
        <w:t>This variation reflects differing levels of operational maturity, pathway alignment, and consistency in theatre management practices across sites.</w:t>
      </w:r>
    </w:p>
    <w:p w14:paraId="27552C71" w14:textId="77777777" w:rsidR="00976DD7" w:rsidRPr="003E68DB" w:rsidRDefault="00976DD7" w:rsidP="00BB5FC2">
      <w:pPr>
        <w:jc w:val="both"/>
        <w:rPr>
          <w:b/>
        </w:rPr>
      </w:pPr>
    </w:p>
    <w:p w14:paraId="656D6AB5" w14:textId="77777777" w:rsidR="00A06DD1" w:rsidRPr="00A06DD1" w:rsidRDefault="00A06DD1" w:rsidP="00A06DD1">
      <w:pPr>
        <w:spacing w:after="0"/>
        <w:jc w:val="both"/>
        <w:rPr>
          <w:b/>
          <w:color w:val="FF0000"/>
        </w:rPr>
      </w:pPr>
      <w:r w:rsidRPr="00A06DD1">
        <w:rPr>
          <w:b/>
          <w:color w:val="FF0000"/>
        </w:rPr>
        <w:t> </w:t>
      </w:r>
    </w:p>
    <w:tbl>
      <w:tblPr>
        <w:tblW w:w="4715"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653"/>
        <w:gridCol w:w="860"/>
        <w:gridCol w:w="980"/>
        <w:gridCol w:w="1003"/>
      </w:tblGrid>
      <w:tr w:rsidR="00976DD7" w:rsidRPr="00BB5FC2" w14:paraId="035ADC5A" w14:textId="638064B5" w:rsidTr="254FB3CE">
        <w:trPr>
          <w:trHeight w:val="765"/>
        </w:trPr>
        <w:tc>
          <w:tcPr>
            <w:tcW w:w="3327"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7EB0DE"/>
            <w:vAlign w:val="center"/>
            <w:hideMark/>
          </w:tcPr>
          <w:p w14:paraId="31A3948C"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lastRenderedPageBreak/>
              <w:t>Theatres (Morriston)</w:t>
            </w:r>
            <w:r w:rsidRPr="254FB3CE">
              <w:rPr>
                <w:rFonts w:eastAsia="Verdana" w:cs="Verdana"/>
                <w:sz w:val="22"/>
                <w:szCs w:val="22"/>
                <w:lang w:val="en-US"/>
              </w:rPr>
              <w:t>​</w:t>
            </w:r>
          </w:p>
        </w:tc>
        <w:tc>
          <w:tcPr>
            <w:tcW w:w="506"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7EB0DE"/>
            <w:vAlign w:val="center"/>
            <w:hideMark/>
          </w:tcPr>
          <w:p w14:paraId="6B867CD3"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Target</w:t>
            </w:r>
            <w:r w:rsidRPr="254FB3CE">
              <w:rPr>
                <w:rFonts w:eastAsia="Verdana" w:cs="Verdana"/>
                <w:sz w:val="22"/>
                <w:szCs w:val="22"/>
                <w:lang w:val="en-US"/>
              </w:rPr>
              <w:t>​</w:t>
            </w:r>
          </w:p>
        </w:tc>
        <w:tc>
          <w:tcPr>
            <w:tcW w:w="577"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7EB0DE"/>
            <w:vAlign w:val="center"/>
            <w:hideMark/>
          </w:tcPr>
          <w:p w14:paraId="4F79B93D"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June-26</w:t>
            </w:r>
            <w:r w:rsidRPr="254FB3CE">
              <w:rPr>
                <w:rFonts w:eastAsia="Verdana" w:cs="Verdana"/>
                <w:sz w:val="22"/>
                <w:szCs w:val="22"/>
                <w:lang w:val="en-US"/>
              </w:rPr>
              <w:t>​</w:t>
            </w:r>
          </w:p>
        </w:tc>
        <w:tc>
          <w:tcPr>
            <w:tcW w:w="590"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7EB0DE"/>
            <w:vAlign w:val="center"/>
            <w:hideMark/>
          </w:tcPr>
          <w:p w14:paraId="0BC44369"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Jul-26</w:t>
            </w:r>
            <w:r w:rsidRPr="254FB3CE">
              <w:rPr>
                <w:rFonts w:eastAsia="Verdana" w:cs="Verdana"/>
                <w:sz w:val="22"/>
                <w:szCs w:val="22"/>
                <w:lang w:val="en-US"/>
              </w:rPr>
              <w:t>​</w:t>
            </w:r>
          </w:p>
        </w:tc>
      </w:tr>
      <w:tr w:rsidR="00976DD7" w:rsidRPr="00BB5FC2" w14:paraId="132E4A92" w14:textId="6F77D869" w:rsidTr="254FB3CE">
        <w:trPr>
          <w:trHeight w:val="825"/>
        </w:trPr>
        <w:tc>
          <w:tcPr>
            <w:tcW w:w="3327"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4FC42DEE" w14:textId="41E35511"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Theatre Utilisation Rate</w:t>
            </w:r>
            <w:r w:rsidRPr="254FB3CE">
              <w:rPr>
                <w:rFonts w:eastAsia="Verdana" w:cs="Verdana"/>
                <w:sz w:val="22"/>
                <w:szCs w:val="22"/>
                <w:lang w:val="en-US"/>
              </w:rPr>
              <w:t>​</w:t>
            </w:r>
          </w:p>
        </w:tc>
        <w:tc>
          <w:tcPr>
            <w:tcW w:w="506"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3422D702"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&gt; 85%</w:t>
            </w:r>
            <w:r w:rsidRPr="254FB3CE">
              <w:rPr>
                <w:rFonts w:eastAsia="Verdana" w:cs="Verdana"/>
                <w:sz w:val="22"/>
                <w:szCs w:val="22"/>
                <w:lang w:val="en-US"/>
              </w:rPr>
              <w:t>​</w:t>
            </w:r>
          </w:p>
        </w:tc>
        <w:tc>
          <w:tcPr>
            <w:tcW w:w="577"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70EE6883"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84%</w:t>
            </w:r>
            <w:r w:rsidRPr="254FB3CE">
              <w:rPr>
                <w:rFonts w:eastAsia="Verdana" w:cs="Verdana"/>
                <w:sz w:val="22"/>
                <w:szCs w:val="22"/>
                <w:lang w:val="en-US"/>
              </w:rPr>
              <w:t>​</w:t>
            </w:r>
          </w:p>
        </w:tc>
        <w:tc>
          <w:tcPr>
            <w:tcW w:w="590"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052C6513"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84%</w:t>
            </w:r>
            <w:r w:rsidRPr="254FB3CE">
              <w:rPr>
                <w:rFonts w:eastAsia="Verdana" w:cs="Verdana"/>
                <w:sz w:val="22"/>
                <w:szCs w:val="22"/>
                <w:lang w:val="en-US"/>
              </w:rPr>
              <w:t>​</w:t>
            </w:r>
          </w:p>
        </w:tc>
      </w:tr>
      <w:tr w:rsidR="00976DD7" w:rsidRPr="00BB5FC2" w14:paraId="6E2B421A" w14:textId="5F0337AA" w:rsidTr="254FB3CE">
        <w:trPr>
          <w:trHeight w:val="825"/>
        </w:trPr>
        <w:tc>
          <w:tcPr>
            <w:tcW w:w="3327"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71EF6D25"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Percentage of Late Starts (15-minute target)</w:t>
            </w:r>
            <w:r w:rsidRPr="254FB3CE">
              <w:rPr>
                <w:rFonts w:eastAsia="Verdana" w:cs="Verdana"/>
                <w:sz w:val="22"/>
                <w:szCs w:val="22"/>
                <w:lang w:val="en-US"/>
              </w:rPr>
              <w:t>​</w:t>
            </w:r>
          </w:p>
        </w:tc>
        <w:tc>
          <w:tcPr>
            <w:tcW w:w="506"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093B27CB"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&lt; 20%</w:t>
            </w:r>
            <w:r w:rsidRPr="254FB3CE">
              <w:rPr>
                <w:rFonts w:eastAsia="Verdana" w:cs="Verdana"/>
                <w:sz w:val="22"/>
                <w:szCs w:val="22"/>
                <w:lang w:val="en-US"/>
              </w:rPr>
              <w:t>​</w:t>
            </w:r>
          </w:p>
        </w:tc>
        <w:tc>
          <w:tcPr>
            <w:tcW w:w="577"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66FD62B3"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31%</w:t>
            </w:r>
            <w:r w:rsidRPr="254FB3CE">
              <w:rPr>
                <w:rFonts w:eastAsia="Verdana" w:cs="Verdana"/>
                <w:sz w:val="22"/>
                <w:szCs w:val="22"/>
                <w:lang w:val="en-US"/>
              </w:rPr>
              <w:t>​</w:t>
            </w:r>
          </w:p>
        </w:tc>
        <w:tc>
          <w:tcPr>
            <w:tcW w:w="590"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21C06D3B"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30%</w:t>
            </w:r>
            <w:r w:rsidRPr="254FB3CE">
              <w:rPr>
                <w:rFonts w:eastAsia="Verdana" w:cs="Verdana"/>
                <w:sz w:val="22"/>
                <w:szCs w:val="22"/>
                <w:lang w:val="en-US"/>
              </w:rPr>
              <w:t>​</w:t>
            </w:r>
          </w:p>
        </w:tc>
      </w:tr>
      <w:tr w:rsidR="00976DD7" w:rsidRPr="00BB5FC2" w14:paraId="178F2F9E" w14:textId="2A01BB13" w:rsidTr="254FB3CE">
        <w:trPr>
          <w:trHeight w:val="825"/>
        </w:trPr>
        <w:tc>
          <w:tcPr>
            <w:tcW w:w="3327"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0C93DF34"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Percentage of Early Finishes (60-minute target)</w:t>
            </w:r>
            <w:r w:rsidRPr="254FB3CE">
              <w:rPr>
                <w:rFonts w:eastAsia="Verdana" w:cs="Verdana"/>
                <w:sz w:val="22"/>
                <w:szCs w:val="22"/>
                <w:lang w:val="en-US"/>
              </w:rPr>
              <w:t>​</w:t>
            </w:r>
          </w:p>
        </w:tc>
        <w:tc>
          <w:tcPr>
            <w:tcW w:w="506"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1FE675D4"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&lt; 10%</w:t>
            </w:r>
            <w:r w:rsidRPr="254FB3CE">
              <w:rPr>
                <w:rFonts w:eastAsia="Verdana" w:cs="Verdana"/>
                <w:sz w:val="22"/>
                <w:szCs w:val="22"/>
                <w:lang w:val="en-US"/>
              </w:rPr>
              <w:t>​</w:t>
            </w:r>
          </w:p>
        </w:tc>
        <w:tc>
          <w:tcPr>
            <w:tcW w:w="577"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1418D285"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33%</w:t>
            </w:r>
            <w:r w:rsidRPr="254FB3CE">
              <w:rPr>
                <w:rFonts w:eastAsia="Verdana" w:cs="Verdana"/>
                <w:sz w:val="22"/>
                <w:szCs w:val="22"/>
                <w:lang w:val="en-US"/>
              </w:rPr>
              <w:t>​</w:t>
            </w:r>
          </w:p>
        </w:tc>
        <w:tc>
          <w:tcPr>
            <w:tcW w:w="590"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1750F336"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30%</w:t>
            </w:r>
            <w:r w:rsidRPr="254FB3CE">
              <w:rPr>
                <w:rFonts w:eastAsia="Verdana" w:cs="Verdana"/>
                <w:sz w:val="22"/>
                <w:szCs w:val="22"/>
                <w:lang w:val="en-US"/>
              </w:rPr>
              <w:t>​</w:t>
            </w:r>
          </w:p>
        </w:tc>
      </w:tr>
      <w:tr w:rsidR="00976DD7" w:rsidRPr="00BB5FC2" w14:paraId="2F3359A6" w14:textId="0AAE3378" w:rsidTr="254FB3CE">
        <w:trPr>
          <w:trHeight w:val="840"/>
        </w:trPr>
        <w:tc>
          <w:tcPr>
            <w:tcW w:w="3327"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7EB0DE"/>
            <w:vAlign w:val="center"/>
            <w:hideMark/>
          </w:tcPr>
          <w:p w14:paraId="6B22816F"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Theatres (Neath Port Talbot Hospital)</w:t>
            </w:r>
            <w:r w:rsidRPr="254FB3CE">
              <w:rPr>
                <w:rFonts w:eastAsia="Verdana" w:cs="Verdana"/>
                <w:sz w:val="22"/>
                <w:szCs w:val="22"/>
                <w:lang w:val="en-US"/>
              </w:rPr>
              <w:t>​</w:t>
            </w:r>
          </w:p>
        </w:tc>
        <w:tc>
          <w:tcPr>
            <w:tcW w:w="506"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7EB0DE"/>
            <w:vAlign w:val="center"/>
            <w:hideMark/>
          </w:tcPr>
          <w:p w14:paraId="25CC72A4"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Target</w:t>
            </w:r>
            <w:r w:rsidRPr="254FB3CE">
              <w:rPr>
                <w:rFonts w:eastAsia="Verdana" w:cs="Verdana"/>
                <w:sz w:val="22"/>
                <w:szCs w:val="22"/>
                <w:lang w:val="en-US"/>
              </w:rPr>
              <w:t>​</w:t>
            </w:r>
          </w:p>
        </w:tc>
        <w:tc>
          <w:tcPr>
            <w:tcW w:w="577"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7EB0DE"/>
            <w:vAlign w:val="center"/>
            <w:hideMark/>
          </w:tcPr>
          <w:p w14:paraId="2EF8138C"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June-26</w:t>
            </w:r>
            <w:r w:rsidRPr="254FB3CE">
              <w:rPr>
                <w:rFonts w:eastAsia="Verdana" w:cs="Verdana"/>
                <w:sz w:val="22"/>
                <w:szCs w:val="22"/>
                <w:lang w:val="en-US"/>
              </w:rPr>
              <w:t>​</w:t>
            </w:r>
          </w:p>
        </w:tc>
        <w:tc>
          <w:tcPr>
            <w:tcW w:w="590"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7EB0DE"/>
            <w:vAlign w:val="center"/>
            <w:hideMark/>
          </w:tcPr>
          <w:p w14:paraId="7E12B840"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Jul-26</w:t>
            </w:r>
            <w:r w:rsidRPr="254FB3CE">
              <w:rPr>
                <w:rFonts w:eastAsia="Verdana" w:cs="Verdana"/>
                <w:sz w:val="22"/>
                <w:szCs w:val="22"/>
                <w:lang w:val="en-US"/>
              </w:rPr>
              <w:t>​</w:t>
            </w:r>
          </w:p>
        </w:tc>
      </w:tr>
      <w:tr w:rsidR="00976DD7" w:rsidRPr="00BB5FC2" w14:paraId="6F5E0763" w14:textId="0D4051DD" w:rsidTr="254FB3CE">
        <w:trPr>
          <w:trHeight w:val="825"/>
        </w:trPr>
        <w:tc>
          <w:tcPr>
            <w:tcW w:w="3327"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60030C72"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Theatre Utilisation Rate</w:t>
            </w:r>
            <w:r w:rsidRPr="254FB3CE">
              <w:rPr>
                <w:rFonts w:eastAsia="Verdana" w:cs="Verdana"/>
                <w:sz w:val="22"/>
                <w:szCs w:val="22"/>
                <w:lang w:val="en-US"/>
              </w:rPr>
              <w:t>​</w:t>
            </w:r>
          </w:p>
        </w:tc>
        <w:tc>
          <w:tcPr>
            <w:tcW w:w="506"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700154C4"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&gt; 85%</w:t>
            </w:r>
            <w:r w:rsidRPr="254FB3CE">
              <w:rPr>
                <w:rFonts w:eastAsia="Verdana" w:cs="Verdana"/>
                <w:sz w:val="22"/>
                <w:szCs w:val="22"/>
                <w:lang w:val="en-US"/>
              </w:rPr>
              <w:t>​</w:t>
            </w:r>
          </w:p>
        </w:tc>
        <w:tc>
          <w:tcPr>
            <w:tcW w:w="577"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5AD52819"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73%</w:t>
            </w:r>
            <w:r w:rsidRPr="254FB3CE">
              <w:rPr>
                <w:rFonts w:eastAsia="Verdana" w:cs="Verdana"/>
                <w:sz w:val="22"/>
                <w:szCs w:val="22"/>
                <w:lang w:val="en-US"/>
              </w:rPr>
              <w:t>​</w:t>
            </w:r>
          </w:p>
        </w:tc>
        <w:tc>
          <w:tcPr>
            <w:tcW w:w="590"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3E702591"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75%</w:t>
            </w:r>
            <w:r w:rsidRPr="254FB3CE">
              <w:rPr>
                <w:rFonts w:eastAsia="Verdana" w:cs="Verdana"/>
                <w:sz w:val="22"/>
                <w:szCs w:val="22"/>
                <w:lang w:val="en-US"/>
              </w:rPr>
              <w:t>​</w:t>
            </w:r>
          </w:p>
        </w:tc>
      </w:tr>
      <w:tr w:rsidR="00976DD7" w:rsidRPr="00BB5FC2" w14:paraId="09B86D5F" w14:textId="1A0D716B" w:rsidTr="254FB3CE">
        <w:trPr>
          <w:trHeight w:val="780"/>
        </w:trPr>
        <w:tc>
          <w:tcPr>
            <w:tcW w:w="3327"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054E4765"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Percentage of Late Starts (15-minute target)</w:t>
            </w:r>
            <w:r w:rsidRPr="254FB3CE">
              <w:rPr>
                <w:rFonts w:eastAsia="Verdana" w:cs="Verdana"/>
                <w:sz w:val="22"/>
                <w:szCs w:val="22"/>
                <w:lang w:val="en-US"/>
              </w:rPr>
              <w:t>​</w:t>
            </w:r>
          </w:p>
        </w:tc>
        <w:tc>
          <w:tcPr>
            <w:tcW w:w="506"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2715ACDC"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&lt; 20%</w:t>
            </w:r>
            <w:r w:rsidRPr="254FB3CE">
              <w:rPr>
                <w:rFonts w:eastAsia="Verdana" w:cs="Verdana"/>
                <w:sz w:val="22"/>
                <w:szCs w:val="22"/>
                <w:lang w:val="en-US"/>
              </w:rPr>
              <w:t>​</w:t>
            </w:r>
          </w:p>
        </w:tc>
        <w:tc>
          <w:tcPr>
            <w:tcW w:w="577"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46CA5D94"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25%</w:t>
            </w:r>
            <w:r w:rsidRPr="254FB3CE">
              <w:rPr>
                <w:rFonts w:eastAsia="Verdana" w:cs="Verdana"/>
                <w:sz w:val="22"/>
                <w:szCs w:val="22"/>
                <w:lang w:val="en-US"/>
              </w:rPr>
              <w:t>​</w:t>
            </w:r>
          </w:p>
        </w:tc>
        <w:tc>
          <w:tcPr>
            <w:tcW w:w="590"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5C74D912"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19%</w:t>
            </w:r>
            <w:r w:rsidRPr="254FB3CE">
              <w:rPr>
                <w:rFonts w:eastAsia="Verdana" w:cs="Verdana"/>
                <w:sz w:val="22"/>
                <w:szCs w:val="22"/>
                <w:lang w:val="en-US"/>
              </w:rPr>
              <w:t>​</w:t>
            </w:r>
          </w:p>
        </w:tc>
      </w:tr>
      <w:tr w:rsidR="00976DD7" w:rsidRPr="00BB5FC2" w14:paraId="7CC72F9A" w14:textId="6CB17BDC" w:rsidTr="254FB3CE">
        <w:trPr>
          <w:trHeight w:val="705"/>
        </w:trPr>
        <w:tc>
          <w:tcPr>
            <w:tcW w:w="3327"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03488339"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Percentage of Early Finishes (60-minute target)</w:t>
            </w:r>
            <w:r w:rsidRPr="254FB3CE">
              <w:rPr>
                <w:rFonts w:eastAsia="Verdana" w:cs="Verdana"/>
                <w:sz w:val="22"/>
                <w:szCs w:val="22"/>
                <w:lang w:val="en-US"/>
              </w:rPr>
              <w:t>​</w:t>
            </w:r>
          </w:p>
        </w:tc>
        <w:tc>
          <w:tcPr>
            <w:tcW w:w="506"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0FDECD8B"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&lt; 10%</w:t>
            </w:r>
            <w:r w:rsidRPr="254FB3CE">
              <w:rPr>
                <w:rFonts w:eastAsia="Verdana" w:cs="Verdana"/>
                <w:sz w:val="22"/>
                <w:szCs w:val="22"/>
                <w:lang w:val="en-US"/>
              </w:rPr>
              <w:t>​</w:t>
            </w:r>
          </w:p>
        </w:tc>
        <w:tc>
          <w:tcPr>
            <w:tcW w:w="577"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583087EE"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42%</w:t>
            </w:r>
            <w:r w:rsidRPr="254FB3CE">
              <w:rPr>
                <w:rFonts w:eastAsia="Verdana" w:cs="Verdana"/>
                <w:sz w:val="22"/>
                <w:szCs w:val="22"/>
                <w:lang w:val="en-US"/>
              </w:rPr>
              <w:t>​</w:t>
            </w:r>
          </w:p>
        </w:tc>
        <w:tc>
          <w:tcPr>
            <w:tcW w:w="590"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58DBA148"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39%</w:t>
            </w:r>
            <w:r w:rsidRPr="254FB3CE">
              <w:rPr>
                <w:rFonts w:eastAsia="Verdana" w:cs="Verdana"/>
                <w:sz w:val="22"/>
                <w:szCs w:val="22"/>
                <w:lang w:val="en-US"/>
              </w:rPr>
              <w:t>​</w:t>
            </w:r>
          </w:p>
        </w:tc>
      </w:tr>
      <w:tr w:rsidR="00976DD7" w:rsidRPr="00BB5FC2" w14:paraId="2E13FB69" w14:textId="6CF4BF76" w:rsidTr="254FB3CE">
        <w:trPr>
          <w:trHeight w:val="750"/>
        </w:trPr>
        <w:tc>
          <w:tcPr>
            <w:tcW w:w="3327"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7EB0DE"/>
            <w:vAlign w:val="center"/>
            <w:hideMark/>
          </w:tcPr>
          <w:p w14:paraId="007A2F18"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Theatres (Singleton Hospital)</w:t>
            </w:r>
            <w:r w:rsidRPr="254FB3CE">
              <w:rPr>
                <w:rFonts w:eastAsia="Verdana" w:cs="Verdana"/>
                <w:sz w:val="22"/>
                <w:szCs w:val="22"/>
                <w:lang w:val="en-US"/>
              </w:rPr>
              <w:t>​</w:t>
            </w:r>
          </w:p>
        </w:tc>
        <w:tc>
          <w:tcPr>
            <w:tcW w:w="506"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7EB0DE"/>
            <w:vAlign w:val="center"/>
            <w:hideMark/>
          </w:tcPr>
          <w:p w14:paraId="6A6D60D7"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Target</w:t>
            </w:r>
            <w:r w:rsidRPr="254FB3CE">
              <w:rPr>
                <w:rFonts w:eastAsia="Verdana" w:cs="Verdana"/>
                <w:sz w:val="22"/>
                <w:szCs w:val="22"/>
                <w:lang w:val="en-US"/>
              </w:rPr>
              <w:t>​</w:t>
            </w:r>
          </w:p>
        </w:tc>
        <w:tc>
          <w:tcPr>
            <w:tcW w:w="577"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7EB0DE"/>
            <w:vAlign w:val="center"/>
            <w:hideMark/>
          </w:tcPr>
          <w:p w14:paraId="1F575A31"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June-26</w:t>
            </w:r>
            <w:r w:rsidRPr="254FB3CE">
              <w:rPr>
                <w:rFonts w:eastAsia="Verdana" w:cs="Verdana"/>
                <w:sz w:val="22"/>
                <w:szCs w:val="22"/>
                <w:lang w:val="en-US"/>
              </w:rPr>
              <w:t>​</w:t>
            </w:r>
          </w:p>
        </w:tc>
        <w:tc>
          <w:tcPr>
            <w:tcW w:w="590"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7EB0DE"/>
            <w:vAlign w:val="center"/>
            <w:hideMark/>
          </w:tcPr>
          <w:p w14:paraId="752BD840"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Jul-26</w:t>
            </w:r>
            <w:r w:rsidRPr="254FB3CE">
              <w:rPr>
                <w:rFonts w:eastAsia="Verdana" w:cs="Verdana"/>
                <w:sz w:val="22"/>
                <w:szCs w:val="22"/>
                <w:lang w:val="en-US"/>
              </w:rPr>
              <w:t>​</w:t>
            </w:r>
          </w:p>
        </w:tc>
      </w:tr>
      <w:tr w:rsidR="00976DD7" w:rsidRPr="00BB5FC2" w14:paraId="779F22B5" w14:textId="40FA52AF" w:rsidTr="254FB3CE">
        <w:trPr>
          <w:trHeight w:val="930"/>
        </w:trPr>
        <w:tc>
          <w:tcPr>
            <w:tcW w:w="3327"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4FA0B972"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Theatre Utilisation Rate</w:t>
            </w:r>
            <w:r w:rsidRPr="254FB3CE">
              <w:rPr>
                <w:rFonts w:eastAsia="Verdana" w:cs="Verdana"/>
                <w:sz w:val="22"/>
                <w:szCs w:val="22"/>
                <w:lang w:val="en-US"/>
              </w:rPr>
              <w:t>​</w:t>
            </w:r>
          </w:p>
        </w:tc>
        <w:tc>
          <w:tcPr>
            <w:tcW w:w="506"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63F71D22"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&gt; 85%</w:t>
            </w:r>
            <w:r w:rsidRPr="254FB3CE">
              <w:rPr>
                <w:rFonts w:eastAsia="Verdana" w:cs="Verdana"/>
                <w:sz w:val="22"/>
                <w:szCs w:val="22"/>
                <w:lang w:val="en-US"/>
              </w:rPr>
              <w:t>​</w:t>
            </w:r>
          </w:p>
        </w:tc>
        <w:tc>
          <w:tcPr>
            <w:tcW w:w="577"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2E01B54C"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78%</w:t>
            </w:r>
            <w:r w:rsidRPr="254FB3CE">
              <w:rPr>
                <w:rFonts w:eastAsia="Verdana" w:cs="Verdana"/>
                <w:sz w:val="22"/>
                <w:szCs w:val="22"/>
                <w:lang w:val="en-US"/>
              </w:rPr>
              <w:t>​</w:t>
            </w:r>
          </w:p>
        </w:tc>
        <w:tc>
          <w:tcPr>
            <w:tcW w:w="590"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1294F59C"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79%</w:t>
            </w:r>
            <w:r w:rsidRPr="254FB3CE">
              <w:rPr>
                <w:rFonts w:eastAsia="Verdana" w:cs="Verdana"/>
                <w:sz w:val="22"/>
                <w:szCs w:val="22"/>
                <w:lang w:val="en-US"/>
              </w:rPr>
              <w:t>​</w:t>
            </w:r>
          </w:p>
        </w:tc>
      </w:tr>
      <w:tr w:rsidR="00976DD7" w:rsidRPr="00BB5FC2" w14:paraId="6C95B9EB" w14:textId="452F68F3" w:rsidTr="254FB3CE">
        <w:trPr>
          <w:trHeight w:val="840"/>
        </w:trPr>
        <w:tc>
          <w:tcPr>
            <w:tcW w:w="3327"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2F036D12"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Percentage of Late Starts (</w:t>
            </w:r>
            <w:proofErr w:type="gramStart"/>
            <w:r w:rsidRPr="254FB3CE">
              <w:rPr>
                <w:rFonts w:eastAsia="Verdana" w:cs="Verdana"/>
                <w:sz w:val="22"/>
                <w:szCs w:val="22"/>
              </w:rPr>
              <w:t>15 minute</w:t>
            </w:r>
            <w:proofErr w:type="gramEnd"/>
            <w:r w:rsidRPr="254FB3CE">
              <w:rPr>
                <w:rFonts w:eastAsia="Verdana" w:cs="Verdana"/>
                <w:sz w:val="22"/>
                <w:szCs w:val="22"/>
              </w:rPr>
              <w:t xml:space="preserve"> target)</w:t>
            </w:r>
            <w:r w:rsidRPr="254FB3CE">
              <w:rPr>
                <w:rFonts w:eastAsia="Verdana" w:cs="Verdana"/>
                <w:sz w:val="22"/>
                <w:szCs w:val="22"/>
                <w:lang w:val="en-US"/>
              </w:rPr>
              <w:t>​</w:t>
            </w:r>
          </w:p>
        </w:tc>
        <w:tc>
          <w:tcPr>
            <w:tcW w:w="506"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317C13FF"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&lt; 20%</w:t>
            </w:r>
            <w:r w:rsidRPr="254FB3CE">
              <w:rPr>
                <w:rFonts w:eastAsia="Verdana" w:cs="Verdana"/>
                <w:sz w:val="22"/>
                <w:szCs w:val="22"/>
                <w:lang w:val="en-US"/>
              </w:rPr>
              <w:t>​</w:t>
            </w:r>
          </w:p>
        </w:tc>
        <w:tc>
          <w:tcPr>
            <w:tcW w:w="577"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30758C67"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36%</w:t>
            </w:r>
            <w:r w:rsidRPr="254FB3CE">
              <w:rPr>
                <w:rFonts w:eastAsia="Verdana" w:cs="Verdana"/>
                <w:sz w:val="22"/>
                <w:szCs w:val="22"/>
                <w:lang w:val="en-US"/>
              </w:rPr>
              <w:t>​</w:t>
            </w:r>
          </w:p>
        </w:tc>
        <w:tc>
          <w:tcPr>
            <w:tcW w:w="590"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28980F75"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28%</w:t>
            </w:r>
            <w:r w:rsidRPr="254FB3CE">
              <w:rPr>
                <w:rFonts w:eastAsia="Verdana" w:cs="Verdana"/>
                <w:sz w:val="22"/>
                <w:szCs w:val="22"/>
                <w:lang w:val="en-US"/>
              </w:rPr>
              <w:t>​</w:t>
            </w:r>
          </w:p>
        </w:tc>
      </w:tr>
      <w:tr w:rsidR="00976DD7" w:rsidRPr="00BB5FC2" w14:paraId="5F667916" w14:textId="34B3DC38" w:rsidTr="254FB3CE">
        <w:trPr>
          <w:trHeight w:val="840"/>
        </w:trPr>
        <w:tc>
          <w:tcPr>
            <w:tcW w:w="3327"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470A51F9"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Percentage of Early Finishes (</w:t>
            </w:r>
            <w:proofErr w:type="gramStart"/>
            <w:r w:rsidRPr="254FB3CE">
              <w:rPr>
                <w:rFonts w:eastAsia="Verdana" w:cs="Verdana"/>
                <w:sz w:val="22"/>
                <w:szCs w:val="22"/>
              </w:rPr>
              <w:t>60 minute</w:t>
            </w:r>
            <w:proofErr w:type="gramEnd"/>
            <w:r w:rsidRPr="254FB3CE">
              <w:rPr>
                <w:rFonts w:eastAsia="Verdana" w:cs="Verdana"/>
                <w:sz w:val="22"/>
                <w:szCs w:val="22"/>
              </w:rPr>
              <w:t xml:space="preserve"> target)</w:t>
            </w:r>
            <w:r w:rsidRPr="254FB3CE">
              <w:rPr>
                <w:rFonts w:eastAsia="Verdana" w:cs="Verdana"/>
                <w:sz w:val="22"/>
                <w:szCs w:val="22"/>
                <w:lang w:val="en-US"/>
              </w:rPr>
              <w:t>​</w:t>
            </w:r>
          </w:p>
        </w:tc>
        <w:tc>
          <w:tcPr>
            <w:tcW w:w="506"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71F7A2FB"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&lt; 10%</w:t>
            </w:r>
            <w:r w:rsidRPr="254FB3CE">
              <w:rPr>
                <w:rFonts w:eastAsia="Verdana" w:cs="Verdana"/>
                <w:sz w:val="22"/>
                <w:szCs w:val="22"/>
                <w:lang w:val="en-US"/>
              </w:rPr>
              <w:t>​</w:t>
            </w:r>
          </w:p>
        </w:tc>
        <w:tc>
          <w:tcPr>
            <w:tcW w:w="577"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2C89FAA4"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24%</w:t>
            </w:r>
            <w:r w:rsidRPr="254FB3CE">
              <w:rPr>
                <w:rFonts w:eastAsia="Verdana" w:cs="Verdana"/>
                <w:sz w:val="22"/>
                <w:szCs w:val="22"/>
                <w:lang w:val="en-US"/>
              </w:rPr>
              <w:t>​</w:t>
            </w:r>
          </w:p>
        </w:tc>
        <w:tc>
          <w:tcPr>
            <w:tcW w:w="590"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44612F75" w14:textId="77777777" w:rsidR="00976DD7" w:rsidRPr="00BB5FC2" w:rsidRDefault="00976DD7" w:rsidP="254FB3CE">
            <w:pPr>
              <w:spacing w:after="0"/>
              <w:jc w:val="both"/>
              <w:rPr>
                <w:rFonts w:eastAsia="Verdana" w:cs="Verdana"/>
                <w:sz w:val="22"/>
                <w:szCs w:val="22"/>
                <w:lang w:val="en-US"/>
              </w:rPr>
            </w:pPr>
            <w:r w:rsidRPr="254FB3CE">
              <w:rPr>
                <w:rFonts w:eastAsia="Verdana" w:cs="Verdana"/>
                <w:sz w:val="22"/>
                <w:szCs w:val="22"/>
              </w:rPr>
              <w:t>19%</w:t>
            </w:r>
            <w:r w:rsidRPr="254FB3CE">
              <w:rPr>
                <w:rFonts w:eastAsia="Verdana" w:cs="Verdana"/>
                <w:sz w:val="22"/>
                <w:szCs w:val="22"/>
                <w:lang w:val="en-US"/>
              </w:rPr>
              <w:t>​</w:t>
            </w:r>
          </w:p>
        </w:tc>
      </w:tr>
    </w:tbl>
    <w:p w14:paraId="2EB93884" w14:textId="6B547BBC" w:rsidR="003E68DB" w:rsidRPr="003E68DB" w:rsidRDefault="003E68DB" w:rsidP="254FB3CE">
      <w:pPr>
        <w:spacing w:after="0"/>
        <w:jc w:val="both"/>
        <w:rPr>
          <w:rFonts w:eastAsia="Verdana" w:cs="Verdana"/>
          <w:b/>
          <w:bCs/>
          <w:color w:val="FF0000"/>
          <w:sz w:val="22"/>
          <w:szCs w:val="22"/>
        </w:rPr>
      </w:pPr>
    </w:p>
    <w:p w14:paraId="12B9DC6C" w14:textId="77777777" w:rsidR="003E68DB" w:rsidRPr="003E68DB" w:rsidRDefault="003E68DB" w:rsidP="254FB3CE">
      <w:pPr>
        <w:spacing w:after="0"/>
        <w:jc w:val="both"/>
        <w:rPr>
          <w:rFonts w:eastAsia="Verdana" w:cs="Verdana"/>
          <w:b/>
          <w:bCs/>
          <w:color w:val="FF0000"/>
          <w:sz w:val="22"/>
          <w:szCs w:val="22"/>
        </w:rPr>
      </w:pPr>
    </w:p>
    <w:p w14:paraId="2BA34081" w14:textId="52AD859A" w:rsidR="003E68DB" w:rsidRPr="003E68DB" w:rsidRDefault="003E68DB" w:rsidP="003E68DB">
      <w:pPr>
        <w:spacing w:after="0"/>
        <w:jc w:val="both"/>
        <w:rPr>
          <w:bCs/>
        </w:rPr>
      </w:pPr>
      <w:r w:rsidRPr="003E68DB">
        <w:rPr>
          <w:b/>
        </w:rPr>
        <w:lastRenderedPageBreak/>
        <w:t> </w:t>
      </w:r>
      <w:r w:rsidR="00BB5FC2" w:rsidRPr="007D328F">
        <w:rPr>
          <w:noProof/>
        </w:rPr>
        <w:drawing>
          <wp:inline distT="0" distB="0" distL="0" distR="0" wp14:anchorId="29C481BD" wp14:editId="354183F4">
            <wp:extent cx="5731510" cy="2734044"/>
            <wp:effectExtent l="0" t="0" r="2540" b="9525"/>
            <wp:docPr id="2110779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779609" name=""/>
                    <pic:cNvPicPr/>
                  </pic:nvPicPr>
                  <pic:blipFill rotWithShape="1">
                    <a:blip r:embed="rId11"/>
                    <a:srcRect l="31576" t="19170" r="21394" b="39086"/>
                    <a:stretch>
                      <a:fillRect/>
                    </a:stretch>
                  </pic:blipFill>
                  <pic:spPr bwMode="auto">
                    <a:xfrm>
                      <a:off x="0" y="0"/>
                      <a:ext cx="5731510" cy="2734044"/>
                    </a:xfrm>
                    <a:prstGeom prst="rect">
                      <a:avLst/>
                    </a:prstGeom>
                    <a:ln>
                      <a:noFill/>
                    </a:ln>
                    <a:extLst>
                      <a:ext uri="{53640926-AAD7-44D8-BBD7-CCE9431645EC}">
                        <a14:shadowObscured xmlns:a14="http://schemas.microsoft.com/office/drawing/2010/main"/>
                      </a:ext>
                    </a:extLst>
                  </pic:spPr>
                </pic:pic>
              </a:graphicData>
            </a:graphic>
          </wp:inline>
        </w:drawing>
      </w:r>
      <w:r w:rsidRPr="003E68DB">
        <w:rPr>
          <w:bCs/>
        </w:rPr>
        <w:t>The table above highlights an important point where overall improvements in theatre utilisation performance is impacted by a small number of specialties that are under-performing</w:t>
      </w:r>
      <w:r w:rsidR="00976DD7">
        <w:rPr>
          <w:bCs/>
        </w:rPr>
        <w:t>, which drags the overall performance down.</w:t>
      </w:r>
    </w:p>
    <w:p w14:paraId="30EE70BA" w14:textId="77777777" w:rsidR="003E68DB" w:rsidRPr="003E68DB" w:rsidRDefault="003E68DB" w:rsidP="003E68DB">
      <w:pPr>
        <w:spacing w:after="0"/>
        <w:jc w:val="both"/>
        <w:rPr>
          <w:bCs/>
          <w:lang w:val="en-US"/>
        </w:rPr>
      </w:pPr>
    </w:p>
    <w:p w14:paraId="067D8741" w14:textId="2DFD686C" w:rsidR="003E68DB" w:rsidRPr="003E68DB" w:rsidRDefault="003E68DB" w:rsidP="003E68DB">
      <w:pPr>
        <w:pStyle w:val="ListParagraph"/>
        <w:numPr>
          <w:ilvl w:val="1"/>
          <w:numId w:val="19"/>
        </w:numPr>
        <w:spacing w:after="0"/>
        <w:jc w:val="both"/>
        <w:rPr>
          <w:b/>
          <w:lang w:val="en-US"/>
        </w:rPr>
      </w:pPr>
      <w:r w:rsidRPr="003E68DB">
        <w:rPr>
          <w:b/>
          <w:lang w:val="en-US"/>
        </w:rPr>
        <w:t xml:space="preserve">Morriston </w:t>
      </w:r>
    </w:p>
    <w:p w14:paraId="59EAF654" w14:textId="77777777" w:rsidR="00976DD7" w:rsidRDefault="00976DD7" w:rsidP="003E68DB">
      <w:pPr>
        <w:spacing w:after="0"/>
        <w:jc w:val="both"/>
        <w:rPr>
          <w:bCs/>
          <w:lang w:val="en-US"/>
        </w:rPr>
      </w:pPr>
    </w:p>
    <w:p w14:paraId="18BA7A98" w14:textId="34728613" w:rsidR="003E68DB" w:rsidRPr="003E68DB" w:rsidRDefault="00976DD7" w:rsidP="254FB3CE">
      <w:pPr>
        <w:spacing w:after="0"/>
        <w:jc w:val="both"/>
        <w:rPr>
          <w:lang w:val="en-US"/>
        </w:rPr>
      </w:pPr>
      <w:r w:rsidRPr="254FB3CE">
        <w:rPr>
          <w:lang w:val="en-US"/>
        </w:rPr>
        <w:t>Performance remains stable at 84%. Late starts improved from 31% to 29% and early finishes from 33% to 29%, demonstrating strengthening operational discipline. Morriston continues to provide the benchmark model across the Health Board.</w:t>
      </w:r>
      <w:r w:rsidR="003E68DB" w:rsidRPr="254FB3CE">
        <w:rPr>
          <w:lang w:val="en-US"/>
        </w:rPr>
        <w:t xml:space="preserve"> The gap between Morriston and the other sites remains significant, highlighting additional / emergency capacity</w:t>
      </w:r>
      <w:r w:rsidR="003E68DB" w:rsidRPr="254FB3CE">
        <w:rPr>
          <w:b/>
          <w:bCs/>
          <w:lang w:val="en-US"/>
        </w:rPr>
        <w:t xml:space="preserve">, </w:t>
      </w:r>
      <w:r w:rsidR="003E68DB" w:rsidRPr="254FB3CE">
        <w:rPr>
          <w:lang w:val="en-US"/>
        </w:rPr>
        <w:t xml:space="preserve">3 session lists and overrunning </w:t>
      </w:r>
      <w:r w:rsidR="4E114216" w:rsidRPr="254FB3CE">
        <w:rPr>
          <w:lang w:val="en-US"/>
        </w:rPr>
        <w:t>lists</w:t>
      </w:r>
      <w:r w:rsidR="003E68DB" w:rsidRPr="254FB3CE">
        <w:rPr>
          <w:lang w:val="en-US"/>
        </w:rPr>
        <w:t xml:space="preserve"> influencing the upward utilisation trajectory.</w:t>
      </w:r>
    </w:p>
    <w:p w14:paraId="44FDD29D" w14:textId="77777777" w:rsidR="003E68DB" w:rsidRPr="003E68DB" w:rsidRDefault="003E68DB" w:rsidP="003E68DB">
      <w:pPr>
        <w:spacing w:after="0"/>
        <w:jc w:val="both"/>
        <w:rPr>
          <w:b/>
          <w:lang w:val="en-US"/>
        </w:rPr>
      </w:pPr>
    </w:p>
    <w:p w14:paraId="1BC25BFF" w14:textId="7C417564" w:rsidR="003E68DB" w:rsidRPr="003E68DB" w:rsidRDefault="003E68DB" w:rsidP="003E68DB">
      <w:pPr>
        <w:pStyle w:val="ListParagraph"/>
        <w:numPr>
          <w:ilvl w:val="1"/>
          <w:numId w:val="19"/>
        </w:numPr>
        <w:spacing w:after="0"/>
        <w:jc w:val="both"/>
        <w:rPr>
          <w:b/>
          <w:lang w:val="en-US"/>
        </w:rPr>
      </w:pPr>
      <w:r w:rsidRPr="003E68DB">
        <w:rPr>
          <w:b/>
          <w:lang w:val="en-US"/>
        </w:rPr>
        <w:t>NPT</w:t>
      </w:r>
    </w:p>
    <w:p w14:paraId="55EEA0C5" w14:textId="77777777" w:rsidR="00976DD7" w:rsidRDefault="00976DD7" w:rsidP="003E68DB">
      <w:pPr>
        <w:spacing w:after="0"/>
        <w:jc w:val="both"/>
        <w:rPr>
          <w:bCs/>
          <w:lang w:val="en-US"/>
        </w:rPr>
      </w:pPr>
    </w:p>
    <w:p w14:paraId="0A500B19" w14:textId="25F8D420" w:rsidR="003E68DB" w:rsidRPr="003E68DB" w:rsidRDefault="003E68DB" w:rsidP="003E68DB">
      <w:pPr>
        <w:spacing w:after="0"/>
        <w:jc w:val="both"/>
        <w:rPr>
          <w:bCs/>
          <w:lang w:val="en-US"/>
        </w:rPr>
      </w:pPr>
      <w:r w:rsidRPr="003E68DB">
        <w:rPr>
          <w:bCs/>
          <w:lang w:val="en-US"/>
        </w:rPr>
        <w:t>The table below highlights the performance in percentages per surgical specialty. There has been significant work conducted in Trauma, Orthopaedics and Spinal surgery to implement a weekly scheduling approach. The updated graphs illustrate ongoing variation between specialties who have now implemented elective operating toolkit actions.</w:t>
      </w:r>
    </w:p>
    <w:p w14:paraId="3BC6802B" w14:textId="04B99314" w:rsidR="003E68DB" w:rsidRPr="003E68DB" w:rsidRDefault="003E68DB" w:rsidP="003E68DB">
      <w:pPr>
        <w:spacing w:after="0"/>
        <w:jc w:val="both"/>
        <w:rPr>
          <w:bCs/>
          <w:lang w:val="en-US"/>
        </w:rPr>
      </w:pPr>
    </w:p>
    <w:p w14:paraId="492FD367" w14:textId="26E5FE14" w:rsidR="003E68DB" w:rsidRPr="003E68DB" w:rsidRDefault="00BB5FC2" w:rsidP="003E68DB">
      <w:pPr>
        <w:spacing w:after="0"/>
        <w:jc w:val="both"/>
        <w:rPr>
          <w:bCs/>
          <w:lang w:val="en-US"/>
        </w:rPr>
      </w:pPr>
      <w:r>
        <w:rPr>
          <w:noProof/>
        </w:rPr>
        <w:lastRenderedPageBreak/>
        <w:drawing>
          <wp:inline distT="0" distB="0" distL="0" distR="0" wp14:anchorId="6050FC30" wp14:editId="67B77969">
            <wp:extent cx="5731510" cy="2682875"/>
            <wp:effectExtent l="0" t="0" r="2540" b="3175"/>
            <wp:docPr id="724284283" name="Chart 1">
              <a:extLst xmlns:a="http://schemas.openxmlformats.org/drawingml/2006/main">
                <a:ext uri="{FF2B5EF4-FFF2-40B4-BE49-F238E27FC236}">
                  <a16:creationId xmlns:a16="http://schemas.microsoft.com/office/drawing/2014/main" id="{D765C9C8-C37E-B714-2FFE-C71BB26044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4D9FA41" w14:textId="77777777" w:rsidR="00976DD7" w:rsidRDefault="00976DD7" w:rsidP="00976DD7">
      <w:pPr>
        <w:spacing w:after="0"/>
        <w:jc w:val="both"/>
        <w:rPr>
          <w:bCs/>
          <w:lang w:val="en-US"/>
        </w:rPr>
      </w:pPr>
    </w:p>
    <w:p w14:paraId="4D6C0F57" w14:textId="26869A4B" w:rsidR="00976DD7" w:rsidRPr="00976DD7" w:rsidRDefault="00976DD7" w:rsidP="00976DD7">
      <w:pPr>
        <w:spacing w:after="0"/>
        <w:jc w:val="both"/>
        <w:rPr>
          <w:bCs/>
          <w:lang w:val="en-US"/>
        </w:rPr>
      </w:pPr>
      <w:r w:rsidRPr="00976DD7">
        <w:rPr>
          <w:bCs/>
          <w:lang w:val="en-US"/>
        </w:rPr>
        <w:t xml:space="preserve">NPTH remains the most significant opportunity for improvement. </w:t>
      </w:r>
      <w:proofErr w:type="spellStart"/>
      <w:r w:rsidRPr="00976DD7">
        <w:rPr>
          <w:bCs/>
          <w:lang w:val="en-US"/>
        </w:rPr>
        <w:t>Utilisation</w:t>
      </w:r>
      <w:proofErr w:type="spellEnd"/>
      <w:r w:rsidRPr="00976DD7">
        <w:rPr>
          <w:bCs/>
          <w:lang w:val="en-US"/>
        </w:rPr>
        <w:t xml:space="preserve"> is unchanged overall and remains substantially below target. Early finishes remain exceptionally high at 40%. Specialty analysis shows Trauma &amp; Orthopaedics reaching 85% and Spinal Surgery sustaining strong performance, demonstrating that MDT planning and weekly scheduling are effective where consistently applied.</w:t>
      </w:r>
    </w:p>
    <w:p w14:paraId="59C342EE" w14:textId="77777777" w:rsidR="003E68DB" w:rsidRPr="003E68DB" w:rsidRDefault="003E68DB" w:rsidP="003E68DB">
      <w:pPr>
        <w:spacing w:after="0"/>
        <w:jc w:val="both"/>
        <w:rPr>
          <w:bCs/>
          <w:lang w:val="en-US"/>
        </w:rPr>
      </w:pPr>
    </w:p>
    <w:p w14:paraId="59B35724" w14:textId="13389274" w:rsidR="003E68DB" w:rsidRPr="003E68DB" w:rsidRDefault="00976DD7" w:rsidP="254FB3CE">
      <w:pPr>
        <w:spacing w:after="0"/>
        <w:jc w:val="both"/>
        <w:rPr>
          <w:lang w:val="en-US"/>
        </w:rPr>
      </w:pPr>
      <w:r w:rsidRPr="58B8C8FD">
        <w:rPr>
          <w:lang w:val="en-US"/>
        </w:rPr>
        <w:t xml:space="preserve">A focused piece of work within Theatres Operational Group (TOG) has been on late starts at NPTH theatres.  A dedicated session with key consultant colleagues took place with consultant level data presented on reasons for late starts.  Given this was at consultant </w:t>
      </w:r>
      <w:r w:rsidR="1D67548D" w:rsidRPr="58B8C8FD">
        <w:rPr>
          <w:lang w:val="en-US"/>
        </w:rPr>
        <w:t>level,</w:t>
      </w:r>
      <w:r w:rsidRPr="58B8C8FD">
        <w:rPr>
          <w:lang w:val="en-US"/>
        </w:rPr>
        <w:t xml:space="preserve"> it promoted accountability and personal performance improvement required.  The July data for late starts at NPTH has seen a </w:t>
      </w:r>
      <w:r w:rsidR="6A9197D5" w:rsidRPr="58B8C8FD">
        <w:rPr>
          <w:lang w:val="en-US"/>
        </w:rPr>
        <w:t>reduction in</w:t>
      </w:r>
      <w:r w:rsidRPr="58B8C8FD">
        <w:rPr>
          <w:lang w:val="en-US"/>
        </w:rPr>
        <w:t xml:space="preserve"> target performance and illustrates this approach can be effective.  However, further validation is required on whether it was just this approach or wider theatre initiatives that contributed to such an improvement. </w:t>
      </w:r>
    </w:p>
    <w:p w14:paraId="2F1DD194" w14:textId="540F3899" w:rsidR="003E68DB" w:rsidRDefault="003E68DB" w:rsidP="003E68DB">
      <w:pPr>
        <w:spacing w:after="0"/>
        <w:jc w:val="both"/>
        <w:rPr>
          <w:bCs/>
        </w:rPr>
      </w:pPr>
      <w:r w:rsidRPr="003E68DB">
        <w:rPr>
          <w:bCs/>
        </w:rPr>
        <w:t> </w:t>
      </w:r>
      <w:r w:rsidR="00BB5FC2" w:rsidRPr="007D328F">
        <w:rPr>
          <w:noProof/>
        </w:rPr>
        <w:drawing>
          <wp:inline distT="0" distB="0" distL="0" distR="0" wp14:anchorId="0D7E3A4E" wp14:editId="38FB43B4">
            <wp:extent cx="5731510" cy="2051451"/>
            <wp:effectExtent l="0" t="0" r="2540" b="6350"/>
            <wp:docPr id="1964823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823755" name=""/>
                    <pic:cNvPicPr/>
                  </pic:nvPicPr>
                  <pic:blipFill rotWithShape="1">
                    <a:blip r:embed="rId13"/>
                    <a:srcRect l="32023" t="19994" r="21444" b="49014"/>
                    <a:stretch>
                      <a:fillRect/>
                    </a:stretch>
                  </pic:blipFill>
                  <pic:spPr bwMode="auto">
                    <a:xfrm>
                      <a:off x="0" y="0"/>
                      <a:ext cx="5731510" cy="2051451"/>
                    </a:xfrm>
                    <a:prstGeom prst="rect">
                      <a:avLst/>
                    </a:prstGeom>
                    <a:ln>
                      <a:noFill/>
                    </a:ln>
                    <a:extLst>
                      <a:ext uri="{53640926-AAD7-44D8-BBD7-CCE9431645EC}">
                        <a14:shadowObscured xmlns:a14="http://schemas.microsoft.com/office/drawing/2010/main"/>
                      </a:ext>
                    </a:extLst>
                  </pic:spPr>
                </pic:pic>
              </a:graphicData>
            </a:graphic>
          </wp:inline>
        </w:drawing>
      </w:r>
    </w:p>
    <w:p w14:paraId="16AAC9A3" w14:textId="77777777" w:rsidR="00976DD7" w:rsidRPr="003E68DB" w:rsidRDefault="00976DD7" w:rsidP="003E68DB">
      <w:pPr>
        <w:spacing w:after="0"/>
        <w:jc w:val="both"/>
        <w:rPr>
          <w:bCs/>
          <w:lang w:val="en-US"/>
        </w:rPr>
      </w:pPr>
    </w:p>
    <w:p w14:paraId="1930A068" w14:textId="6795B93D" w:rsidR="003E68DB" w:rsidRPr="003E68DB" w:rsidRDefault="003E68DB" w:rsidP="003E68DB">
      <w:pPr>
        <w:pStyle w:val="ListParagraph"/>
        <w:numPr>
          <w:ilvl w:val="1"/>
          <w:numId w:val="19"/>
        </w:numPr>
        <w:spacing w:after="0"/>
        <w:jc w:val="both"/>
        <w:rPr>
          <w:b/>
          <w:lang w:val="en-US"/>
        </w:rPr>
      </w:pPr>
      <w:r w:rsidRPr="003E68DB">
        <w:rPr>
          <w:b/>
          <w:lang w:val="en-US"/>
        </w:rPr>
        <w:lastRenderedPageBreak/>
        <w:t>Singleton</w:t>
      </w:r>
    </w:p>
    <w:p w14:paraId="536B531B" w14:textId="77777777" w:rsidR="00976DD7" w:rsidRDefault="00976DD7" w:rsidP="003E68DB">
      <w:pPr>
        <w:spacing w:after="0"/>
        <w:jc w:val="both"/>
        <w:rPr>
          <w:bCs/>
          <w:lang w:val="en-US"/>
        </w:rPr>
      </w:pPr>
    </w:p>
    <w:p w14:paraId="382150E1" w14:textId="00EF0FEE" w:rsidR="003E68DB" w:rsidRDefault="00976DD7" w:rsidP="254FB3CE">
      <w:pPr>
        <w:spacing w:after="0"/>
        <w:jc w:val="both"/>
        <w:rPr>
          <w:lang w:val="en-US"/>
        </w:rPr>
      </w:pPr>
      <w:r w:rsidRPr="254FB3CE">
        <w:rPr>
          <w:lang w:val="en-US"/>
        </w:rPr>
        <w:t xml:space="preserve">Singleton continues to perform below target with deterioration during August. Ophthalmology improvements remain </w:t>
      </w:r>
      <w:r w:rsidR="37814D0D" w:rsidRPr="254FB3CE">
        <w:rPr>
          <w:lang w:val="en-US"/>
        </w:rPr>
        <w:t>evident;</w:t>
      </w:r>
      <w:r w:rsidRPr="254FB3CE">
        <w:rPr>
          <w:lang w:val="en-US"/>
        </w:rPr>
        <w:t xml:space="preserve"> </w:t>
      </w:r>
      <w:r w:rsidR="7268E75D" w:rsidRPr="254FB3CE">
        <w:rPr>
          <w:lang w:val="en-US"/>
        </w:rPr>
        <w:t>however,</w:t>
      </w:r>
      <w:r w:rsidRPr="254FB3CE">
        <w:rPr>
          <w:lang w:val="en-US"/>
        </w:rPr>
        <w:t xml:space="preserve"> utilisation gains have not translated into sustained site-wide performance. Late starts increased to 35%, suggesting operational reliability issues remain.</w:t>
      </w:r>
    </w:p>
    <w:p w14:paraId="07173C79" w14:textId="77777777" w:rsidR="00976DD7" w:rsidRDefault="00976DD7" w:rsidP="003E68DB">
      <w:pPr>
        <w:spacing w:after="0"/>
        <w:jc w:val="both"/>
        <w:rPr>
          <w:bCs/>
          <w:lang w:val="en-US"/>
        </w:rPr>
      </w:pPr>
    </w:p>
    <w:p w14:paraId="06142A04" w14:textId="170631CB" w:rsidR="00976DD7" w:rsidRDefault="00976DD7" w:rsidP="003E68DB">
      <w:pPr>
        <w:spacing w:after="0"/>
        <w:jc w:val="both"/>
        <w:rPr>
          <w:bCs/>
          <w:lang w:val="en-US"/>
        </w:rPr>
      </w:pPr>
      <w:r>
        <w:rPr>
          <w:bCs/>
          <w:lang w:val="en-US"/>
        </w:rPr>
        <w:t>Following validation, the aim will be to roll out the same approaches carried out to late starts in NPTH to Singleton, with a view to seeing a sustained improvement trajectory.</w:t>
      </w:r>
    </w:p>
    <w:p w14:paraId="291B9C60" w14:textId="77777777" w:rsidR="00976DD7" w:rsidRPr="003E68DB" w:rsidRDefault="00976DD7" w:rsidP="003E68DB">
      <w:pPr>
        <w:spacing w:after="0"/>
        <w:jc w:val="both"/>
        <w:rPr>
          <w:bCs/>
          <w:lang w:val="en-US"/>
        </w:rPr>
      </w:pPr>
    </w:p>
    <w:p w14:paraId="3D469A17" w14:textId="77777777" w:rsidR="003E68DB" w:rsidRPr="003E68DB" w:rsidRDefault="003E68DB" w:rsidP="003E68DB">
      <w:pPr>
        <w:spacing w:after="0"/>
        <w:jc w:val="both"/>
        <w:rPr>
          <w:bCs/>
          <w:lang w:val="en-US"/>
        </w:rPr>
      </w:pPr>
    </w:p>
    <w:p w14:paraId="582517D4" w14:textId="77777777" w:rsidR="00976DD7" w:rsidRDefault="00BB5FC2" w:rsidP="003E68DB">
      <w:pPr>
        <w:pStyle w:val="ListParagraph"/>
        <w:spacing w:after="0" w:line="240" w:lineRule="auto"/>
        <w:rPr>
          <w:b/>
        </w:rPr>
      </w:pPr>
      <w:r w:rsidRPr="007D328F">
        <w:rPr>
          <w:noProof/>
        </w:rPr>
        <w:drawing>
          <wp:inline distT="0" distB="0" distL="0" distR="0" wp14:anchorId="6CD09E91" wp14:editId="208B801B">
            <wp:extent cx="5731510" cy="2305468"/>
            <wp:effectExtent l="0" t="0" r="2540" b="0"/>
            <wp:docPr id="697508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508979" name=""/>
                    <pic:cNvPicPr/>
                  </pic:nvPicPr>
                  <pic:blipFill rotWithShape="1">
                    <a:blip r:embed="rId14"/>
                    <a:srcRect l="31809" t="18995" r="21444" b="46014"/>
                    <a:stretch>
                      <a:fillRect/>
                    </a:stretch>
                  </pic:blipFill>
                  <pic:spPr bwMode="auto">
                    <a:xfrm>
                      <a:off x="0" y="0"/>
                      <a:ext cx="5731510" cy="2305468"/>
                    </a:xfrm>
                    <a:prstGeom prst="rect">
                      <a:avLst/>
                    </a:prstGeom>
                    <a:ln>
                      <a:noFill/>
                    </a:ln>
                    <a:extLst>
                      <a:ext uri="{53640926-AAD7-44D8-BBD7-CCE9431645EC}">
                        <a14:shadowObscured xmlns:a14="http://schemas.microsoft.com/office/drawing/2010/main"/>
                      </a:ext>
                    </a:extLst>
                  </pic:spPr>
                </pic:pic>
              </a:graphicData>
            </a:graphic>
          </wp:inline>
        </w:drawing>
      </w:r>
    </w:p>
    <w:p w14:paraId="62E59EE7" w14:textId="77777777" w:rsidR="00976DD7" w:rsidRDefault="00976DD7" w:rsidP="00976DD7">
      <w:pPr>
        <w:spacing w:after="0" w:line="240" w:lineRule="auto"/>
        <w:rPr>
          <w:bCs/>
          <w:lang w:val="en-US"/>
        </w:rPr>
      </w:pPr>
    </w:p>
    <w:p w14:paraId="7DAC1A5B" w14:textId="77777777" w:rsidR="00976DD7" w:rsidRPr="00976DD7" w:rsidRDefault="00976DD7" w:rsidP="00976DD7">
      <w:pPr>
        <w:pStyle w:val="ListParagraph"/>
        <w:numPr>
          <w:ilvl w:val="0"/>
          <w:numId w:val="2"/>
        </w:numPr>
        <w:spacing w:after="0" w:line="240" w:lineRule="auto"/>
        <w:rPr>
          <w:b/>
        </w:rPr>
      </w:pPr>
      <w:r w:rsidRPr="00976DD7">
        <w:rPr>
          <w:b/>
          <w:lang w:val="en-US"/>
        </w:rPr>
        <w:t>ACTIONS GOING FORWARD</w:t>
      </w:r>
    </w:p>
    <w:p w14:paraId="34462400" w14:textId="77777777" w:rsidR="00976DD7" w:rsidRDefault="00976DD7" w:rsidP="00976DD7">
      <w:pPr>
        <w:spacing w:after="0" w:line="240" w:lineRule="auto"/>
        <w:rPr>
          <w:bCs/>
          <w:lang w:val="en-US"/>
        </w:rPr>
      </w:pPr>
    </w:p>
    <w:p w14:paraId="09D9C7E7" w14:textId="77777777" w:rsidR="00976DD7" w:rsidRDefault="00976DD7" w:rsidP="00976DD7">
      <w:pPr>
        <w:spacing w:after="0" w:line="240" w:lineRule="auto"/>
        <w:jc w:val="both"/>
        <w:rPr>
          <w:bCs/>
          <w:lang w:val="en-US"/>
        </w:rPr>
      </w:pPr>
      <w:r>
        <w:rPr>
          <w:bCs/>
          <w:lang w:val="en-US"/>
        </w:rPr>
        <w:t>The Theatres Scheduling Group is responsible for ensuring scheduling and organisation of theatre lists complies with the 6-4-2 process.  The actions that have been set for the group following quarter 2 performance reporting are as follows:</w:t>
      </w:r>
    </w:p>
    <w:p w14:paraId="7E1DE1A7" w14:textId="77777777" w:rsidR="00976DD7" w:rsidRDefault="00976DD7" w:rsidP="00976DD7">
      <w:pPr>
        <w:spacing w:after="0" w:line="240" w:lineRule="auto"/>
        <w:jc w:val="both"/>
        <w:rPr>
          <w:bCs/>
          <w:lang w:val="en-US"/>
        </w:rPr>
      </w:pPr>
    </w:p>
    <w:p w14:paraId="6B0DD76B" w14:textId="77777777" w:rsidR="00976DD7" w:rsidRDefault="00976DD7" w:rsidP="00976DD7">
      <w:pPr>
        <w:pStyle w:val="ListParagraph"/>
        <w:numPr>
          <w:ilvl w:val="0"/>
          <w:numId w:val="26"/>
        </w:numPr>
        <w:spacing w:after="0" w:line="240" w:lineRule="auto"/>
        <w:jc w:val="both"/>
        <w:rPr>
          <w:bCs/>
          <w:lang w:val="en-US"/>
        </w:rPr>
      </w:pPr>
      <w:r w:rsidRPr="00976DD7">
        <w:rPr>
          <w:bCs/>
          <w:lang w:val="en-US"/>
        </w:rPr>
        <w:t>Expand MDT scheduling and weekly list validation to all specialties.</w:t>
      </w:r>
    </w:p>
    <w:p w14:paraId="4D605C1D" w14:textId="77777777" w:rsidR="00976DD7" w:rsidRDefault="00976DD7" w:rsidP="00976DD7">
      <w:pPr>
        <w:pStyle w:val="ListParagraph"/>
        <w:numPr>
          <w:ilvl w:val="0"/>
          <w:numId w:val="26"/>
        </w:numPr>
        <w:spacing w:after="0" w:line="240" w:lineRule="auto"/>
        <w:jc w:val="both"/>
        <w:rPr>
          <w:bCs/>
          <w:lang w:val="en-US"/>
        </w:rPr>
      </w:pPr>
      <w:r w:rsidRPr="00976DD7">
        <w:rPr>
          <w:bCs/>
          <w:lang w:val="en-US"/>
        </w:rPr>
        <w:t xml:space="preserve">Implement consultant-level exception reporting for late starts and early finishes. </w:t>
      </w:r>
    </w:p>
    <w:p w14:paraId="3B747B2A" w14:textId="01A7D02E" w:rsidR="00976DD7" w:rsidRDefault="00976DD7" w:rsidP="254FB3CE">
      <w:pPr>
        <w:pStyle w:val="ListParagraph"/>
        <w:numPr>
          <w:ilvl w:val="0"/>
          <w:numId w:val="26"/>
        </w:numPr>
        <w:spacing w:after="0" w:line="240" w:lineRule="auto"/>
        <w:jc w:val="both"/>
        <w:rPr>
          <w:lang w:val="en-US"/>
        </w:rPr>
      </w:pPr>
      <w:r w:rsidRPr="254FB3CE">
        <w:rPr>
          <w:lang w:val="en-US"/>
        </w:rPr>
        <w:t xml:space="preserve">Prioritise recovery plans for Vascular, General </w:t>
      </w:r>
      <w:r w:rsidR="0D17979A" w:rsidRPr="254FB3CE">
        <w:rPr>
          <w:lang w:val="en-US"/>
        </w:rPr>
        <w:t>Surgery,</w:t>
      </w:r>
      <w:r w:rsidRPr="254FB3CE">
        <w:rPr>
          <w:lang w:val="en-US"/>
        </w:rPr>
        <w:t xml:space="preserve"> and Gynaecology. </w:t>
      </w:r>
    </w:p>
    <w:p w14:paraId="5E9EF94D" w14:textId="77777777" w:rsidR="00976DD7" w:rsidRDefault="00976DD7" w:rsidP="00976DD7">
      <w:pPr>
        <w:pStyle w:val="ListParagraph"/>
        <w:numPr>
          <w:ilvl w:val="0"/>
          <w:numId w:val="26"/>
        </w:numPr>
        <w:spacing w:after="0" w:line="240" w:lineRule="auto"/>
        <w:jc w:val="both"/>
        <w:rPr>
          <w:bCs/>
          <w:lang w:val="en-US"/>
        </w:rPr>
      </w:pPr>
      <w:r w:rsidRPr="00976DD7">
        <w:rPr>
          <w:bCs/>
          <w:lang w:val="en-US"/>
        </w:rPr>
        <w:t xml:space="preserve">Embed the Elective Surgery Toolkit across all sites. </w:t>
      </w:r>
    </w:p>
    <w:p w14:paraId="6D290421" w14:textId="13CEFAFB" w:rsidR="00653AEC" w:rsidRPr="00976DD7" w:rsidRDefault="003E68DB" w:rsidP="00976DD7">
      <w:pPr>
        <w:pStyle w:val="ListParagraph"/>
        <w:spacing w:after="0" w:line="240" w:lineRule="auto"/>
        <w:jc w:val="both"/>
        <w:rPr>
          <w:bCs/>
          <w:lang w:val="en-US"/>
        </w:rPr>
      </w:pPr>
      <w:r w:rsidRPr="00976DD7">
        <w:rPr>
          <w:bCs/>
          <w:lang w:val="en-US"/>
        </w:rPr>
        <w:br/>
      </w:r>
    </w:p>
    <w:p w14:paraId="6D290422" w14:textId="77777777" w:rsidR="00653AEC" w:rsidRPr="003E68DB" w:rsidRDefault="00653AEC" w:rsidP="00653AEC">
      <w:pPr>
        <w:pStyle w:val="ListParagraph"/>
        <w:numPr>
          <w:ilvl w:val="0"/>
          <w:numId w:val="2"/>
        </w:numPr>
        <w:spacing w:after="0" w:line="240" w:lineRule="auto"/>
        <w:rPr>
          <w:b/>
        </w:rPr>
      </w:pPr>
      <w:r w:rsidRPr="003E68DB">
        <w:rPr>
          <w:b/>
        </w:rPr>
        <w:t>GOVERNANCE AND RISK ISSUES</w:t>
      </w:r>
    </w:p>
    <w:p w14:paraId="4C357AFD" w14:textId="77777777" w:rsidR="00976DD7" w:rsidRDefault="00976DD7" w:rsidP="003E68DB">
      <w:pPr>
        <w:spacing w:after="0"/>
        <w:jc w:val="both"/>
      </w:pPr>
    </w:p>
    <w:p w14:paraId="30D56DEC" w14:textId="3E9A9AE8" w:rsidR="003E68DB" w:rsidRPr="003E68DB" w:rsidRDefault="003E68DB" w:rsidP="003E68DB">
      <w:pPr>
        <w:spacing w:after="0"/>
        <w:jc w:val="both"/>
      </w:pPr>
      <w:r w:rsidRPr="003E68DB">
        <w:t>The current position reflects variation in operational maturity and consistency across sites and specialties.  Key risks include:</w:t>
      </w:r>
    </w:p>
    <w:p w14:paraId="06E6B4DB" w14:textId="77777777" w:rsidR="003E68DB" w:rsidRPr="003E68DB" w:rsidRDefault="003E68DB" w:rsidP="003E68DB">
      <w:pPr>
        <w:spacing w:after="0"/>
        <w:jc w:val="both"/>
      </w:pPr>
    </w:p>
    <w:p w14:paraId="5BB4D8EC" w14:textId="77777777" w:rsidR="003E68DB" w:rsidRPr="003E68DB" w:rsidRDefault="003E68DB" w:rsidP="003E68DB">
      <w:pPr>
        <w:pStyle w:val="ListParagraph"/>
        <w:numPr>
          <w:ilvl w:val="0"/>
          <w:numId w:val="22"/>
        </w:numPr>
        <w:spacing w:after="0"/>
        <w:jc w:val="both"/>
      </w:pPr>
      <w:r w:rsidRPr="003E68DB">
        <w:t>Failure to achieve the 85% utilisation target</w:t>
      </w:r>
    </w:p>
    <w:p w14:paraId="43F2CBBF" w14:textId="77777777" w:rsidR="003E68DB" w:rsidRPr="003E68DB" w:rsidRDefault="003E68DB" w:rsidP="003E68DB">
      <w:pPr>
        <w:pStyle w:val="ListParagraph"/>
        <w:numPr>
          <w:ilvl w:val="0"/>
          <w:numId w:val="22"/>
        </w:numPr>
        <w:spacing w:after="0"/>
        <w:jc w:val="both"/>
      </w:pPr>
      <w:r w:rsidRPr="003E68DB">
        <w:t>Continued inefficiencies resulting in lost elective capacity</w:t>
      </w:r>
    </w:p>
    <w:p w14:paraId="547F3B72" w14:textId="77777777" w:rsidR="003E68DB" w:rsidRPr="003E68DB" w:rsidRDefault="003E68DB" w:rsidP="003E68DB">
      <w:pPr>
        <w:pStyle w:val="ListParagraph"/>
        <w:numPr>
          <w:ilvl w:val="0"/>
          <w:numId w:val="22"/>
        </w:numPr>
        <w:spacing w:after="0"/>
        <w:jc w:val="both"/>
      </w:pPr>
      <w:r w:rsidRPr="003E68DB">
        <w:t>Inability to maximise productivity within existing resources</w:t>
      </w:r>
    </w:p>
    <w:p w14:paraId="3018752F" w14:textId="77777777" w:rsidR="003E68DB" w:rsidRPr="003E68DB" w:rsidRDefault="003E68DB" w:rsidP="003E68DB">
      <w:pPr>
        <w:spacing w:after="0"/>
        <w:jc w:val="both"/>
      </w:pPr>
    </w:p>
    <w:p w14:paraId="35544DB6" w14:textId="77777777" w:rsidR="003E68DB" w:rsidRPr="003E68DB" w:rsidRDefault="003E68DB" w:rsidP="003E68DB">
      <w:pPr>
        <w:spacing w:after="0"/>
        <w:jc w:val="both"/>
      </w:pPr>
      <w:r w:rsidRPr="003E68DB">
        <w:t>Mitigating actions include:</w:t>
      </w:r>
    </w:p>
    <w:p w14:paraId="7E361D73" w14:textId="77777777" w:rsidR="003E68DB" w:rsidRPr="003E68DB" w:rsidRDefault="003E68DB" w:rsidP="003E68DB">
      <w:pPr>
        <w:spacing w:after="0"/>
        <w:jc w:val="both"/>
      </w:pPr>
    </w:p>
    <w:p w14:paraId="7D14B8EA" w14:textId="77777777" w:rsidR="003E68DB" w:rsidRPr="003E68DB" w:rsidRDefault="003E68DB" w:rsidP="003E68DB">
      <w:pPr>
        <w:pStyle w:val="ListParagraph"/>
        <w:numPr>
          <w:ilvl w:val="0"/>
          <w:numId w:val="23"/>
        </w:numPr>
        <w:spacing w:after="0"/>
        <w:jc w:val="both"/>
      </w:pPr>
      <w:r w:rsidRPr="003E68DB">
        <w:t>Increased performance scrutiny at specialty and site level</w:t>
      </w:r>
    </w:p>
    <w:p w14:paraId="1F06D7D4" w14:textId="77777777" w:rsidR="003E68DB" w:rsidRPr="003E68DB" w:rsidRDefault="003E68DB" w:rsidP="003E68DB">
      <w:pPr>
        <w:pStyle w:val="ListParagraph"/>
        <w:numPr>
          <w:ilvl w:val="0"/>
          <w:numId w:val="23"/>
        </w:numPr>
        <w:spacing w:after="0"/>
        <w:jc w:val="both"/>
      </w:pPr>
      <w:r w:rsidRPr="003E68DB">
        <w:t>Standardisation of processes across the Health Board</w:t>
      </w:r>
    </w:p>
    <w:p w14:paraId="6492AC5E" w14:textId="77777777" w:rsidR="003E68DB" w:rsidRPr="003E68DB" w:rsidRDefault="003E68DB" w:rsidP="003E68DB">
      <w:pPr>
        <w:pStyle w:val="ListParagraph"/>
        <w:numPr>
          <w:ilvl w:val="0"/>
          <w:numId w:val="23"/>
        </w:numPr>
        <w:spacing w:after="0"/>
        <w:jc w:val="both"/>
      </w:pPr>
      <w:r w:rsidRPr="003E68DB">
        <w:t>Continued implementation of the elective surgery toolkit</w:t>
      </w:r>
    </w:p>
    <w:p w14:paraId="69EB6F82" w14:textId="77777777" w:rsidR="003E68DB" w:rsidRPr="003E68DB" w:rsidRDefault="003E68DB" w:rsidP="003E68DB">
      <w:pPr>
        <w:spacing w:after="0"/>
        <w:jc w:val="both"/>
      </w:pPr>
    </w:p>
    <w:p w14:paraId="6D290426" w14:textId="77777777" w:rsidR="00653AEC" w:rsidRPr="003E68DB" w:rsidRDefault="00653AEC" w:rsidP="00653AEC">
      <w:pPr>
        <w:pStyle w:val="ListParagraph"/>
        <w:spacing w:after="0" w:line="240" w:lineRule="auto"/>
        <w:rPr>
          <w:b/>
        </w:rPr>
      </w:pPr>
    </w:p>
    <w:p w14:paraId="7D6248A7" w14:textId="03FA6B07" w:rsidR="00B50ABC" w:rsidRPr="003E68DB" w:rsidRDefault="00653AEC" w:rsidP="00653AEC">
      <w:pPr>
        <w:pStyle w:val="ListParagraph"/>
        <w:numPr>
          <w:ilvl w:val="0"/>
          <w:numId w:val="2"/>
        </w:numPr>
        <w:spacing w:after="0" w:line="240" w:lineRule="auto"/>
        <w:rPr>
          <w:b/>
        </w:rPr>
      </w:pPr>
      <w:r w:rsidRPr="003E68DB">
        <w:rPr>
          <w:b/>
        </w:rPr>
        <w:t xml:space="preserve"> </w:t>
      </w:r>
      <w:r w:rsidR="00B50ABC" w:rsidRPr="003E68DB">
        <w:rPr>
          <w:b/>
          <w:bCs/>
        </w:rPr>
        <w:t xml:space="preserve">OPEN AUDIT RECOMMENDATIONS </w:t>
      </w:r>
    </w:p>
    <w:p w14:paraId="5FD9F30C" w14:textId="77777777" w:rsidR="00976DD7" w:rsidRDefault="00976DD7" w:rsidP="003E68DB">
      <w:pPr>
        <w:spacing w:after="0" w:line="240" w:lineRule="auto"/>
        <w:jc w:val="both"/>
      </w:pPr>
    </w:p>
    <w:p w14:paraId="350FB07C" w14:textId="7C4DED1A" w:rsidR="00B50ABC" w:rsidRPr="003E68DB" w:rsidRDefault="003E68DB" w:rsidP="003E68DB">
      <w:pPr>
        <w:spacing w:after="0" w:line="240" w:lineRule="auto"/>
        <w:jc w:val="both"/>
        <w:rPr>
          <w:b/>
        </w:rPr>
      </w:pPr>
      <w:r w:rsidRPr="003E68DB">
        <w:t>There are actions open again</w:t>
      </w:r>
      <w:r w:rsidR="00976DD7">
        <w:t>st the</w:t>
      </w:r>
      <w:r w:rsidRPr="003E68DB">
        <w:t xml:space="preserve"> theatre utilisation internal audit from September 2025. A</w:t>
      </w:r>
      <w:r w:rsidR="00976DD7">
        <w:t>n updated action plan has been requested by internal audit in September 2026 and will therefore be submitted to Theatre Board for ratification.</w:t>
      </w:r>
    </w:p>
    <w:p w14:paraId="2E68798D" w14:textId="77777777" w:rsidR="00B50ABC" w:rsidRPr="003E68DB" w:rsidRDefault="00B50ABC" w:rsidP="00B50ABC">
      <w:pPr>
        <w:spacing w:after="0" w:line="240" w:lineRule="auto"/>
        <w:rPr>
          <w:b/>
        </w:rPr>
      </w:pPr>
    </w:p>
    <w:p w14:paraId="6D290427" w14:textId="5AD01FD6" w:rsidR="00653AEC" w:rsidRPr="003E68DB" w:rsidRDefault="00653AEC" w:rsidP="00653AEC">
      <w:pPr>
        <w:pStyle w:val="ListParagraph"/>
        <w:numPr>
          <w:ilvl w:val="0"/>
          <w:numId w:val="2"/>
        </w:numPr>
        <w:spacing w:after="0" w:line="240" w:lineRule="auto"/>
        <w:rPr>
          <w:b/>
        </w:rPr>
      </w:pPr>
      <w:r w:rsidRPr="003E68DB">
        <w:rPr>
          <w:b/>
        </w:rPr>
        <w:t>FINANCIAL IMPLICATIONS</w:t>
      </w:r>
    </w:p>
    <w:p w14:paraId="66049CE9" w14:textId="77777777" w:rsidR="00976DD7" w:rsidRDefault="00976DD7" w:rsidP="003E68DB">
      <w:pPr>
        <w:spacing w:after="0" w:line="240" w:lineRule="auto"/>
        <w:jc w:val="both"/>
      </w:pPr>
    </w:p>
    <w:p w14:paraId="6D290429" w14:textId="05CB50D3" w:rsidR="00653AEC" w:rsidRPr="003E68DB" w:rsidRDefault="00976DD7" w:rsidP="003E68DB">
      <w:pPr>
        <w:spacing w:after="0" w:line="240" w:lineRule="auto"/>
        <w:jc w:val="both"/>
      </w:pPr>
      <w:r>
        <w:t>Additional Welsh Government funding has been allocated to the Health Board for Planned care performance.  The first phase of this funding particularly focuses on Orthopaedics and Ophthalmology activity which will impact theatre capacity and pre-assessment capacity.  Work is underway to understand the additional ask on both of these specialties so that capacity can be allocated efficiently.</w:t>
      </w:r>
      <w:r w:rsidR="003E68DB" w:rsidRPr="003E68DB">
        <w:t xml:space="preserve">  </w:t>
      </w:r>
    </w:p>
    <w:p w14:paraId="6EE8D662" w14:textId="77777777" w:rsidR="003E68DB" w:rsidRPr="003E68DB" w:rsidRDefault="003E68DB" w:rsidP="003E68DB">
      <w:pPr>
        <w:spacing w:after="0" w:line="240" w:lineRule="auto"/>
        <w:jc w:val="both"/>
        <w:rPr>
          <w:b/>
        </w:rPr>
      </w:pPr>
    </w:p>
    <w:p w14:paraId="6D29042A" w14:textId="77777777" w:rsidR="00653AEC" w:rsidRPr="003E68DB" w:rsidRDefault="00653AEC" w:rsidP="00653AEC">
      <w:pPr>
        <w:pStyle w:val="ListParagraph"/>
        <w:numPr>
          <w:ilvl w:val="0"/>
          <w:numId w:val="2"/>
        </w:numPr>
        <w:spacing w:after="0" w:line="240" w:lineRule="auto"/>
        <w:rPr>
          <w:b/>
        </w:rPr>
      </w:pPr>
      <w:r w:rsidRPr="003E68DB">
        <w:rPr>
          <w:b/>
        </w:rPr>
        <w:t>RECOMMENDATION</w:t>
      </w:r>
    </w:p>
    <w:p w14:paraId="06BDC851" w14:textId="77777777" w:rsidR="003E68DB" w:rsidRPr="003E68DB" w:rsidRDefault="003E68DB" w:rsidP="006A3A82">
      <w:pPr>
        <w:spacing w:after="0"/>
        <w:jc w:val="both"/>
      </w:pPr>
      <w:r w:rsidRPr="003E68DB">
        <w:t>The Performance and Finance Committee is asked to:</w:t>
      </w:r>
    </w:p>
    <w:p w14:paraId="39BA7563" w14:textId="77777777" w:rsidR="003E68DB" w:rsidRPr="003E68DB" w:rsidRDefault="003E68DB" w:rsidP="006A3A82">
      <w:pPr>
        <w:spacing w:after="0"/>
        <w:jc w:val="both"/>
      </w:pPr>
    </w:p>
    <w:p w14:paraId="41362604" w14:textId="77777777" w:rsidR="003E68DB" w:rsidRPr="003E68DB" w:rsidRDefault="003E68DB" w:rsidP="003E68DB">
      <w:pPr>
        <w:pStyle w:val="ListParagraph"/>
        <w:numPr>
          <w:ilvl w:val="0"/>
          <w:numId w:val="24"/>
        </w:numPr>
        <w:spacing w:after="0"/>
        <w:jc w:val="both"/>
      </w:pPr>
      <w:bookmarkStart w:id="0" w:name="_Hlk219266474"/>
      <w:r w:rsidRPr="254FB3CE">
        <w:rPr>
          <w:b/>
          <w:bCs/>
        </w:rPr>
        <w:t>ACKNOWLEDGE</w:t>
      </w:r>
      <w:r>
        <w:t xml:space="preserve"> the Theatres utilisation and efficiency update and the actions being taken to improve the overall performance in a sustainable and consistent manner.</w:t>
      </w:r>
    </w:p>
    <w:p w14:paraId="0A855CA8" w14:textId="77777777" w:rsidR="003E68DB" w:rsidRPr="003E68DB" w:rsidRDefault="003E68DB" w:rsidP="003E68DB">
      <w:pPr>
        <w:spacing w:after="0"/>
        <w:jc w:val="both"/>
      </w:pPr>
    </w:p>
    <w:tbl>
      <w:tblPr>
        <w:tblStyle w:val="TableGrid"/>
        <w:tblW w:w="9245" w:type="dxa"/>
        <w:tblLayout w:type="fixed"/>
        <w:tblLook w:val="04A0" w:firstRow="1" w:lastRow="0" w:firstColumn="1" w:lastColumn="0" w:noHBand="0" w:noVBand="1"/>
      </w:tblPr>
      <w:tblGrid>
        <w:gridCol w:w="1809"/>
        <w:gridCol w:w="5812"/>
        <w:gridCol w:w="1624"/>
      </w:tblGrid>
      <w:tr w:rsidR="00034194" w:rsidRPr="003E68DB" w14:paraId="6D290436" w14:textId="77777777" w:rsidTr="58B8C8FD">
        <w:tc>
          <w:tcPr>
            <w:tcW w:w="9245" w:type="dxa"/>
            <w:gridSpan w:val="3"/>
            <w:shd w:val="clear" w:color="auto" w:fill="163E64"/>
          </w:tcPr>
          <w:bookmarkEnd w:id="0"/>
          <w:p w14:paraId="6D290435" w14:textId="704162EF" w:rsidR="00034194" w:rsidRPr="003E68DB" w:rsidRDefault="0020539A" w:rsidP="002432C6">
            <w:pPr>
              <w:jc w:val="center"/>
              <w:rPr>
                <w:b/>
              </w:rPr>
            </w:pPr>
            <w:r w:rsidRPr="003E68DB">
              <w:rPr>
                <w:b/>
              </w:rPr>
              <w:t>Governance and Assurance</w:t>
            </w:r>
          </w:p>
        </w:tc>
      </w:tr>
      <w:tr w:rsidR="002432C6" w:rsidRPr="003E68DB" w14:paraId="584BF17A" w14:textId="77777777" w:rsidTr="58B8C8FD">
        <w:tc>
          <w:tcPr>
            <w:tcW w:w="9245" w:type="dxa"/>
            <w:gridSpan w:val="3"/>
            <w:shd w:val="clear" w:color="auto" w:fill="C1A775"/>
          </w:tcPr>
          <w:p w14:paraId="4694DF6B" w14:textId="6CC5896F" w:rsidR="002432C6" w:rsidRPr="003E68DB" w:rsidRDefault="002432C6">
            <w:pPr>
              <w:rPr>
                <w:b/>
              </w:rPr>
            </w:pPr>
            <w:r w:rsidRPr="003E68DB">
              <w:rPr>
                <w:b/>
              </w:rPr>
              <w:t>Strategic Objectives</w:t>
            </w:r>
          </w:p>
        </w:tc>
      </w:tr>
      <w:tr w:rsidR="00F5324A" w:rsidRPr="003E68DB" w14:paraId="6D29043E" w14:textId="77777777" w:rsidTr="58B8C8FD">
        <w:tc>
          <w:tcPr>
            <w:tcW w:w="1809" w:type="dxa"/>
            <w:vMerge w:val="restart"/>
          </w:tcPr>
          <w:p w14:paraId="4BCFE1FB" w14:textId="05AE4DB4" w:rsidR="005D5E16" w:rsidRPr="003E68DB" w:rsidRDefault="005D5E16" w:rsidP="005D5E16">
            <w:pPr>
              <w:rPr>
                <w:b/>
              </w:rPr>
            </w:pPr>
            <w:r w:rsidRPr="003E68DB">
              <w:rPr>
                <w:b/>
              </w:rPr>
              <w:t>Strategic Objectives</w:t>
            </w:r>
          </w:p>
          <w:p w14:paraId="6D29043B" w14:textId="6893427A" w:rsidR="00F5324A" w:rsidRPr="003E68DB" w:rsidRDefault="005D5E16" w:rsidP="005D5E16">
            <w:pPr>
              <w:rPr>
                <w:b/>
              </w:rPr>
            </w:pPr>
            <w:r w:rsidRPr="003E68DB">
              <w:rPr>
                <w:b/>
                <w:i/>
              </w:rPr>
              <w:t>(please choose</w:t>
            </w:r>
            <w:r w:rsidR="005506AE" w:rsidRPr="003E68DB">
              <w:rPr>
                <w:b/>
                <w:i/>
              </w:rPr>
              <w:t xml:space="preserve"> </w:t>
            </w:r>
            <w:r w:rsidR="005506AE" w:rsidRPr="003E68DB">
              <w:rPr>
                <w:b/>
                <w:i/>
              </w:rPr>
              <w:lastRenderedPageBreak/>
              <w:t>which is impacted</w:t>
            </w:r>
            <w:r w:rsidRPr="003E68DB">
              <w:rPr>
                <w:b/>
                <w:i/>
              </w:rPr>
              <w:t>)</w:t>
            </w:r>
          </w:p>
        </w:tc>
        <w:tc>
          <w:tcPr>
            <w:tcW w:w="5812" w:type="dxa"/>
          </w:tcPr>
          <w:p w14:paraId="6D29043C" w14:textId="6BE14270" w:rsidR="00F5324A" w:rsidRPr="003E68DB" w:rsidRDefault="006F02B9" w:rsidP="004221DC">
            <w:r w:rsidRPr="003E68DB">
              <w:lastRenderedPageBreak/>
              <w:t>People of Swansea Bay live healthier, fairer and more prosperous lives</w:t>
            </w:r>
          </w:p>
        </w:tc>
        <w:sdt>
          <w:sdtPr>
            <w:id w:val="1705433169"/>
            <w14:checkbox>
              <w14:checked w14:val="0"/>
              <w14:checkedState w14:val="2612" w14:font="MS Gothic"/>
              <w14:uncheckedState w14:val="2610" w14:font="MS Gothic"/>
            </w14:checkbox>
          </w:sdtPr>
          <w:sdtEndPr/>
          <w:sdtContent>
            <w:tc>
              <w:tcPr>
                <w:tcW w:w="1624" w:type="dxa"/>
              </w:tcPr>
              <w:p w14:paraId="6D29043D" w14:textId="77777777" w:rsidR="00F5324A" w:rsidRPr="003E68DB" w:rsidRDefault="00F57042" w:rsidP="0020539A">
                <w:pPr>
                  <w:jc w:val="center"/>
                </w:pPr>
                <w:r w:rsidRPr="003E68DB">
                  <w:rPr>
                    <w:rFonts w:ascii="Segoe UI Symbol" w:eastAsia="MS Gothic" w:hAnsi="Segoe UI Symbol" w:cs="Segoe UI Symbol"/>
                  </w:rPr>
                  <w:t>☐</w:t>
                </w:r>
              </w:p>
            </w:tc>
          </w:sdtContent>
        </w:sdt>
      </w:tr>
      <w:tr w:rsidR="00F5324A" w:rsidRPr="003E68DB" w14:paraId="6D290442" w14:textId="77777777" w:rsidTr="58B8C8FD">
        <w:tc>
          <w:tcPr>
            <w:tcW w:w="1809" w:type="dxa"/>
            <w:vMerge/>
          </w:tcPr>
          <w:p w14:paraId="6D29043F" w14:textId="77777777" w:rsidR="00F5324A" w:rsidRPr="003E68DB" w:rsidRDefault="00F5324A">
            <w:pPr>
              <w:rPr>
                <w:b/>
              </w:rPr>
            </w:pPr>
          </w:p>
        </w:tc>
        <w:tc>
          <w:tcPr>
            <w:tcW w:w="5812" w:type="dxa"/>
          </w:tcPr>
          <w:p w14:paraId="6D290440" w14:textId="5071215F" w:rsidR="00F5324A" w:rsidRPr="003E68DB" w:rsidRDefault="004221DC" w:rsidP="004221DC">
            <w:r w:rsidRPr="003E68DB">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14:paraId="6D290441" w14:textId="7ED4E1E4" w:rsidR="00F5324A" w:rsidRPr="003E68DB" w:rsidRDefault="003E68DB" w:rsidP="0020539A">
                <w:pPr>
                  <w:jc w:val="center"/>
                </w:pPr>
                <w:r w:rsidRPr="003E68DB">
                  <w:rPr>
                    <w:rFonts w:ascii="Segoe UI Symbol" w:eastAsia="MS Gothic" w:hAnsi="Segoe UI Symbol" w:cs="Segoe UI Symbol"/>
                  </w:rPr>
                  <w:t>☒</w:t>
                </w:r>
              </w:p>
            </w:tc>
          </w:sdtContent>
        </w:sdt>
      </w:tr>
      <w:tr w:rsidR="00F5324A" w:rsidRPr="003E68DB" w14:paraId="6D290446" w14:textId="77777777" w:rsidTr="58B8C8FD">
        <w:tc>
          <w:tcPr>
            <w:tcW w:w="1809" w:type="dxa"/>
            <w:vMerge/>
          </w:tcPr>
          <w:p w14:paraId="6D290443" w14:textId="77777777" w:rsidR="00F5324A" w:rsidRPr="003E68DB" w:rsidRDefault="00F5324A">
            <w:pPr>
              <w:rPr>
                <w:b/>
              </w:rPr>
            </w:pPr>
          </w:p>
        </w:tc>
        <w:tc>
          <w:tcPr>
            <w:tcW w:w="5812" w:type="dxa"/>
          </w:tcPr>
          <w:p w14:paraId="6D290444" w14:textId="7BC6B5D7" w:rsidR="00F5324A" w:rsidRPr="003E68DB" w:rsidRDefault="004221DC" w:rsidP="004221DC">
            <w:r w:rsidRPr="003E68DB">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14:paraId="6D290445" w14:textId="77777777" w:rsidR="00F5324A" w:rsidRPr="003E68DB" w:rsidRDefault="00133EA1" w:rsidP="0020539A">
                <w:pPr>
                  <w:jc w:val="center"/>
                </w:pPr>
                <w:r w:rsidRPr="003E68DB">
                  <w:rPr>
                    <w:rFonts w:ascii="Segoe UI Symbol" w:eastAsia="MS Gothic" w:hAnsi="Segoe UI Symbol" w:cs="Segoe UI Symbol"/>
                  </w:rPr>
                  <w:t>☐</w:t>
                </w:r>
              </w:p>
            </w:tc>
          </w:sdtContent>
        </w:sdt>
      </w:tr>
      <w:tr w:rsidR="00F5324A" w:rsidRPr="003E68DB" w14:paraId="6D29044D" w14:textId="77777777" w:rsidTr="58B8C8FD">
        <w:tc>
          <w:tcPr>
            <w:tcW w:w="1809" w:type="dxa"/>
            <w:vMerge/>
          </w:tcPr>
          <w:p w14:paraId="6D29044A" w14:textId="77777777" w:rsidR="00F5324A" w:rsidRPr="003E68DB" w:rsidRDefault="00F5324A" w:rsidP="00C107F2">
            <w:pPr>
              <w:rPr>
                <w:b/>
              </w:rPr>
            </w:pPr>
          </w:p>
        </w:tc>
        <w:tc>
          <w:tcPr>
            <w:tcW w:w="5812" w:type="dxa"/>
          </w:tcPr>
          <w:p w14:paraId="6D29044B" w14:textId="21751B0B" w:rsidR="00F5324A" w:rsidRPr="003E68DB" w:rsidRDefault="00233D58" w:rsidP="004221DC">
            <w:r w:rsidRPr="003E68DB">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Pr>
              <w:p w14:paraId="6D29044C" w14:textId="77777777" w:rsidR="00F5324A" w:rsidRPr="003E68DB" w:rsidRDefault="00F57042" w:rsidP="00133EA1">
                <w:pPr>
                  <w:jc w:val="center"/>
                </w:pPr>
                <w:r w:rsidRPr="003E68DB">
                  <w:rPr>
                    <w:rFonts w:ascii="Segoe UI Symbol" w:eastAsia="MS Gothic" w:hAnsi="Segoe UI Symbol" w:cs="Segoe UI Symbol"/>
                  </w:rPr>
                  <w:t>☐</w:t>
                </w:r>
              </w:p>
            </w:tc>
          </w:sdtContent>
        </w:sdt>
      </w:tr>
      <w:tr w:rsidR="00F5324A" w:rsidRPr="003E68DB" w14:paraId="6D290451" w14:textId="77777777" w:rsidTr="58B8C8FD">
        <w:tc>
          <w:tcPr>
            <w:tcW w:w="1809" w:type="dxa"/>
            <w:vMerge/>
          </w:tcPr>
          <w:p w14:paraId="6D29044E" w14:textId="77777777" w:rsidR="00F5324A" w:rsidRPr="003E68DB" w:rsidRDefault="00F5324A" w:rsidP="00C107F2">
            <w:pPr>
              <w:rPr>
                <w:b/>
              </w:rPr>
            </w:pPr>
          </w:p>
        </w:tc>
        <w:tc>
          <w:tcPr>
            <w:tcW w:w="5812" w:type="dxa"/>
          </w:tcPr>
          <w:p w14:paraId="6D29044F" w14:textId="57073FBE" w:rsidR="00F5324A" w:rsidRPr="003E68DB" w:rsidRDefault="00233D58" w:rsidP="004221DC">
            <w:r w:rsidRPr="003E68DB">
              <w:t>The health board is a resilient, sustainable and responsible organisation</w:t>
            </w:r>
          </w:p>
        </w:tc>
        <w:sdt>
          <w:sdtPr>
            <w:id w:val="832023854"/>
            <w14:checkbox>
              <w14:checked w14:val="0"/>
              <w14:checkedState w14:val="2612" w14:font="MS Gothic"/>
              <w14:uncheckedState w14:val="2610" w14:font="MS Gothic"/>
            </w14:checkbox>
          </w:sdtPr>
          <w:sdtEndPr/>
          <w:sdtContent>
            <w:tc>
              <w:tcPr>
                <w:tcW w:w="1624" w:type="dxa"/>
              </w:tcPr>
              <w:p w14:paraId="6D290450" w14:textId="77777777" w:rsidR="00F5324A" w:rsidRPr="003E68DB" w:rsidRDefault="00F57042" w:rsidP="00133EA1">
                <w:pPr>
                  <w:jc w:val="center"/>
                </w:pPr>
                <w:r w:rsidRPr="003E68DB">
                  <w:rPr>
                    <w:rFonts w:ascii="Segoe UI Symbol" w:eastAsia="MS Gothic" w:hAnsi="Segoe UI Symbol" w:cs="Segoe UI Symbol"/>
                  </w:rPr>
                  <w:t>☐</w:t>
                </w:r>
              </w:p>
            </w:tc>
          </w:sdtContent>
        </w:sdt>
      </w:tr>
      <w:tr w:rsidR="00F5324A" w:rsidRPr="003E68DB" w14:paraId="6D29045F" w14:textId="77777777" w:rsidTr="58B8C8FD">
        <w:tc>
          <w:tcPr>
            <w:tcW w:w="9245" w:type="dxa"/>
            <w:gridSpan w:val="3"/>
            <w:shd w:val="clear" w:color="auto" w:fill="C1A775"/>
          </w:tcPr>
          <w:p w14:paraId="6D29045E" w14:textId="77777777" w:rsidR="00F5324A" w:rsidRPr="003E68DB" w:rsidRDefault="00F5324A" w:rsidP="00C107F2">
            <w:pPr>
              <w:rPr>
                <w:b/>
              </w:rPr>
            </w:pPr>
            <w:r w:rsidRPr="003E68DB">
              <w:rPr>
                <w:b/>
              </w:rPr>
              <w:t>Health and Care Standards</w:t>
            </w:r>
          </w:p>
        </w:tc>
      </w:tr>
      <w:tr w:rsidR="00C43F7B" w:rsidRPr="003E68DB" w14:paraId="6D290463" w14:textId="77777777" w:rsidTr="58B8C8FD">
        <w:tc>
          <w:tcPr>
            <w:tcW w:w="1809" w:type="dxa"/>
            <w:vMerge w:val="restart"/>
          </w:tcPr>
          <w:p w14:paraId="6D290460" w14:textId="1FC1DD16" w:rsidR="00C43F7B" w:rsidRPr="003E68DB" w:rsidRDefault="00C43F7B" w:rsidP="00C43F7B">
            <w:r w:rsidRPr="003E68DB">
              <w:rPr>
                <w:b/>
                <w:iCs/>
              </w:rPr>
              <w:t>Standards</w:t>
            </w:r>
            <w:r w:rsidRPr="003E68DB">
              <w:rPr>
                <w:b/>
                <w:i/>
              </w:rPr>
              <w:t xml:space="preserve"> </w:t>
            </w:r>
            <w:r w:rsidR="005506AE" w:rsidRPr="003E68DB">
              <w:rPr>
                <w:b/>
                <w:i/>
              </w:rPr>
              <w:t>(please choose which applies)</w:t>
            </w:r>
          </w:p>
        </w:tc>
        <w:tc>
          <w:tcPr>
            <w:tcW w:w="5812" w:type="dxa"/>
          </w:tcPr>
          <w:p w14:paraId="6D290461" w14:textId="28B971FB" w:rsidR="00C43F7B" w:rsidRPr="003E68DB" w:rsidRDefault="00C43F7B" w:rsidP="00C43F7B">
            <w:r w:rsidRPr="003E68DB">
              <w:t>Safe Care</w:t>
            </w:r>
          </w:p>
        </w:tc>
        <w:sdt>
          <w:sdtPr>
            <w:id w:val="937573542"/>
            <w14:checkbox>
              <w14:checked w14:val="1"/>
              <w14:checkedState w14:val="2612" w14:font="MS Gothic"/>
              <w14:uncheckedState w14:val="2610" w14:font="MS Gothic"/>
            </w14:checkbox>
          </w:sdtPr>
          <w:sdtEndPr/>
          <w:sdtContent>
            <w:tc>
              <w:tcPr>
                <w:tcW w:w="1624" w:type="dxa"/>
              </w:tcPr>
              <w:p w14:paraId="6D290462" w14:textId="1AC0020D" w:rsidR="00C43F7B" w:rsidRPr="003E68DB" w:rsidRDefault="003E68DB" w:rsidP="00C43F7B">
                <w:pPr>
                  <w:jc w:val="center"/>
                </w:pPr>
                <w:r w:rsidRPr="003E68DB">
                  <w:rPr>
                    <w:rFonts w:ascii="Segoe UI Symbol" w:eastAsia="MS Gothic" w:hAnsi="Segoe UI Symbol" w:cs="Segoe UI Symbol"/>
                  </w:rPr>
                  <w:t>☒</w:t>
                </w:r>
              </w:p>
            </w:tc>
          </w:sdtContent>
        </w:sdt>
      </w:tr>
      <w:tr w:rsidR="00C43F7B" w:rsidRPr="003E68DB" w14:paraId="6D290467" w14:textId="77777777" w:rsidTr="58B8C8FD">
        <w:tc>
          <w:tcPr>
            <w:tcW w:w="1809" w:type="dxa"/>
            <w:vMerge/>
          </w:tcPr>
          <w:p w14:paraId="6D290464" w14:textId="77777777" w:rsidR="00C43F7B" w:rsidRPr="003E68DB" w:rsidRDefault="00C43F7B" w:rsidP="00C43F7B">
            <w:pPr>
              <w:rPr>
                <w:b/>
              </w:rPr>
            </w:pPr>
          </w:p>
        </w:tc>
        <w:tc>
          <w:tcPr>
            <w:tcW w:w="5812" w:type="dxa"/>
          </w:tcPr>
          <w:p w14:paraId="6D290465" w14:textId="26C0FDA5" w:rsidR="00C43F7B" w:rsidRPr="003E68DB" w:rsidRDefault="00C43F7B" w:rsidP="00C43F7B">
            <w:pPr>
              <w:rPr>
                <w:b/>
              </w:rPr>
            </w:pPr>
            <w:r w:rsidRPr="003E68DB">
              <w:t>Timely Care</w:t>
            </w:r>
          </w:p>
        </w:tc>
        <w:sdt>
          <w:sdtPr>
            <w:id w:val="-275186550"/>
            <w14:checkbox>
              <w14:checked w14:val="1"/>
              <w14:checkedState w14:val="2612" w14:font="MS Gothic"/>
              <w14:uncheckedState w14:val="2610" w14:font="MS Gothic"/>
            </w14:checkbox>
          </w:sdtPr>
          <w:sdtEndPr/>
          <w:sdtContent>
            <w:tc>
              <w:tcPr>
                <w:tcW w:w="1624" w:type="dxa"/>
              </w:tcPr>
              <w:p w14:paraId="6D290466" w14:textId="690CEA1B" w:rsidR="00C43F7B" w:rsidRPr="003E68DB" w:rsidRDefault="003E68DB" w:rsidP="00C43F7B">
                <w:pPr>
                  <w:jc w:val="center"/>
                  <w:rPr>
                    <w:b/>
                  </w:rPr>
                </w:pPr>
                <w:r w:rsidRPr="003E68DB">
                  <w:rPr>
                    <w:rFonts w:ascii="Segoe UI Symbol" w:eastAsia="MS Gothic" w:hAnsi="Segoe UI Symbol" w:cs="Segoe UI Symbol"/>
                  </w:rPr>
                  <w:t>☒</w:t>
                </w:r>
              </w:p>
            </w:tc>
          </w:sdtContent>
        </w:sdt>
      </w:tr>
      <w:tr w:rsidR="00C43F7B" w:rsidRPr="003E68DB" w14:paraId="6D29046B" w14:textId="77777777" w:rsidTr="58B8C8FD">
        <w:tc>
          <w:tcPr>
            <w:tcW w:w="1809" w:type="dxa"/>
            <w:vMerge/>
          </w:tcPr>
          <w:p w14:paraId="6D290468" w14:textId="77777777" w:rsidR="00C43F7B" w:rsidRPr="003E68DB" w:rsidRDefault="00C43F7B" w:rsidP="00C43F7B">
            <w:pPr>
              <w:rPr>
                <w:b/>
              </w:rPr>
            </w:pPr>
          </w:p>
        </w:tc>
        <w:tc>
          <w:tcPr>
            <w:tcW w:w="5812" w:type="dxa"/>
          </w:tcPr>
          <w:p w14:paraId="6D290469" w14:textId="3332C186" w:rsidR="00C43F7B" w:rsidRPr="003E68DB" w:rsidRDefault="00C43F7B" w:rsidP="00C43F7B">
            <w:pPr>
              <w:rPr>
                <w:b/>
              </w:rPr>
            </w:pPr>
            <w:r w:rsidRPr="003E68DB">
              <w:t>Effective Care</w:t>
            </w:r>
          </w:p>
        </w:tc>
        <w:sdt>
          <w:sdtPr>
            <w:id w:val="-1590772104"/>
            <w14:checkbox>
              <w14:checked w14:val="1"/>
              <w14:checkedState w14:val="2612" w14:font="MS Gothic"/>
              <w14:uncheckedState w14:val="2610" w14:font="MS Gothic"/>
            </w14:checkbox>
          </w:sdtPr>
          <w:sdtEndPr/>
          <w:sdtContent>
            <w:tc>
              <w:tcPr>
                <w:tcW w:w="1624" w:type="dxa"/>
              </w:tcPr>
              <w:p w14:paraId="6D29046A" w14:textId="5E5A1E46" w:rsidR="00C43F7B" w:rsidRPr="003E68DB" w:rsidRDefault="003E68DB" w:rsidP="00C43F7B">
                <w:pPr>
                  <w:jc w:val="center"/>
                  <w:rPr>
                    <w:b/>
                  </w:rPr>
                </w:pPr>
                <w:r w:rsidRPr="003E68DB">
                  <w:rPr>
                    <w:rFonts w:ascii="Segoe UI Symbol" w:eastAsia="MS Gothic" w:hAnsi="Segoe UI Symbol" w:cs="Segoe UI Symbol"/>
                  </w:rPr>
                  <w:t>☒</w:t>
                </w:r>
              </w:p>
            </w:tc>
          </w:sdtContent>
        </w:sdt>
      </w:tr>
      <w:tr w:rsidR="00C43F7B" w:rsidRPr="003E68DB" w14:paraId="6D29046F" w14:textId="77777777" w:rsidTr="58B8C8FD">
        <w:tc>
          <w:tcPr>
            <w:tcW w:w="1809" w:type="dxa"/>
            <w:vMerge/>
          </w:tcPr>
          <w:p w14:paraId="6D29046C" w14:textId="77777777" w:rsidR="00C43F7B" w:rsidRPr="003E68DB" w:rsidRDefault="00C43F7B" w:rsidP="00C43F7B">
            <w:pPr>
              <w:rPr>
                <w:b/>
              </w:rPr>
            </w:pPr>
          </w:p>
        </w:tc>
        <w:tc>
          <w:tcPr>
            <w:tcW w:w="5812" w:type="dxa"/>
          </w:tcPr>
          <w:p w14:paraId="6D29046D" w14:textId="02FE47C9" w:rsidR="00C43F7B" w:rsidRPr="003E68DB" w:rsidRDefault="00C43F7B" w:rsidP="00C43F7B">
            <w:pPr>
              <w:rPr>
                <w:b/>
              </w:rPr>
            </w:pPr>
            <w:r w:rsidRPr="003E68DB">
              <w:t>Efficient Care</w:t>
            </w:r>
          </w:p>
        </w:tc>
        <w:sdt>
          <w:sdtPr>
            <w:id w:val="1427299090"/>
            <w14:checkbox>
              <w14:checked w14:val="0"/>
              <w14:checkedState w14:val="2612" w14:font="MS Gothic"/>
              <w14:uncheckedState w14:val="2610" w14:font="MS Gothic"/>
            </w14:checkbox>
          </w:sdtPr>
          <w:sdtEndPr/>
          <w:sdtContent>
            <w:tc>
              <w:tcPr>
                <w:tcW w:w="1624" w:type="dxa"/>
              </w:tcPr>
              <w:p w14:paraId="6D29046E" w14:textId="77777777" w:rsidR="00C43F7B" w:rsidRPr="003E68DB" w:rsidRDefault="00C43F7B" w:rsidP="00C43F7B">
                <w:pPr>
                  <w:jc w:val="center"/>
                  <w:rPr>
                    <w:b/>
                  </w:rPr>
                </w:pPr>
                <w:r w:rsidRPr="003E68DB">
                  <w:rPr>
                    <w:rFonts w:ascii="Segoe UI Symbol" w:eastAsia="MS Gothic" w:hAnsi="Segoe UI Symbol" w:cs="Segoe UI Symbol"/>
                  </w:rPr>
                  <w:t>☐</w:t>
                </w:r>
              </w:p>
            </w:tc>
          </w:sdtContent>
        </w:sdt>
      </w:tr>
      <w:tr w:rsidR="00C43F7B" w:rsidRPr="003E68DB" w14:paraId="6D290473" w14:textId="77777777" w:rsidTr="58B8C8FD">
        <w:tc>
          <w:tcPr>
            <w:tcW w:w="1809" w:type="dxa"/>
            <w:vMerge/>
          </w:tcPr>
          <w:p w14:paraId="6D290470" w14:textId="77777777" w:rsidR="00C43F7B" w:rsidRPr="003E68DB" w:rsidRDefault="00C43F7B" w:rsidP="00C43F7B">
            <w:pPr>
              <w:rPr>
                <w:b/>
              </w:rPr>
            </w:pPr>
          </w:p>
        </w:tc>
        <w:tc>
          <w:tcPr>
            <w:tcW w:w="5812" w:type="dxa"/>
          </w:tcPr>
          <w:p w14:paraId="6D290471" w14:textId="639A0F69" w:rsidR="00C43F7B" w:rsidRPr="003E68DB" w:rsidRDefault="00C43F7B" w:rsidP="00C43F7B">
            <w:pPr>
              <w:rPr>
                <w:b/>
              </w:rPr>
            </w:pPr>
            <w:r w:rsidRPr="003E68DB">
              <w:t>Equitable care</w:t>
            </w:r>
          </w:p>
        </w:tc>
        <w:sdt>
          <w:sdtPr>
            <w:id w:val="-1511138502"/>
            <w14:checkbox>
              <w14:checked w14:val="0"/>
              <w14:checkedState w14:val="2612" w14:font="MS Gothic"/>
              <w14:uncheckedState w14:val="2610" w14:font="MS Gothic"/>
            </w14:checkbox>
          </w:sdtPr>
          <w:sdtEndPr/>
          <w:sdtContent>
            <w:tc>
              <w:tcPr>
                <w:tcW w:w="1624" w:type="dxa"/>
              </w:tcPr>
              <w:p w14:paraId="6D290472" w14:textId="77777777" w:rsidR="00C43F7B" w:rsidRPr="003E68DB" w:rsidRDefault="00C43F7B" w:rsidP="00C43F7B">
                <w:pPr>
                  <w:jc w:val="center"/>
                  <w:rPr>
                    <w:b/>
                  </w:rPr>
                </w:pPr>
                <w:r w:rsidRPr="003E68DB">
                  <w:rPr>
                    <w:rFonts w:ascii="Segoe UI Symbol" w:eastAsia="MS Gothic" w:hAnsi="Segoe UI Symbol" w:cs="Segoe UI Symbol"/>
                  </w:rPr>
                  <w:t>☐</w:t>
                </w:r>
              </w:p>
            </w:tc>
          </w:sdtContent>
        </w:sdt>
      </w:tr>
      <w:tr w:rsidR="00C43F7B" w:rsidRPr="003E68DB" w14:paraId="6D290477" w14:textId="77777777" w:rsidTr="58B8C8FD">
        <w:tc>
          <w:tcPr>
            <w:tcW w:w="1809" w:type="dxa"/>
            <w:vMerge/>
          </w:tcPr>
          <w:p w14:paraId="6D290474" w14:textId="77777777" w:rsidR="00C43F7B" w:rsidRPr="003E68DB" w:rsidRDefault="00C43F7B" w:rsidP="00C43F7B">
            <w:pPr>
              <w:rPr>
                <w:b/>
              </w:rPr>
            </w:pPr>
          </w:p>
        </w:tc>
        <w:tc>
          <w:tcPr>
            <w:tcW w:w="5812" w:type="dxa"/>
          </w:tcPr>
          <w:p w14:paraId="6D290475" w14:textId="5778DDA9" w:rsidR="00C43F7B" w:rsidRPr="003E68DB" w:rsidRDefault="00C43F7B" w:rsidP="00C43F7B">
            <w:pPr>
              <w:rPr>
                <w:b/>
              </w:rPr>
            </w:pPr>
            <w:r w:rsidRPr="003E68DB">
              <w:t>Person-centred Care</w:t>
            </w:r>
          </w:p>
        </w:tc>
        <w:sdt>
          <w:sdtPr>
            <w:id w:val="-1349403007"/>
            <w14:checkbox>
              <w14:checked w14:val="0"/>
              <w14:checkedState w14:val="2612" w14:font="MS Gothic"/>
              <w14:uncheckedState w14:val="2610" w14:font="MS Gothic"/>
            </w14:checkbox>
          </w:sdtPr>
          <w:sdtEndPr/>
          <w:sdtContent>
            <w:tc>
              <w:tcPr>
                <w:tcW w:w="1624" w:type="dxa"/>
              </w:tcPr>
              <w:p w14:paraId="6D290476" w14:textId="77777777" w:rsidR="00C43F7B" w:rsidRPr="003E68DB" w:rsidRDefault="00C43F7B" w:rsidP="00C43F7B">
                <w:pPr>
                  <w:jc w:val="center"/>
                  <w:rPr>
                    <w:b/>
                  </w:rPr>
                </w:pPr>
                <w:r w:rsidRPr="003E68DB">
                  <w:rPr>
                    <w:rFonts w:ascii="Segoe UI Symbol" w:eastAsia="MS Gothic" w:hAnsi="Segoe UI Symbol" w:cs="Segoe UI Symbol"/>
                  </w:rPr>
                  <w:t>☐</w:t>
                </w:r>
              </w:p>
            </w:tc>
          </w:sdtContent>
        </w:sdt>
      </w:tr>
      <w:tr w:rsidR="00C43F7B" w:rsidRPr="003E68DB" w14:paraId="6D29047B" w14:textId="77777777" w:rsidTr="58B8C8FD">
        <w:tc>
          <w:tcPr>
            <w:tcW w:w="1809" w:type="dxa"/>
            <w:vMerge/>
          </w:tcPr>
          <w:p w14:paraId="6D290478" w14:textId="77777777" w:rsidR="00C43F7B" w:rsidRPr="003E68DB" w:rsidRDefault="00C43F7B" w:rsidP="00C43F7B">
            <w:pPr>
              <w:rPr>
                <w:b/>
              </w:rPr>
            </w:pPr>
          </w:p>
        </w:tc>
        <w:tc>
          <w:tcPr>
            <w:tcW w:w="5812" w:type="dxa"/>
          </w:tcPr>
          <w:p w14:paraId="6D290479" w14:textId="7328B9FF" w:rsidR="00C43F7B" w:rsidRPr="003E68DB" w:rsidRDefault="00C43F7B" w:rsidP="00C43F7B">
            <w:pPr>
              <w:rPr>
                <w:b/>
              </w:rPr>
            </w:pPr>
            <w:r w:rsidRPr="003E68DB">
              <w:t>Staff and Resources</w:t>
            </w:r>
          </w:p>
        </w:tc>
        <w:sdt>
          <w:sdtPr>
            <w:id w:val="-1357344251"/>
            <w14:checkbox>
              <w14:checked w14:val="0"/>
              <w14:checkedState w14:val="2612" w14:font="MS Gothic"/>
              <w14:uncheckedState w14:val="2610" w14:font="MS Gothic"/>
            </w14:checkbox>
          </w:sdtPr>
          <w:sdtEndPr/>
          <w:sdtContent>
            <w:tc>
              <w:tcPr>
                <w:tcW w:w="1624" w:type="dxa"/>
              </w:tcPr>
              <w:p w14:paraId="6D29047A" w14:textId="77777777" w:rsidR="00C43F7B" w:rsidRPr="003E68DB" w:rsidRDefault="00C43F7B" w:rsidP="00C43F7B">
                <w:pPr>
                  <w:jc w:val="center"/>
                  <w:rPr>
                    <w:b/>
                  </w:rPr>
                </w:pPr>
                <w:r w:rsidRPr="003E68DB">
                  <w:rPr>
                    <w:rFonts w:ascii="Segoe UI Symbol" w:eastAsia="MS Gothic" w:hAnsi="Segoe UI Symbol" w:cs="Segoe UI Symbol"/>
                  </w:rPr>
                  <w:t>☐</w:t>
                </w:r>
              </w:p>
            </w:tc>
          </w:sdtContent>
        </w:sdt>
      </w:tr>
      <w:tr w:rsidR="00925DA1" w:rsidRPr="003E68DB" w14:paraId="4481435E" w14:textId="77777777" w:rsidTr="58B8C8FD">
        <w:tc>
          <w:tcPr>
            <w:tcW w:w="1809" w:type="dxa"/>
            <w:vMerge w:val="restart"/>
          </w:tcPr>
          <w:p w14:paraId="24852AC0" w14:textId="79557235" w:rsidR="00925DA1" w:rsidRPr="003E68DB" w:rsidRDefault="00925DA1" w:rsidP="00925DA1">
            <w:pPr>
              <w:rPr>
                <w:b/>
              </w:rPr>
            </w:pPr>
            <w:r w:rsidRPr="003E68DB">
              <w:rPr>
                <w:b/>
                <w:iCs/>
              </w:rPr>
              <w:t>Enablers</w:t>
            </w:r>
            <w:r w:rsidRPr="003E68DB">
              <w:rPr>
                <w:b/>
                <w:i/>
              </w:rPr>
              <w:t xml:space="preserve"> </w:t>
            </w:r>
            <w:r w:rsidR="005506AE" w:rsidRPr="003E68DB">
              <w:rPr>
                <w:b/>
                <w:i/>
              </w:rPr>
              <w:t>(please choose which applies)</w:t>
            </w:r>
          </w:p>
        </w:tc>
        <w:tc>
          <w:tcPr>
            <w:tcW w:w="5812" w:type="dxa"/>
          </w:tcPr>
          <w:p w14:paraId="23C5DEE5" w14:textId="11BC75F3" w:rsidR="00925DA1" w:rsidRPr="003E68DB" w:rsidRDefault="00925DA1" w:rsidP="00925DA1">
            <w:r w:rsidRPr="003E68DB">
              <w:t>Whole Systems Approach</w:t>
            </w:r>
          </w:p>
        </w:tc>
        <w:sdt>
          <w:sdtPr>
            <w:id w:val="1760019172"/>
            <w14:checkbox>
              <w14:checked w14:val="0"/>
              <w14:checkedState w14:val="2612" w14:font="MS Gothic"/>
              <w14:uncheckedState w14:val="2610" w14:font="MS Gothic"/>
            </w14:checkbox>
          </w:sdtPr>
          <w:sdtEndPr/>
          <w:sdtContent>
            <w:tc>
              <w:tcPr>
                <w:tcW w:w="1624" w:type="dxa"/>
              </w:tcPr>
              <w:p w14:paraId="7904B42E" w14:textId="2503A13E" w:rsidR="00925DA1" w:rsidRPr="003E68DB" w:rsidRDefault="00925DA1" w:rsidP="00925DA1">
                <w:pPr>
                  <w:jc w:val="center"/>
                </w:pPr>
                <w:r w:rsidRPr="003E68DB">
                  <w:rPr>
                    <w:rFonts w:ascii="Segoe UI Symbol" w:eastAsia="MS Gothic" w:hAnsi="Segoe UI Symbol" w:cs="Segoe UI Symbol"/>
                  </w:rPr>
                  <w:t>☐</w:t>
                </w:r>
              </w:p>
            </w:tc>
          </w:sdtContent>
        </w:sdt>
      </w:tr>
      <w:tr w:rsidR="00925DA1" w:rsidRPr="003E68DB" w14:paraId="2D450AA3" w14:textId="77777777" w:rsidTr="58B8C8FD">
        <w:tc>
          <w:tcPr>
            <w:tcW w:w="1809" w:type="dxa"/>
            <w:vMerge/>
          </w:tcPr>
          <w:p w14:paraId="2E025453" w14:textId="77777777" w:rsidR="00925DA1" w:rsidRPr="003E68DB" w:rsidRDefault="00925DA1" w:rsidP="00925DA1">
            <w:pPr>
              <w:rPr>
                <w:b/>
              </w:rPr>
            </w:pPr>
          </w:p>
        </w:tc>
        <w:tc>
          <w:tcPr>
            <w:tcW w:w="5812" w:type="dxa"/>
          </w:tcPr>
          <w:p w14:paraId="2A69D290" w14:textId="0605AEDE" w:rsidR="00925DA1" w:rsidRPr="003E68DB" w:rsidRDefault="00925DA1" w:rsidP="00925DA1">
            <w:r w:rsidRPr="003E68DB">
              <w:t>Leadership</w:t>
            </w:r>
          </w:p>
        </w:tc>
        <w:sdt>
          <w:sdtPr>
            <w:id w:val="2117096538"/>
            <w14:checkbox>
              <w14:checked w14:val="0"/>
              <w14:checkedState w14:val="2612" w14:font="MS Gothic"/>
              <w14:uncheckedState w14:val="2610" w14:font="MS Gothic"/>
            </w14:checkbox>
          </w:sdtPr>
          <w:sdtEndPr/>
          <w:sdtContent>
            <w:tc>
              <w:tcPr>
                <w:tcW w:w="1624" w:type="dxa"/>
              </w:tcPr>
              <w:p w14:paraId="38BFB30F" w14:textId="2D776E27" w:rsidR="00925DA1" w:rsidRPr="003E68DB" w:rsidRDefault="00925DA1" w:rsidP="00925DA1">
                <w:pPr>
                  <w:jc w:val="center"/>
                </w:pPr>
                <w:r w:rsidRPr="003E68DB">
                  <w:rPr>
                    <w:rFonts w:ascii="Segoe UI Symbol" w:eastAsia="MS Gothic" w:hAnsi="Segoe UI Symbol" w:cs="Segoe UI Symbol"/>
                  </w:rPr>
                  <w:t>☐</w:t>
                </w:r>
              </w:p>
            </w:tc>
          </w:sdtContent>
        </w:sdt>
      </w:tr>
      <w:tr w:rsidR="00925DA1" w:rsidRPr="003E68DB" w14:paraId="086E4F8D" w14:textId="77777777" w:rsidTr="58B8C8FD">
        <w:tc>
          <w:tcPr>
            <w:tcW w:w="1809" w:type="dxa"/>
            <w:vMerge/>
          </w:tcPr>
          <w:p w14:paraId="4CB5CDEE" w14:textId="77777777" w:rsidR="00925DA1" w:rsidRPr="003E68DB" w:rsidRDefault="00925DA1" w:rsidP="00925DA1">
            <w:pPr>
              <w:rPr>
                <w:b/>
              </w:rPr>
            </w:pPr>
          </w:p>
        </w:tc>
        <w:tc>
          <w:tcPr>
            <w:tcW w:w="5812" w:type="dxa"/>
          </w:tcPr>
          <w:p w14:paraId="75A9FE92" w14:textId="231227FB" w:rsidR="00925DA1" w:rsidRPr="003E68DB" w:rsidRDefault="00925DA1" w:rsidP="00925DA1">
            <w:r w:rsidRPr="003E68DB">
              <w:t>Workforce</w:t>
            </w:r>
          </w:p>
        </w:tc>
        <w:sdt>
          <w:sdtPr>
            <w:id w:val="-1282257052"/>
            <w14:checkbox>
              <w14:checked w14:val="0"/>
              <w14:checkedState w14:val="2612" w14:font="MS Gothic"/>
              <w14:uncheckedState w14:val="2610" w14:font="MS Gothic"/>
            </w14:checkbox>
          </w:sdtPr>
          <w:sdtEndPr/>
          <w:sdtContent>
            <w:tc>
              <w:tcPr>
                <w:tcW w:w="1624" w:type="dxa"/>
              </w:tcPr>
              <w:p w14:paraId="15982273" w14:textId="7E36ABCC" w:rsidR="00925DA1" w:rsidRPr="003E68DB" w:rsidRDefault="00925DA1" w:rsidP="00925DA1">
                <w:pPr>
                  <w:jc w:val="center"/>
                </w:pPr>
                <w:r w:rsidRPr="003E68DB">
                  <w:rPr>
                    <w:rFonts w:ascii="Segoe UI Symbol" w:eastAsia="MS Gothic" w:hAnsi="Segoe UI Symbol" w:cs="Segoe UI Symbol"/>
                  </w:rPr>
                  <w:t>☐</w:t>
                </w:r>
              </w:p>
            </w:tc>
          </w:sdtContent>
        </w:sdt>
      </w:tr>
      <w:tr w:rsidR="00925DA1" w:rsidRPr="003E68DB" w14:paraId="6F3DEEC2" w14:textId="77777777" w:rsidTr="58B8C8FD">
        <w:tc>
          <w:tcPr>
            <w:tcW w:w="1809" w:type="dxa"/>
            <w:vMerge/>
          </w:tcPr>
          <w:p w14:paraId="0AEE896D" w14:textId="77777777" w:rsidR="00925DA1" w:rsidRPr="003E68DB" w:rsidRDefault="00925DA1" w:rsidP="00925DA1">
            <w:pPr>
              <w:rPr>
                <w:b/>
              </w:rPr>
            </w:pPr>
          </w:p>
        </w:tc>
        <w:tc>
          <w:tcPr>
            <w:tcW w:w="5812" w:type="dxa"/>
          </w:tcPr>
          <w:p w14:paraId="7C1ACCB9" w14:textId="0A949DE8" w:rsidR="00925DA1" w:rsidRPr="003E68DB" w:rsidRDefault="00925DA1" w:rsidP="00925DA1">
            <w:r w:rsidRPr="003E68DB">
              <w:t>Culture</w:t>
            </w:r>
          </w:p>
        </w:tc>
        <w:sdt>
          <w:sdtPr>
            <w:id w:val="617871883"/>
            <w14:checkbox>
              <w14:checked w14:val="0"/>
              <w14:checkedState w14:val="2612" w14:font="MS Gothic"/>
              <w14:uncheckedState w14:val="2610" w14:font="MS Gothic"/>
            </w14:checkbox>
          </w:sdtPr>
          <w:sdtEndPr/>
          <w:sdtContent>
            <w:tc>
              <w:tcPr>
                <w:tcW w:w="1624" w:type="dxa"/>
              </w:tcPr>
              <w:p w14:paraId="2B2CC2E7" w14:textId="6C3A084F" w:rsidR="00925DA1" w:rsidRPr="003E68DB" w:rsidRDefault="00925DA1" w:rsidP="00925DA1">
                <w:pPr>
                  <w:jc w:val="center"/>
                </w:pPr>
                <w:r w:rsidRPr="003E68DB">
                  <w:rPr>
                    <w:rFonts w:ascii="Segoe UI Symbol" w:eastAsia="MS Gothic" w:hAnsi="Segoe UI Symbol" w:cs="Segoe UI Symbol"/>
                  </w:rPr>
                  <w:t>☐</w:t>
                </w:r>
              </w:p>
            </w:tc>
          </w:sdtContent>
        </w:sdt>
      </w:tr>
      <w:tr w:rsidR="00925DA1" w:rsidRPr="003E68DB" w14:paraId="7AD6E919" w14:textId="77777777" w:rsidTr="58B8C8FD">
        <w:tc>
          <w:tcPr>
            <w:tcW w:w="1809" w:type="dxa"/>
            <w:vMerge/>
          </w:tcPr>
          <w:p w14:paraId="35FD7653" w14:textId="77777777" w:rsidR="00925DA1" w:rsidRPr="003E68DB" w:rsidRDefault="00925DA1" w:rsidP="00925DA1">
            <w:pPr>
              <w:rPr>
                <w:b/>
              </w:rPr>
            </w:pPr>
          </w:p>
        </w:tc>
        <w:tc>
          <w:tcPr>
            <w:tcW w:w="5812" w:type="dxa"/>
          </w:tcPr>
          <w:p w14:paraId="57B10CB7" w14:textId="027A78F8" w:rsidR="00925DA1" w:rsidRPr="003E68DB" w:rsidRDefault="00925DA1" w:rsidP="00925DA1">
            <w:r w:rsidRPr="003E68DB">
              <w:t xml:space="preserve">Information </w:t>
            </w:r>
          </w:p>
        </w:tc>
        <w:sdt>
          <w:sdtPr>
            <w:id w:val="314299722"/>
            <w14:checkbox>
              <w14:checked w14:val="0"/>
              <w14:checkedState w14:val="2612" w14:font="MS Gothic"/>
              <w14:uncheckedState w14:val="2610" w14:font="MS Gothic"/>
            </w14:checkbox>
          </w:sdtPr>
          <w:sdtEndPr/>
          <w:sdtContent>
            <w:tc>
              <w:tcPr>
                <w:tcW w:w="1624" w:type="dxa"/>
              </w:tcPr>
              <w:p w14:paraId="3E41BC05" w14:textId="6BB9AC9B" w:rsidR="00925DA1" w:rsidRPr="003E68DB" w:rsidRDefault="00925DA1" w:rsidP="00925DA1">
                <w:pPr>
                  <w:jc w:val="center"/>
                </w:pPr>
                <w:r w:rsidRPr="003E68DB">
                  <w:rPr>
                    <w:rFonts w:ascii="Segoe UI Symbol" w:eastAsia="MS Gothic" w:hAnsi="Segoe UI Symbol" w:cs="Segoe UI Symbol"/>
                  </w:rPr>
                  <w:t>☐</w:t>
                </w:r>
              </w:p>
            </w:tc>
          </w:sdtContent>
        </w:sdt>
      </w:tr>
      <w:tr w:rsidR="00925DA1" w:rsidRPr="003E68DB" w14:paraId="5A1317D4" w14:textId="77777777" w:rsidTr="58B8C8FD">
        <w:tc>
          <w:tcPr>
            <w:tcW w:w="1809" w:type="dxa"/>
            <w:vMerge/>
          </w:tcPr>
          <w:p w14:paraId="21B969C2" w14:textId="77777777" w:rsidR="00925DA1" w:rsidRPr="003E68DB" w:rsidRDefault="00925DA1" w:rsidP="00925DA1">
            <w:pPr>
              <w:rPr>
                <w:b/>
              </w:rPr>
            </w:pPr>
          </w:p>
        </w:tc>
        <w:tc>
          <w:tcPr>
            <w:tcW w:w="5812" w:type="dxa"/>
          </w:tcPr>
          <w:p w14:paraId="611AECC0" w14:textId="2F7F719A" w:rsidR="00925DA1" w:rsidRPr="003E68DB" w:rsidRDefault="00925DA1" w:rsidP="00925DA1">
            <w:r w:rsidRPr="003E68DB">
              <w:t>Learning, Improvement and Research</w:t>
            </w:r>
          </w:p>
        </w:tc>
        <w:sdt>
          <w:sdtPr>
            <w:id w:val="-1707169374"/>
            <w14:checkbox>
              <w14:checked w14:val="0"/>
              <w14:checkedState w14:val="2612" w14:font="MS Gothic"/>
              <w14:uncheckedState w14:val="2610" w14:font="MS Gothic"/>
            </w14:checkbox>
          </w:sdtPr>
          <w:sdtEndPr/>
          <w:sdtContent>
            <w:tc>
              <w:tcPr>
                <w:tcW w:w="1624" w:type="dxa"/>
              </w:tcPr>
              <w:p w14:paraId="60F96135" w14:textId="10133B13" w:rsidR="00925DA1" w:rsidRPr="003E68DB" w:rsidRDefault="00925DA1" w:rsidP="00925DA1">
                <w:pPr>
                  <w:jc w:val="center"/>
                </w:pPr>
                <w:r w:rsidRPr="003E68DB">
                  <w:rPr>
                    <w:rFonts w:ascii="Segoe UI Symbol" w:eastAsia="MS Gothic" w:hAnsi="Segoe UI Symbol" w:cs="Segoe UI Symbol"/>
                  </w:rPr>
                  <w:t>☐</w:t>
                </w:r>
              </w:p>
            </w:tc>
          </w:sdtContent>
        </w:sdt>
      </w:tr>
      <w:tr w:rsidR="00925DA1" w:rsidRPr="003E68DB" w14:paraId="6D29047D" w14:textId="77777777" w:rsidTr="58B8C8FD">
        <w:tc>
          <w:tcPr>
            <w:tcW w:w="9245" w:type="dxa"/>
            <w:gridSpan w:val="3"/>
            <w:shd w:val="clear" w:color="auto" w:fill="C1A775"/>
          </w:tcPr>
          <w:p w14:paraId="6D29047C" w14:textId="45C29034" w:rsidR="00925DA1" w:rsidRPr="003E68DB" w:rsidRDefault="00925DA1" w:rsidP="00925DA1">
            <w:pPr>
              <w:rPr>
                <w:b/>
              </w:rPr>
            </w:pPr>
            <w:r w:rsidRPr="003E68DB">
              <w:rPr>
                <w:b/>
              </w:rPr>
              <w:t>Quality, Safety and Patient Experience</w:t>
            </w:r>
          </w:p>
        </w:tc>
      </w:tr>
      <w:tr w:rsidR="00925DA1" w:rsidRPr="003E68DB" w14:paraId="6D290480" w14:textId="77777777" w:rsidTr="58B8C8FD">
        <w:tc>
          <w:tcPr>
            <w:tcW w:w="9245" w:type="dxa"/>
            <w:gridSpan w:val="3"/>
          </w:tcPr>
          <w:p w14:paraId="03E4221F" w14:textId="77777777" w:rsidR="003E68DB" w:rsidRPr="003E68DB" w:rsidRDefault="003E68DB" w:rsidP="003E68DB">
            <w:pPr>
              <w:rPr>
                <w:bCs/>
              </w:rPr>
            </w:pPr>
            <w:r w:rsidRPr="003E68DB">
              <w:rPr>
                <w:bCs/>
              </w:rPr>
              <w:t>Improved theatre utilisation will directly enhance patient outcomes and experience by:</w:t>
            </w:r>
          </w:p>
          <w:p w14:paraId="61FDC445" w14:textId="77777777" w:rsidR="003E68DB" w:rsidRPr="003E68DB" w:rsidRDefault="003E68DB" w:rsidP="003E68DB">
            <w:pPr>
              <w:rPr>
                <w:bCs/>
              </w:rPr>
            </w:pPr>
          </w:p>
          <w:p w14:paraId="5F5F7011" w14:textId="77777777" w:rsidR="003E68DB" w:rsidRPr="003E68DB" w:rsidRDefault="003E68DB" w:rsidP="003E68DB">
            <w:pPr>
              <w:pStyle w:val="ListParagraph"/>
              <w:numPr>
                <w:ilvl w:val="0"/>
                <w:numId w:val="24"/>
              </w:numPr>
              <w:rPr>
                <w:bCs/>
              </w:rPr>
            </w:pPr>
            <w:r w:rsidRPr="003E68DB">
              <w:rPr>
                <w:bCs/>
              </w:rPr>
              <w:t>Increasing the number of procedures undertaken</w:t>
            </w:r>
          </w:p>
          <w:p w14:paraId="6B5B36AE" w14:textId="77777777" w:rsidR="003E68DB" w:rsidRPr="003E68DB" w:rsidRDefault="003E68DB" w:rsidP="003E68DB">
            <w:pPr>
              <w:pStyle w:val="ListParagraph"/>
              <w:numPr>
                <w:ilvl w:val="0"/>
                <w:numId w:val="24"/>
              </w:numPr>
              <w:rPr>
                <w:bCs/>
              </w:rPr>
            </w:pPr>
            <w:r w:rsidRPr="003E68DB">
              <w:rPr>
                <w:bCs/>
              </w:rPr>
              <w:t>Reducing waiting times for surgery</w:t>
            </w:r>
          </w:p>
          <w:p w14:paraId="254DB0BE" w14:textId="77777777" w:rsidR="003E68DB" w:rsidRPr="003E68DB" w:rsidRDefault="003E68DB" w:rsidP="003E68DB">
            <w:pPr>
              <w:pStyle w:val="ListParagraph"/>
              <w:numPr>
                <w:ilvl w:val="0"/>
                <w:numId w:val="24"/>
              </w:numPr>
              <w:rPr>
                <w:bCs/>
              </w:rPr>
            </w:pPr>
            <w:r w:rsidRPr="003E68DB">
              <w:rPr>
                <w:bCs/>
              </w:rPr>
              <w:t>Improving pathway reliability</w:t>
            </w:r>
          </w:p>
          <w:p w14:paraId="3082227F" w14:textId="77777777" w:rsidR="003E68DB" w:rsidRPr="003E68DB" w:rsidRDefault="003E68DB" w:rsidP="003E68DB">
            <w:pPr>
              <w:rPr>
                <w:bCs/>
              </w:rPr>
            </w:pPr>
          </w:p>
          <w:p w14:paraId="0B7221D4" w14:textId="77777777" w:rsidR="003E68DB" w:rsidRPr="003E68DB" w:rsidRDefault="003E68DB" w:rsidP="003E68DB">
            <w:pPr>
              <w:rPr>
                <w:bCs/>
              </w:rPr>
            </w:pPr>
            <w:r w:rsidRPr="003E68DB">
              <w:rPr>
                <w:bCs/>
              </w:rPr>
              <w:t>All improvement activity continues to align with:</w:t>
            </w:r>
          </w:p>
          <w:p w14:paraId="348884A1" w14:textId="77777777" w:rsidR="003E68DB" w:rsidRPr="003E68DB" w:rsidRDefault="003E68DB" w:rsidP="003E68DB">
            <w:pPr>
              <w:rPr>
                <w:bCs/>
              </w:rPr>
            </w:pPr>
          </w:p>
          <w:p w14:paraId="7454DA52" w14:textId="77777777" w:rsidR="003E68DB" w:rsidRPr="003E68DB" w:rsidRDefault="003E68DB" w:rsidP="003E68DB">
            <w:pPr>
              <w:pStyle w:val="ListParagraph"/>
              <w:numPr>
                <w:ilvl w:val="0"/>
                <w:numId w:val="25"/>
              </w:numPr>
              <w:rPr>
                <w:bCs/>
              </w:rPr>
            </w:pPr>
            <w:r w:rsidRPr="003E68DB">
              <w:rPr>
                <w:bCs/>
              </w:rPr>
              <w:t>Safe care principles</w:t>
            </w:r>
          </w:p>
          <w:p w14:paraId="764860B7" w14:textId="77777777" w:rsidR="003E68DB" w:rsidRPr="003E68DB" w:rsidRDefault="003E68DB" w:rsidP="003E68DB">
            <w:pPr>
              <w:pStyle w:val="ListParagraph"/>
              <w:numPr>
                <w:ilvl w:val="0"/>
                <w:numId w:val="25"/>
              </w:numPr>
              <w:rPr>
                <w:bCs/>
              </w:rPr>
            </w:pPr>
            <w:r w:rsidRPr="003E68DB">
              <w:rPr>
                <w:bCs/>
              </w:rPr>
              <w:t>Effective and timely treatment delivery</w:t>
            </w:r>
          </w:p>
          <w:p w14:paraId="6D29047E" w14:textId="51B34018" w:rsidR="00925DA1" w:rsidRPr="003E68DB" w:rsidRDefault="003E68DB" w:rsidP="003E68DB">
            <w:pPr>
              <w:rPr>
                <w:b/>
              </w:rPr>
            </w:pPr>
            <w:r w:rsidRPr="003E68DB">
              <w:rPr>
                <w:bCs/>
              </w:rPr>
              <w:t>Maintenance of clinical quality standards</w:t>
            </w:r>
            <w:r w:rsidR="00925DA1" w:rsidRPr="003E68DB">
              <w:rPr>
                <w:color w:val="FF0000"/>
              </w:rPr>
              <w:t>.</w:t>
            </w:r>
          </w:p>
          <w:p w14:paraId="6D29047F" w14:textId="77777777" w:rsidR="00925DA1" w:rsidRPr="003E68DB" w:rsidRDefault="00925DA1" w:rsidP="00925DA1">
            <w:pPr>
              <w:jc w:val="center"/>
              <w:rPr>
                <w:b/>
              </w:rPr>
            </w:pPr>
          </w:p>
        </w:tc>
      </w:tr>
      <w:tr w:rsidR="00925DA1" w:rsidRPr="003E68DB" w14:paraId="6D290482" w14:textId="77777777" w:rsidTr="58B8C8FD">
        <w:tc>
          <w:tcPr>
            <w:tcW w:w="9245" w:type="dxa"/>
            <w:gridSpan w:val="3"/>
            <w:shd w:val="clear" w:color="auto" w:fill="C1A775"/>
          </w:tcPr>
          <w:p w14:paraId="6D290481" w14:textId="77777777" w:rsidR="00925DA1" w:rsidRPr="003E68DB" w:rsidRDefault="00925DA1" w:rsidP="00925DA1">
            <w:pPr>
              <w:rPr>
                <w:b/>
              </w:rPr>
            </w:pPr>
            <w:r w:rsidRPr="003E68DB">
              <w:rPr>
                <w:b/>
              </w:rPr>
              <w:t>Financial Implications</w:t>
            </w:r>
          </w:p>
        </w:tc>
      </w:tr>
      <w:tr w:rsidR="00925DA1" w:rsidRPr="003E68DB" w14:paraId="6D290487" w14:textId="77777777" w:rsidTr="58B8C8FD">
        <w:tc>
          <w:tcPr>
            <w:tcW w:w="9245" w:type="dxa"/>
            <w:gridSpan w:val="3"/>
          </w:tcPr>
          <w:p w14:paraId="6D290486" w14:textId="3B7B975F" w:rsidR="00925DA1" w:rsidRPr="003E68DB" w:rsidRDefault="003E68DB" w:rsidP="00925DA1">
            <w:pPr>
              <w:ind w:right="96"/>
              <w:rPr>
                <w:color w:val="FF0000"/>
              </w:rPr>
            </w:pPr>
            <w:r w:rsidRPr="003E68DB">
              <w:t xml:space="preserve">The additional financial implications have been identified as part of this report. </w:t>
            </w:r>
          </w:p>
        </w:tc>
      </w:tr>
      <w:tr w:rsidR="00925DA1" w:rsidRPr="003E68DB" w14:paraId="6D290489" w14:textId="77777777" w:rsidTr="58B8C8FD">
        <w:tc>
          <w:tcPr>
            <w:tcW w:w="9245" w:type="dxa"/>
            <w:gridSpan w:val="3"/>
            <w:shd w:val="clear" w:color="auto" w:fill="C1A775"/>
          </w:tcPr>
          <w:p w14:paraId="6D290488" w14:textId="77777777" w:rsidR="00925DA1" w:rsidRPr="003E68DB" w:rsidRDefault="00925DA1" w:rsidP="00925DA1">
            <w:pPr>
              <w:keepNext/>
              <w:keepLines/>
              <w:ind w:right="96"/>
              <w:rPr>
                <w:b/>
              </w:rPr>
            </w:pPr>
            <w:r w:rsidRPr="003E68DB">
              <w:rPr>
                <w:b/>
              </w:rPr>
              <w:t>Legal Implications (including equality and diversity assessment)</w:t>
            </w:r>
          </w:p>
        </w:tc>
      </w:tr>
      <w:tr w:rsidR="00925DA1" w:rsidRPr="003E68DB" w14:paraId="6D29048C" w14:textId="77777777" w:rsidTr="58B8C8FD">
        <w:tc>
          <w:tcPr>
            <w:tcW w:w="9245" w:type="dxa"/>
            <w:gridSpan w:val="3"/>
          </w:tcPr>
          <w:p w14:paraId="047649EF" w14:textId="77777777" w:rsidR="003E68DB" w:rsidRPr="003E68DB" w:rsidRDefault="003E68DB" w:rsidP="003E68DB">
            <w:pPr>
              <w:ind w:right="96"/>
            </w:pPr>
            <w:r w:rsidRPr="003E68DB">
              <w:t>There are no legal implications to consider.</w:t>
            </w:r>
          </w:p>
          <w:p w14:paraId="6D29048B" w14:textId="77777777" w:rsidR="00925DA1" w:rsidRPr="003E68DB" w:rsidRDefault="00925DA1" w:rsidP="00925DA1">
            <w:pPr>
              <w:ind w:right="96"/>
              <w:rPr>
                <w:color w:val="FF0000"/>
              </w:rPr>
            </w:pPr>
          </w:p>
        </w:tc>
      </w:tr>
      <w:tr w:rsidR="00925DA1" w:rsidRPr="003E68DB" w14:paraId="6D29048E" w14:textId="77777777" w:rsidTr="58B8C8FD">
        <w:tc>
          <w:tcPr>
            <w:tcW w:w="9245" w:type="dxa"/>
            <w:gridSpan w:val="3"/>
            <w:shd w:val="clear" w:color="auto" w:fill="C1A775"/>
          </w:tcPr>
          <w:p w14:paraId="6D29048D" w14:textId="77777777" w:rsidR="00925DA1" w:rsidRPr="003E68DB" w:rsidRDefault="00925DA1" w:rsidP="00925DA1">
            <w:pPr>
              <w:ind w:right="96"/>
              <w:rPr>
                <w:b/>
                <w:color w:val="FF0000"/>
              </w:rPr>
            </w:pPr>
            <w:r w:rsidRPr="003E68DB">
              <w:rPr>
                <w:b/>
              </w:rPr>
              <w:t>Staffing Implications</w:t>
            </w:r>
          </w:p>
        </w:tc>
      </w:tr>
      <w:tr w:rsidR="00925DA1" w:rsidRPr="003E68DB" w14:paraId="6D290491" w14:textId="77777777" w:rsidTr="58B8C8FD">
        <w:tc>
          <w:tcPr>
            <w:tcW w:w="9245" w:type="dxa"/>
            <w:gridSpan w:val="3"/>
          </w:tcPr>
          <w:p w14:paraId="6D29048F" w14:textId="77777777" w:rsidR="00925DA1" w:rsidRPr="003E68DB" w:rsidRDefault="00925DA1" w:rsidP="00925DA1">
            <w:pPr>
              <w:ind w:right="96"/>
            </w:pPr>
            <w:r w:rsidRPr="003E68DB">
              <w:lastRenderedPageBreak/>
              <w:t xml:space="preserve">Briefly identify the known and/or potential staffing implications of this proposal/paper.    </w:t>
            </w:r>
          </w:p>
          <w:p w14:paraId="6D290490" w14:textId="77777777" w:rsidR="00925DA1" w:rsidRPr="003E68DB" w:rsidRDefault="00925DA1" w:rsidP="00925DA1">
            <w:pPr>
              <w:ind w:right="96"/>
              <w:rPr>
                <w:color w:val="FF0000"/>
              </w:rPr>
            </w:pPr>
          </w:p>
        </w:tc>
      </w:tr>
      <w:tr w:rsidR="00925DA1" w:rsidRPr="003E68DB" w14:paraId="6D290493" w14:textId="77777777" w:rsidTr="58B8C8FD">
        <w:tc>
          <w:tcPr>
            <w:tcW w:w="9245" w:type="dxa"/>
            <w:gridSpan w:val="3"/>
            <w:shd w:val="clear" w:color="auto" w:fill="C1A775"/>
          </w:tcPr>
          <w:p w14:paraId="6D290492" w14:textId="77777777" w:rsidR="00925DA1" w:rsidRPr="003E68DB" w:rsidRDefault="00925DA1" w:rsidP="00925DA1">
            <w:pPr>
              <w:ind w:right="96"/>
              <w:rPr>
                <w:b/>
                <w:color w:val="FF0000"/>
              </w:rPr>
            </w:pPr>
            <w:r w:rsidRPr="003E68DB">
              <w:rPr>
                <w:b/>
              </w:rPr>
              <w:t>Long Term Implications (including the impact of the Well-being of Future Generations (Wales) Act 2015)</w:t>
            </w:r>
          </w:p>
        </w:tc>
      </w:tr>
      <w:tr w:rsidR="00925DA1" w:rsidRPr="003E68DB" w14:paraId="6D290496" w14:textId="77777777" w:rsidTr="58B8C8FD">
        <w:tc>
          <w:tcPr>
            <w:tcW w:w="9245" w:type="dxa"/>
            <w:gridSpan w:val="3"/>
          </w:tcPr>
          <w:p w14:paraId="1D67F95A" w14:textId="77777777" w:rsidR="003E68DB" w:rsidRPr="003E68DB" w:rsidRDefault="003E68DB" w:rsidP="003E68DB">
            <w:pPr>
              <w:ind w:right="96"/>
              <w:rPr>
                <w:color w:val="000000" w:themeColor="text1"/>
              </w:rPr>
            </w:pPr>
            <w:r w:rsidRPr="003E68DB">
              <w:rPr>
                <w:color w:val="000000" w:themeColor="text1"/>
              </w:rPr>
              <w:t>Efficient theatre utilisation is dependent on the availability and coordination of skilled theatre practitioners, Surgical and anaesthetic workforce and staff involved in the pre-operative and post-operative pathway staff</w:t>
            </w:r>
          </w:p>
          <w:p w14:paraId="38D5B80E" w14:textId="77777777" w:rsidR="003E68DB" w:rsidRPr="003E68DB" w:rsidRDefault="003E68DB" w:rsidP="003E68DB">
            <w:pPr>
              <w:ind w:right="96"/>
              <w:rPr>
                <w:color w:val="000000" w:themeColor="text1"/>
              </w:rPr>
            </w:pPr>
          </w:p>
          <w:p w14:paraId="6D290495" w14:textId="7A02BA10" w:rsidR="00925DA1" w:rsidRPr="003E68DB" w:rsidRDefault="003E68DB" w:rsidP="003E68DB">
            <w:pPr>
              <w:ind w:right="96"/>
              <w:rPr>
                <w:color w:val="FF0000"/>
              </w:rPr>
            </w:pPr>
            <w:r w:rsidRPr="003E68DB">
              <w:rPr>
                <w:color w:val="000000" w:themeColor="text1"/>
              </w:rPr>
              <w:t>This includes ensuring alignment across outpatient services, pre-assessment, bed capacity and patient flow.  Workforce engagement remains a key enabler of sustainable improvement in the NPTSSG Surgical Division.</w:t>
            </w:r>
          </w:p>
        </w:tc>
      </w:tr>
      <w:tr w:rsidR="00925DA1" w:rsidRPr="003E68DB" w14:paraId="4C321512" w14:textId="77777777" w:rsidTr="58B8C8FD">
        <w:tc>
          <w:tcPr>
            <w:tcW w:w="9245" w:type="dxa"/>
            <w:gridSpan w:val="3"/>
            <w:shd w:val="clear" w:color="auto" w:fill="C1A775"/>
          </w:tcPr>
          <w:p w14:paraId="7E102395" w14:textId="5A180082" w:rsidR="00925DA1" w:rsidRPr="003E68DB" w:rsidRDefault="00925DA1" w:rsidP="00925DA1">
            <w:pPr>
              <w:ind w:right="96"/>
              <w:rPr>
                <w:b/>
              </w:rPr>
            </w:pPr>
            <w:r w:rsidRPr="003E68DB">
              <w:rPr>
                <w:b/>
              </w:rPr>
              <w:t>Report History</w:t>
            </w:r>
          </w:p>
        </w:tc>
      </w:tr>
      <w:tr w:rsidR="00925DA1" w:rsidRPr="003E68DB" w14:paraId="6D29049A" w14:textId="77777777" w:rsidTr="58B8C8FD">
        <w:tc>
          <w:tcPr>
            <w:tcW w:w="9245" w:type="dxa"/>
            <w:gridSpan w:val="3"/>
          </w:tcPr>
          <w:p w14:paraId="6D290498" w14:textId="56B7CD42" w:rsidR="00925DA1" w:rsidRPr="003E68DB" w:rsidRDefault="003E68DB" w:rsidP="00925DA1">
            <w:pPr>
              <w:ind w:right="96"/>
            </w:pPr>
            <w:r w:rsidRPr="003E68DB">
              <w:t xml:space="preserve">January 2026 – PFC report </w:t>
            </w:r>
          </w:p>
          <w:p w14:paraId="6D290499" w14:textId="77777777" w:rsidR="00925DA1" w:rsidRPr="003E68DB" w:rsidRDefault="00925DA1" w:rsidP="00925DA1">
            <w:pPr>
              <w:ind w:right="96"/>
            </w:pPr>
          </w:p>
        </w:tc>
      </w:tr>
      <w:tr w:rsidR="00925DA1" w:rsidRPr="003E68DB" w14:paraId="08CD5C29" w14:textId="77777777" w:rsidTr="58B8C8FD">
        <w:tc>
          <w:tcPr>
            <w:tcW w:w="9245" w:type="dxa"/>
            <w:gridSpan w:val="3"/>
            <w:shd w:val="clear" w:color="auto" w:fill="C1A775"/>
          </w:tcPr>
          <w:p w14:paraId="6800FBEB" w14:textId="3ED5416B" w:rsidR="00925DA1" w:rsidRPr="003E68DB" w:rsidRDefault="00925DA1" w:rsidP="00925DA1">
            <w:pPr>
              <w:ind w:right="96"/>
            </w:pPr>
            <w:r w:rsidRPr="003E68DB">
              <w:rPr>
                <w:b/>
              </w:rPr>
              <w:t>Appendices</w:t>
            </w:r>
          </w:p>
        </w:tc>
      </w:tr>
      <w:tr w:rsidR="00925DA1" w:rsidRPr="003E68DB" w14:paraId="6D29049F" w14:textId="77777777" w:rsidTr="58B8C8FD">
        <w:tc>
          <w:tcPr>
            <w:tcW w:w="9245" w:type="dxa"/>
            <w:gridSpan w:val="3"/>
          </w:tcPr>
          <w:p w14:paraId="6D29049E" w14:textId="14ECC083" w:rsidR="00925DA1" w:rsidRPr="003E68DB" w:rsidRDefault="08EF3DD2" w:rsidP="00925DA1">
            <w:pPr>
              <w:ind w:right="96"/>
            </w:pPr>
            <w:r>
              <w:t xml:space="preserve">None. </w:t>
            </w:r>
          </w:p>
        </w:tc>
      </w:tr>
    </w:tbl>
    <w:p w14:paraId="6D2904A0" w14:textId="77777777" w:rsidR="00034194" w:rsidRPr="003E68DB" w:rsidRDefault="00034194"/>
    <w:sectPr w:rsidR="00034194" w:rsidRPr="003E68DB" w:rsidSect="00FE7070">
      <w:headerReference w:type="default" r:id="rId15"/>
      <w:footerReference w:type="default" r:id="rId16"/>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3981E" w14:textId="77777777" w:rsidR="00F378CA" w:rsidRDefault="00F378CA" w:rsidP="00C107F2">
      <w:pPr>
        <w:spacing w:after="0" w:line="240" w:lineRule="auto"/>
      </w:pPr>
      <w:r>
        <w:separator/>
      </w:r>
    </w:p>
  </w:endnote>
  <w:endnote w:type="continuationSeparator" w:id="0">
    <w:p w14:paraId="534D9EDD" w14:textId="77777777" w:rsidR="00F378CA" w:rsidRDefault="00F378CA"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73BCC458"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4</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EndPr>
      <w:rPr>
        <w:rStyle w:val="CorporateStyle2"/>
      </w:rPr>
    </w:sdtEndPr>
    <w:sdtContent>
      <w:p w14:paraId="6D2904A9" w14:textId="17A3C10F" w:rsidR="003324CB" w:rsidRDefault="254FB3CE" w:rsidP="0031077C">
        <w:pPr>
          <w:pStyle w:val="Footer"/>
          <w:jc w:val="right"/>
          <w:rPr>
            <w:rStyle w:val="CorporateStyle2"/>
          </w:rPr>
        </w:pPr>
        <w:r w:rsidRPr="254FB3CE">
          <w:rPr>
            <w:rStyle w:val="CorporateStyle2"/>
          </w:rPr>
          <w:t>Finance and Performance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22T00:00:00Z">
        <w:dateFormat w:val="dddd, dd MMMM yyyy"/>
        <w:lid w:val="en-GB"/>
        <w:storeMappedDataAs w:val="dateTime"/>
        <w:calendar w:val="gregorian"/>
      </w:date>
    </w:sdtPr>
    <w:sdtEndPr>
      <w:rPr>
        <w:rStyle w:val="DefaultParagraphFont"/>
        <w:sz w:val="24"/>
        <w:szCs w:val="20"/>
      </w:rPr>
    </w:sdtEndPr>
    <w:sdtContent>
      <w:p w14:paraId="6DC782A8" w14:textId="0D705F94" w:rsidR="0031077C" w:rsidRPr="0031077C" w:rsidRDefault="00F52867" w:rsidP="0031077C">
        <w:pPr>
          <w:pStyle w:val="Footer"/>
          <w:jc w:val="right"/>
          <w:rPr>
            <w:sz w:val="20"/>
            <w:szCs w:val="20"/>
          </w:rPr>
        </w:pPr>
        <w:r>
          <w:rPr>
            <w:rStyle w:val="CorporateStyle2"/>
          </w:rPr>
          <w:t>Tuesday, 22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393B8" w14:textId="77777777" w:rsidR="00F378CA" w:rsidRDefault="00F378CA" w:rsidP="00C107F2">
      <w:pPr>
        <w:spacing w:after="0" w:line="240" w:lineRule="auto"/>
      </w:pPr>
      <w:r>
        <w:separator/>
      </w:r>
    </w:p>
  </w:footnote>
  <w:footnote w:type="continuationSeparator" w:id="0">
    <w:p w14:paraId="0F99D990" w14:textId="77777777" w:rsidR="00F378CA" w:rsidRDefault="00F378CA"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0" locked="0" layoutInCell="1" allowOverlap="1" wp14:anchorId="6D2904AC" wp14:editId="5F74562E">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ibp3p9vECz0eg5" int2:id="5iSSDVin">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10BE"/>
    <w:multiLevelType w:val="multilevel"/>
    <w:tmpl w:val="9B72EBD4"/>
    <w:lvl w:ilvl="0">
      <w:start w:val="1"/>
      <w:numFmt w:val="decimal"/>
      <w:lvlText w:val="%1."/>
      <w:lvlJc w:val="left"/>
      <w:pPr>
        <w:ind w:left="720" w:hanging="360"/>
      </w:pPr>
      <w:rPr>
        <w:rFonts w:hint="default"/>
      </w:rPr>
    </w:lvl>
    <w:lvl w:ilvl="1">
      <w:start w:val="1"/>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6E741C"/>
    <w:multiLevelType w:val="hybridMultilevel"/>
    <w:tmpl w:val="32D6A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24DC56CA"/>
    <w:multiLevelType w:val="hybridMultilevel"/>
    <w:tmpl w:val="8D1E3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330228"/>
    <w:multiLevelType w:val="hybridMultilevel"/>
    <w:tmpl w:val="CCD6C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B008AE"/>
    <w:multiLevelType w:val="hybridMultilevel"/>
    <w:tmpl w:val="7A545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7763A1"/>
    <w:multiLevelType w:val="hybridMultilevel"/>
    <w:tmpl w:val="E8C42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9" w15:restartNumberingAfterBreak="0">
    <w:nsid w:val="4089792D"/>
    <w:multiLevelType w:val="hybridMultilevel"/>
    <w:tmpl w:val="12BC0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0810C7"/>
    <w:multiLevelType w:val="hybridMultilevel"/>
    <w:tmpl w:val="866E9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666311"/>
    <w:multiLevelType w:val="hybridMultilevel"/>
    <w:tmpl w:val="9D8EE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674B80"/>
    <w:multiLevelType w:val="hybridMultilevel"/>
    <w:tmpl w:val="5FF84064"/>
    <w:lvl w:ilvl="0" w:tplc="BA889082">
      <w:start w:val="1"/>
      <w:numFmt w:val="bullet"/>
      <w:lvlText w:val="-"/>
      <w:lvlJc w:val="left"/>
      <w:pPr>
        <w:ind w:left="720" w:hanging="360"/>
      </w:pPr>
      <w:rPr>
        <w:rFonts w:ascii="Aptos" w:hAnsi="Aptos" w:hint="default"/>
      </w:rPr>
    </w:lvl>
    <w:lvl w:ilvl="1" w:tplc="71542BC8">
      <w:start w:val="1"/>
      <w:numFmt w:val="bullet"/>
      <w:lvlText w:val="o"/>
      <w:lvlJc w:val="left"/>
      <w:pPr>
        <w:ind w:left="1440" w:hanging="360"/>
      </w:pPr>
      <w:rPr>
        <w:rFonts w:ascii="Courier New" w:hAnsi="Courier New" w:hint="default"/>
      </w:rPr>
    </w:lvl>
    <w:lvl w:ilvl="2" w:tplc="1C0EB93A">
      <w:start w:val="1"/>
      <w:numFmt w:val="bullet"/>
      <w:lvlText w:val=""/>
      <w:lvlJc w:val="left"/>
      <w:pPr>
        <w:ind w:left="2160" w:hanging="360"/>
      </w:pPr>
      <w:rPr>
        <w:rFonts w:ascii="Wingdings" w:hAnsi="Wingdings" w:hint="default"/>
      </w:rPr>
    </w:lvl>
    <w:lvl w:ilvl="3" w:tplc="75B62142">
      <w:start w:val="1"/>
      <w:numFmt w:val="bullet"/>
      <w:lvlText w:val=""/>
      <w:lvlJc w:val="left"/>
      <w:pPr>
        <w:ind w:left="2880" w:hanging="360"/>
      </w:pPr>
      <w:rPr>
        <w:rFonts w:ascii="Symbol" w:hAnsi="Symbol" w:hint="default"/>
      </w:rPr>
    </w:lvl>
    <w:lvl w:ilvl="4" w:tplc="540CD13E">
      <w:start w:val="1"/>
      <w:numFmt w:val="bullet"/>
      <w:lvlText w:val="o"/>
      <w:lvlJc w:val="left"/>
      <w:pPr>
        <w:ind w:left="3600" w:hanging="360"/>
      </w:pPr>
      <w:rPr>
        <w:rFonts w:ascii="Courier New" w:hAnsi="Courier New" w:hint="default"/>
      </w:rPr>
    </w:lvl>
    <w:lvl w:ilvl="5" w:tplc="EB4AFD34">
      <w:start w:val="1"/>
      <w:numFmt w:val="bullet"/>
      <w:lvlText w:val=""/>
      <w:lvlJc w:val="left"/>
      <w:pPr>
        <w:ind w:left="4320" w:hanging="360"/>
      </w:pPr>
      <w:rPr>
        <w:rFonts w:ascii="Wingdings" w:hAnsi="Wingdings" w:hint="default"/>
      </w:rPr>
    </w:lvl>
    <w:lvl w:ilvl="6" w:tplc="4BE2B04E">
      <w:start w:val="1"/>
      <w:numFmt w:val="bullet"/>
      <w:lvlText w:val=""/>
      <w:lvlJc w:val="left"/>
      <w:pPr>
        <w:ind w:left="5040" w:hanging="360"/>
      </w:pPr>
      <w:rPr>
        <w:rFonts w:ascii="Symbol" w:hAnsi="Symbol" w:hint="default"/>
      </w:rPr>
    </w:lvl>
    <w:lvl w:ilvl="7" w:tplc="4D2607BE">
      <w:start w:val="1"/>
      <w:numFmt w:val="bullet"/>
      <w:lvlText w:val="o"/>
      <w:lvlJc w:val="left"/>
      <w:pPr>
        <w:ind w:left="5760" w:hanging="360"/>
      </w:pPr>
      <w:rPr>
        <w:rFonts w:ascii="Courier New" w:hAnsi="Courier New" w:hint="default"/>
      </w:rPr>
    </w:lvl>
    <w:lvl w:ilvl="8" w:tplc="42FACC96">
      <w:start w:val="1"/>
      <w:numFmt w:val="bullet"/>
      <w:lvlText w:val=""/>
      <w:lvlJc w:val="left"/>
      <w:pPr>
        <w:ind w:left="6480" w:hanging="360"/>
      </w:pPr>
      <w:rPr>
        <w:rFonts w:ascii="Wingdings" w:hAnsi="Wingdings" w:hint="default"/>
      </w:rPr>
    </w:lvl>
  </w:abstractNum>
  <w:abstractNum w:abstractNumId="15"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6" w15:restartNumberingAfterBreak="0">
    <w:nsid w:val="667C7656"/>
    <w:multiLevelType w:val="hybridMultilevel"/>
    <w:tmpl w:val="AD94AC6A"/>
    <w:lvl w:ilvl="0" w:tplc="9CD4DC08">
      <w:start w:val="3"/>
      <w:numFmt w:val="bullet"/>
      <w:lvlText w:val="-"/>
      <w:lvlJc w:val="left"/>
      <w:pPr>
        <w:ind w:left="720" w:hanging="360"/>
      </w:pPr>
      <w:rPr>
        <w:rFonts w:ascii="Verdana" w:eastAsiaTheme="minorHAnsi"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A82F94"/>
    <w:multiLevelType w:val="hybridMultilevel"/>
    <w:tmpl w:val="FAD68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69E95D66"/>
    <w:multiLevelType w:val="hybridMultilevel"/>
    <w:tmpl w:val="9DB00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04193E"/>
    <w:multiLevelType w:val="hybridMultilevel"/>
    <w:tmpl w:val="FA4CE0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A15B89"/>
    <w:multiLevelType w:val="hybridMultilevel"/>
    <w:tmpl w:val="D17612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abstractNum w:abstractNumId="25" w15:restartNumberingAfterBreak="0">
    <w:nsid w:val="7FFA6C1A"/>
    <w:multiLevelType w:val="hybridMultilevel"/>
    <w:tmpl w:val="FD428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779383">
    <w:abstractNumId w:val="14"/>
  </w:num>
  <w:num w:numId="2" w16cid:durableId="704521321">
    <w:abstractNumId w:val="1"/>
  </w:num>
  <w:num w:numId="3" w16cid:durableId="1731493387">
    <w:abstractNumId w:val="12"/>
  </w:num>
  <w:num w:numId="4" w16cid:durableId="358313792">
    <w:abstractNumId w:val="10"/>
  </w:num>
  <w:num w:numId="5" w16cid:durableId="1144618638">
    <w:abstractNumId w:val="8"/>
  </w:num>
  <w:num w:numId="6" w16cid:durableId="211239042">
    <w:abstractNumId w:val="3"/>
  </w:num>
  <w:num w:numId="7" w16cid:durableId="1874800944">
    <w:abstractNumId w:val="23"/>
  </w:num>
  <w:num w:numId="8" w16cid:durableId="263198079">
    <w:abstractNumId w:val="24"/>
  </w:num>
  <w:num w:numId="9" w16cid:durableId="1535070366">
    <w:abstractNumId w:val="15"/>
  </w:num>
  <w:num w:numId="10" w16cid:durableId="1823614381">
    <w:abstractNumId w:val="18"/>
  </w:num>
  <w:num w:numId="11" w16cid:durableId="875429971">
    <w:abstractNumId w:val="21"/>
  </w:num>
  <w:num w:numId="12" w16cid:durableId="1352028164">
    <w:abstractNumId w:val="25"/>
  </w:num>
  <w:num w:numId="13" w16cid:durableId="684600882">
    <w:abstractNumId w:val="19"/>
  </w:num>
  <w:num w:numId="14" w16cid:durableId="2013138678">
    <w:abstractNumId w:val="7"/>
  </w:num>
  <w:num w:numId="15" w16cid:durableId="960962649">
    <w:abstractNumId w:val="6"/>
  </w:num>
  <w:num w:numId="16" w16cid:durableId="876966511">
    <w:abstractNumId w:val="13"/>
  </w:num>
  <w:num w:numId="17" w16cid:durableId="1458989680">
    <w:abstractNumId w:val="2"/>
  </w:num>
  <w:num w:numId="18" w16cid:durableId="741295566">
    <w:abstractNumId w:val="9"/>
  </w:num>
  <w:num w:numId="19" w16cid:durableId="764227916">
    <w:abstractNumId w:val="0"/>
  </w:num>
  <w:num w:numId="20" w16cid:durableId="1601451405">
    <w:abstractNumId w:val="22"/>
  </w:num>
  <w:num w:numId="21" w16cid:durableId="1149319909">
    <w:abstractNumId w:val="5"/>
  </w:num>
  <w:num w:numId="22" w16cid:durableId="1272013894">
    <w:abstractNumId w:val="4"/>
  </w:num>
  <w:num w:numId="23" w16cid:durableId="1869102782">
    <w:abstractNumId w:val="11"/>
  </w:num>
  <w:num w:numId="24" w16cid:durableId="505902932">
    <w:abstractNumId w:val="20"/>
  </w:num>
  <w:num w:numId="25" w16cid:durableId="1308512934">
    <w:abstractNumId w:val="17"/>
  </w:num>
  <w:num w:numId="26" w16cid:durableId="82733056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C60"/>
    <w:rsid w:val="00034194"/>
    <w:rsid w:val="00041CF6"/>
    <w:rsid w:val="0004211A"/>
    <w:rsid w:val="00052D01"/>
    <w:rsid w:val="00054F8C"/>
    <w:rsid w:val="00061E86"/>
    <w:rsid w:val="00065531"/>
    <w:rsid w:val="00072D3B"/>
    <w:rsid w:val="00083FC0"/>
    <w:rsid w:val="000940E7"/>
    <w:rsid w:val="000A0751"/>
    <w:rsid w:val="000C3280"/>
    <w:rsid w:val="000E379E"/>
    <w:rsid w:val="000F361B"/>
    <w:rsid w:val="00110100"/>
    <w:rsid w:val="00133EA1"/>
    <w:rsid w:val="0016096B"/>
    <w:rsid w:val="001707C4"/>
    <w:rsid w:val="0018209C"/>
    <w:rsid w:val="00182C00"/>
    <w:rsid w:val="001A4E1B"/>
    <w:rsid w:val="001B3120"/>
    <w:rsid w:val="001C06A8"/>
    <w:rsid w:val="001C6C4F"/>
    <w:rsid w:val="001E6F3B"/>
    <w:rsid w:val="001F2857"/>
    <w:rsid w:val="001F48BE"/>
    <w:rsid w:val="002010FE"/>
    <w:rsid w:val="00203F67"/>
    <w:rsid w:val="0020539A"/>
    <w:rsid w:val="00233330"/>
    <w:rsid w:val="00233D58"/>
    <w:rsid w:val="00234AC2"/>
    <w:rsid w:val="00240F00"/>
    <w:rsid w:val="00241662"/>
    <w:rsid w:val="002432C6"/>
    <w:rsid w:val="002518B7"/>
    <w:rsid w:val="00270897"/>
    <w:rsid w:val="00272BD5"/>
    <w:rsid w:val="002950FF"/>
    <w:rsid w:val="00296CD9"/>
    <w:rsid w:val="002A706E"/>
    <w:rsid w:val="002B7C9A"/>
    <w:rsid w:val="002C3DD6"/>
    <w:rsid w:val="002D77FE"/>
    <w:rsid w:val="0030739E"/>
    <w:rsid w:val="0031077C"/>
    <w:rsid w:val="003261FD"/>
    <w:rsid w:val="00327324"/>
    <w:rsid w:val="0032747D"/>
    <w:rsid w:val="003324CB"/>
    <w:rsid w:val="003464BA"/>
    <w:rsid w:val="00365042"/>
    <w:rsid w:val="00366FDD"/>
    <w:rsid w:val="00375605"/>
    <w:rsid w:val="00387A41"/>
    <w:rsid w:val="003B31B1"/>
    <w:rsid w:val="003C0FF8"/>
    <w:rsid w:val="003E68DB"/>
    <w:rsid w:val="003F2705"/>
    <w:rsid w:val="004140C9"/>
    <w:rsid w:val="00414894"/>
    <w:rsid w:val="004221DC"/>
    <w:rsid w:val="004222DD"/>
    <w:rsid w:val="0042635B"/>
    <w:rsid w:val="00461835"/>
    <w:rsid w:val="00466612"/>
    <w:rsid w:val="00466F20"/>
    <w:rsid w:val="004671D2"/>
    <w:rsid w:val="004754FC"/>
    <w:rsid w:val="004937D3"/>
    <w:rsid w:val="004E109D"/>
    <w:rsid w:val="004F479A"/>
    <w:rsid w:val="0052297E"/>
    <w:rsid w:val="0053076A"/>
    <w:rsid w:val="005404F4"/>
    <w:rsid w:val="005506AE"/>
    <w:rsid w:val="00556711"/>
    <w:rsid w:val="00574BCF"/>
    <w:rsid w:val="00576395"/>
    <w:rsid w:val="005835C5"/>
    <w:rsid w:val="00585277"/>
    <w:rsid w:val="00591868"/>
    <w:rsid w:val="00594E39"/>
    <w:rsid w:val="005C1160"/>
    <w:rsid w:val="005D1652"/>
    <w:rsid w:val="005D2C4A"/>
    <w:rsid w:val="005D3DF1"/>
    <w:rsid w:val="005D5AFA"/>
    <w:rsid w:val="005D5E16"/>
    <w:rsid w:val="005E6797"/>
    <w:rsid w:val="005F38A1"/>
    <w:rsid w:val="005F4E71"/>
    <w:rsid w:val="006201D0"/>
    <w:rsid w:val="0064147E"/>
    <w:rsid w:val="00641883"/>
    <w:rsid w:val="00646AAE"/>
    <w:rsid w:val="00653AEC"/>
    <w:rsid w:val="00655190"/>
    <w:rsid w:val="00656183"/>
    <w:rsid w:val="00662218"/>
    <w:rsid w:val="006715A4"/>
    <w:rsid w:val="006729DA"/>
    <w:rsid w:val="00672A4C"/>
    <w:rsid w:val="00685AE0"/>
    <w:rsid w:val="00687037"/>
    <w:rsid w:val="00691E12"/>
    <w:rsid w:val="006B56D7"/>
    <w:rsid w:val="006D1998"/>
    <w:rsid w:val="006E0508"/>
    <w:rsid w:val="006F02B9"/>
    <w:rsid w:val="006F549F"/>
    <w:rsid w:val="00703D77"/>
    <w:rsid w:val="00707FAD"/>
    <w:rsid w:val="00711095"/>
    <w:rsid w:val="00717EDA"/>
    <w:rsid w:val="0072604C"/>
    <w:rsid w:val="007277B5"/>
    <w:rsid w:val="00737883"/>
    <w:rsid w:val="0075502E"/>
    <w:rsid w:val="00762BBE"/>
    <w:rsid w:val="0076681D"/>
    <w:rsid w:val="00767E3E"/>
    <w:rsid w:val="007B683C"/>
    <w:rsid w:val="007D313C"/>
    <w:rsid w:val="007E5BB1"/>
    <w:rsid w:val="007F125F"/>
    <w:rsid w:val="00804324"/>
    <w:rsid w:val="00806EDF"/>
    <w:rsid w:val="00820546"/>
    <w:rsid w:val="008267FB"/>
    <w:rsid w:val="00850C29"/>
    <w:rsid w:val="00857D93"/>
    <w:rsid w:val="00860674"/>
    <w:rsid w:val="00885CE9"/>
    <w:rsid w:val="00891BA2"/>
    <w:rsid w:val="008C15D9"/>
    <w:rsid w:val="008C50D5"/>
    <w:rsid w:val="008D0747"/>
    <w:rsid w:val="008E13D1"/>
    <w:rsid w:val="008F442A"/>
    <w:rsid w:val="00910C0A"/>
    <w:rsid w:val="009112DC"/>
    <w:rsid w:val="00925DA1"/>
    <w:rsid w:val="00931E6B"/>
    <w:rsid w:val="009331F3"/>
    <w:rsid w:val="00976DD7"/>
    <w:rsid w:val="00982988"/>
    <w:rsid w:val="00983F5E"/>
    <w:rsid w:val="009911F2"/>
    <w:rsid w:val="00996159"/>
    <w:rsid w:val="009B52E7"/>
    <w:rsid w:val="009D1901"/>
    <w:rsid w:val="009E14BB"/>
    <w:rsid w:val="009E53B8"/>
    <w:rsid w:val="009E7AF7"/>
    <w:rsid w:val="009F7421"/>
    <w:rsid w:val="00A06DD1"/>
    <w:rsid w:val="00A35122"/>
    <w:rsid w:val="00A671E8"/>
    <w:rsid w:val="00A83E54"/>
    <w:rsid w:val="00A84941"/>
    <w:rsid w:val="00A94002"/>
    <w:rsid w:val="00A97D23"/>
    <w:rsid w:val="00AA4753"/>
    <w:rsid w:val="00AB4B93"/>
    <w:rsid w:val="00AC4AD4"/>
    <w:rsid w:val="00AD064D"/>
    <w:rsid w:val="00AD40B8"/>
    <w:rsid w:val="00AD486E"/>
    <w:rsid w:val="00AD71BC"/>
    <w:rsid w:val="00AF66FE"/>
    <w:rsid w:val="00B0479E"/>
    <w:rsid w:val="00B0564E"/>
    <w:rsid w:val="00B105BD"/>
    <w:rsid w:val="00B14EAE"/>
    <w:rsid w:val="00B21EDC"/>
    <w:rsid w:val="00B224D7"/>
    <w:rsid w:val="00B22CF9"/>
    <w:rsid w:val="00B25C58"/>
    <w:rsid w:val="00B3430C"/>
    <w:rsid w:val="00B35ECC"/>
    <w:rsid w:val="00B50ABC"/>
    <w:rsid w:val="00B6292E"/>
    <w:rsid w:val="00B70ED7"/>
    <w:rsid w:val="00B904E5"/>
    <w:rsid w:val="00BA2507"/>
    <w:rsid w:val="00BA5EB1"/>
    <w:rsid w:val="00BB5FC2"/>
    <w:rsid w:val="00BB764F"/>
    <w:rsid w:val="00BC1144"/>
    <w:rsid w:val="00BC241D"/>
    <w:rsid w:val="00C107F2"/>
    <w:rsid w:val="00C2143D"/>
    <w:rsid w:val="00C33A04"/>
    <w:rsid w:val="00C40206"/>
    <w:rsid w:val="00C43F7B"/>
    <w:rsid w:val="00C55C8E"/>
    <w:rsid w:val="00C56152"/>
    <w:rsid w:val="00C61658"/>
    <w:rsid w:val="00C74B0D"/>
    <w:rsid w:val="00C77B23"/>
    <w:rsid w:val="00C933BE"/>
    <w:rsid w:val="00C95B3C"/>
    <w:rsid w:val="00CA1009"/>
    <w:rsid w:val="00CA6D65"/>
    <w:rsid w:val="00CB1C7D"/>
    <w:rsid w:val="00CC048E"/>
    <w:rsid w:val="00CC381D"/>
    <w:rsid w:val="00CD7AA5"/>
    <w:rsid w:val="00D11351"/>
    <w:rsid w:val="00D16C84"/>
    <w:rsid w:val="00D40B91"/>
    <w:rsid w:val="00D45B01"/>
    <w:rsid w:val="00D53020"/>
    <w:rsid w:val="00D6215B"/>
    <w:rsid w:val="00D914F2"/>
    <w:rsid w:val="00DA0F82"/>
    <w:rsid w:val="00DA51E0"/>
    <w:rsid w:val="00DA76AD"/>
    <w:rsid w:val="00DB308E"/>
    <w:rsid w:val="00DB4061"/>
    <w:rsid w:val="00DB76B3"/>
    <w:rsid w:val="00DC0736"/>
    <w:rsid w:val="00DC6D73"/>
    <w:rsid w:val="00DD41FA"/>
    <w:rsid w:val="00DF3645"/>
    <w:rsid w:val="00E06294"/>
    <w:rsid w:val="00E10124"/>
    <w:rsid w:val="00E242E5"/>
    <w:rsid w:val="00E31442"/>
    <w:rsid w:val="00E3794C"/>
    <w:rsid w:val="00E52C94"/>
    <w:rsid w:val="00E575AE"/>
    <w:rsid w:val="00E87B30"/>
    <w:rsid w:val="00EA436A"/>
    <w:rsid w:val="00EA4667"/>
    <w:rsid w:val="00EC231A"/>
    <w:rsid w:val="00EC7151"/>
    <w:rsid w:val="00EF31AD"/>
    <w:rsid w:val="00F06D6F"/>
    <w:rsid w:val="00F11CD2"/>
    <w:rsid w:val="00F1387A"/>
    <w:rsid w:val="00F17EB4"/>
    <w:rsid w:val="00F204CE"/>
    <w:rsid w:val="00F31EBA"/>
    <w:rsid w:val="00F378CA"/>
    <w:rsid w:val="00F5082D"/>
    <w:rsid w:val="00F52867"/>
    <w:rsid w:val="00F531BD"/>
    <w:rsid w:val="00F5324A"/>
    <w:rsid w:val="00F55629"/>
    <w:rsid w:val="00F57042"/>
    <w:rsid w:val="00F57C68"/>
    <w:rsid w:val="00F618CD"/>
    <w:rsid w:val="00F7169E"/>
    <w:rsid w:val="00F7288F"/>
    <w:rsid w:val="00F82EA6"/>
    <w:rsid w:val="00F8567E"/>
    <w:rsid w:val="00F86656"/>
    <w:rsid w:val="00F91B06"/>
    <w:rsid w:val="00F97C38"/>
    <w:rsid w:val="00FA0CA9"/>
    <w:rsid w:val="00FA4762"/>
    <w:rsid w:val="00FA5DEC"/>
    <w:rsid w:val="00FC21DB"/>
    <w:rsid w:val="00FC75FE"/>
    <w:rsid w:val="00FE28A1"/>
    <w:rsid w:val="00FE7070"/>
    <w:rsid w:val="08EF3DD2"/>
    <w:rsid w:val="0D17979A"/>
    <w:rsid w:val="12413FBE"/>
    <w:rsid w:val="1D67548D"/>
    <w:rsid w:val="24D01AD7"/>
    <w:rsid w:val="2545E7EA"/>
    <w:rsid w:val="254FB3CE"/>
    <w:rsid w:val="256B42DA"/>
    <w:rsid w:val="2A0C9DEC"/>
    <w:rsid w:val="2A31D359"/>
    <w:rsid w:val="34E2AE62"/>
    <w:rsid w:val="37814D0D"/>
    <w:rsid w:val="3A0F88F1"/>
    <w:rsid w:val="417E2099"/>
    <w:rsid w:val="48C7B6FF"/>
    <w:rsid w:val="4E114216"/>
    <w:rsid w:val="556B38F9"/>
    <w:rsid w:val="58B8C8FD"/>
    <w:rsid w:val="6163AAFF"/>
    <w:rsid w:val="6A9197D5"/>
    <w:rsid w:val="6FC5F940"/>
    <w:rsid w:val="7268E75D"/>
    <w:rsid w:val="7806D976"/>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customStyle="1" w:styleId="ListParagraphChar">
    <w:name w:val="List Paragraph Char"/>
    <w:link w:val="ListParagraph"/>
    <w:uiPriority w:val="34"/>
    <w:locked/>
    <w:rsid w:val="003E68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vi002287\AppData\Local\Microsoft\Windows\INetCache\Content.Outlook\VP1BQA83\Utilisation_20260903.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Export!$A$3</c:f>
              <c:strCache>
                <c:ptCount val="1"/>
                <c:pt idx="0">
                  <c:v>Breast</c:v>
                </c:pt>
              </c:strCache>
            </c:strRef>
          </c:tx>
          <c:spPr>
            <a:solidFill>
              <a:schemeClr val="accent1"/>
            </a:solidFill>
            <a:ln>
              <a:noFill/>
            </a:ln>
            <a:effectLst/>
          </c:spPr>
          <c:invertIfNegative val="0"/>
          <c:cat>
            <c:multiLvlStrRef>
              <c:f>Export!$B$1:$M$2</c:f>
              <c:multiLvlStrCache>
                <c:ptCount val="12"/>
                <c:lvl>
                  <c:pt idx="0">
                    <c:v>List Utilisation (%)</c:v>
                  </c:pt>
                  <c:pt idx="1">
                    <c:v>List Utilisation (%)</c:v>
                  </c:pt>
                  <c:pt idx="2">
                    <c:v>List Utilisation (%)</c:v>
                  </c:pt>
                  <c:pt idx="3">
                    <c:v>List Utilisation (%)</c:v>
                  </c:pt>
                  <c:pt idx="4">
                    <c:v>List Utilisation (%)</c:v>
                  </c:pt>
                  <c:pt idx="5">
                    <c:v>List Utilisation (%)</c:v>
                  </c:pt>
                  <c:pt idx="6">
                    <c:v>List Utilisation (%)</c:v>
                  </c:pt>
                  <c:pt idx="7">
                    <c:v>List Utilisation (%)</c:v>
                  </c:pt>
                  <c:pt idx="8">
                    <c:v>List Utilisation (%)</c:v>
                  </c:pt>
                  <c:pt idx="9">
                    <c:v>List Utilisation (%)</c:v>
                  </c:pt>
                  <c:pt idx="10">
                    <c:v>List Utilisation (%)</c:v>
                  </c:pt>
                  <c:pt idx="11">
                    <c:v>List Utilisation (%)</c:v>
                  </c:pt>
                </c:lvl>
                <c:lvl>
                  <c:pt idx="0">
                    <c:v>Sep 25</c:v>
                  </c:pt>
                  <c:pt idx="1">
                    <c:v>Oct 25</c:v>
                  </c:pt>
                  <c:pt idx="2">
                    <c:v>Nov 25</c:v>
                  </c:pt>
                  <c:pt idx="3">
                    <c:v>Dec 25</c:v>
                  </c:pt>
                  <c:pt idx="4">
                    <c:v>Jan 26</c:v>
                  </c:pt>
                  <c:pt idx="5">
                    <c:v>Feb 26</c:v>
                  </c:pt>
                  <c:pt idx="6">
                    <c:v>Mar 26</c:v>
                  </c:pt>
                  <c:pt idx="7">
                    <c:v>Apr 26</c:v>
                  </c:pt>
                  <c:pt idx="8">
                    <c:v>May 26</c:v>
                  </c:pt>
                  <c:pt idx="9">
                    <c:v>Jun 26</c:v>
                  </c:pt>
                  <c:pt idx="10">
                    <c:v>Jul 26</c:v>
                  </c:pt>
                  <c:pt idx="11">
                    <c:v>Aug 26</c:v>
                  </c:pt>
                </c:lvl>
              </c:multiLvlStrCache>
            </c:multiLvlStrRef>
          </c:cat>
          <c:val>
            <c:numRef>
              <c:f>Export!$B$3:$M$3</c:f>
              <c:numCache>
                <c:formatCode>0%;\-0%;0%</c:formatCode>
                <c:ptCount val="12"/>
                <c:pt idx="0">
                  <c:v>1</c:v>
                </c:pt>
                <c:pt idx="1">
                  <c:v>0.82000000000000006</c:v>
                </c:pt>
                <c:pt idx="2">
                  <c:v>0.71</c:v>
                </c:pt>
                <c:pt idx="3">
                  <c:v>0.67</c:v>
                </c:pt>
                <c:pt idx="4">
                  <c:v>0.7</c:v>
                </c:pt>
                <c:pt idx="5">
                  <c:v>0.86</c:v>
                </c:pt>
                <c:pt idx="6">
                  <c:v>0.57999999999999996</c:v>
                </c:pt>
                <c:pt idx="7">
                  <c:v>0.64</c:v>
                </c:pt>
                <c:pt idx="8">
                  <c:v>0.95</c:v>
                </c:pt>
                <c:pt idx="9">
                  <c:v>0.67</c:v>
                </c:pt>
                <c:pt idx="10">
                  <c:v>0.53</c:v>
                </c:pt>
                <c:pt idx="11">
                  <c:v>0.77</c:v>
                </c:pt>
              </c:numCache>
            </c:numRef>
          </c:val>
          <c:extLst>
            <c:ext xmlns:c16="http://schemas.microsoft.com/office/drawing/2014/chart" uri="{C3380CC4-5D6E-409C-BE32-E72D297353CC}">
              <c16:uniqueId val="{00000000-D5EC-43DD-9434-C33D13249623}"/>
            </c:ext>
          </c:extLst>
        </c:ser>
        <c:ser>
          <c:idx val="1"/>
          <c:order val="1"/>
          <c:tx>
            <c:strRef>
              <c:f>Export!$A$4</c:f>
              <c:strCache>
                <c:ptCount val="1"/>
                <c:pt idx="0">
                  <c:v>General Surgery</c:v>
                </c:pt>
              </c:strCache>
            </c:strRef>
          </c:tx>
          <c:spPr>
            <a:solidFill>
              <a:schemeClr val="accent2"/>
            </a:solidFill>
            <a:ln>
              <a:noFill/>
            </a:ln>
            <a:effectLst/>
          </c:spPr>
          <c:invertIfNegative val="0"/>
          <c:cat>
            <c:multiLvlStrRef>
              <c:f>Export!$B$1:$M$2</c:f>
              <c:multiLvlStrCache>
                <c:ptCount val="12"/>
                <c:lvl>
                  <c:pt idx="0">
                    <c:v>List Utilisation (%)</c:v>
                  </c:pt>
                  <c:pt idx="1">
                    <c:v>List Utilisation (%)</c:v>
                  </c:pt>
                  <c:pt idx="2">
                    <c:v>List Utilisation (%)</c:v>
                  </c:pt>
                  <c:pt idx="3">
                    <c:v>List Utilisation (%)</c:v>
                  </c:pt>
                  <c:pt idx="4">
                    <c:v>List Utilisation (%)</c:v>
                  </c:pt>
                  <c:pt idx="5">
                    <c:v>List Utilisation (%)</c:v>
                  </c:pt>
                  <c:pt idx="6">
                    <c:v>List Utilisation (%)</c:v>
                  </c:pt>
                  <c:pt idx="7">
                    <c:v>List Utilisation (%)</c:v>
                  </c:pt>
                  <c:pt idx="8">
                    <c:v>List Utilisation (%)</c:v>
                  </c:pt>
                  <c:pt idx="9">
                    <c:v>List Utilisation (%)</c:v>
                  </c:pt>
                  <c:pt idx="10">
                    <c:v>List Utilisation (%)</c:v>
                  </c:pt>
                  <c:pt idx="11">
                    <c:v>List Utilisation (%)</c:v>
                  </c:pt>
                </c:lvl>
                <c:lvl>
                  <c:pt idx="0">
                    <c:v>Sep 25</c:v>
                  </c:pt>
                  <c:pt idx="1">
                    <c:v>Oct 25</c:v>
                  </c:pt>
                  <c:pt idx="2">
                    <c:v>Nov 25</c:v>
                  </c:pt>
                  <c:pt idx="3">
                    <c:v>Dec 25</c:v>
                  </c:pt>
                  <c:pt idx="4">
                    <c:v>Jan 26</c:v>
                  </c:pt>
                  <c:pt idx="5">
                    <c:v>Feb 26</c:v>
                  </c:pt>
                  <c:pt idx="6">
                    <c:v>Mar 26</c:v>
                  </c:pt>
                  <c:pt idx="7">
                    <c:v>Apr 26</c:v>
                  </c:pt>
                  <c:pt idx="8">
                    <c:v>May 26</c:v>
                  </c:pt>
                  <c:pt idx="9">
                    <c:v>Jun 26</c:v>
                  </c:pt>
                  <c:pt idx="10">
                    <c:v>Jul 26</c:v>
                  </c:pt>
                  <c:pt idx="11">
                    <c:v>Aug 26</c:v>
                  </c:pt>
                </c:lvl>
              </c:multiLvlStrCache>
            </c:multiLvlStrRef>
          </c:cat>
          <c:val>
            <c:numRef>
              <c:f>Export!$B$4:$M$4</c:f>
              <c:numCache>
                <c:formatCode>0%;\-0%;0%</c:formatCode>
                <c:ptCount val="12"/>
                <c:pt idx="0">
                  <c:v>0.63</c:v>
                </c:pt>
                <c:pt idx="1">
                  <c:v>0.61</c:v>
                </c:pt>
                <c:pt idx="2">
                  <c:v>0.54</c:v>
                </c:pt>
                <c:pt idx="3">
                  <c:v>0.57000000000000006</c:v>
                </c:pt>
                <c:pt idx="4">
                  <c:v>0.57000000000000006</c:v>
                </c:pt>
                <c:pt idx="5">
                  <c:v>0.59</c:v>
                </c:pt>
                <c:pt idx="6">
                  <c:v>0.56000000000000005</c:v>
                </c:pt>
                <c:pt idx="7">
                  <c:v>0.61</c:v>
                </c:pt>
                <c:pt idx="8">
                  <c:v>0.61</c:v>
                </c:pt>
                <c:pt idx="9">
                  <c:v>0.41000000000000003</c:v>
                </c:pt>
                <c:pt idx="10">
                  <c:v>0.54</c:v>
                </c:pt>
                <c:pt idx="11">
                  <c:v>0.71</c:v>
                </c:pt>
              </c:numCache>
            </c:numRef>
          </c:val>
          <c:extLst>
            <c:ext xmlns:c16="http://schemas.microsoft.com/office/drawing/2014/chart" uri="{C3380CC4-5D6E-409C-BE32-E72D297353CC}">
              <c16:uniqueId val="{00000001-D5EC-43DD-9434-C33D13249623}"/>
            </c:ext>
          </c:extLst>
        </c:ser>
        <c:ser>
          <c:idx val="2"/>
          <c:order val="2"/>
          <c:tx>
            <c:strRef>
              <c:f>Export!$A$5</c:f>
              <c:strCache>
                <c:ptCount val="1"/>
                <c:pt idx="0">
                  <c:v>Gynaecology</c:v>
                </c:pt>
              </c:strCache>
            </c:strRef>
          </c:tx>
          <c:spPr>
            <a:solidFill>
              <a:schemeClr val="accent3"/>
            </a:solidFill>
            <a:ln>
              <a:noFill/>
            </a:ln>
            <a:effectLst/>
          </c:spPr>
          <c:invertIfNegative val="0"/>
          <c:cat>
            <c:multiLvlStrRef>
              <c:f>Export!$B$1:$M$2</c:f>
              <c:multiLvlStrCache>
                <c:ptCount val="12"/>
                <c:lvl>
                  <c:pt idx="0">
                    <c:v>List Utilisation (%)</c:v>
                  </c:pt>
                  <c:pt idx="1">
                    <c:v>List Utilisation (%)</c:v>
                  </c:pt>
                  <c:pt idx="2">
                    <c:v>List Utilisation (%)</c:v>
                  </c:pt>
                  <c:pt idx="3">
                    <c:v>List Utilisation (%)</c:v>
                  </c:pt>
                  <c:pt idx="4">
                    <c:v>List Utilisation (%)</c:v>
                  </c:pt>
                  <c:pt idx="5">
                    <c:v>List Utilisation (%)</c:v>
                  </c:pt>
                  <c:pt idx="6">
                    <c:v>List Utilisation (%)</c:v>
                  </c:pt>
                  <c:pt idx="7">
                    <c:v>List Utilisation (%)</c:v>
                  </c:pt>
                  <c:pt idx="8">
                    <c:v>List Utilisation (%)</c:v>
                  </c:pt>
                  <c:pt idx="9">
                    <c:v>List Utilisation (%)</c:v>
                  </c:pt>
                  <c:pt idx="10">
                    <c:v>List Utilisation (%)</c:v>
                  </c:pt>
                  <c:pt idx="11">
                    <c:v>List Utilisation (%)</c:v>
                  </c:pt>
                </c:lvl>
                <c:lvl>
                  <c:pt idx="0">
                    <c:v>Sep 25</c:v>
                  </c:pt>
                  <c:pt idx="1">
                    <c:v>Oct 25</c:v>
                  </c:pt>
                  <c:pt idx="2">
                    <c:v>Nov 25</c:v>
                  </c:pt>
                  <c:pt idx="3">
                    <c:v>Dec 25</c:v>
                  </c:pt>
                  <c:pt idx="4">
                    <c:v>Jan 26</c:v>
                  </c:pt>
                  <c:pt idx="5">
                    <c:v>Feb 26</c:v>
                  </c:pt>
                  <c:pt idx="6">
                    <c:v>Mar 26</c:v>
                  </c:pt>
                  <c:pt idx="7">
                    <c:v>Apr 26</c:v>
                  </c:pt>
                  <c:pt idx="8">
                    <c:v>May 26</c:v>
                  </c:pt>
                  <c:pt idx="9">
                    <c:v>Jun 26</c:v>
                  </c:pt>
                  <c:pt idx="10">
                    <c:v>Jul 26</c:v>
                  </c:pt>
                  <c:pt idx="11">
                    <c:v>Aug 26</c:v>
                  </c:pt>
                </c:lvl>
              </c:multiLvlStrCache>
            </c:multiLvlStrRef>
          </c:cat>
          <c:val>
            <c:numRef>
              <c:f>Export!$B$5:$M$5</c:f>
              <c:numCache>
                <c:formatCode>0%;\-0%;0%</c:formatCode>
                <c:ptCount val="12"/>
                <c:pt idx="0">
                  <c:v>0.52</c:v>
                </c:pt>
                <c:pt idx="1">
                  <c:v>0.51</c:v>
                </c:pt>
                <c:pt idx="2">
                  <c:v>0.39</c:v>
                </c:pt>
                <c:pt idx="3">
                  <c:v>0.45</c:v>
                </c:pt>
                <c:pt idx="4">
                  <c:v>0.52</c:v>
                </c:pt>
                <c:pt idx="5">
                  <c:v>0.5</c:v>
                </c:pt>
                <c:pt idx="6">
                  <c:v>0.45</c:v>
                </c:pt>
                <c:pt idx="7">
                  <c:v>0.5</c:v>
                </c:pt>
                <c:pt idx="8">
                  <c:v>0.57000000000000006</c:v>
                </c:pt>
                <c:pt idx="9">
                  <c:v>0.54</c:v>
                </c:pt>
                <c:pt idx="10">
                  <c:v>0.44</c:v>
                </c:pt>
                <c:pt idx="11">
                  <c:v>0.54</c:v>
                </c:pt>
              </c:numCache>
            </c:numRef>
          </c:val>
          <c:extLst>
            <c:ext xmlns:c16="http://schemas.microsoft.com/office/drawing/2014/chart" uri="{C3380CC4-5D6E-409C-BE32-E72D297353CC}">
              <c16:uniqueId val="{00000002-D5EC-43DD-9434-C33D13249623}"/>
            </c:ext>
          </c:extLst>
        </c:ser>
        <c:ser>
          <c:idx val="3"/>
          <c:order val="3"/>
          <c:tx>
            <c:strRef>
              <c:f>Export!$A$6</c:f>
              <c:strCache>
                <c:ptCount val="1"/>
                <c:pt idx="0">
                  <c:v>Plastic Surgery</c:v>
                </c:pt>
              </c:strCache>
            </c:strRef>
          </c:tx>
          <c:spPr>
            <a:solidFill>
              <a:schemeClr val="accent4"/>
            </a:solidFill>
            <a:ln>
              <a:noFill/>
            </a:ln>
            <a:effectLst/>
          </c:spPr>
          <c:invertIfNegative val="0"/>
          <c:cat>
            <c:multiLvlStrRef>
              <c:f>Export!$B$1:$M$2</c:f>
              <c:multiLvlStrCache>
                <c:ptCount val="12"/>
                <c:lvl>
                  <c:pt idx="0">
                    <c:v>List Utilisation (%)</c:v>
                  </c:pt>
                  <c:pt idx="1">
                    <c:v>List Utilisation (%)</c:v>
                  </c:pt>
                  <c:pt idx="2">
                    <c:v>List Utilisation (%)</c:v>
                  </c:pt>
                  <c:pt idx="3">
                    <c:v>List Utilisation (%)</c:v>
                  </c:pt>
                  <c:pt idx="4">
                    <c:v>List Utilisation (%)</c:v>
                  </c:pt>
                  <c:pt idx="5">
                    <c:v>List Utilisation (%)</c:v>
                  </c:pt>
                  <c:pt idx="6">
                    <c:v>List Utilisation (%)</c:v>
                  </c:pt>
                  <c:pt idx="7">
                    <c:v>List Utilisation (%)</c:v>
                  </c:pt>
                  <c:pt idx="8">
                    <c:v>List Utilisation (%)</c:v>
                  </c:pt>
                  <c:pt idx="9">
                    <c:v>List Utilisation (%)</c:v>
                  </c:pt>
                  <c:pt idx="10">
                    <c:v>List Utilisation (%)</c:v>
                  </c:pt>
                  <c:pt idx="11">
                    <c:v>List Utilisation (%)</c:v>
                  </c:pt>
                </c:lvl>
                <c:lvl>
                  <c:pt idx="0">
                    <c:v>Sep 25</c:v>
                  </c:pt>
                  <c:pt idx="1">
                    <c:v>Oct 25</c:v>
                  </c:pt>
                  <c:pt idx="2">
                    <c:v>Nov 25</c:v>
                  </c:pt>
                  <c:pt idx="3">
                    <c:v>Dec 25</c:v>
                  </c:pt>
                  <c:pt idx="4">
                    <c:v>Jan 26</c:v>
                  </c:pt>
                  <c:pt idx="5">
                    <c:v>Feb 26</c:v>
                  </c:pt>
                  <c:pt idx="6">
                    <c:v>Mar 26</c:v>
                  </c:pt>
                  <c:pt idx="7">
                    <c:v>Apr 26</c:v>
                  </c:pt>
                  <c:pt idx="8">
                    <c:v>May 26</c:v>
                  </c:pt>
                  <c:pt idx="9">
                    <c:v>Jun 26</c:v>
                  </c:pt>
                  <c:pt idx="10">
                    <c:v>Jul 26</c:v>
                  </c:pt>
                  <c:pt idx="11">
                    <c:v>Aug 26</c:v>
                  </c:pt>
                </c:lvl>
              </c:multiLvlStrCache>
            </c:multiLvlStrRef>
          </c:cat>
          <c:val>
            <c:numRef>
              <c:f>Export!$B$6:$M$6</c:f>
              <c:numCache>
                <c:formatCode>0%;\-0%;0%</c:formatCode>
                <c:ptCount val="12"/>
                <c:pt idx="0">
                  <c:v>0.66</c:v>
                </c:pt>
                <c:pt idx="1">
                  <c:v>0.76</c:v>
                </c:pt>
                <c:pt idx="2">
                  <c:v>0.73</c:v>
                </c:pt>
                <c:pt idx="3">
                  <c:v>0.69000000000000006</c:v>
                </c:pt>
                <c:pt idx="4">
                  <c:v>0.71</c:v>
                </c:pt>
                <c:pt idx="5">
                  <c:v>0.77</c:v>
                </c:pt>
                <c:pt idx="6">
                  <c:v>0.75</c:v>
                </c:pt>
                <c:pt idx="7">
                  <c:v>0.75</c:v>
                </c:pt>
                <c:pt idx="8">
                  <c:v>0.73</c:v>
                </c:pt>
                <c:pt idx="9">
                  <c:v>0.72</c:v>
                </c:pt>
                <c:pt idx="10">
                  <c:v>0.68</c:v>
                </c:pt>
                <c:pt idx="11">
                  <c:v>0.8</c:v>
                </c:pt>
              </c:numCache>
            </c:numRef>
          </c:val>
          <c:extLst>
            <c:ext xmlns:c16="http://schemas.microsoft.com/office/drawing/2014/chart" uri="{C3380CC4-5D6E-409C-BE32-E72D297353CC}">
              <c16:uniqueId val="{00000003-D5EC-43DD-9434-C33D13249623}"/>
            </c:ext>
          </c:extLst>
        </c:ser>
        <c:ser>
          <c:idx val="4"/>
          <c:order val="4"/>
          <c:tx>
            <c:strRef>
              <c:f>Export!$A$7</c:f>
              <c:strCache>
                <c:ptCount val="1"/>
                <c:pt idx="0">
                  <c:v>Spinal</c:v>
                </c:pt>
              </c:strCache>
            </c:strRef>
          </c:tx>
          <c:spPr>
            <a:solidFill>
              <a:schemeClr val="accent5"/>
            </a:solidFill>
            <a:ln>
              <a:noFill/>
            </a:ln>
            <a:effectLst/>
          </c:spPr>
          <c:invertIfNegative val="0"/>
          <c:cat>
            <c:multiLvlStrRef>
              <c:f>Export!$B$1:$M$2</c:f>
              <c:multiLvlStrCache>
                <c:ptCount val="12"/>
                <c:lvl>
                  <c:pt idx="0">
                    <c:v>List Utilisation (%)</c:v>
                  </c:pt>
                  <c:pt idx="1">
                    <c:v>List Utilisation (%)</c:v>
                  </c:pt>
                  <c:pt idx="2">
                    <c:v>List Utilisation (%)</c:v>
                  </c:pt>
                  <c:pt idx="3">
                    <c:v>List Utilisation (%)</c:v>
                  </c:pt>
                  <c:pt idx="4">
                    <c:v>List Utilisation (%)</c:v>
                  </c:pt>
                  <c:pt idx="5">
                    <c:v>List Utilisation (%)</c:v>
                  </c:pt>
                  <c:pt idx="6">
                    <c:v>List Utilisation (%)</c:v>
                  </c:pt>
                  <c:pt idx="7">
                    <c:v>List Utilisation (%)</c:v>
                  </c:pt>
                  <c:pt idx="8">
                    <c:v>List Utilisation (%)</c:v>
                  </c:pt>
                  <c:pt idx="9">
                    <c:v>List Utilisation (%)</c:v>
                  </c:pt>
                  <c:pt idx="10">
                    <c:v>List Utilisation (%)</c:v>
                  </c:pt>
                  <c:pt idx="11">
                    <c:v>List Utilisation (%)</c:v>
                  </c:pt>
                </c:lvl>
                <c:lvl>
                  <c:pt idx="0">
                    <c:v>Sep 25</c:v>
                  </c:pt>
                  <c:pt idx="1">
                    <c:v>Oct 25</c:v>
                  </c:pt>
                  <c:pt idx="2">
                    <c:v>Nov 25</c:v>
                  </c:pt>
                  <c:pt idx="3">
                    <c:v>Dec 25</c:v>
                  </c:pt>
                  <c:pt idx="4">
                    <c:v>Jan 26</c:v>
                  </c:pt>
                  <c:pt idx="5">
                    <c:v>Feb 26</c:v>
                  </c:pt>
                  <c:pt idx="6">
                    <c:v>Mar 26</c:v>
                  </c:pt>
                  <c:pt idx="7">
                    <c:v>Apr 26</c:v>
                  </c:pt>
                  <c:pt idx="8">
                    <c:v>May 26</c:v>
                  </c:pt>
                  <c:pt idx="9">
                    <c:v>Jun 26</c:v>
                  </c:pt>
                  <c:pt idx="10">
                    <c:v>Jul 26</c:v>
                  </c:pt>
                  <c:pt idx="11">
                    <c:v>Aug 26</c:v>
                  </c:pt>
                </c:lvl>
              </c:multiLvlStrCache>
            </c:multiLvlStrRef>
          </c:cat>
          <c:val>
            <c:numRef>
              <c:f>Export!$B$7:$M$7</c:f>
              <c:numCache>
                <c:formatCode>0%;\-0%;0%</c:formatCode>
                <c:ptCount val="12"/>
                <c:pt idx="0">
                  <c:v>0.79</c:v>
                </c:pt>
                <c:pt idx="1">
                  <c:v>0.76</c:v>
                </c:pt>
                <c:pt idx="2">
                  <c:v>0.7</c:v>
                </c:pt>
                <c:pt idx="3">
                  <c:v>0.94000000000000006</c:v>
                </c:pt>
                <c:pt idx="4">
                  <c:v>0.82000000000000006</c:v>
                </c:pt>
                <c:pt idx="5">
                  <c:v>0.79</c:v>
                </c:pt>
                <c:pt idx="6">
                  <c:v>0.79</c:v>
                </c:pt>
                <c:pt idx="7">
                  <c:v>0.78</c:v>
                </c:pt>
                <c:pt idx="8">
                  <c:v>0.77</c:v>
                </c:pt>
                <c:pt idx="9">
                  <c:v>0.79</c:v>
                </c:pt>
                <c:pt idx="10">
                  <c:v>0.81</c:v>
                </c:pt>
                <c:pt idx="11">
                  <c:v>0.75</c:v>
                </c:pt>
              </c:numCache>
            </c:numRef>
          </c:val>
          <c:extLst>
            <c:ext xmlns:c16="http://schemas.microsoft.com/office/drawing/2014/chart" uri="{C3380CC4-5D6E-409C-BE32-E72D297353CC}">
              <c16:uniqueId val="{00000004-D5EC-43DD-9434-C33D13249623}"/>
            </c:ext>
          </c:extLst>
        </c:ser>
        <c:ser>
          <c:idx val="5"/>
          <c:order val="5"/>
          <c:tx>
            <c:strRef>
              <c:f>Export!$A$8</c:f>
              <c:strCache>
                <c:ptCount val="1"/>
                <c:pt idx="0">
                  <c:v>Trauma &amp; Orthopaedic</c:v>
                </c:pt>
              </c:strCache>
            </c:strRef>
          </c:tx>
          <c:spPr>
            <a:solidFill>
              <a:schemeClr val="accent6"/>
            </a:solidFill>
            <a:ln>
              <a:noFill/>
            </a:ln>
            <a:effectLst/>
          </c:spPr>
          <c:invertIfNegative val="0"/>
          <c:cat>
            <c:multiLvlStrRef>
              <c:f>Export!$B$1:$M$2</c:f>
              <c:multiLvlStrCache>
                <c:ptCount val="12"/>
                <c:lvl>
                  <c:pt idx="0">
                    <c:v>List Utilisation (%)</c:v>
                  </c:pt>
                  <c:pt idx="1">
                    <c:v>List Utilisation (%)</c:v>
                  </c:pt>
                  <c:pt idx="2">
                    <c:v>List Utilisation (%)</c:v>
                  </c:pt>
                  <c:pt idx="3">
                    <c:v>List Utilisation (%)</c:v>
                  </c:pt>
                  <c:pt idx="4">
                    <c:v>List Utilisation (%)</c:v>
                  </c:pt>
                  <c:pt idx="5">
                    <c:v>List Utilisation (%)</c:v>
                  </c:pt>
                  <c:pt idx="6">
                    <c:v>List Utilisation (%)</c:v>
                  </c:pt>
                  <c:pt idx="7">
                    <c:v>List Utilisation (%)</c:v>
                  </c:pt>
                  <c:pt idx="8">
                    <c:v>List Utilisation (%)</c:v>
                  </c:pt>
                  <c:pt idx="9">
                    <c:v>List Utilisation (%)</c:v>
                  </c:pt>
                  <c:pt idx="10">
                    <c:v>List Utilisation (%)</c:v>
                  </c:pt>
                  <c:pt idx="11">
                    <c:v>List Utilisation (%)</c:v>
                  </c:pt>
                </c:lvl>
                <c:lvl>
                  <c:pt idx="0">
                    <c:v>Sep 25</c:v>
                  </c:pt>
                  <c:pt idx="1">
                    <c:v>Oct 25</c:v>
                  </c:pt>
                  <c:pt idx="2">
                    <c:v>Nov 25</c:v>
                  </c:pt>
                  <c:pt idx="3">
                    <c:v>Dec 25</c:v>
                  </c:pt>
                  <c:pt idx="4">
                    <c:v>Jan 26</c:v>
                  </c:pt>
                  <c:pt idx="5">
                    <c:v>Feb 26</c:v>
                  </c:pt>
                  <c:pt idx="6">
                    <c:v>Mar 26</c:v>
                  </c:pt>
                  <c:pt idx="7">
                    <c:v>Apr 26</c:v>
                  </c:pt>
                  <c:pt idx="8">
                    <c:v>May 26</c:v>
                  </c:pt>
                  <c:pt idx="9">
                    <c:v>Jun 26</c:v>
                  </c:pt>
                  <c:pt idx="10">
                    <c:v>Jul 26</c:v>
                  </c:pt>
                  <c:pt idx="11">
                    <c:v>Aug 26</c:v>
                  </c:pt>
                </c:lvl>
              </c:multiLvlStrCache>
            </c:multiLvlStrRef>
          </c:cat>
          <c:val>
            <c:numRef>
              <c:f>Export!$B$8:$M$8</c:f>
              <c:numCache>
                <c:formatCode>0%;\-0%;0%</c:formatCode>
                <c:ptCount val="12"/>
                <c:pt idx="0">
                  <c:v>0.79</c:v>
                </c:pt>
                <c:pt idx="1">
                  <c:v>0.81</c:v>
                </c:pt>
                <c:pt idx="2">
                  <c:v>0.82000000000000006</c:v>
                </c:pt>
                <c:pt idx="3">
                  <c:v>0.76</c:v>
                </c:pt>
                <c:pt idx="4">
                  <c:v>0.81</c:v>
                </c:pt>
                <c:pt idx="5">
                  <c:v>0.79</c:v>
                </c:pt>
                <c:pt idx="6">
                  <c:v>0.77</c:v>
                </c:pt>
                <c:pt idx="7">
                  <c:v>0.81</c:v>
                </c:pt>
                <c:pt idx="8">
                  <c:v>0.84</c:v>
                </c:pt>
                <c:pt idx="9">
                  <c:v>0.79</c:v>
                </c:pt>
                <c:pt idx="10">
                  <c:v>0.81</c:v>
                </c:pt>
                <c:pt idx="11">
                  <c:v>0.85</c:v>
                </c:pt>
              </c:numCache>
            </c:numRef>
          </c:val>
          <c:extLst>
            <c:ext xmlns:c16="http://schemas.microsoft.com/office/drawing/2014/chart" uri="{C3380CC4-5D6E-409C-BE32-E72D297353CC}">
              <c16:uniqueId val="{00000005-D5EC-43DD-9434-C33D13249623}"/>
            </c:ext>
          </c:extLst>
        </c:ser>
        <c:ser>
          <c:idx val="6"/>
          <c:order val="6"/>
          <c:tx>
            <c:strRef>
              <c:f>Export!$A$9</c:f>
              <c:strCache>
                <c:ptCount val="1"/>
                <c:pt idx="0">
                  <c:v>Urology</c:v>
                </c:pt>
              </c:strCache>
            </c:strRef>
          </c:tx>
          <c:spPr>
            <a:solidFill>
              <a:schemeClr val="accent1">
                <a:lumMod val="60000"/>
              </a:schemeClr>
            </a:solidFill>
            <a:ln>
              <a:noFill/>
            </a:ln>
            <a:effectLst/>
          </c:spPr>
          <c:invertIfNegative val="0"/>
          <c:cat>
            <c:multiLvlStrRef>
              <c:f>Export!$B$1:$M$2</c:f>
              <c:multiLvlStrCache>
                <c:ptCount val="12"/>
                <c:lvl>
                  <c:pt idx="0">
                    <c:v>List Utilisation (%)</c:v>
                  </c:pt>
                  <c:pt idx="1">
                    <c:v>List Utilisation (%)</c:v>
                  </c:pt>
                  <c:pt idx="2">
                    <c:v>List Utilisation (%)</c:v>
                  </c:pt>
                  <c:pt idx="3">
                    <c:v>List Utilisation (%)</c:v>
                  </c:pt>
                  <c:pt idx="4">
                    <c:v>List Utilisation (%)</c:v>
                  </c:pt>
                  <c:pt idx="5">
                    <c:v>List Utilisation (%)</c:v>
                  </c:pt>
                  <c:pt idx="6">
                    <c:v>List Utilisation (%)</c:v>
                  </c:pt>
                  <c:pt idx="7">
                    <c:v>List Utilisation (%)</c:v>
                  </c:pt>
                  <c:pt idx="8">
                    <c:v>List Utilisation (%)</c:v>
                  </c:pt>
                  <c:pt idx="9">
                    <c:v>List Utilisation (%)</c:v>
                  </c:pt>
                  <c:pt idx="10">
                    <c:v>List Utilisation (%)</c:v>
                  </c:pt>
                  <c:pt idx="11">
                    <c:v>List Utilisation (%)</c:v>
                  </c:pt>
                </c:lvl>
                <c:lvl>
                  <c:pt idx="0">
                    <c:v>Sep 25</c:v>
                  </c:pt>
                  <c:pt idx="1">
                    <c:v>Oct 25</c:v>
                  </c:pt>
                  <c:pt idx="2">
                    <c:v>Nov 25</c:v>
                  </c:pt>
                  <c:pt idx="3">
                    <c:v>Dec 25</c:v>
                  </c:pt>
                  <c:pt idx="4">
                    <c:v>Jan 26</c:v>
                  </c:pt>
                  <c:pt idx="5">
                    <c:v>Feb 26</c:v>
                  </c:pt>
                  <c:pt idx="6">
                    <c:v>Mar 26</c:v>
                  </c:pt>
                  <c:pt idx="7">
                    <c:v>Apr 26</c:v>
                  </c:pt>
                  <c:pt idx="8">
                    <c:v>May 26</c:v>
                  </c:pt>
                  <c:pt idx="9">
                    <c:v>Jun 26</c:v>
                  </c:pt>
                  <c:pt idx="10">
                    <c:v>Jul 26</c:v>
                  </c:pt>
                  <c:pt idx="11">
                    <c:v>Aug 26</c:v>
                  </c:pt>
                </c:lvl>
              </c:multiLvlStrCache>
            </c:multiLvlStrRef>
          </c:cat>
          <c:val>
            <c:numRef>
              <c:f>Export!$B$9:$M$9</c:f>
              <c:numCache>
                <c:formatCode>0%;\-0%;0%</c:formatCode>
                <c:ptCount val="12"/>
                <c:pt idx="0">
                  <c:v>0.59</c:v>
                </c:pt>
                <c:pt idx="1">
                  <c:v>0.69000000000000006</c:v>
                </c:pt>
                <c:pt idx="2">
                  <c:v>0.62</c:v>
                </c:pt>
                <c:pt idx="3">
                  <c:v>0.65</c:v>
                </c:pt>
                <c:pt idx="4">
                  <c:v>0.68</c:v>
                </c:pt>
                <c:pt idx="5">
                  <c:v>0.66</c:v>
                </c:pt>
                <c:pt idx="6">
                  <c:v>0.73</c:v>
                </c:pt>
                <c:pt idx="7">
                  <c:v>0.72</c:v>
                </c:pt>
                <c:pt idx="8">
                  <c:v>0.67</c:v>
                </c:pt>
                <c:pt idx="9">
                  <c:v>0.63</c:v>
                </c:pt>
                <c:pt idx="10">
                  <c:v>0.68</c:v>
                </c:pt>
                <c:pt idx="11">
                  <c:v>0.64</c:v>
                </c:pt>
              </c:numCache>
            </c:numRef>
          </c:val>
          <c:extLst>
            <c:ext xmlns:c16="http://schemas.microsoft.com/office/drawing/2014/chart" uri="{C3380CC4-5D6E-409C-BE32-E72D297353CC}">
              <c16:uniqueId val="{00000006-D5EC-43DD-9434-C33D13249623}"/>
            </c:ext>
          </c:extLst>
        </c:ser>
        <c:ser>
          <c:idx val="7"/>
          <c:order val="7"/>
          <c:tx>
            <c:strRef>
              <c:f>Export!$A$10</c:f>
              <c:strCache>
                <c:ptCount val="1"/>
                <c:pt idx="0">
                  <c:v>Vascular</c:v>
                </c:pt>
              </c:strCache>
            </c:strRef>
          </c:tx>
          <c:spPr>
            <a:solidFill>
              <a:schemeClr val="accent2">
                <a:lumMod val="60000"/>
              </a:schemeClr>
            </a:solidFill>
            <a:ln>
              <a:noFill/>
            </a:ln>
            <a:effectLst/>
          </c:spPr>
          <c:invertIfNegative val="0"/>
          <c:cat>
            <c:multiLvlStrRef>
              <c:f>Export!$B$1:$M$2</c:f>
              <c:multiLvlStrCache>
                <c:ptCount val="12"/>
                <c:lvl>
                  <c:pt idx="0">
                    <c:v>List Utilisation (%)</c:v>
                  </c:pt>
                  <c:pt idx="1">
                    <c:v>List Utilisation (%)</c:v>
                  </c:pt>
                  <c:pt idx="2">
                    <c:v>List Utilisation (%)</c:v>
                  </c:pt>
                  <c:pt idx="3">
                    <c:v>List Utilisation (%)</c:v>
                  </c:pt>
                  <c:pt idx="4">
                    <c:v>List Utilisation (%)</c:v>
                  </c:pt>
                  <c:pt idx="5">
                    <c:v>List Utilisation (%)</c:v>
                  </c:pt>
                  <c:pt idx="6">
                    <c:v>List Utilisation (%)</c:v>
                  </c:pt>
                  <c:pt idx="7">
                    <c:v>List Utilisation (%)</c:v>
                  </c:pt>
                  <c:pt idx="8">
                    <c:v>List Utilisation (%)</c:v>
                  </c:pt>
                  <c:pt idx="9">
                    <c:v>List Utilisation (%)</c:v>
                  </c:pt>
                  <c:pt idx="10">
                    <c:v>List Utilisation (%)</c:v>
                  </c:pt>
                  <c:pt idx="11">
                    <c:v>List Utilisation (%)</c:v>
                  </c:pt>
                </c:lvl>
                <c:lvl>
                  <c:pt idx="0">
                    <c:v>Sep 25</c:v>
                  </c:pt>
                  <c:pt idx="1">
                    <c:v>Oct 25</c:v>
                  </c:pt>
                  <c:pt idx="2">
                    <c:v>Nov 25</c:v>
                  </c:pt>
                  <c:pt idx="3">
                    <c:v>Dec 25</c:v>
                  </c:pt>
                  <c:pt idx="4">
                    <c:v>Jan 26</c:v>
                  </c:pt>
                  <c:pt idx="5">
                    <c:v>Feb 26</c:v>
                  </c:pt>
                  <c:pt idx="6">
                    <c:v>Mar 26</c:v>
                  </c:pt>
                  <c:pt idx="7">
                    <c:v>Apr 26</c:v>
                  </c:pt>
                  <c:pt idx="8">
                    <c:v>May 26</c:v>
                  </c:pt>
                  <c:pt idx="9">
                    <c:v>Jun 26</c:v>
                  </c:pt>
                  <c:pt idx="10">
                    <c:v>Jul 26</c:v>
                  </c:pt>
                  <c:pt idx="11">
                    <c:v>Aug 26</c:v>
                  </c:pt>
                </c:lvl>
              </c:multiLvlStrCache>
            </c:multiLvlStrRef>
          </c:cat>
          <c:val>
            <c:numRef>
              <c:f>Export!$B$10:$M$10</c:f>
              <c:numCache>
                <c:formatCode>0%;\-0%;0%</c:formatCode>
                <c:ptCount val="12"/>
                <c:pt idx="0">
                  <c:v>0.59</c:v>
                </c:pt>
                <c:pt idx="1">
                  <c:v>0.43</c:v>
                </c:pt>
                <c:pt idx="2">
                  <c:v>0.48</c:v>
                </c:pt>
                <c:pt idx="3">
                  <c:v>0.49</c:v>
                </c:pt>
                <c:pt idx="4">
                  <c:v>0.46</c:v>
                </c:pt>
                <c:pt idx="5">
                  <c:v>0.39</c:v>
                </c:pt>
                <c:pt idx="6">
                  <c:v>0.48</c:v>
                </c:pt>
                <c:pt idx="7">
                  <c:v>0.39</c:v>
                </c:pt>
                <c:pt idx="8">
                  <c:v>0.43</c:v>
                </c:pt>
                <c:pt idx="9">
                  <c:v>0.35000000000000003</c:v>
                </c:pt>
                <c:pt idx="10">
                  <c:v>0.55000000000000004</c:v>
                </c:pt>
                <c:pt idx="11">
                  <c:v>0.57000000000000006</c:v>
                </c:pt>
              </c:numCache>
            </c:numRef>
          </c:val>
          <c:extLst>
            <c:ext xmlns:c16="http://schemas.microsoft.com/office/drawing/2014/chart" uri="{C3380CC4-5D6E-409C-BE32-E72D297353CC}">
              <c16:uniqueId val="{00000007-D5EC-43DD-9434-C33D13249623}"/>
            </c:ext>
          </c:extLst>
        </c:ser>
        <c:dLbls>
          <c:showLegendKey val="0"/>
          <c:showVal val="0"/>
          <c:showCatName val="0"/>
          <c:showSerName val="0"/>
          <c:showPercent val="0"/>
          <c:showBubbleSize val="0"/>
        </c:dLbls>
        <c:gapWidth val="219"/>
        <c:overlap val="-27"/>
        <c:axId val="744108191"/>
        <c:axId val="796171055"/>
      </c:barChart>
      <c:catAx>
        <c:axId val="744108191"/>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6171055"/>
        <c:crosses val="autoZero"/>
        <c:auto val="1"/>
        <c:lblAlgn val="ctr"/>
        <c:lblOffset val="100"/>
        <c:noMultiLvlLbl val="0"/>
      </c:catAx>
      <c:valAx>
        <c:axId val="79617105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41081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
      <w:docPartPr>
        <w:name w:val="7AB225EEC3C64F689319EEDFB082D202"/>
        <w:category>
          <w:name w:val="General"/>
          <w:gallery w:val="placeholder"/>
        </w:category>
        <w:types>
          <w:type w:val="bbPlcHdr"/>
        </w:types>
        <w:behaviors>
          <w:behavior w:val="content"/>
        </w:behaviors>
        <w:guid w:val="{50E3988D-13CA-4AC7-A3E6-CF9F5834F4CB}"/>
      </w:docPartPr>
      <w:docPartBody>
        <w:p w:rsidR="00AE4365" w:rsidRDefault="00D26303" w:rsidP="00D26303">
          <w:pPr>
            <w:pStyle w:val="7AB225EEC3C64F689319EEDFB082D202"/>
          </w:pPr>
          <w:r w:rsidRPr="00FA4C04">
            <w:rPr>
              <w:rStyle w:val="PlaceholderText"/>
            </w:rPr>
            <w:t>Choose an item.</w:t>
          </w:r>
        </w:p>
      </w:docPartBody>
    </w:docPart>
    <w:docPart>
      <w:docPartPr>
        <w:name w:val="C669DD432631453182014B3A71E3D84D"/>
        <w:category>
          <w:name w:val="General"/>
          <w:gallery w:val="placeholder"/>
        </w:category>
        <w:types>
          <w:type w:val="bbPlcHdr"/>
        </w:types>
        <w:behaviors>
          <w:behavior w:val="content"/>
        </w:behaviors>
        <w:guid w:val="{BF2FDFF4-6651-4440-9780-231E98916B28}"/>
      </w:docPartPr>
      <w:docPartBody>
        <w:p w:rsidR="00AE4365" w:rsidRDefault="00D26303" w:rsidP="00D26303">
          <w:pPr>
            <w:pStyle w:val="C669DD432631453182014B3A71E3D84D"/>
          </w:pPr>
          <w:r w:rsidRPr="00FA4C04">
            <w:rPr>
              <w:rStyle w:val="PlaceholderText"/>
            </w:rPr>
            <w:t>Choose an item.</w:t>
          </w:r>
        </w:p>
      </w:docPartBody>
    </w:docPart>
    <w:docPart>
      <w:docPartPr>
        <w:name w:val="5E57510160B942148539515831D44FEE"/>
        <w:category>
          <w:name w:val="General"/>
          <w:gallery w:val="placeholder"/>
        </w:category>
        <w:types>
          <w:type w:val="bbPlcHdr"/>
        </w:types>
        <w:behaviors>
          <w:behavior w:val="content"/>
        </w:behaviors>
        <w:guid w:val="{57AEBD5E-29D3-4BD5-BF88-5C9C3A24170D}"/>
      </w:docPartPr>
      <w:docPartBody>
        <w:p w:rsidR="00AE4365" w:rsidRDefault="00D26303" w:rsidP="00D26303">
          <w:pPr>
            <w:pStyle w:val="5E57510160B942148539515831D44FEE"/>
          </w:pPr>
          <w:r w:rsidRPr="00B105BD">
            <w:rPr>
              <w:rStyle w:val="PlaceholderText"/>
            </w:rPr>
            <w:t>Click or tap to enter a date.</w:t>
          </w:r>
        </w:p>
      </w:docPartBody>
    </w:docPart>
    <w:docPart>
      <w:docPartPr>
        <w:name w:val="00CBCDF56E6D42E4B14568B67FA21999"/>
        <w:category>
          <w:name w:val="General"/>
          <w:gallery w:val="placeholder"/>
        </w:category>
        <w:types>
          <w:type w:val="bbPlcHdr"/>
        </w:types>
        <w:behaviors>
          <w:behavior w:val="content"/>
        </w:behaviors>
        <w:guid w:val="{82CAC716-317E-4396-A30D-0232D46D15B2}"/>
      </w:docPartPr>
      <w:docPartBody>
        <w:p w:rsidR="00AE4365" w:rsidRDefault="00D26303" w:rsidP="00D26303">
          <w:pPr>
            <w:pStyle w:val="00CBCDF56E6D42E4B14568B67FA21999"/>
          </w:pPr>
          <w:r w:rsidRPr="00FA4C04">
            <w:rPr>
              <w:rStyle w:val="PlaceholderText"/>
            </w:rPr>
            <w:t>Choose an item.</w:t>
          </w:r>
        </w:p>
      </w:docPartBody>
    </w:docPart>
    <w:docPart>
      <w:docPartPr>
        <w:name w:val="4DA4F958BE504C159CCCA36D2140C8C7"/>
        <w:category>
          <w:name w:val="General"/>
          <w:gallery w:val="placeholder"/>
        </w:category>
        <w:types>
          <w:type w:val="bbPlcHdr"/>
        </w:types>
        <w:behaviors>
          <w:behavior w:val="content"/>
        </w:behaviors>
        <w:guid w:val="{9418795A-A34C-409B-AD11-C9E2D0D15DBD}"/>
      </w:docPartPr>
      <w:docPartBody>
        <w:p w:rsidR="00AE4365" w:rsidRDefault="00D26303" w:rsidP="00D26303">
          <w:pPr>
            <w:pStyle w:val="4DA4F958BE504C159CCCA36D2140C8C7"/>
          </w:pPr>
          <w:r w:rsidRPr="00FA4C0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10FDC"/>
    <w:rsid w:val="001B0EEF"/>
    <w:rsid w:val="001B3EFE"/>
    <w:rsid w:val="001C6C4F"/>
    <w:rsid w:val="00240F00"/>
    <w:rsid w:val="002D7989"/>
    <w:rsid w:val="003261FD"/>
    <w:rsid w:val="00327324"/>
    <w:rsid w:val="00365042"/>
    <w:rsid w:val="00387A41"/>
    <w:rsid w:val="003F2705"/>
    <w:rsid w:val="0040753F"/>
    <w:rsid w:val="004140C9"/>
    <w:rsid w:val="00452091"/>
    <w:rsid w:val="00467E8C"/>
    <w:rsid w:val="00500DD2"/>
    <w:rsid w:val="00524839"/>
    <w:rsid w:val="00591655"/>
    <w:rsid w:val="00591868"/>
    <w:rsid w:val="005C1160"/>
    <w:rsid w:val="00641883"/>
    <w:rsid w:val="00672A4C"/>
    <w:rsid w:val="006D0E46"/>
    <w:rsid w:val="006F549F"/>
    <w:rsid w:val="0076681D"/>
    <w:rsid w:val="007D313C"/>
    <w:rsid w:val="009E14BB"/>
    <w:rsid w:val="00AD486E"/>
    <w:rsid w:val="00AE4365"/>
    <w:rsid w:val="00B06ACB"/>
    <w:rsid w:val="00B904E5"/>
    <w:rsid w:val="00C3159D"/>
    <w:rsid w:val="00C367B9"/>
    <w:rsid w:val="00CA5525"/>
    <w:rsid w:val="00CB2F21"/>
    <w:rsid w:val="00CC048E"/>
    <w:rsid w:val="00D26303"/>
    <w:rsid w:val="00D404D3"/>
    <w:rsid w:val="00D914F2"/>
    <w:rsid w:val="00E10124"/>
    <w:rsid w:val="00E62F67"/>
    <w:rsid w:val="00ED754B"/>
    <w:rsid w:val="00F97C38"/>
    <w:rsid w:val="00FB29FD"/>
    <w:rsid w:val="00FE28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6303"/>
    <w:rPr>
      <w:color w:val="808080"/>
    </w:rPr>
  </w:style>
  <w:style w:type="paragraph" w:customStyle="1" w:styleId="0C4E3201377C4179AD02E9119F1325AE">
    <w:name w:val="0C4E3201377C4179AD02E9119F1325AE"/>
    <w:rsid w:val="00ED754B"/>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 w:type="paragraph" w:customStyle="1" w:styleId="7AB225EEC3C64F689319EEDFB082D202">
    <w:name w:val="7AB225EEC3C64F689319EEDFB082D202"/>
    <w:rsid w:val="00D26303"/>
  </w:style>
  <w:style w:type="paragraph" w:customStyle="1" w:styleId="C669DD432631453182014B3A71E3D84D">
    <w:name w:val="C669DD432631453182014B3A71E3D84D"/>
    <w:rsid w:val="00D26303"/>
  </w:style>
  <w:style w:type="paragraph" w:customStyle="1" w:styleId="5E57510160B942148539515831D44FEE">
    <w:name w:val="5E57510160B942148539515831D44FEE"/>
    <w:rsid w:val="00D26303"/>
  </w:style>
  <w:style w:type="paragraph" w:customStyle="1" w:styleId="00CBCDF56E6D42E4B14568B67FA21999">
    <w:name w:val="00CBCDF56E6D42E4B14568B67FA21999"/>
    <w:rsid w:val="00D26303"/>
  </w:style>
  <w:style w:type="paragraph" w:customStyle="1" w:styleId="4DA4F958BE504C159CCCA36D2140C8C7">
    <w:name w:val="4DA4F958BE504C159CCCA36D2140C8C7"/>
    <w:rsid w:val="00D263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2.xml><?xml version="1.0" encoding="utf-8"?>
<ds:datastoreItem xmlns:ds="http://schemas.openxmlformats.org/officeDocument/2006/customXml" ds:itemID="{79EAB5AE-ABCB-4715-A53E-478D0380B3EE}">
  <ds:schemaRefs>
    <ds:schemaRef ds:uri="http://schemas.microsoft.com/office/2006/metadata/properties"/>
    <ds:schemaRef ds:uri="fdfaf355-f7ae-47f3-8f93-739a60756710"/>
    <ds:schemaRef ds:uri="http://purl.org/dc/dcmitype/"/>
    <ds:schemaRef ds:uri="http://purl.org/dc/elements/1.1/"/>
    <ds:schemaRef ds:uri="http://schemas.openxmlformats.org/package/2006/metadata/core-properties"/>
    <ds:schemaRef ds:uri="http://schemas.microsoft.com/office/2006/documentManagement/types"/>
    <ds:schemaRef ds:uri="http://www.w3.org/XML/1998/namespace"/>
    <ds:schemaRef ds:uri="http://schemas.microsoft.com/sharepoint/v3"/>
    <ds:schemaRef ds:uri="http://schemas.microsoft.com/office/infopath/2007/PartnerControls"/>
    <ds:schemaRef ds:uri="60b0568e-e574-4342-a9c0-c22c6fec6509"/>
    <ds:schemaRef ds:uri="http://purl.org/dc/terms/"/>
  </ds:schemaRefs>
</ds:datastoreItem>
</file>

<file path=customXml/itemProps3.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4.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1455</Words>
  <Characters>9094</Characters>
  <Application>Microsoft Office Word</Application>
  <DocSecurity>0</DocSecurity>
  <Lines>75</Lines>
  <Paragraphs>21</Paragraphs>
  <ScaleCrop>false</ScaleCrop>
  <Company>ABM LHB</Company>
  <LinksUpToDate>false</LinksUpToDate>
  <CharactersWithSpaces>10528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Claire Mulcahy (Swansea Bay UHB - Corporate Governance )</cp:lastModifiedBy>
  <cp:revision>18</cp:revision>
  <dcterms:created xsi:type="dcterms:W3CDTF">2026-09-04T15:33:00Z</dcterms:created>
  <dcterms:modified xsi:type="dcterms:W3CDTF">2026-09-15T13:20:00Z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