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BF23DD" w:rsidR="00083FC0" w:rsidTr="272F4351" w14:paraId="6D2903E2" w14:textId="77777777">
        <w:tc>
          <w:tcPr>
            <w:tcW w:w="2977" w:type="dxa"/>
            <w:shd w:val="clear" w:color="auto" w:fill="163E64"/>
            <w:tcMar/>
          </w:tcPr>
          <w:p w:rsidRPr="00BF23DD" w:rsidR="00F5082D" w:rsidP="003B4312" w:rsidRDefault="00F5082D" w14:paraId="6D2903DE" w14:textId="77777777">
            <w:pPr>
              <w:jc w:val="both"/>
              <w:rPr>
                <w:b/>
              </w:rPr>
            </w:pPr>
            <w:r w:rsidRPr="00BF23DD">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5T00:00:00Z">
              <w:dateFormat w:val="dd MMMM yyyy"/>
              <w:lid w:val="en-GB"/>
              <w:storeMappedDataAs w:val="dateTime"/>
              <w:calendar w:val="gregorian"/>
            </w:date>
          </w:sdtPr>
          <w:sdtEndPr>
            <w:rPr>
              <w:rStyle w:val="DefaultParagraphFont"/>
            </w:rPr>
          </w:sdtEndPr>
          <w:sdtContent>
            <w:tc>
              <w:tcPr>
                <w:tcW w:w="2835" w:type="dxa"/>
                <w:tcMar/>
              </w:tcPr>
              <w:p w:rsidRPr="00BF23DD" w:rsidR="00F5082D" w:rsidP="003B4312" w:rsidRDefault="007E6D88" w14:paraId="6D2903DF" w14:textId="11702798">
                <w:pPr>
                  <w:jc w:val="both"/>
                  <w:rPr>
                    <w:b/>
                    <w:bCs/>
                  </w:rPr>
                </w:pPr>
                <w:r>
                  <w:rPr>
                    <w:rStyle w:val="Style1"/>
                    <w:b/>
                    <w:bCs/>
                  </w:rPr>
                  <w:t>25 August 2026</w:t>
                </w:r>
              </w:p>
            </w:tc>
          </w:sdtContent>
        </w:sdt>
        <w:tc>
          <w:tcPr>
            <w:tcW w:w="2368" w:type="dxa"/>
            <w:shd w:val="clear" w:color="auto" w:fill="163E64"/>
            <w:tcMar/>
          </w:tcPr>
          <w:p w:rsidRPr="00BF23DD" w:rsidR="00F5082D" w:rsidP="003B4312" w:rsidRDefault="00F5082D" w14:paraId="6D2903E0" w14:textId="77777777">
            <w:pPr>
              <w:jc w:val="both"/>
              <w:rPr>
                <w:b/>
              </w:rPr>
            </w:pPr>
            <w:r w:rsidRPr="00BF23DD">
              <w:rPr>
                <w:b/>
              </w:rPr>
              <w:t>Agenda Item</w:t>
            </w:r>
          </w:p>
        </w:tc>
        <w:tc>
          <w:tcPr>
            <w:tcW w:w="841" w:type="dxa"/>
            <w:tcMar/>
          </w:tcPr>
          <w:p w:rsidRPr="00BF23DD" w:rsidR="00F5082D" w:rsidP="4B80AA11" w:rsidRDefault="00CE5DAC" w14:paraId="6D2903E1" w14:textId="659220C7">
            <w:pPr>
              <w:jc w:val="both"/>
              <w:rPr>
                <w:b w:val="1"/>
                <w:bCs w:val="1"/>
              </w:rPr>
            </w:pPr>
            <w:r w:rsidRPr="4B80AA11" w:rsidR="00CE5DAC">
              <w:rPr>
                <w:b w:val="1"/>
                <w:bCs w:val="1"/>
              </w:rPr>
              <w:t>4.</w:t>
            </w:r>
            <w:r w:rsidRPr="4B80AA11" w:rsidR="14FDA703">
              <w:rPr>
                <w:b w:val="1"/>
                <w:bCs w:val="1"/>
              </w:rPr>
              <w:t>2</w:t>
            </w:r>
          </w:p>
        </w:tc>
      </w:tr>
      <w:tr w:rsidRPr="00BF23DD" w:rsidR="00B0479E" w:rsidTr="272F4351" w14:paraId="1EEB45B2" w14:textId="77777777">
        <w:tc>
          <w:tcPr>
            <w:tcW w:w="2977" w:type="dxa"/>
            <w:shd w:val="clear" w:color="auto" w:fill="163E64"/>
            <w:tcMar/>
          </w:tcPr>
          <w:p w:rsidRPr="00BF23DD" w:rsidR="00B0479E" w:rsidP="003B4312" w:rsidRDefault="00B0479E" w14:paraId="4A48663E" w14:textId="6879CA0B">
            <w:pPr>
              <w:jc w:val="both"/>
              <w:rPr>
                <w:b/>
              </w:rPr>
            </w:pPr>
            <w:r w:rsidRPr="00BF23DD">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listItem w:displayText="Quality and Safety Group (QSG)" w:value="Quality and Safety Group (QSG)"/>
              <w:listItem w:displayText="Quality and Safety Group (QSG) In-Committee" w:value="Quality and Safety Group (QSG) In-Committee"/>
            </w:dropDownList>
          </w:sdtPr>
          <w:sdtEndPr>
            <w:rPr>
              <w:rStyle w:val="DefaultParagraphFont"/>
              <w:b w:val="1"/>
              <w:bCs w:val="1"/>
            </w:rPr>
          </w:sdtEndPr>
          <w:sdtContent>
            <w:tc>
              <w:tcPr>
                <w:tcW w:w="6044" w:type="dxa"/>
                <w:gridSpan w:val="3"/>
                <w:tcMar/>
              </w:tcPr>
              <w:p w:rsidRPr="00BF23DD" w:rsidR="00B0479E" w:rsidP="003B4312" w:rsidRDefault="00484F14" w14:paraId="5687483E" w14:textId="166BE623">
                <w:pPr>
                  <w:jc w:val="both"/>
                  <w:rPr>
                    <w:b/>
                    <w:bCs/>
                  </w:rPr>
                </w:pPr>
                <w:r>
                  <w:rPr>
                    <w:rStyle w:val="CorporateFont"/>
                    <w:b/>
                    <w:bCs/>
                  </w:rPr>
                  <w:t>Finance and Performance Committee</w:t>
                </w:r>
              </w:p>
            </w:tc>
          </w:sdtContent>
        </w:sdt>
      </w:tr>
      <w:tr w:rsidRPr="00BF23DD" w:rsidR="00083FC0" w:rsidTr="272F4351" w14:paraId="6D2903E5" w14:textId="77777777">
        <w:tc>
          <w:tcPr>
            <w:tcW w:w="2977" w:type="dxa"/>
            <w:shd w:val="clear" w:color="auto" w:fill="163E64"/>
            <w:tcMar/>
          </w:tcPr>
          <w:p w:rsidRPr="00BF23DD" w:rsidR="00034194" w:rsidP="003B4312" w:rsidRDefault="00034194" w14:paraId="6D2903E3" w14:textId="77777777">
            <w:pPr>
              <w:jc w:val="both"/>
              <w:rPr>
                <w:b/>
              </w:rPr>
            </w:pPr>
            <w:r w:rsidRPr="00BF23DD">
              <w:rPr>
                <w:b/>
              </w:rPr>
              <w:t>Report Title</w:t>
            </w:r>
          </w:p>
        </w:tc>
        <w:tc>
          <w:tcPr>
            <w:tcW w:w="6044" w:type="dxa"/>
            <w:gridSpan w:val="3"/>
            <w:tcMar/>
          </w:tcPr>
          <w:p w:rsidRPr="00BF23DD" w:rsidR="00034194" w:rsidP="003B4312" w:rsidRDefault="00564BD5" w14:paraId="6D2903E4" w14:textId="457A968A">
            <w:pPr>
              <w:jc w:val="both"/>
            </w:pPr>
            <w:r w:rsidRPr="00BF23DD">
              <w:t xml:space="preserve">Pharmacy &amp; Medicines Management </w:t>
            </w:r>
            <w:r w:rsidRPr="00BF23DD" w:rsidR="00D94918">
              <w:t>Quarterly Report</w:t>
            </w:r>
          </w:p>
        </w:tc>
      </w:tr>
      <w:tr w:rsidRPr="00BF23DD" w:rsidR="00083FC0" w:rsidTr="272F4351" w14:paraId="6D2903E8" w14:textId="77777777">
        <w:tc>
          <w:tcPr>
            <w:tcW w:w="2977" w:type="dxa"/>
            <w:shd w:val="clear" w:color="auto" w:fill="163E64"/>
            <w:tcMar/>
          </w:tcPr>
          <w:p w:rsidRPr="00BF23DD" w:rsidR="00034194" w:rsidP="003B4312" w:rsidRDefault="00034194" w14:paraId="6D2903E6" w14:textId="77777777">
            <w:pPr>
              <w:jc w:val="both"/>
              <w:rPr>
                <w:b/>
              </w:rPr>
            </w:pPr>
            <w:r w:rsidRPr="00BF23DD">
              <w:rPr>
                <w:b/>
              </w:rPr>
              <w:t>Report Author</w:t>
            </w:r>
          </w:p>
        </w:tc>
        <w:tc>
          <w:tcPr>
            <w:tcW w:w="6044" w:type="dxa"/>
            <w:gridSpan w:val="3"/>
            <w:tcMar/>
          </w:tcPr>
          <w:p w:rsidRPr="00BF23DD" w:rsidR="00034194" w:rsidP="003B4312" w:rsidRDefault="00D94918" w14:paraId="6D2903E7" w14:textId="78F7F6B3">
            <w:pPr>
              <w:jc w:val="both"/>
            </w:pPr>
            <w:r w:rsidRPr="00BF23DD">
              <w:t>Owain Williams (Clinical Director for Pharmacy &amp; Medicines Management &amp; Controlled Drugs Accountable Officer)</w:t>
            </w:r>
          </w:p>
        </w:tc>
      </w:tr>
      <w:tr w:rsidRPr="00BF23DD" w:rsidR="00762BBE" w:rsidTr="272F4351" w14:paraId="6D2903EB" w14:textId="77777777">
        <w:tc>
          <w:tcPr>
            <w:tcW w:w="2977" w:type="dxa"/>
            <w:shd w:val="clear" w:color="auto" w:fill="163E64"/>
            <w:tcMar/>
          </w:tcPr>
          <w:p w:rsidRPr="00BF23DD" w:rsidR="00762BBE" w:rsidP="003B4312" w:rsidRDefault="00762BBE" w14:paraId="6D2903E9" w14:textId="77777777">
            <w:pPr>
              <w:jc w:val="both"/>
              <w:rPr>
                <w:b/>
              </w:rPr>
            </w:pPr>
            <w:r w:rsidRPr="00BF23DD">
              <w:rPr>
                <w:b/>
              </w:rPr>
              <w:t>Report Sponsor</w:t>
            </w:r>
          </w:p>
        </w:tc>
        <w:tc>
          <w:tcPr>
            <w:tcW w:w="6044" w:type="dxa"/>
            <w:gridSpan w:val="3"/>
            <w:tcMar/>
          </w:tcPr>
          <w:p w:rsidRPr="00BF23DD" w:rsidR="00762BBE" w:rsidP="003B4312" w:rsidRDefault="00203D3C" w14:paraId="6D2903EA" w14:textId="00959417">
            <w:pPr>
              <w:jc w:val="both"/>
            </w:pPr>
            <w:r>
              <w:t>Raj Krishnan (Interim Executive Medical Director)</w:t>
            </w:r>
          </w:p>
        </w:tc>
      </w:tr>
      <w:tr w:rsidRPr="00BF23DD" w:rsidR="00762BBE" w:rsidTr="272F4351" w14:paraId="6D2903EE" w14:textId="77777777">
        <w:tc>
          <w:tcPr>
            <w:tcW w:w="2977" w:type="dxa"/>
            <w:shd w:val="clear" w:color="auto" w:fill="163E64"/>
            <w:tcMar/>
          </w:tcPr>
          <w:p w:rsidRPr="00BF23DD" w:rsidR="00762BBE" w:rsidP="003B4312" w:rsidRDefault="00762BBE" w14:paraId="6D2903EC" w14:textId="77777777">
            <w:pPr>
              <w:jc w:val="both"/>
              <w:rPr>
                <w:b/>
              </w:rPr>
            </w:pPr>
            <w:r w:rsidRPr="00BF23DD">
              <w:rPr>
                <w:b/>
              </w:rPr>
              <w:t>Presented by</w:t>
            </w:r>
          </w:p>
        </w:tc>
        <w:tc>
          <w:tcPr>
            <w:tcW w:w="6044" w:type="dxa"/>
            <w:gridSpan w:val="3"/>
            <w:tcMar/>
          </w:tcPr>
          <w:p w:rsidRPr="00BF23DD" w:rsidR="00762BBE" w:rsidP="003B4312" w:rsidRDefault="00DA0B21" w14:paraId="6D2903ED" w14:textId="02A8FE93">
            <w:pPr>
              <w:jc w:val="both"/>
            </w:pPr>
            <w:r w:rsidRPr="00BF23DD">
              <w:t>Owain Williams (Clinical Director for Pharmacy &amp; Medicines Management &amp; Controlled Drugs Accountable Officer)</w:t>
            </w:r>
          </w:p>
        </w:tc>
      </w:tr>
      <w:tr w:rsidRPr="00BF23DD" w:rsidR="00653AEC" w:rsidTr="272F4351" w14:paraId="6D2903F1" w14:textId="77777777">
        <w:tc>
          <w:tcPr>
            <w:tcW w:w="2977" w:type="dxa"/>
            <w:shd w:val="clear" w:color="auto" w:fill="C1A775"/>
            <w:tcMar/>
          </w:tcPr>
          <w:p w:rsidRPr="00BF23DD" w:rsidR="00653AEC" w:rsidP="003B4312" w:rsidRDefault="00653AEC" w14:paraId="6D2903EF" w14:textId="5CD60EB8">
            <w:pPr>
              <w:jc w:val="both"/>
              <w:rPr>
                <w:b/>
                <w:bCs/>
              </w:rPr>
            </w:pPr>
            <w:r w:rsidRPr="00BF23DD">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BF23DD" w:rsidR="00850C29" w:rsidP="003B4312" w:rsidRDefault="00DA0B21" w14:paraId="6D2903F0" w14:textId="7C2199CB">
                <w:pPr>
                  <w:jc w:val="both"/>
                </w:pPr>
                <w:r w:rsidRPr="00BF23DD">
                  <w:rPr>
                    <w:rStyle w:val="Style1"/>
                  </w:rPr>
                  <w:t>Open</w:t>
                </w:r>
              </w:p>
            </w:sdtContent>
          </w:sdt>
        </w:tc>
      </w:tr>
      <w:tr w:rsidRPr="00BF23DD" w:rsidR="00041CF6" w:rsidTr="272F4351" w14:paraId="3533518D" w14:textId="77777777">
        <w:tc>
          <w:tcPr>
            <w:tcW w:w="2977" w:type="dxa"/>
            <w:shd w:val="clear" w:color="auto" w:fill="C1A775"/>
            <w:tcMar/>
          </w:tcPr>
          <w:p w:rsidRPr="00BF23DD" w:rsidR="00041CF6" w:rsidP="003B4312" w:rsidRDefault="00041CF6" w14:paraId="388BDD7E" w14:textId="6876BB65">
            <w:pPr>
              <w:jc w:val="both"/>
              <w:rPr>
                <w:b/>
              </w:rPr>
            </w:pPr>
            <w:r w:rsidRPr="00BF23DD">
              <w:rPr>
                <w:b/>
              </w:rPr>
              <w:t>FoI Cl</w:t>
            </w:r>
            <w:r w:rsidRPr="00BF23DD"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BF23DD" w:rsidR="00041CF6" w:rsidP="003B4312" w:rsidRDefault="00EC231A" w14:paraId="68BCFC98" w14:textId="74614C13">
                <w:pPr>
                  <w:jc w:val="both"/>
                  <w:rPr>
                    <w:rStyle w:val="Style1"/>
                  </w:rPr>
                </w:pPr>
                <w:r w:rsidRPr="00BF23DD">
                  <w:rPr>
                    <w:rStyle w:val="Style1"/>
                  </w:rPr>
                  <w:t>If closed, choose detail</w:t>
                </w:r>
              </w:p>
            </w:tc>
          </w:sdtContent>
        </w:sdt>
      </w:tr>
      <w:tr w:rsidRPr="00BF23DD" w:rsidR="008F442A" w:rsidTr="272F4351" w14:paraId="56774493" w14:textId="77777777">
        <w:tc>
          <w:tcPr>
            <w:tcW w:w="5812" w:type="dxa"/>
            <w:gridSpan w:val="2"/>
            <w:shd w:val="clear" w:color="auto" w:fill="C1A775"/>
            <w:tcMar/>
          </w:tcPr>
          <w:p w:rsidRPr="00BF23DD" w:rsidR="008F442A" w:rsidP="003B4312" w:rsidRDefault="008F442A" w14:paraId="50DAF23B" w14:textId="77777777">
            <w:pPr>
              <w:jc w:val="both"/>
              <w:rPr>
                <w:b/>
              </w:rPr>
            </w:pPr>
            <w:r w:rsidRPr="00BF23DD">
              <w:rPr>
                <w:b/>
              </w:rPr>
              <w:t>Impact Assessment Summary Outcome</w:t>
            </w:r>
          </w:p>
        </w:tc>
        <w:tc>
          <w:tcPr>
            <w:tcW w:w="3209" w:type="dxa"/>
            <w:gridSpan w:val="2"/>
            <w:shd w:val="clear" w:color="auto" w:fill="C1A775"/>
            <w:tcMar/>
          </w:tcPr>
          <w:p w:rsidRPr="00BF23DD" w:rsidR="008F442A" w:rsidP="003B4312" w:rsidRDefault="00FA5DEC" w14:paraId="1FF00833" w14:textId="403A5B42">
            <w:pPr>
              <w:jc w:val="both"/>
              <w:rPr>
                <w:b/>
              </w:rPr>
            </w:pPr>
            <w:r w:rsidRPr="00BF23DD">
              <w:rPr>
                <w:b/>
              </w:rPr>
              <w:t>IA Completion date</w:t>
            </w:r>
          </w:p>
        </w:tc>
      </w:tr>
      <w:tr w:rsidRPr="00BF23DD" w:rsidR="00860674" w:rsidTr="272F4351" w14:paraId="44E771AC" w14:textId="77777777">
        <w:tc>
          <w:tcPr>
            <w:tcW w:w="5812" w:type="dxa"/>
            <w:gridSpan w:val="2"/>
            <w:tcMar/>
          </w:tcPr>
          <w:p w:rsidRPr="00BF23DD" w:rsidR="00A35122" w:rsidP="003B4312" w:rsidRDefault="003403CF" w14:paraId="5E84E502" w14:textId="36650D30">
            <w:pPr>
              <w:jc w:val="both"/>
            </w:pPr>
            <w: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BF23DD" w:rsidR="00860674" w:rsidP="003B4312" w:rsidRDefault="00B105BD" w14:paraId="6CF9C42A" w14:textId="06AA5658">
                <w:pPr>
                  <w:jc w:val="both"/>
                  <w:rPr>
                    <w:bCs/>
                  </w:rPr>
                </w:pPr>
                <w:r w:rsidRPr="00BF23DD">
                  <w:rPr>
                    <w:rStyle w:val="PlaceholderText"/>
                    <w:color w:val="auto"/>
                  </w:rPr>
                  <w:t>Click or tap to enter a date.</w:t>
                </w:r>
              </w:p>
            </w:tc>
          </w:sdtContent>
        </w:sdt>
      </w:tr>
      <w:tr w:rsidRPr="00BF23DD" w:rsidR="00EA4667" w:rsidTr="272F4351" w14:paraId="2BABD8F1" w14:textId="77777777">
        <w:tc>
          <w:tcPr>
            <w:tcW w:w="2977" w:type="dxa"/>
            <w:shd w:val="clear" w:color="auto" w:fill="C1A775"/>
            <w:tcMar/>
          </w:tcPr>
          <w:p w:rsidRPr="00BF23DD" w:rsidR="00EA4667" w:rsidP="003B4312" w:rsidRDefault="00EA4667" w14:paraId="4CAAEA69" w14:textId="77777777">
            <w:pPr>
              <w:jc w:val="both"/>
              <w:rPr>
                <w:b/>
              </w:rPr>
            </w:pPr>
            <w:r w:rsidRPr="00BF23DD">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BF23DD" w:rsidR="00EA4667" w:rsidP="003B4312" w:rsidRDefault="00DA0B21" w14:paraId="53EFA578" w14:textId="42D15D0C">
                <w:pPr>
                  <w:ind w:right="96"/>
                  <w:jc w:val="both"/>
                </w:pPr>
                <w:r w:rsidRPr="00BF23DD">
                  <w:rPr>
                    <w:rStyle w:val="Style1"/>
                  </w:rPr>
                  <w:t>For Assurance</w:t>
                </w:r>
              </w:p>
            </w:tc>
          </w:sdtContent>
        </w:sdt>
      </w:tr>
      <w:tr w:rsidRPr="00BF23DD" w:rsidR="00110100" w:rsidTr="272F4351" w14:paraId="2607A37D" w14:textId="77777777">
        <w:tc>
          <w:tcPr>
            <w:tcW w:w="9021" w:type="dxa"/>
            <w:gridSpan w:val="4"/>
            <w:shd w:val="clear" w:color="auto" w:fill="C1A775"/>
            <w:tcMar/>
          </w:tcPr>
          <w:p w:rsidRPr="00BF23DD" w:rsidR="00110100" w:rsidP="003B4312" w:rsidRDefault="00110100" w14:paraId="213FC224" w14:textId="4833FD62">
            <w:pPr>
              <w:jc w:val="both"/>
              <w:rPr>
                <w:color w:val="FF0000"/>
              </w:rPr>
            </w:pPr>
            <w:r w:rsidRPr="00BF23DD">
              <w:rPr>
                <w:b/>
              </w:rPr>
              <w:t>Report Summary; detailing any action required</w:t>
            </w:r>
          </w:p>
        </w:tc>
      </w:tr>
      <w:tr w:rsidRPr="00BF23DD" w:rsidR="00110100" w:rsidTr="272F4351" w14:paraId="6D2903F8" w14:textId="77777777">
        <w:tc>
          <w:tcPr>
            <w:tcW w:w="9021" w:type="dxa"/>
            <w:gridSpan w:val="4"/>
            <w:tcMar/>
          </w:tcPr>
          <w:p w:rsidRPr="00BB4E7C" w:rsidR="00110100" w:rsidP="003B4312" w:rsidRDefault="007765A5" w14:paraId="6D2903F7" w14:textId="71439D46">
            <w:pPr>
              <w:ind w:right="96"/>
              <w:jc w:val="both"/>
            </w:pPr>
            <w:r w:rsidRPr="007765A5">
              <w:t>This report provides assurance on the performance of Pharmacy and Medicines Management and the contribution of medicines optimisation to the Health Board's quality, safety</w:t>
            </w:r>
            <w:r w:rsidR="003E7603">
              <w:t>, performance</w:t>
            </w:r>
            <w:r w:rsidRPr="007765A5">
              <w:t xml:space="preserve"> and financial objectives. </w:t>
            </w:r>
          </w:p>
        </w:tc>
      </w:tr>
      <w:tr w:rsidRPr="00BF23DD" w:rsidR="00110100" w:rsidTr="272F4351" w14:paraId="70491417" w14:textId="77777777">
        <w:tc>
          <w:tcPr>
            <w:tcW w:w="9021" w:type="dxa"/>
            <w:gridSpan w:val="4"/>
            <w:shd w:val="clear" w:color="auto" w:fill="C1A775"/>
            <w:tcMar/>
          </w:tcPr>
          <w:p w:rsidRPr="00BF23DD" w:rsidR="00110100" w:rsidP="003B4312" w:rsidRDefault="00110100" w14:paraId="012E824A" w14:textId="7C1EDF26">
            <w:pPr>
              <w:jc w:val="both"/>
              <w:rPr>
                <w:b/>
              </w:rPr>
            </w:pPr>
            <w:r w:rsidRPr="00BF23DD">
              <w:rPr>
                <w:b/>
              </w:rPr>
              <w:t>Key Issues</w:t>
            </w:r>
          </w:p>
        </w:tc>
      </w:tr>
      <w:tr w:rsidRPr="00BF23DD" w:rsidR="00110100" w:rsidTr="272F4351" w14:paraId="6D290402" w14:textId="77777777">
        <w:tc>
          <w:tcPr>
            <w:tcW w:w="9021" w:type="dxa"/>
            <w:gridSpan w:val="4"/>
            <w:tcMar/>
          </w:tcPr>
          <w:p w:rsidRPr="00BB4E7C" w:rsidR="00F11924" w:rsidP="00F11924" w:rsidRDefault="00F11924" w14:paraId="39877EFD" w14:textId="77777777">
            <w:pPr>
              <w:jc w:val="both"/>
            </w:pPr>
            <w:r w:rsidRPr="00BB4E7C">
              <w:t>This update considers SBUHB performance in four areas, namely:</w:t>
            </w:r>
          </w:p>
          <w:p w:rsidRPr="00BB4E7C" w:rsidR="00F11924" w:rsidP="00F11924" w:rsidRDefault="00F11924" w14:paraId="1E1F9597" w14:textId="77777777">
            <w:pPr>
              <w:pStyle w:val="ListParagraph"/>
              <w:numPr>
                <w:ilvl w:val="0"/>
                <w:numId w:val="7"/>
              </w:numPr>
              <w:rPr>
                <w:color w:val="000000" w:themeColor="text1"/>
              </w:rPr>
            </w:pPr>
            <w:r w:rsidRPr="00BB4E7C">
              <w:rPr>
                <w:color w:val="000000" w:themeColor="text1"/>
              </w:rPr>
              <w:t>NHS Value and Sustainability (V&amp;S) – Priorities for reducing medicines expenditure</w:t>
            </w:r>
          </w:p>
          <w:p w:rsidRPr="00BB4E7C" w:rsidR="00F11924" w:rsidP="00F11924" w:rsidRDefault="00F11924" w14:paraId="3CBA87FD" w14:textId="77777777">
            <w:pPr>
              <w:pStyle w:val="ListParagraph"/>
              <w:numPr>
                <w:ilvl w:val="0"/>
                <w:numId w:val="7"/>
              </w:numPr>
              <w:rPr>
                <w:color w:val="000000" w:themeColor="text1"/>
              </w:rPr>
            </w:pPr>
            <w:r w:rsidRPr="00BB4E7C">
              <w:rPr>
                <w:color w:val="000000" w:themeColor="text1"/>
              </w:rPr>
              <w:t>National Performance Indicators</w:t>
            </w:r>
          </w:p>
          <w:p w:rsidRPr="00BB4E7C" w:rsidR="00F11924" w:rsidP="00F11924" w:rsidRDefault="00F11924" w14:paraId="5AFFCF59" w14:textId="77777777">
            <w:pPr>
              <w:pStyle w:val="ListParagraph"/>
              <w:numPr>
                <w:ilvl w:val="0"/>
                <w:numId w:val="7"/>
              </w:numPr>
              <w:rPr>
                <w:color w:val="000000" w:themeColor="text1"/>
              </w:rPr>
            </w:pPr>
            <w:r w:rsidRPr="00BB4E7C">
              <w:rPr>
                <w:color w:val="000000" w:themeColor="text1"/>
              </w:rPr>
              <w:t>New Treatment Fund (NICE [National Institute for Clinical Excellence] approved and High-Cost Drugs)</w:t>
            </w:r>
          </w:p>
          <w:p w:rsidRPr="00BB4E7C" w:rsidR="00F11924" w:rsidP="00F11924" w:rsidRDefault="00F11924" w14:paraId="22C26C64" w14:textId="77777777">
            <w:pPr>
              <w:pStyle w:val="ListParagraph"/>
              <w:numPr>
                <w:ilvl w:val="0"/>
                <w:numId w:val="7"/>
              </w:numPr>
              <w:rPr>
                <w:color w:val="000000" w:themeColor="text1"/>
              </w:rPr>
            </w:pPr>
            <w:r w:rsidRPr="00BB4E7C">
              <w:rPr>
                <w:color w:val="000000" w:themeColor="text1"/>
              </w:rPr>
              <w:t>SBUHB Medicines Management Savings Plan</w:t>
            </w:r>
          </w:p>
          <w:p w:rsidRPr="00A65747" w:rsidR="00F11924" w:rsidP="00F34BB5" w:rsidRDefault="00F11924" w14:paraId="065B3B4E" w14:textId="77777777">
            <w:pPr>
              <w:ind w:right="96"/>
              <w:jc w:val="both"/>
              <w:rPr>
                <w:highlight w:val="yellow"/>
              </w:rPr>
            </w:pPr>
          </w:p>
          <w:p w:rsidRPr="007765A5" w:rsidR="00BB4E7C" w:rsidP="272F4351" w:rsidRDefault="00BB4E7C" w14:paraId="72D2447E" w14:textId="3BA13BF6">
            <w:pPr>
              <w:spacing w:before="0" w:beforeAutospacing="off" w:after="0" w:afterAutospacing="off" w:line="300" w:lineRule="auto"/>
              <w:ind/>
              <w:jc w:val="both"/>
            </w:pPr>
            <w:r w:rsidR="00BB4E7C">
              <w:rPr/>
              <w:t xml:space="preserve">Swansea Bay UHB continues to </w:t>
            </w:r>
            <w:r w:rsidR="00BB4E7C">
              <w:rPr/>
              <w:t>demonstrate</w:t>
            </w:r>
            <w:r w:rsidR="00BB4E7C">
              <w:rPr/>
              <w:t xml:space="preserve"> </w:t>
            </w:r>
            <w:r w:rsidR="00BB4E7C">
              <w:rPr/>
              <w:t>strong performance</w:t>
            </w:r>
            <w:r w:rsidR="00BB4E7C">
              <w:rPr/>
              <w:t xml:space="preserve"> against NHS Wales Medicines Value and Sustainability priorities, with improvements </w:t>
            </w:r>
            <w:r w:rsidR="00BB4E7C">
              <w:rPr/>
              <w:t>evident</w:t>
            </w:r>
            <w:r w:rsidR="00BB4E7C">
              <w:rPr/>
              <w:t xml:space="preserve"> across the majority of National Prescribing Indicators, enhanced antimicrobial stewardship arrangements and sustained </w:t>
            </w:r>
            <w:r w:rsidR="00BB4E7C">
              <w:rPr/>
              <w:t>timely</w:t>
            </w:r>
            <w:r w:rsidR="00BB4E7C">
              <w:rPr/>
              <w:t xml:space="preserve"> implementation of </w:t>
            </w:r>
            <w:r w:rsidRPr="272F4351" w:rsidR="3C8675DA">
              <w:rPr>
                <w:rFonts w:ascii="Verdana" w:hAnsi="Verdana" w:eastAsia="Verdana" w:cs="Verdana"/>
                <w:b w:val="0"/>
                <w:bCs w:val="0"/>
                <w:i w:val="0"/>
                <w:iCs w:val="0"/>
                <w:noProof w:val="0"/>
                <w:sz w:val="24"/>
                <w:szCs w:val="24"/>
                <w:lang w:val="en-GB"/>
              </w:rPr>
              <w:t>National Institute for Health and Care Excellence</w:t>
            </w:r>
            <w:r w:rsidR="3C8675DA">
              <w:rPr/>
              <w:t xml:space="preserve"> </w:t>
            </w:r>
            <w:r w:rsidR="3C8675DA">
              <w:rPr/>
              <w:t>(</w:t>
            </w:r>
            <w:r w:rsidR="00BB4E7C">
              <w:rPr/>
              <w:t>NICE</w:t>
            </w:r>
            <w:r w:rsidR="29E36485">
              <w:rPr/>
              <w:t>)</w:t>
            </w:r>
            <w:r w:rsidR="00BB4E7C">
              <w:rPr/>
              <w:t xml:space="preserve">-approved medicines. The Directorate is delivering a £3.25m recurrent medicines savings programme during 2026-27, supporting the Health Board's financial recovery plans through best-value prescribing, biosimilar </w:t>
            </w:r>
            <w:r w:rsidR="00BB4E7C">
              <w:rPr/>
              <w:t>adoption</w:t>
            </w:r>
            <w:r w:rsidR="00BB4E7C">
              <w:rPr/>
              <w:t xml:space="preserve"> and medicines optimisation initiatives. </w:t>
            </w:r>
          </w:p>
          <w:p w:rsidRPr="00F34BB5" w:rsidR="00110100" w:rsidP="272F4351" w:rsidRDefault="00BB4E7C" w14:paraId="6D290401" w14:textId="12E03E48">
            <w:pPr>
              <w:pStyle w:val="Normal"/>
              <w:ind w:right="96"/>
              <w:jc w:val="both"/>
            </w:pPr>
            <w:r w:rsidR="00BB4E7C">
              <w:rPr/>
              <w:t xml:space="preserve">Whilst progress </w:t>
            </w:r>
            <w:r w:rsidR="00BB4E7C">
              <w:rPr/>
              <w:t>remains</w:t>
            </w:r>
            <w:r w:rsidR="00BB4E7C">
              <w:rPr/>
              <w:t xml:space="preserve"> positive, workforce pressures, increasing medicines demand, implementation of new high-cost therapies and medicines cost volatility continue to present operational and financial risks that are being actively managed through established governance arrangements.</w:t>
            </w:r>
          </w:p>
        </w:tc>
      </w:tr>
      <w:tr w:rsidRPr="00BF23DD" w:rsidR="00B22CF9" w:rsidTr="272F4351" w14:paraId="78C95897" w14:textId="77777777">
        <w:tc>
          <w:tcPr>
            <w:tcW w:w="2977" w:type="dxa"/>
            <w:shd w:val="clear" w:color="auto" w:fill="C1A775"/>
            <w:tcMar/>
          </w:tcPr>
          <w:p w:rsidRPr="00BF23DD" w:rsidR="00B22CF9" w:rsidP="003B4312" w:rsidRDefault="00B22CF9" w14:paraId="1B78D4FE" w14:textId="54876F52">
            <w:pPr>
              <w:jc w:val="both"/>
              <w:rPr>
                <w:b/>
                <w:bCs/>
              </w:rPr>
            </w:pPr>
            <w:r w:rsidRPr="00BF23DD">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BF23DD" w:rsidR="00B22CF9" w:rsidP="003B4312" w:rsidRDefault="00FE2CFF" w14:paraId="058FCD73" w14:textId="26CC1A0D">
                <w:pPr>
                  <w:jc w:val="both"/>
                  <w:rPr>
                    <w:b/>
                    <w:bCs/>
                  </w:rPr>
                </w:pPr>
                <w:r w:rsidRPr="00BF23DD">
                  <w:rPr>
                    <w:rStyle w:val="Style1"/>
                  </w:rPr>
                  <w:t>No</w:t>
                </w:r>
              </w:p>
            </w:sdtContent>
          </w:sdt>
        </w:tc>
      </w:tr>
      <w:tr w:rsidRPr="00BF23DD" w:rsidR="00110100" w:rsidTr="272F4351" w14:paraId="4682E8B7" w14:textId="77777777">
        <w:tc>
          <w:tcPr>
            <w:tcW w:w="9021" w:type="dxa"/>
            <w:gridSpan w:val="4"/>
            <w:shd w:val="clear" w:color="auto" w:fill="C1A775"/>
            <w:tcMar/>
          </w:tcPr>
          <w:p w:rsidRPr="00BF23DD" w:rsidR="00110100" w:rsidP="003B4312" w:rsidRDefault="00110100" w14:paraId="155705B7" w14:textId="5CCD1FFB">
            <w:pPr>
              <w:jc w:val="both"/>
              <w:rPr>
                <w:b/>
              </w:rPr>
            </w:pPr>
            <w:r w:rsidRPr="00BF23DD">
              <w:rPr>
                <w:b/>
              </w:rPr>
              <w:t>Recommendations</w:t>
            </w:r>
          </w:p>
        </w:tc>
      </w:tr>
      <w:tr w:rsidRPr="00BF23DD" w:rsidR="00110100" w:rsidTr="272F4351" w14:paraId="6D290418" w14:textId="77777777">
        <w:trPr>
          <w:trHeight w:val="1975"/>
        </w:trPr>
        <w:tc>
          <w:tcPr>
            <w:tcW w:w="9021" w:type="dxa"/>
            <w:gridSpan w:val="4"/>
            <w:tcMar/>
          </w:tcPr>
          <w:p w:rsidRPr="00BF23DD" w:rsidR="00110100" w:rsidP="003B4312" w:rsidRDefault="00110100" w14:paraId="6D290412" w14:textId="77777777">
            <w:pPr>
              <w:ind w:right="96"/>
              <w:jc w:val="both"/>
            </w:pPr>
            <w:r w:rsidRPr="00BF23DD">
              <w:t>Members are asked to:</w:t>
            </w:r>
          </w:p>
          <w:p w:rsidRPr="00F46282" w:rsidR="009F0620" w:rsidP="009F0620" w:rsidRDefault="009F0620" w14:paraId="15A1B64F" w14:textId="36008131">
            <w:pPr>
              <w:pStyle w:val="ListParagraph"/>
              <w:numPr>
                <w:ilvl w:val="0"/>
                <w:numId w:val="13"/>
              </w:numPr>
              <w:jc w:val="both"/>
              <w:rPr/>
            </w:pPr>
            <w:r w:rsidRPr="4B80AA11" w:rsidR="009F0620">
              <w:rPr>
                <w:b w:val="1"/>
                <w:bCs w:val="1"/>
              </w:rPr>
              <w:t xml:space="preserve">Receive the report for </w:t>
            </w:r>
            <w:r w:rsidRPr="4B80AA11" w:rsidR="67C2BC74">
              <w:rPr>
                <w:b w:val="1"/>
                <w:bCs w:val="1"/>
              </w:rPr>
              <w:t xml:space="preserve">ASSURANCE </w:t>
            </w:r>
            <w:r w:rsidR="009F0620">
              <w:rPr/>
              <w:t>regarding</w:t>
            </w:r>
            <w:r w:rsidR="009F0620">
              <w:rPr/>
              <w:t xml:space="preserve"> Pharmacy and Medicines Management performance, medicines optimisation and governance arrangements.</w:t>
            </w:r>
          </w:p>
          <w:p w:rsidRPr="00F46282" w:rsidR="009F0620" w:rsidP="009F0620" w:rsidRDefault="009F0620" w14:paraId="77DBB5E2" w14:textId="77777777">
            <w:pPr>
              <w:pStyle w:val="ListParagraph"/>
              <w:numPr>
                <w:ilvl w:val="0"/>
                <w:numId w:val="13"/>
              </w:numPr>
              <w:jc w:val="both"/>
            </w:pPr>
            <w:r w:rsidRPr="00F46282">
              <w:rPr>
                <w:b/>
                <w:bCs/>
              </w:rPr>
              <w:t xml:space="preserve">Take cognisance of </w:t>
            </w:r>
            <w:r w:rsidRPr="00F46282">
              <w:t xml:space="preserve">the progress made against NHS Wales Medicines Value and Sustainability priorities and the delivery arrangements support the Health Board’s medicines savings programme. </w:t>
            </w:r>
          </w:p>
          <w:p w:rsidR="009F0620" w:rsidP="009F0620" w:rsidRDefault="009F0620" w14:paraId="42DDA05A" w14:textId="77777777">
            <w:pPr>
              <w:pStyle w:val="ListParagraph"/>
              <w:numPr>
                <w:ilvl w:val="0"/>
                <w:numId w:val="13"/>
              </w:numPr>
              <w:jc w:val="both"/>
            </w:pPr>
            <w:r w:rsidRPr="00F46282">
              <w:rPr>
                <w:b/>
                <w:bCs/>
              </w:rPr>
              <w:t>Take cognisance of</w:t>
            </w:r>
            <w:r w:rsidRPr="00F46282">
              <w:t xml:space="preserve"> the continued improvement in National Prescribing Indicators antimicrobial stewardship performance. </w:t>
            </w:r>
          </w:p>
          <w:p w:rsidRPr="00F46282" w:rsidR="009F0620" w:rsidP="009F0620" w:rsidRDefault="009F0620" w14:paraId="4B5D8346" w14:textId="77777777">
            <w:pPr>
              <w:pStyle w:val="ListParagraph"/>
              <w:numPr>
                <w:ilvl w:val="0"/>
                <w:numId w:val="13"/>
              </w:numPr>
              <w:jc w:val="both"/>
            </w:pPr>
            <w:r>
              <w:rPr>
                <w:b/>
                <w:bCs/>
              </w:rPr>
              <w:t xml:space="preserve">Take cognisance of the </w:t>
            </w:r>
            <w:r>
              <w:t>Health Board’s continued performance as leading Health Board in compliance with the New Treatment Fund implementation requirements.</w:t>
            </w:r>
          </w:p>
          <w:p w:rsidRPr="00F46282" w:rsidR="009F0620" w:rsidP="009F0620" w:rsidRDefault="009F0620" w14:paraId="5D81E174" w14:textId="0206EAA7">
            <w:pPr>
              <w:pStyle w:val="ListParagraph"/>
              <w:numPr>
                <w:ilvl w:val="0"/>
                <w:numId w:val="13"/>
              </w:numPr>
              <w:jc w:val="both"/>
              <w:rPr/>
            </w:pPr>
            <w:r w:rsidRPr="272F4351" w:rsidR="009F0620">
              <w:rPr>
                <w:b w:val="1"/>
                <w:bCs w:val="1"/>
              </w:rPr>
              <w:t>N</w:t>
            </w:r>
            <w:r w:rsidRPr="272F4351" w:rsidR="0030042F">
              <w:rPr>
                <w:b w:val="1"/>
                <w:bCs w:val="1"/>
              </w:rPr>
              <w:t>OTE</w:t>
            </w:r>
            <w:r w:rsidRPr="272F4351" w:rsidR="009F0620">
              <w:rPr>
                <w:b w:val="1"/>
                <w:bCs w:val="1"/>
              </w:rPr>
              <w:t xml:space="preserve"> </w:t>
            </w:r>
            <w:r w:rsidR="009F0620">
              <w:rPr/>
              <w:t xml:space="preserve">the financial contribution of the </w:t>
            </w:r>
            <w:r w:rsidR="5F9AFCFA">
              <w:rPr/>
              <w:t>medicine's</w:t>
            </w:r>
            <w:r w:rsidR="009F0620">
              <w:rPr/>
              <w:t xml:space="preserve"> savings programme toward delivery of the Health Board’s financial recovery plan and the associated risks to achievement.</w:t>
            </w:r>
          </w:p>
          <w:p w:rsidRPr="00BF23DD" w:rsidR="00110100" w:rsidP="009F0620" w:rsidRDefault="009F0620" w14:paraId="6D290417" w14:textId="5AB314DA">
            <w:pPr>
              <w:pStyle w:val="ListParagraph"/>
              <w:numPr>
                <w:ilvl w:val="0"/>
                <w:numId w:val="13"/>
              </w:numPr>
              <w:jc w:val="both"/>
            </w:pPr>
            <w:r w:rsidRPr="00B02595">
              <w:rPr>
                <w:b/>
                <w:bCs/>
              </w:rPr>
              <w:t>Take cognisance of</w:t>
            </w:r>
            <w:r w:rsidRPr="00F46282">
              <w:t xml:space="preserve"> the continued workforce and service resilience risks associated with the recurrent pay budget reductions and support continue mitigation through Health Board workforce planning processes.</w:t>
            </w:r>
          </w:p>
        </w:tc>
      </w:tr>
    </w:tbl>
    <w:p w:rsidRPr="00BF23DD" w:rsidR="00653AEC" w:rsidP="003B4312" w:rsidRDefault="0020539A" w14:paraId="6D29041A" w14:textId="091EF8A2">
      <w:pPr>
        <w:spacing w:after="0" w:line="240" w:lineRule="auto"/>
        <w:jc w:val="both"/>
        <w:rPr>
          <w:b/>
          <w:bCs/>
        </w:rPr>
      </w:pPr>
      <w:r w:rsidRPr="00BF23DD">
        <w:br w:type="page"/>
      </w:r>
      <w:r w:rsidRPr="00BF23DD" w:rsidR="557F7DBB">
        <w:rPr>
          <w:b/>
          <w:bCs/>
        </w:rPr>
        <w:lastRenderedPageBreak/>
        <w:t xml:space="preserve">                  </w:t>
      </w:r>
      <w:r w:rsidRPr="00BF23DD" w:rsidR="007120A1">
        <w:rPr>
          <w:b/>
          <w:bCs/>
        </w:rPr>
        <w:t>Pharmacy &amp; Medicines Management</w:t>
      </w:r>
      <w:r w:rsidRPr="00BF23DD" w:rsidR="00DA0B21">
        <w:rPr>
          <w:b/>
          <w:bCs/>
        </w:rPr>
        <w:t>: Update Report</w:t>
      </w:r>
    </w:p>
    <w:p w:rsidRPr="00BF23DD" w:rsidR="00653AEC" w:rsidP="003B4312" w:rsidRDefault="00653AEC" w14:paraId="6D29041B" w14:textId="77777777">
      <w:pPr>
        <w:spacing w:after="0" w:line="240" w:lineRule="auto"/>
        <w:jc w:val="both"/>
        <w:rPr>
          <w:b/>
        </w:rPr>
      </w:pPr>
    </w:p>
    <w:p w:rsidRPr="00BF23DD" w:rsidR="00653AEC" w:rsidP="003B4312" w:rsidRDefault="17638CF8" w14:paraId="6D29041D" w14:textId="44923344">
      <w:pPr>
        <w:pStyle w:val="ListParagraph"/>
        <w:numPr>
          <w:ilvl w:val="0"/>
          <w:numId w:val="2"/>
        </w:numPr>
        <w:spacing w:after="0" w:line="240" w:lineRule="auto"/>
        <w:jc w:val="both"/>
        <w:rPr>
          <w:b/>
          <w:bCs/>
        </w:rPr>
      </w:pPr>
      <w:r w:rsidRPr="00BF23DD">
        <w:rPr>
          <w:b/>
          <w:bCs/>
        </w:rPr>
        <w:t>INTRODUCTION</w:t>
      </w:r>
    </w:p>
    <w:p w:rsidRPr="00BF23DD" w:rsidR="00F548BE" w:rsidP="003B4312" w:rsidRDefault="00F548BE" w14:paraId="6AC65C52" w14:textId="3728F4DB">
      <w:pPr>
        <w:spacing w:after="0" w:line="240" w:lineRule="auto"/>
        <w:jc w:val="both"/>
      </w:pPr>
      <w:r w:rsidRPr="00BF23DD">
        <w:t xml:space="preserve">This report provides an update on key medicines optimisation priorities within Pharmacy &amp; Medicines Management and seeks to provide assurance to the </w:t>
      </w:r>
      <w:r w:rsidR="00CE5DAC">
        <w:t>Performance and Finance Committee</w:t>
      </w:r>
      <w:r w:rsidRPr="00BF23DD">
        <w:t xml:space="preserve"> regarding progress made.</w:t>
      </w:r>
    </w:p>
    <w:p w:rsidRPr="00BF23DD" w:rsidR="00A51654" w:rsidP="003B4312" w:rsidRDefault="00A51654" w14:paraId="2262C87B" w14:textId="77777777">
      <w:pPr>
        <w:spacing w:after="0" w:line="240" w:lineRule="auto"/>
        <w:jc w:val="both"/>
      </w:pPr>
    </w:p>
    <w:p w:rsidRPr="00BF23DD" w:rsidR="00653AEC" w:rsidP="003B4312" w:rsidRDefault="17638CF8" w14:paraId="6D290421" w14:textId="2872B1E3">
      <w:pPr>
        <w:pStyle w:val="ListParagraph"/>
        <w:numPr>
          <w:ilvl w:val="0"/>
          <w:numId w:val="2"/>
        </w:numPr>
        <w:spacing w:after="0" w:line="240" w:lineRule="auto"/>
        <w:jc w:val="both"/>
        <w:rPr>
          <w:b/>
          <w:bCs/>
        </w:rPr>
      </w:pPr>
      <w:r w:rsidRPr="00BF23DD">
        <w:rPr>
          <w:b/>
          <w:bCs/>
        </w:rPr>
        <w:t>BACKGROUND</w:t>
      </w:r>
    </w:p>
    <w:p w:rsidRPr="00BF23DD" w:rsidR="00B97950" w:rsidP="003B4312" w:rsidRDefault="00B97950" w14:paraId="14BC0429" w14:textId="77777777">
      <w:pPr>
        <w:spacing w:before="240" w:after="240"/>
        <w:jc w:val="both"/>
        <w:rPr>
          <w:rFonts w:eastAsia="Aptos" w:cstheme="minorHAnsi"/>
        </w:rPr>
      </w:pPr>
      <w:r w:rsidRPr="00BF23DD">
        <w:rPr>
          <w:rFonts w:eastAsia="Aptos" w:cstheme="minorHAnsi"/>
        </w:rPr>
        <w:t>Pharmacy services play a critical role in ensuring the safe, effective, and efficient use of medicines across all care settings. They encompass a range of functions that promote the optimal and cost</w:t>
      </w:r>
      <w:r w:rsidRPr="00BF23DD">
        <w:rPr>
          <w:rFonts w:cstheme="minorHAnsi"/>
        </w:rPr>
        <w:noBreakHyphen/>
      </w:r>
      <w:r w:rsidRPr="00BF23DD">
        <w:rPr>
          <w:rFonts w:eastAsia="Aptos" w:cstheme="minorHAnsi"/>
        </w:rPr>
        <w:t xml:space="preserve">effective use of medicines at both individual and population level. </w:t>
      </w:r>
    </w:p>
    <w:p w:rsidRPr="00BF23DD" w:rsidR="00B97950" w:rsidP="003B4312" w:rsidRDefault="00B97950" w14:paraId="0BF85C8F" w14:textId="77777777">
      <w:pPr>
        <w:spacing w:before="240" w:after="240"/>
        <w:jc w:val="both"/>
        <w:rPr>
          <w:rFonts w:eastAsia="Aptos" w:cstheme="minorHAnsi"/>
        </w:rPr>
      </w:pPr>
      <w:r w:rsidRPr="00BF23DD">
        <w:rPr>
          <w:rFonts w:eastAsia="Aptos" w:cstheme="minorHAnsi"/>
        </w:rPr>
        <w:t>These services span clinical pharmacy (including medicines optimisation and safety), medicines supply, and aseptic services, supporting both patient</w:t>
      </w:r>
      <w:r w:rsidRPr="00BF23DD">
        <w:rPr>
          <w:rFonts w:cstheme="minorHAnsi"/>
        </w:rPr>
        <w:noBreakHyphen/>
      </w:r>
      <w:r w:rsidRPr="00BF23DD">
        <w:rPr>
          <w:rFonts w:eastAsia="Aptos" w:cstheme="minorHAnsi"/>
        </w:rPr>
        <w:t xml:space="preserve">facing care and technical operations, and forming a core component of the overall pharmacy assurance framework. </w:t>
      </w:r>
    </w:p>
    <w:p w:rsidRPr="00BF23DD" w:rsidR="00B97950" w:rsidP="003B4312" w:rsidRDefault="00B97950" w14:paraId="52038E40" w14:textId="77777777">
      <w:pPr>
        <w:spacing w:before="240" w:after="240"/>
        <w:jc w:val="both"/>
        <w:rPr>
          <w:rFonts w:eastAsia="Aptos" w:cstheme="minorHAnsi"/>
        </w:rPr>
      </w:pPr>
      <w:r w:rsidRPr="00BF23DD">
        <w:rPr>
          <w:rFonts w:eastAsia="Aptos" w:cstheme="minorHAnsi"/>
        </w:rPr>
        <w:t>Pharmacy services operate within a robust legislative and regulatory framework, including oversight from the Medicines and Healthcare products Regulatory Agency (MHRA), General Pharmaceutical Council (GPhC), Home Office, and relevant licensing requirements, ensuring compliance and high standards of practice. Assurance is provided through established systems for quality, safety, workforce governance, and operational performance.</w:t>
      </w:r>
    </w:p>
    <w:p w:rsidR="00F11924" w:rsidP="00383E4F" w:rsidRDefault="00F11924" w14:paraId="58249BF4" w14:textId="7DC3EE10">
      <w:pPr>
        <w:pStyle w:val="ListParagraph"/>
        <w:numPr>
          <w:ilvl w:val="1"/>
          <w:numId w:val="2"/>
        </w:numPr>
        <w:spacing w:line="276" w:lineRule="auto"/>
        <w:jc w:val="both"/>
        <w:rPr>
          <w:b/>
          <w:u w:val="single"/>
        </w:rPr>
      </w:pPr>
      <w:r>
        <w:rPr>
          <w:b/>
          <w:u w:val="single"/>
        </w:rPr>
        <w:t>NHS Medicines Value and Sustainability – priorities for reducing medicines expenditure</w:t>
      </w:r>
    </w:p>
    <w:p w:rsidR="003B6C24" w:rsidP="0003295F" w:rsidRDefault="0003295F" w14:paraId="5C98A50E" w14:textId="77777777">
      <w:pPr>
        <w:spacing w:after="0" w:line="264" w:lineRule="auto"/>
        <w:jc w:val="both"/>
        <w:rPr>
          <w:color w:val="000000"/>
        </w:rPr>
      </w:pPr>
      <w:r w:rsidRPr="00B65569">
        <w:rPr>
          <w:color w:val="000000"/>
        </w:rPr>
        <w:t xml:space="preserve">The Medicines Value and Sustainability programme was established in autumn 2023 and tasked with identifying opportunities to improve the value derived from NHS </w:t>
      </w:r>
      <w:r w:rsidRPr="00B65569" w:rsidR="00760232">
        <w:rPr>
          <w:color w:val="000000"/>
        </w:rPr>
        <w:t>Wales’s</w:t>
      </w:r>
      <w:r w:rsidRPr="00B65569">
        <w:rPr>
          <w:color w:val="000000"/>
        </w:rPr>
        <w:t xml:space="preserve"> considerable and growing investment in medicines, through maximising productivity and reducing avoidable waste.</w:t>
      </w:r>
      <w:r>
        <w:rPr>
          <w:color w:val="000000"/>
        </w:rPr>
        <w:t xml:space="preserve"> </w:t>
      </w:r>
    </w:p>
    <w:p w:rsidR="003B6C24" w:rsidP="0003295F" w:rsidRDefault="003B6C24" w14:paraId="2C763BC2" w14:textId="77777777">
      <w:pPr>
        <w:spacing w:after="0" w:line="264" w:lineRule="auto"/>
        <w:jc w:val="both"/>
        <w:rPr>
          <w:color w:val="000000"/>
        </w:rPr>
      </w:pPr>
    </w:p>
    <w:p w:rsidR="0003295F" w:rsidP="0003295F" w:rsidRDefault="0003295F" w14:paraId="29C1B39F" w14:textId="67010052">
      <w:pPr>
        <w:spacing w:after="0" w:line="264" w:lineRule="auto"/>
        <w:jc w:val="both"/>
        <w:rPr>
          <w:color w:val="000000"/>
        </w:rPr>
      </w:pPr>
      <w:r>
        <w:rPr>
          <w:color w:val="000000"/>
        </w:rPr>
        <w:t>Recommended opportunities are focused on:</w:t>
      </w:r>
    </w:p>
    <w:p w:rsidR="00F11924" w:rsidP="0003295F" w:rsidRDefault="0003295F" w14:paraId="2818F997" w14:textId="1E3FCC0F">
      <w:pPr>
        <w:pStyle w:val="ListParagraph"/>
        <w:numPr>
          <w:ilvl w:val="0"/>
          <w:numId w:val="23"/>
        </w:numPr>
        <w:spacing w:after="0" w:line="264" w:lineRule="auto"/>
        <w:jc w:val="both"/>
        <w:rPr>
          <w:color w:val="000000"/>
        </w:rPr>
      </w:pPr>
      <w:r>
        <w:rPr>
          <w:color w:val="000000"/>
        </w:rPr>
        <w:t>Choosing the best value product</w:t>
      </w:r>
    </w:p>
    <w:p w:rsidR="0003295F" w:rsidP="0003295F" w:rsidRDefault="0003295F" w14:paraId="37319545" w14:textId="472997DB">
      <w:pPr>
        <w:pStyle w:val="ListParagraph"/>
        <w:numPr>
          <w:ilvl w:val="0"/>
          <w:numId w:val="23"/>
        </w:numPr>
        <w:spacing w:after="0" w:line="264" w:lineRule="auto"/>
        <w:jc w:val="both"/>
        <w:rPr>
          <w:color w:val="000000"/>
        </w:rPr>
      </w:pPr>
      <w:r>
        <w:rPr>
          <w:color w:val="000000"/>
        </w:rPr>
        <w:t>Minimise losses from local procurement</w:t>
      </w:r>
    </w:p>
    <w:p w:rsidR="0003295F" w:rsidP="0003295F" w:rsidRDefault="0003295F" w14:paraId="006E3AC3" w14:textId="0A90D60A">
      <w:pPr>
        <w:pStyle w:val="ListParagraph"/>
        <w:numPr>
          <w:ilvl w:val="0"/>
          <w:numId w:val="23"/>
        </w:numPr>
        <w:spacing w:after="0" w:line="264" w:lineRule="auto"/>
        <w:jc w:val="both"/>
        <w:rPr>
          <w:color w:val="000000"/>
        </w:rPr>
      </w:pPr>
      <w:r>
        <w:rPr>
          <w:color w:val="000000"/>
        </w:rPr>
        <w:t>Eliminate no or low value prescribing</w:t>
      </w:r>
    </w:p>
    <w:p w:rsidR="0003295F" w:rsidP="0003295F" w:rsidRDefault="0003295F" w14:paraId="6EBDEE20" w14:textId="77777777">
      <w:pPr>
        <w:spacing w:after="0" w:line="264" w:lineRule="auto"/>
        <w:jc w:val="both"/>
        <w:rPr>
          <w:color w:val="000000"/>
        </w:rPr>
      </w:pPr>
    </w:p>
    <w:p w:rsidR="00341236" w:rsidP="0003295F" w:rsidRDefault="0003295F" w14:paraId="3181648B" w14:textId="2FF1957A">
      <w:pPr>
        <w:spacing w:after="0" w:line="264" w:lineRule="auto"/>
        <w:jc w:val="both"/>
        <w:rPr>
          <w:color w:val="000000"/>
        </w:rPr>
      </w:pPr>
      <w:r>
        <w:rPr>
          <w:color w:val="000000"/>
        </w:rPr>
        <w:t xml:space="preserve">Since April 2025, the programme has been co-ordinated via the Medicines Value and Sustainability Delivery Assurance Group </w:t>
      </w:r>
      <w:r w:rsidR="004C0851">
        <w:rPr>
          <w:color w:val="000000"/>
        </w:rPr>
        <w:t>operating</w:t>
      </w:r>
      <w:r>
        <w:rPr>
          <w:color w:val="000000"/>
        </w:rPr>
        <w:t xml:space="preserve"> within the Directors of Pharmacy Peer Group structure with direct reporting into the NHS Value &amp; Sustainability Board. </w:t>
      </w:r>
    </w:p>
    <w:p w:rsidR="0003295F" w:rsidP="0003295F" w:rsidRDefault="0003295F" w14:paraId="5A45ED60" w14:textId="4BFAF72C">
      <w:pPr>
        <w:spacing w:after="0" w:line="264" w:lineRule="auto"/>
        <w:jc w:val="both"/>
        <w:rPr>
          <w:color w:val="000000"/>
        </w:rPr>
      </w:pPr>
      <w:r>
        <w:rPr>
          <w:color w:val="000000"/>
        </w:rPr>
        <w:lastRenderedPageBreak/>
        <w:t>SBUHB have strong membership into the delivery assurance group, with key individuals directly inputting and influencing decisions and analysis across primary and secondary care.</w:t>
      </w:r>
    </w:p>
    <w:p w:rsidR="0003295F" w:rsidP="0003295F" w:rsidRDefault="0003295F" w14:paraId="412EF7D3" w14:textId="77777777">
      <w:pPr>
        <w:spacing w:after="0" w:line="264" w:lineRule="auto"/>
        <w:jc w:val="both"/>
        <w:rPr>
          <w:color w:val="000000"/>
        </w:rPr>
      </w:pPr>
    </w:p>
    <w:p w:rsidR="00F11924" w:rsidP="00F11924" w:rsidRDefault="0003295F" w14:paraId="6A4197BE" w14:textId="7EE558B0">
      <w:pPr>
        <w:spacing w:line="276" w:lineRule="auto"/>
        <w:jc w:val="both"/>
        <w:rPr>
          <w:bCs/>
        </w:rPr>
      </w:pPr>
      <w:r>
        <w:rPr>
          <w:bCs/>
        </w:rPr>
        <w:t>Following a review of previous recommendations, the Medicines Value &amp; Sustainability Delivery Assurance Group have agreed the seven recommendations for 2026-27:</w:t>
      </w:r>
    </w:p>
    <w:p w:rsidR="0003295F" w:rsidP="0003295F" w:rsidRDefault="0003295F" w14:paraId="4C4B947A" w14:textId="5ED97E33">
      <w:pPr>
        <w:pStyle w:val="ListParagraph"/>
        <w:numPr>
          <w:ilvl w:val="0"/>
          <w:numId w:val="24"/>
        </w:numPr>
        <w:spacing w:line="276" w:lineRule="auto"/>
        <w:jc w:val="both"/>
        <w:rPr>
          <w:bCs/>
        </w:rPr>
      </w:pPr>
      <w:r>
        <w:rPr>
          <w:bCs/>
        </w:rPr>
        <w:t>Maximise biosimilar use, including preferential use of best value biologic where appropriate;</w:t>
      </w:r>
    </w:p>
    <w:p w:rsidR="0003295F" w:rsidP="0003295F" w:rsidRDefault="0003295F" w14:paraId="0ADF26BE" w14:textId="0C6CB523">
      <w:pPr>
        <w:pStyle w:val="ListParagraph"/>
        <w:numPr>
          <w:ilvl w:val="0"/>
          <w:numId w:val="24"/>
        </w:numPr>
        <w:spacing w:line="276" w:lineRule="auto"/>
        <w:jc w:val="both"/>
        <w:rPr>
          <w:bCs/>
        </w:rPr>
      </w:pPr>
      <w:r>
        <w:rPr>
          <w:bCs/>
        </w:rPr>
        <w:t>Maximise on-contract generic medicine use in secondary care;</w:t>
      </w:r>
    </w:p>
    <w:p w:rsidR="0003295F" w:rsidP="0003295F" w:rsidRDefault="0003295F" w14:paraId="29AE02E5" w14:textId="664D9AA3">
      <w:pPr>
        <w:pStyle w:val="ListParagraph"/>
        <w:numPr>
          <w:ilvl w:val="0"/>
          <w:numId w:val="24"/>
        </w:numPr>
        <w:spacing w:line="276" w:lineRule="auto"/>
        <w:jc w:val="both"/>
        <w:rPr>
          <w:bCs/>
        </w:rPr>
      </w:pPr>
      <w:r>
        <w:rPr>
          <w:bCs/>
        </w:rPr>
        <w:t>Increase the use of generic apixaban and rivaroxaban as a proportion of all direct oral anticoagulants (DOACs);</w:t>
      </w:r>
    </w:p>
    <w:p w:rsidR="0003295F" w:rsidP="0003295F" w:rsidRDefault="0003295F" w14:paraId="06D17C96" w14:textId="758B1992">
      <w:pPr>
        <w:pStyle w:val="ListParagraph"/>
        <w:numPr>
          <w:ilvl w:val="0"/>
          <w:numId w:val="24"/>
        </w:numPr>
        <w:spacing w:line="276" w:lineRule="auto"/>
        <w:jc w:val="both"/>
        <w:rPr>
          <w:bCs/>
        </w:rPr>
      </w:pPr>
      <w:r>
        <w:rPr>
          <w:bCs/>
        </w:rPr>
        <w:t>Reduce the prescribing of bath and shower emollients;</w:t>
      </w:r>
    </w:p>
    <w:p w:rsidR="0003295F" w:rsidP="0003295F" w:rsidRDefault="0003295F" w14:paraId="43164569" w14:textId="1241E2BF">
      <w:pPr>
        <w:pStyle w:val="ListParagraph"/>
        <w:numPr>
          <w:ilvl w:val="0"/>
          <w:numId w:val="24"/>
        </w:numPr>
        <w:spacing w:line="276" w:lineRule="auto"/>
        <w:jc w:val="both"/>
        <w:rPr>
          <w:bCs/>
        </w:rPr>
      </w:pPr>
      <w:r>
        <w:rPr>
          <w:bCs/>
        </w:rPr>
        <w:t>Increase the use of blood glucose testing strips under £10 per box;</w:t>
      </w:r>
    </w:p>
    <w:p w:rsidR="0003295F" w:rsidP="0003295F" w:rsidRDefault="009650A1" w14:paraId="75EFF898" w14:textId="38C48FE6">
      <w:pPr>
        <w:pStyle w:val="ListParagraph"/>
        <w:numPr>
          <w:ilvl w:val="0"/>
          <w:numId w:val="24"/>
        </w:numPr>
        <w:spacing w:line="276" w:lineRule="auto"/>
        <w:jc w:val="both"/>
        <w:rPr>
          <w:bCs/>
        </w:rPr>
      </w:pPr>
      <w:r>
        <w:rPr>
          <w:bCs/>
        </w:rPr>
        <w:t>Increase the use of generic dapagliflozin as a proportion of all Sodium-Glucose Co-Transporter-2s (SGLT2s);</w:t>
      </w:r>
    </w:p>
    <w:p w:rsidRPr="0003295F" w:rsidR="009650A1" w:rsidP="0003295F" w:rsidRDefault="009650A1" w14:paraId="61341421" w14:textId="6B073C2D">
      <w:pPr>
        <w:pStyle w:val="ListParagraph"/>
        <w:numPr>
          <w:ilvl w:val="0"/>
          <w:numId w:val="24"/>
        </w:numPr>
        <w:spacing w:line="276" w:lineRule="auto"/>
        <w:jc w:val="both"/>
        <w:rPr>
          <w:bCs/>
        </w:rPr>
      </w:pPr>
      <w:r>
        <w:rPr>
          <w:bCs/>
        </w:rPr>
        <w:t>Optimise the prescribing of oral nutritional supplements.</w:t>
      </w:r>
    </w:p>
    <w:p w:rsidR="009650A1" w:rsidP="00F11924" w:rsidRDefault="00341236" w14:paraId="4F9611F9" w14:textId="183E219A">
      <w:pPr>
        <w:spacing w:line="276" w:lineRule="auto"/>
        <w:jc w:val="both"/>
        <w:rPr>
          <w:bCs/>
        </w:rPr>
      </w:pPr>
      <w:r>
        <w:rPr>
          <w:bCs/>
        </w:rPr>
        <w:t>Recommendations were endorsed by the Value &amp; Sustainability Board, with recognition of the continued success in the co-ordination and delivery of opportunities from medicines management teams across Wales</w:t>
      </w:r>
      <w:r w:rsidR="004C0851">
        <w:rPr>
          <w:bCs/>
        </w:rPr>
        <w:t xml:space="preserve">. The Board </w:t>
      </w:r>
      <w:r w:rsidR="0078065E">
        <w:rPr>
          <w:bCs/>
        </w:rPr>
        <w:t>e</w:t>
      </w:r>
      <w:r>
        <w:rPr>
          <w:bCs/>
        </w:rPr>
        <w:t>ndorse</w:t>
      </w:r>
      <w:r w:rsidR="0078065E">
        <w:rPr>
          <w:bCs/>
        </w:rPr>
        <w:t>d</w:t>
      </w:r>
      <w:r>
        <w:rPr>
          <w:bCs/>
        </w:rPr>
        <w:t xml:space="preserve"> that the medicines management programme transitions to a business-as-usual model within the wider value and sustainability programme.</w:t>
      </w:r>
    </w:p>
    <w:p w:rsidR="00F11924" w:rsidP="00F11924" w:rsidRDefault="00F11924" w14:paraId="232A1FE2" w14:textId="68DE9A63">
      <w:pPr>
        <w:spacing w:line="276" w:lineRule="auto"/>
        <w:jc w:val="both"/>
        <w:rPr>
          <w:bCs/>
        </w:rPr>
      </w:pPr>
      <w:r w:rsidRPr="00F11924">
        <w:rPr>
          <w:bCs/>
        </w:rPr>
        <w:t xml:space="preserve">A summary of SBUHB current performance against the </w:t>
      </w:r>
      <w:r w:rsidR="00341236">
        <w:rPr>
          <w:bCs/>
        </w:rPr>
        <w:t>recommendations</w:t>
      </w:r>
      <w:r w:rsidRPr="00F11924">
        <w:rPr>
          <w:bCs/>
        </w:rPr>
        <w:t xml:space="preserve">, </w:t>
      </w:r>
      <w:r w:rsidR="00EF0DC8">
        <w:rPr>
          <w:bCs/>
        </w:rPr>
        <w:t>are below</w:t>
      </w:r>
      <w:r w:rsidR="004A7DF2">
        <w:rPr>
          <w:bCs/>
        </w:rPr>
        <w:t>:</w:t>
      </w:r>
    </w:p>
    <w:p w:rsidRPr="004A7DF2" w:rsidR="004A7DF2" w:rsidP="004A7DF2" w:rsidRDefault="004A7DF2" w14:paraId="5BCF8FF8" w14:textId="213D5D99">
      <w:pPr>
        <w:spacing w:line="276" w:lineRule="auto"/>
        <w:ind w:left="720"/>
        <w:jc w:val="both"/>
        <w:rPr>
          <w:b/>
        </w:rPr>
      </w:pPr>
      <w:r w:rsidRPr="004A7DF2">
        <w:rPr>
          <w:b/>
        </w:rPr>
        <w:t>Recommendation 1 - Maximise biosimilar use, including preferential use of best value biologic where appropriate</w:t>
      </w:r>
    </w:p>
    <w:p w:rsidR="004A7DF2" w:rsidP="00F11924" w:rsidRDefault="004A7DF2" w14:paraId="0FE217E5" w14:textId="1D347475">
      <w:pPr>
        <w:spacing w:line="276" w:lineRule="auto"/>
        <w:jc w:val="both"/>
        <w:rPr>
          <w:bCs/>
        </w:rPr>
      </w:pPr>
      <w:r>
        <w:rPr>
          <w:bCs/>
        </w:rPr>
        <w:t>In-line with the Health Board’s Biosimilar Policy, SBUHB continues to promote biosimilar medicines as first-line options for appropriate patients, with active switch programs co-ordinated across clinical teams to switch patients to the most cost-effective biosimilar product when they become available.</w:t>
      </w:r>
    </w:p>
    <w:p w:rsidR="004A7DF2" w:rsidP="00F11924" w:rsidRDefault="004A7DF2" w14:paraId="300825FC" w14:textId="305E190A">
      <w:pPr>
        <w:spacing w:line="276" w:lineRule="auto"/>
        <w:jc w:val="both"/>
      </w:pPr>
      <w:r w:rsidR="004A7DF2">
        <w:rPr/>
        <w:t xml:space="preserve">SBUHB’s percentage of biosimilar use across the identified biosimilars in the agreed baskets is currently at 79.6% and </w:t>
      </w:r>
      <w:r w:rsidR="004A7DF2">
        <w:rPr/>
        <w:t>82.1%</w:t>
      </w:r>
      <w:r w:rsidR="004A7DF2">
        <w:rPr/>
        <w:t xml:space="preserve"> respectively. </w:t>
      </w:r>
      <w:r w:rsidR="6DD03F26">
        <w:rPr/>
        <w:t>Several</w:t>
      </w:r>
      <w:r w:rsidR="004A7DF2">
        <w:rPr/>
        <w:t xml:space="preserve"> biosimilar products within the baskets are now historical, with </w:t>
      </w:r>
      <w:r w:rsidR="004A7DF2">
        <w:rPr/>
        <w:t>little change</w:t>
      </w:r>
      <w:r w:rsidR="004A7DF2">
        <w:rPr/>
        <w:t xml:space="preserve"> in percentage of biosimilar usage as new patients are offered the biosimilar while some residual patients </w:t>
      </w:r>
      <w:r w:rsidR="004A7DF2">
        <w:rPr/>
        <w:t>remain</w:t>
      </w:r>
      <w:r w:rsidR="004A7DF2">
        <w:rPr/>
        <w:t xml:space="preserve"> on the originator product </w:t>
      </w:r>
      <w:r w:rsidR="004A7DF2">
        <w:rPr/>
        <w:t xml:space="preserve">due to loss of disease control following </w:t>
      </w:r>
      <w:r w:rsidR="004A7DF2">
        <w:rPr/>
        <w:t>previous</w:t>
      </w:r>
      <w:r w:rsidR="004A7DF2">
        <w:rPr/>
        <w:t xml:space="preserve"> switch. The baskets continue to be reviewed and a </w:t>
      </w:r>
      <w:r w:rsidR="000401B2">
        <w:rPr/>
        <w:t>recent recommendation</w:t>
      </w:r>
      <w:r w:rsidR="004A7DF2">
        <w:rPr/>
        <w:t xml:space="preserve"> from the Delivery Assurance Group </w:t>
      </w:r>
      <w:r w:rsidR="004A7DF2">
        <w:rPr/>
        <w:t>identified</w:t>
      </w:r>
      <w:r w:rsidR="004A7DF2">
        <w:rPr/>
        <w:t xml:space="preserve"> products to be removed from the baskets for continued monitoring, enabling focus of clinical teams on areas to drive further efficiencies. </w:t>
      </w:r>
    </w:p>
    <w:p w:rsidR="004A7DF2" w:rsidP="00F11924" w:rsidRDefault="004A7DF2" w14:paraId="41755C6F" w14:textId="1593F6E9">
      <w:pPr>
        <w:spacing w:line="276" w:lineRule="auto"/>
        <w:jc w:val="both"/>
        <w:rPr>
          <w:bCs/>
        </w:rPr>
      </w:pPr>
      <w:r>
        <w:rPr>
          <w:bCs/>
        </w:rPr>
        <w:t>Current work program within SBUHB medicines management team</w:t>
      </w:r>
      <w:r w:rsidR="000401B2">
        <w:rPr>
          <w:bCs/>
        </w:rPr>
        <w:t xml:space="preserve">, and included within the 26-27 savings </w:t>
      </w:r>
      <w:r w:rsidR="00C31E08">
        <w:rPr>
          <w:bCs/>
        </w:rPr>
        <w:t>plans</w:t>
      </w:r>
      <w:r w:rsidR="000401B2">
        <w:rPr>
          <w:bCs/>
        </w:rPr>
        <w:t xml:space="preserve"> are:</w:t>
      </w:r>
    </w:p>
    <w:p w:rsidR="000401B2" w:rsidP="000401B2" w:rsidRDefault="000401B2" w14:paraId="148E1604" w14:textId="0684D71C">
      <w:pPr>
        <w:pStyle w:val="ListParagraph"/>
        <w:numPr>
          <w:ilvl w:val="0"/>
          <w:numId w:val="25"/>
        </w:numPr>
        <w:spacing w:line="276" w:lineRule="auto"/>
        <w:jc w:val="both"/>
        <w:rPr>
          <w:bCs/>
        </w:rPr>
      </w:pPr>
      <w:r>
        <w:rPr>
          <w:bCs/>
        </w:rPr>
        <w:t>Tocilizumab – current percentage biosimilar use of 40% due to supply issues with contracted provider. A new contract is now in place (from July 2026</w:t>
      </w:r>
      <w:proofErr w:type="gramStart"/>
      <w:r>
        <w:rPr>
          <w:bCs/>
        </w:rPr>
        <w:t>)</w:t>
      </w:r>
      <w:proofErr w:type="gramEnd"/>
      <w:r>
        <w:rPr>
          <w:bCs/>
        </w:rPr>
        <w:t xml:space="preserve"> and an agreed switch program has been commenced, pending approval through Medicines Management Strategy Board.</w:t>
      </w:r>
    </w:p>
    <w:p w:rsidRPr="000401B2" w:rsidR="000401B2" w:rsidP="000401B2" w:rsidRDefault="000401B2" w14:paraId="0B549D3B" w14:textId="20E4D170">
      <w:pPr>
        <w:pStyle w:val="ListParagraph"/>
        <w:numPr>
          <w:ilvl w:val="0"/>
          <w:numId w:val="25"/>
        </w:numPr>
        <w:spacing w:line="276" w:lineRule="auto"/>
        <w:jc w:val="both"/>
        <w:rPr>
          <w:bCs/>
        </w:rPr>
      </w:pPr>
      <w:r>
        <w:rPr>
          <w:bCs/>
        </w:rPr>
        <w:t>Denosumab – new biosimilar switch program commenced April 26, following availability of biosimilar product on contract.</w:t>
      </w:r>
    </w:p>
    <w:p w:rsidRPr="000401B2" w:rsidR="000401B2" w:rsidP="000401B2" w:rsidRDefault="000401B2" w14:paraId="5E849415" w14:textId="41831C6C">
      <w:pPr>
        <w:spacing w:line="276" w:lineRule="auto"/>
        <w:ind w:left="360"/>
        <w:jc w:val="both"/>
        <w:rPr>
          <w:b/>
        </w:rPr>
      </w:pPr>
      <w:r w:rsidRPr="000401B2">
        <w:rPr>
          <w:b/>
        </w:rPr>
        <w:t>Recommendation 2 - Maximise on-contract generic medicine use in secondary care</w:t>
      </w:r>
    </w:p>
    <w:p w:rsidR="00F11924" w:rsidP="00F11924" w:rsidRDefault="000401B2" w14:paraId="318EA908" w14:textId="7EAF8BFB">
      <w:pPr>
        <w:spacing w:line="276" w:lineRule="auto"/>
        <w:jc w:val="both"/>
        <w:rPr>
          <w:bCs/>
        </w:rPr>
      </w:pPr>
      <w:r>
        <w:rPr>
          <w:bCs/>
        </w:rPr>
        <w:t xml:space="preserve">SBUHB medicines management team continues to actively maximise all opportunities identified through on-contract generic medicines in secondary care, as soon as opportunities are available. </w:t>
      </w:r>
    </w:p>
    <w:p w:rsidR="000401B2" w:rsidP="00F11924" w:rsidRDefault="000401B2" w14:paraId="46795120" w14:textId="23D61A4F">
      <w:pPr>
        <w:spacing w:line="276" w:lineRule="auto"/>
        <w:jc w:val="both"/>
      </w:pPr>
      <w:r w:rsidR="000401B2">
        <w:rPr/>
        <w:t>One recent example was the immediate action to switch all patients prescribed nintedanib (a product used for pulmonary fibrosis) to the generic product, once contract was available 1</w:t>
      </w:r>
      <w:r w:rsidR="000401B2">
        <w:rPr/>
        <w:t xml:space="preserve"> July 2026. This product is prescribed for </w:t>
      </w:r>
      <w:r w:rsidR="00E509FF">
        <w:rPr/>
        <w:t>50</w:t>
      </w:r>
      <w:r w:rsidR="000401B2">
        <w:rPr/>
        <w:t xml:space="preserve"> patients</w:t>
      </w:r>
      <w:r w:rsidR="000401B2">
        <w:rPr/>
        <w:t xml:space="preserve"> and managed and dispensed via the </w:t>
      </w:r>
      <w:r w:rsidR="00D56FBF">
        <w:rPr/>
        <w:t>M</w:t>
      </w:r>
      <w:r w:rsidR="000401B2">
        <w:rPr/>
        <w:t xml:space="preserve">edicines </w:t>
      </w:r>
      <w:r w:rsidR="00D56FBF">
        <w:rPr/>
        <w:t>H</w:t>
      </w:r>
      <w:r w:rsidR="000401B2">
        <w:rPr/>
        <w:t xml:space="preserve">omecare </w:t>
      </w:r>
      <w:r w:rsidR="00D56FBF">
        <w:rPr/>
        <w:t>S</w:t>
      </w:r>
      <w:r w:rsidR="000401B2">
        <w:rPr/>
        <w:t xml:space="preserve">ervice. Immediate action from the Medicines Homecare team, with co-ordination from </w:t>
      </w:r>
      <w:r w:rsidR="45C44DBE">
        <w:rPr/>
        <w:t>Swansea Bay University Health Board (</w:t>
      </w:r>
      <w:r w:rsidR="000401B2">
        <w:rPr/>
        <w:t>SBUHB</w:t>
      </w:r>
      <w:r w:rsidR="185E53FD">
        <w:rPr/>
        <w:t>)</w:t>
      </w:r>
      <w:r w:rsidR="000401B2">
        <w:rPr/>
        <w:t xml:space="preserve"> clinical teams and third-party providers, has allowed SBUHB to maximise savings opportunities</w:t>
      </w:r>
      <w:r w:rsidR="00640A19">
        <w:rPr/>
        <w:t xml:space="preserve"> of</w:t>
      </w:r>
      <w:r w:rsidR="0065251D">
        <w:rPr/>
        <w:t xml:space="preserve"> £300k for 26-27</w:t>
      </w:r>
      <w:r w:rsidR="000401B2">
        <w:rPr/>
        <w:t>.</w:t>
      </w:r>
    </w:p>
    <w:p w:rsidR="000401B2" w:rsidP="000401B2" w:rsidRDefault="000401B2" w14:paraId="0FFFA360" w14:textId="43246C03">
      <w:pPr>
        <w:spacing w:line="276" w:lineRule="auto"/>
        <w:ind w:left="360"/>
        <w:jc w:val="both"/>
        <w:rPr>
          <w:b/>
        </w:rPr>
      </w:pPr>
      <w:r w:rsidRPr="000401B2">
        <w:rPr>
          <w:b/>
        </w:rPr>
        <w:t>Recommendation 3 - Increase the use of generic apixaban and rivaroxaban as a proportion of all direct oral anticoagulants (DOACs)</w:t>
      </w:r>
    </w:p>
    <w:p w:rsidR="006A2FEF" w:rsidP="000401B2" w:rsidRDefault="000401B2" w14:paraId="0FA6A628" w14:textId="77777777">
      <w:pPr>
        <w:spacing w:line="276" w:lineRule="auto"/>
        <w:jc w:val="both"/>
        <w:rPr>
          <w:bCs/>
        </w:rPr>
      </w:pPr>
      <w:r w:rsidRPr="000401B2">
        <w:rPr>
          <w:bCs/>
        </w:rPr>
        <w:t>SBUHB</w:t>
      </w:r>
      <w:r>
        <w:rPr>
          <w:bCs/>
        </w:rPr>
        <w:t xml:space="preserve"> recommends apixaban and rivaroxaban as first-line choice of DOAC across primary and secondary care, with generic prescribing </w:t>
      </w:r>
      <w:r w:rsidR="006A2FEF">
        <w:rPr>
          <w:bCs/>
        </w:rPr>
        <w:t>continuing at 93% (national All Wales percentage 89%).</w:t>
      </w:r>
    </w:p>
    <w:p w:rsidRPr="006A2FEF" w:rsidR="000401B2" w:rsidP="006A2FEF" w:rsidRDefault="006A2FEF" w14:paraId="18655B57" w14:textId="7A883096">
      <w:pPr>
        <w:spacing w:line="276" w:lineRule="auto"/>
        <w:ind w:left="360"/>
        <w:jc w:val="both"/>
        <w:rPr>
          <w:b/>
        </w:rPr>
      </w:pPr>
      <w:r w:rsidRPr="006A2FEF">
        <w:rPr>
          <w:b/>
        </w:rPr>
        <w:t>Recommendation 4 - Reduce the prescribing of bath and shower emollients</w:t>
      </w:r>
    </w:p>
    <w:p w:rsidR="00341236" w:rsidP="00F11924" w:rsidRDefault="006A2FEF" w14:paraId="6A38F33D" w14:textId="0E4C0E63">
      <w:pPr>
        <w:spacing w:line="276" w:lineRule="auto"/>
        <w:jc w:val="both"/>
        <w:rPr>
          <w:bCs/>
        </w:rPr>
      </w:pPr>
      <w:r>
        <w:rPr>
          <w:bCs/>
        </w:rPr>
        <w:t xml:space="preserve">Following active work by the primary care pharmacy team in GP practices, significant improvement in reducing prescribing of bath and shower </w:t>
      </w:r>
      <w:r>
        <w:rPr>
          <w:bCs/>
        </w:rPr>
        <w:lastRenderedPageBreak/>
        <w:t>emollients</w:t>
      </w:r>
      <w:r w:rsidR="0078065E">
        <w:rPr>
          <w:bCs/>
        </w:rPr>
        <w:t xml:space="preserve"> has been demonstrated. </w:t>
      </w:r>
      <w:r>
        <w:rPr>
          <w:bCs/>
        </w:rPr>
        <w:t>SBUHB has maintained its performance and continues as the lowest spend per 1000 patients across Wales:</w:t>
      </w:r>
    </w:p>
    <w:p w:rsidR="006A2FEF" w:rsidP="00F11924" w:rsidRDefault="006A2FEF" w14:paraId="6E4D77B6" w14:textId="722DDDA3">
      <w:pPr>
        <w:spacing w:line="276" w:lineRule="auto"/>
        <w:jc w:val="both"/>
        <w:rPr>
          <w:bCs/>
        </w:rPr>
      </w:pPr>
      <w:r w:rsidRPr="006A2FEF">
        <w:rPr>
          <w:bCs/>
          <w:noProof/>
        </w:rPr>
        <w:drawing>
          <wp:inline distT="0" distB="0" distL="0" distR="0" wp14:anchorId="649CA27C" wp14:editId="6A8859E9">
            <wp:extent cx="5731510" cy="1951990"/>
            <wp:effectExtent l="19050" t="19050" r="21590" b="10160"/>
            <wp:docPr id="9109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8579" name=""/>
                    <pic:cNvPicPr/>
                  </pic:nvPicPr>
                  <pic:blipFill>
                    <a:blip r:embed="rId11"/>
                    <a:stretch>
                      <a:fillRect/>
                    </a:stretch>
                  </pic:blipFill>
                  <pic:spPr>
                    <a:xfrm>
                      <a:off x="0" y="0"/>
                      <a:ext cx="5731510" cy="1951990"/>
                    </a:xfrm>
                    <a:prstGeom prst="rect">
                      <a:avLst/>
                    </a:prstGeom>
                    <a:ln>
                      <a:solidFill>
                        <a:schemeClr val="tx2"/>
                      </a:solidFill>
                    </a:ln>
                  </pic:spPr>
                </pic:pic>
              </a:graphicData>
            </a:graphic>
          </wp:inline>
        </w:drawing>
      </w:r>
    </w:p>
    <w:p w:rsidR="006A2FEF" w:rsidP="006A2FEF" w:rsidRDefault="006A2FEF" w14:paraId="20888F64" w14:textId="78831821">
      <w:pPr>
        <w:spacing w:line="276" w:lineRule="auto"/>
        <w:ind w:left="360"/>
        <w:jc w:val="both"/>
        <w:rPr>
          <w:b/>
        </w:rPr>
      </w:pPr>
      <w:r w:rsidRPr="006A2FEF">
        <w:rPr>
          <w:b/>
        </w:rPr>
        <w:t>Recommendation 5 - Increase the use of blood glucose testing strips under £10 per box</w:t>
      </w:r>
    </w:p>
    <w:p w:rsidR="006A2FEF" w:rsidP="006A2FEF" w:rsidRDefault="006A2FEF" w14:paraId="5302C39A" w14:textId="7E33C655">
      <w:pPr>
        <w:spacing w:line="276" w:lineRule="auto"/>
        <w:jc w:val="both"/>
      </w:pPr>
      <w:r w:rsidR="656CF2BD">
        <w:rPr/>
        <w:t xml:space="preserve">The </w:t>
      </w:r>
      <w:r w:rsidR="006A2FEF">
        <w:rPr/>
        <w:t>SBUHB position is currently at 85% (as a percentage of blood glucose testing strips under £10</w:t>
      </w:r>
      <w:r w:rsidR="00331157">
        <w:rPr/>
        <w:t>/all blood glucose testing strips), with work continu</w:t>
      </w:r>
      <w:r w:rsidR="0078065E">
        <w:rPr/>
        <w:t>ing</w:t>
      </w:r>
      <w:r w:rsidR="00331157">
        <w:rPr/>
        <w:t xml:space="preserve"> to be included within the medicines management work plan for 2026-27 to target practices and patients with below average percentage use.</w:t>
      </w:r>
    </w:p>
    <w:p w:rsidR="00331157" w:rsidP="00331157" w:rsidRDefault="00331157" w14:paraId="31D653D2" w14:textId="12E71234">
      <w:pPr>
        <w:spacing w:line="276" w:lineRule="auto"/>
        <w:ind w:left="360"/>
        <w:jc w:val="both"/>
        <w:rPr>
          <w:b/>
        </w:rPr>
      </w:pPr>
      <w:r w:rsidRPr="00331157">
        <w:rPr>
          <w:b/>
        </w:rPr>
        <w:t>Recommendation 6 - Increase the use of generic dapagliflozin as a proportion of all Sodium-Glucose Co-Transporter-2s (SGLT2s)</w:t>
      </w:r>
    </w:p>
    <w:p w:rsidR="00331157" w:rsidP="00331157" w:rsidRDefault="00331157" w14:paraId="58F51B75" w14:textId="7AE31FE1">
      <w:pPr>
        <w:spacing w:line="276" w:lineRule="auto"/>
        <w:jc w:val="both"/>
        <w:rPr>
          <w:bCs/>
        </w:rPr>
      </w:pPr>
      <w:r>
        <w:rPr>
          <w:bCs/>
        </w:rPr>
        <w:t>Following an active program driven through the medicines management primary care team in 25-26, to switch suitable patients to generic dapagliflozin as first-line SGLT-2, SBUHB percentage of generic dapagliflozin is currently at 81% (All Wales average 76%), increasing from 62% in May 2025:</w:t>
      </w:r>
    </w:p>
    <w:p w:rsidR="00331157" w:rsidP="00331157" w:rsidRDefault="00331157" w14:paraId="361C5AC7" w14:textId="4D34AF01">
      <w:pPr>
        <w:spacing w:line="276" w:lineRule="auto"/>
        <w:jc w:val="both"/>
        <w:rPr>
          <w:bCs/>
        </w:rPr>
      </w:pPr>
      <w:r w:rsidRPr="00331157">
        <w:rPr>
          <w:bCs/>
          <w:noProof/>
        </w:rPr>
        <w:drawing>
          <wp:inline distT="0" distB="0" distL="0" distR="0" wp14:anchorId="792A94FF" wp14:editId="7CC0E001">
            <wp:extent cx="5731510" cy="1970405"/>
            <wp:effectExtent l="19050" t="19050" r="21590" b="10795"/>
            <wp:docPr id="147663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33193" name=""/>
                    <pic:cNvPicPr/>
                  </pic:nvPicPr>
                  <pic:blipFill>
                    <a:blip r:embed="rId12"/>
                    <a:stretch>
                      <a:fillRect/>
                    </a:stretch>
                  </pic:blipFill>
                  <pic:spPr>
                    <a:xfrm>
                      <a:off x="0" y="0"/>
                      <a:ext cx="5731510" cy="1970405"/>
                    </a:xfrm>
                    <a:prstGeom prst="rect">
                      <a:avLst/>
                    </a:prstGeom>
                    <a:ln>
                      <a:solidFill>
                        <a:schemeClr val="tx2"/>
                      </a:solidFill>
                    </a:ln>
                  </pic:spPr>
                </pic:pic>
              </a:graphicData>
            </a:graphic>
          </wp:inline>
        </w:drawing>
      </w:r>
    </w:p>
    <w:p w:rsidR="00331157" w:rsidP="00331157" w:rsidRDefault="00331157" w14:paraId="5B5A5AA0" w14:textId="12E77B89">
      <w:pPr>
        <w:spacing w:line="276" w:lineRule="auto"/>
        <w:ind w:left="360"/>
        <w:jc w:val="both"/>
        <w:rPr>
          <w:b/>
        </w:rPr>
      </w:pPr>
      <w:r w:rsidRPr="00331157">
        <w:rPr>
          <w:b/>
        </w:rPr>
        <w:t>Recommendation 7 - Optimise the prescribing of oral nutritional supplements</w:t>
      </w:r>
    </w:p>
    <w:p w:rsidR="00331157" w:rsidP="00331157" w:rsidRDefault="00555832" w14:paraId="619289F9" w14:textId="59ACEB64">
      <w:pPr>
        <w:spacing w:line="276" w:lineRule="auto"/>
        <w:jc w:val="both"/>
        <w:rPr>
          <w:bCs/>
        </w:rPr>
      </w:pPr>
      <w:r>
        <w:rPr>
          <w:bCs/>
        </w:rPr>
        <w:lastRenderedPageBreak/>
        <w:t>This recommendation is progressing through NHS</w:t>
      </w:r>
      <w:r w:rsidR="0078065E">
        <w:rPr>
          <w:bCs/>
        </w:rPr>
        <w:t xml:space="preserve"> Wales</w:t>
      </w:r>
      <w:r>
        <w:rPr>
          <w:bCs/>
        </w:rPr>
        <w:t xml:space="preserve"> P</w:t>
      </w:r>
      <w:r w:rsidR="0078065E">
        <w:rPr>
          <w:bCs/>
        </w:rPr>
        <w:t xml:space="preserve">erformance </w:t>
      </w:r>
      <w:r>
        <w:rPr>
          <w:bCs/>
        </w:rPr>
        <w:t>&amp;</w:t>
      </w:r>
      <w:r w:rsidR="0078065E">
        <w:rPr>
          <w:bCs/>
        </w:rPr>
        <w:t xml:space="preserve"> </w:t>
      </w:r>
      <w:r>
        <w:rPr>
          <w:bCs/>
        </w:rPr>
        <w:t>I</w:t>
      </w:r>
      <w:r w:rsidR="0078065E">
        <w:rPr>
          <w:bCs/>
        </w:rPr>
        <w:t>mprovement</w:t>
      </w:r>
      <w:r>
        <w:rPr>
          <w:bCs/>
        </w:rPr>
        <w:t>, with key actions, including:</w:t>
      </w:r>
    </w:p>
    <w:p w:rsidR="00555832" w:rsidP="00555832" w:rsidRDefault="00555832" w14:paraId="1D40D63E" w14:textId="2B70D36F">
      <w:pPr>
        <w:pStyle w:val="ListParagraph"/>
        <w:numPr>
          <w:ilvl w:val="0"/>
          <w:numId w:val="28"/>
        </w:numPr>
        <w:spacing w:line="276" w:lineRule="auto"/>
        <w:jc w:val="both"/>
        <w:rPr>
          <w:bCs/>
        </w:rPr>
      </w:pPr>
      <w:r>
        <w:rPr>
          <w:bCs/>
        </w:rPr>
        <w:t>Standardised data capture on oral nutritional supplements (ONS) prescribing;</w:t>
      </w:r>
    </w:p>
    <w:p w:rsidR="00555832" w:rsidP="00555832" w:rsidRDefault="00555832" w14:paraId="79974780" w14:textId="2E2D9994">
      <w:pPr>
        <w:pStyle w:val="ListParagraph"/>
        <w:numPr>
          <w:ilvl w:val="0"/>
          <w:numId w:val="28"/>
        </w:numPr>
        <w:spacing w:line="276" w:lineRule="auto"/>
        <w:jc w:val="both"/>
        <w:rPr>
          <w:bCs/>
        </w:rPr>
      </w:pPr>
      <w:r>
        <w:rPr>
          <w:bCs/>
        </w:rPr>
        <w:t>Clarification of scope of products to be included in the workstream;</w:t>
      </w:r>
    </w:p>
    <w:p w:rsidR="00555832" w:rsidP="00555832" w:rsidRDefault="00555832" w14:paraId="38A2C8DE" w14:textId="366FACF9">
      <w:pPr>
        <w:pStyle w:val="ListParagraph"/>
        <w:numPr>
          <w:ilvl w:val="0"/>
          <w:numId w:val="28"/>
        </w:numPr>
        <w:spacing w:line="276" w:lineRule="auto"/>
        <w:jc w:val="both"/>
        <w:rPr>
          <w:bCs/>
        </w:rPr>
      </w:pPr>
      <w:r>
        <w:rPr>
          <w:bCs/>
        </w:rPr>
        <w:t>Formation of a national group with dietetic and pharmacy representation to develop a single national ONS formulary and a dedicated website for resources aimed at patients, carers and healthcare professionals;</w:t>
      </w:r>
    </w:p>
    <w:p w:rsidR="00555832" w:rsidP="00555832" w:rsidRDefault="00555832" w14:paraId="6C105CB0" w14:textId="43938BA9">
      <w:pPr>
        <w:pStyle w:val="ListParagraph"/>
        <w:numPr>
          <w:ilvl w:val="0"/>
          <w:numId w:val="28"/>
        </w:numPr>
        <w:spacing w:line="276" w:lineRule="auto"/>
        <w:jc w:val="both"/>
        <w:rPr>
          <w:bCs/>
        </w:rPr>
      </w:pPr>
      <w:r>
        <w:rPr>
          <w:bCs/>
        </w:rPr>
        <w:t>Engagement with key stakeholders, including Welsh Dietetic Leadership Advisory Group and Community Pharmacy Wales to establish timelines for financial and operational improvements.</w:t>
      </w:r>
    </w:p>
    <w:p w:rsidRPr="00555832" w:rsidR="00555832" w:rsidP="00555832" w:rsidRDefault="00555832" w14:paraId="7101113F" w14:textId="0C7228D1">
      <w:pPr>
        <w:spacing w:line="276" w:lineRule="auto"/>
        <w:jc w:val="both"/>
        <w:rPr>
          <w:bCs/>
        </w:rPr>
      </w:pPr>
      <w:r>
        <w:rPr>
          <w:bCs/>
        </w:rPr>
        <w:t xml:space="preserve">Updates to this recommendation will progress through the SBUHB </w:t>
      </w:r>
      <w:r w:rsidR="0078065E">
        <w:rPr>
          <w:bCs/>
        </w:rPr>
        <w:t>R</w:t>
      </w:r>
      <w:r>
        <w:rPr>
          <w:bCs/>
        </w:rPr>
        <w:t xml:space="preserve">ecovery and </w:t>
      </w:r>
      <w:r w:rsidR="0078065E">
        <w:rPr>
          <w:bCs/>
        </w:rPr>
        <w:t>S</w:t>
      </w:r>
      <w:r>
        <w:rPr>
          <w:bCs/>
        </w:rPr>
        <w:t>ustainability Board.</w:t>
      </w:r>
    </w:p>
    <w:p w:rsidRPr="00555832" w:rsidR="00C57277" w:rsidP="00383E4F" w:rsidRDefault="00C57277" w14:paraId="6B1A83F6" w14:textId="42497651">
      <w:pPr>
        <w:pStyle w:val="ListParagraph"/>
        <w:numPr>
          <w:ilvl w:val="1"/>
          <w:numId w:val="2"/>
        </w:numPr>
        <w:spacing w:line="276" w:lineRule="auto"/>
        <w:jc w:val="both"/>
        <w:rPr>
          <w:b/>
          <w:u w:val="single"/>
        </w:rPr>
      </w:pPr>
      <w:r w:rsidRPr="00555832">
        <w:rPr>
          <w:b/>
          <w:u w:val="single"/>
        </w:rPr>
        <w:t>National Prescribing Indicators</w:t>
      </w:r>
    </w:p>
    <w:p w:rsidRPr="00BF23DD" w:rsidR="00C57277" w:rsidP="272F4351" w:rsidRDefault="00C57277" w14:paraId="73455519" w14:textId="0B6EF4C8">
      <w:pPr>
        <w:spacing w:before="240" w:after="240"/>
        <w:jc w:val="both"/>
        <w:rPr>
          <w:rFonts w:eastAsia="Aptos" w:cs="Calibri" w:cstheme="minorAscii"/>
        </w:rPr>
      </w:pPr>
      <w:r w:rsidRPr="272F4351" w:rsidR="00C57277">
        <w:rPr>
          <w:rFonts w:eastAsia="Aptos" w:cs="Calibri" w:cstheme="minorAscii"/>
        </w:rPr>
        <w:t xml:space="preserve">The </w:t>
      </w:r>
      <w:r w:rsidRPr="272F4351" w:rsidR="3AFF5AD3">
        <w:rPr>
          <w:rFonts w:eastAsia="Aptos" w:cs="Calibri" w:cstheme="minorAscii"/>
        </w:rPr>
        <w:t>All-Wales Medicines</w:t>
      </w:r>
      <w:r w:rsidRPr="272F4351" w:rsidR="00C57277">
        <w:rPr>
          <w:rFonts w:eastAsia="Aptos" w:cs="Calibri" w:cstheme="minorAscii"/>
        </w:rPr>
        <w:t xml:space="preserve"> Strategy Group </w:t>
      </w:r>
      <w:r w:rsidRPr="272F4351" w:rsidR="00BF23DD">
        <w:rPr>
          <w:rFonts w:eastAsia="Aptos" w:cs="Calibri" w:cstheme="minorAscii"/>
        </w:rPr>
        <w:t xml:space="preserve">(AWMSG) </w:t>
      </w:r>
      <w:r w:rsidRPr="272F4351" w:rsidR="00C57277">
        <w:rPr>
          <w:rFonts w:eastAsia="Aptos" w:cs="Calibri" w:cstheme="minorAscii"/>
        </w:rPr>
        <w:t xml:space="preserve">endorse </w:t>
      </w:r>
      <w:r w:rsidRPr="272F4351" w:rsidR="3CAEFEEB">
        <w:rPr>
          <w:rFonts w:eastAsia="Aptos" w:cs="Calibri" w:cstheme="minorAscii"/>
        </w:rPr>
        <w:t>several</w:t>
      </w:r>
      <w:r w:rsidRPr="272F4351" w:rsidR="00C57277">
        <w:rPr>
          <w:rFonts w:eastAsia="Aptos" w:cs="Calibri" w:cstheme="minorAscii"/>
        </w:rPr>
        <w:t xml:space="preserve"> National Prescribing </w:t>
      </w:r>
      <w:r w:rsidRPr="272F4351" w:rsidR="008C3DA0">
        <w:rPr>
          <w:rFonts w:eastAsia="Aptos" w:cs="Calibri" w:cstheme="minorAscii"/>
        </w:rPr>
        <w:t>I</w:t>
      </w:r>
      <w:r w:rsidRPr="272F4351" w:rsidR="00C57277">
        <w:rPr>
          <w:rFonts w:eastAsia="Aptos" w:cs="Calibri" w:cstheme="minorAscii"/>
        </w:rPr>
        <w:t xml:space="preserve">ndicators annually, which are used to highlight therapeutic priorities for NHS Wales and compare the ways in which different prescribers and organisations use </w:t>
      </w:r>
      <w:r w:rsidRPr="272F4351" w:rsidR="00C57277">
        <w:rPr>
          <w:rFonts w:eastAsia="Aptos" w:cs="Calibri" w:cstheme="minorAscii"/>
        </w:rPr>
        <w:t>particular medicines</w:t>
      </w:r>
      <w:r w:rsidRPr="272F4351" w:rsidR="00C57277">
        <w:rPr>
          <w:rFonts w:eastAsia="Aptos" w:cs="Calibri" w:cstheme="minorAscii"/>
        </w:rPr>
        <w:t xml:space="preserve"> or groups of medicines. They are developed to promote rational prescribing of medicines in Wales. The choice of indicators is evidence-</w:t>
      </w:r>
      <w:r w:rsidRPr="272F4351" w:rsidR="6D5CC22A">
        <w:rPr>
          <w:rFonts w:eastAsia="Aptos" w:cs="Calibri" w:cstheme="minorAscii"/>
        </w:rPr>
        <w:t>based,</w:t>
      </w:r>
      <w:r w:rsidRPr="272F4351" w:rsidR="00C57277">
        <w:rPr>
          <w:rFonts w:eastAsia="Aptos" w:cs="Calibri" w:cstheme="minorAscii"/>
        </w:rPr>
        <w:t xml:space="preserve"> and the</w:t>
      </w:r>
      <w:r w:rsidRPr="272F4351" w:rsidR="0078065E">
        <w:rPr>
          <w:rFonts w:eastAsia="Aptos" w:cs="Calibri" w:cstheme="minorAscii"/>
        </w:rPr>
        <w:t>y</w:t>
      </w:r>
      <w:r w:rsidRPr="272F4351" w:rsidR="00C57277">
        <w:rPr>
          <w:rFonts w:eastAsia="Aptos" w:cs="Calibri" w:cstheme="minorAscii"/>
        </w:rPr>
        <w:t xml:space="preserve"> </w:t>
      </w:r>
      <w:r w:rsidRPr="272F4351" w:rsidR="0078065E">
        <w:rPr>
          <w:rFonts w:eastAsia="Aptos" w:cs="Calibri" w:cstheme="minorAscii"/>
        </w:rPr>
        <w:t>enable</w:t>
      </w:r>
      <w:r w:rsidRPr="272F4351" w:rsidR="00C57277">
        <w:rPr>
          <w:rFonts w:eastAsia="Aptos" w:cs="Calibri" w:cstheme="minorAscii"/>
        </w:rPr>
        <w:t xml:space="preserve"> health boards, primary care clusters, GP </w:t>
      </w:r>
      <w:r w:rsidRPr="272F4351" w:rsidR="00C57277">
        <w:rPr>
          <w:rFonts w:eastAsia="Aptos" w:cs="Calibri" w:cstheme="minorAscii"/>
        </w:rPr>
        <w:t>practices</w:t>
      </w:r>
      <w:r w:rsidRPr="272F4351" w:rsidR="00C57277">
        <w:rPr>
          <w:rFonts w:eastAsia="Aptos" w:cs="Calibri" w:cstheme="minorAscii"/>
        </w:rPr>
        <w:t xml:space="preserve"> and prescribers to compare their current prescribing practice against an agreed standard of quality. </w:t>
      </w:r>
    </w:p>
    <w:p w:rsidRPr="00BF23DD" w:rsidR="00C57277" w:rsidP="003B4312" w:rsidRDefault="00C57277" w14:paraId="05D80361" w14:textId="43D21930">
      <w:pPr>
        <w:spacing w:before="240" w:after="240"/>
        <w:jc w:val="both"/>
        <w:rPr>
          <w:rFonts w:eastAsia="Aptos" w:cstheme="minorHAnsi"/>
        </w:rPr>
      </w:pPr>
      <w:r w:rsidRPr="00BF23DD">
        <w:rPr>
          <w:rFonts w:eastAsia="Aptos" w:cstheme="minorHAnsi"/>
        </w:rPr>
        <w:t xml:space="preserve">The </w:t>
      </w:r>
      <w:r w:rsidR="00E05190">
        <w:rPr>
          <w:rFonts w:eastAsia="Aptos" w:cstheme="minorHAnsi"/>
        </w:rPr>
        <w:t>s</w:t>
      </w:r>
      <w:r w:rsidRPr="00BF23DD">
        <w:rPr>
          <w:rFonts w:eastAsia="Aptos" w:cstheme="minorHAnsi"/>
        </w:rPr>
        <w:t xml:space="preserve">ummary table and graphs below show </w:t>
      </w:r>
      <w:r w:rsidR="002F0D85">
        <w:rPr>
          <w:rFonts w:eastAsia="Aptos" w:cstheme="minorHAnsi"/>
        </w:rPr>
        <w:t>SBUHB’</w:t>
      </w:r>
      <w:r w:rsidRPr="00BF23DD">
        <w:rPr>
          <w:rFonts w:eastAsia="Aptos" w:cstheme="minorHAnsi"/>
        </w:rPr>
        <w:t>s performance against quality, safety and efficiency indicators for the latest quarter data available (Quarter 4, 2025/26).</w:t>
      </w:r>
    </w:p>
    <w:p w:rsidRPr="00BF23DD" w:rsidR="00C57277" w:rsidP="003B4312" w:rsidRDefault="00C57277" w14:paraId="4B06470D" w14:textId="77777777">
      <w:pPr>
        <w:spacing w:after="0" w:line="276" w:lineRule="auto"/>
        <w:jc w:val="both"/>
        <w:rPr>
          <w:b/>
          <w:bCs/>
        </w:rPr>
      </w:pPr>
      <w:r w:rsidRPr="00BF23DD">
        <w:rPr>
          <w:b/>
          <w:bCs/>
        </w:rPr>
        <w:t>Summary table</w:t>
      </w:r>
    </w:p>
    <w:p w:rsidRPr="00BF23DD" w:rsidR="00C57277" w:rsidP="003B4312" w:rsidRDefault="00C57277" w14:paraId="4AE09B02" w14:textId="77777777">
      <w:pPr>
        <w:spacing w:after="0" w:line="276" w:lineRule="auto"/>
        <w:jc w:val="both"/>
        <w:rPr>
          <w:b/>
          <w:bCs/>
        </w:rPr>
      </w:pPr>
    </w:p>
    <w:tbl>
      <w:tblPr>
        <w:tblW w:w="9346" w:type="dxa"/>
        <w:tblCellMar>
          <w:left w:w="0" w:type="dxa"/>
          <w:right w:w="0" w:type="dxa"/>
        </w:tblCellMar>
        <w:tblLook w:val="04A0" w:firstRow="1" w:lastRow="0" w:firstColumn="1" w:lastColumn="0" w:noHBand="0" w:noVBand="1"/>
      </w:tblPr>
      <w:tblGrid>
        <w:gridCol w:w="5377"/>
        <w:gridCol w:w="1025"/>
        <w:gridCol w:w="930"/>
        <w:gridCol w:w="1050"/>
        <w:gridCol w:w="964"/>
      </w:tblGrid>
      <w:tr w:rsidRPr="00BF23DD" w:rsidR="00C57277" w:rsidTr="00E05190" w14:paraId="06ECE0B1" w14:textId="77777777">
        <w:trPr>
          <w:trHeight w:val="492"/>
        </w:trPr>
        <w:tc>
          <w:tcPr>
            <w:tcW w:w="5377" w:type="dxa"/>
            <w:tcBorders>
              <w:top w:val="single" w:color="auto" w:sz="8" w:space="0"/>
              <w:left w:val="single" w:color="auto" w:sz="8" w:space="0"/>
              <w:bottom w:val="single" w:color="auto" w:sz="8" w:space="0"/>
              <w:right w:val="single" w:color="auto" w:sz="4" w:space="0"/>
            </w:tcBorders>
            <w:shd w:val="clear" w:color="auto" w:fill="D9D9D9" w:themeFill="background1" w:themeFillShade="D9"/>
            <w:noWrap/>
            <w:tcMar>
              <w:top w:w="0" w:type="dxa"/>
              <w:left w:w="108" w:type="dxa"/>
              <w:bottom w:w="0" w:type="dxa"/>
              <w:right w:w="108" w:type="dxa"/>
            </w:tcMar>
            <w:vAlign w:val="center"/>
            <w:hideMark/>
          </w:tcPr>
          <w:p w:rsidRPr="00BF23DD" w:rsidR="00C57277" w:rsidP="003B4312" w:rsidRDefault="00C57277" w14:paraId="25A77B0A" w14:textId="77777777">
            <w:pPr>
              <w:spacing w:after="0" w:line="240" w:lineRule="auto"/>
              <w:jc w:val="both"/>
              <w:rPr>
                <w:rFonts w:eastAsia="Aptos" w:cs="Calibri"/>
                <w:b/>
                <w:bCs/>
                <w:color w:val="000000"/>
                <w:lang w:eastAsia="en-GB"/>
              </w:rPr>
            </w:pPr>
            <w:r w:rsidRPr="00BF23DD">
              <w:rPr>
                <w:rFonts w:eastAsia="Aptos" w:cs="Calibri"/>
                <w:b/>
                <w:bCs/>
                <w:color w:val="000000"/>
                <w:lang w:eastAsia="en-GB"/>
                <w14:ligatures w14:val="standardContextual"/>
              </w:rPr>
              <w:t>Primary Care Prescribing Indicator</w:t>
            </w:r>
          </w:p>
        </w:tc>
        <w:tc>
          <w:tcPr>
            <w:tcW w:w="105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BF23DD" w:rsidR="00C57277" w:rsidP="00E05190" w:rsidRDefault="00C57277" w14:paraId="2527E3E9" w14:textId="77777777">
            <w:pPr>
              <w:spacing w:after="0" w:line="240" w:lineRule="auto"/>
              <w:jc w:val="center"/>
              <w:rPr>
                <w:rFonts w:eastAsia="Aptos" w:cs="Calibri"/>
                <w:b/>
                <w:bCs/>
                <w:color w:val="000000"/>
                <w:sz w:val="18"/>
                <w:szCs w:val="18"/>
                <w:lang w:eastAsia="en-GB"/>
                <w14:ligatures w14:val="standardContextual"/>
              </w:rPr>
            </w:pPr>
            <w:r w:rsidRPr="00BF23DD">
              <w:rPr>
                <w:rFonts w:eastAsia="Aptos" w:cs="Calibri"/>
                <w:b/>
                <w:bCs/>
                <w:color w:val="000000"/>
                <w:sz w:val="18"/>
                <w:szCs w:val="18"/>
                <w:lang w:eastAsia="en-GB"/>
                <w14:ligatures w14:val="standardContextual"/>
              </w:rPr>
              <w:t>2024/25</w:t>
            </w:r>
          </w:p>
          <w:p w:rsidRPr="00BF23DD" w:rsidR="00C57277" w:rsidP="00E05190" w:rsidRDefault="00C57277" w14:paraId="065F1ABE" w14:textId="6E1D2751">
            <w:pPr>
              <w:spacing w:after="0" w:line="240" w:lineRule="auto"/>
              <w:jc w:val="center"/>
              <w:rPr>
                <w:rFonts w:eastAsia="Aptos" w:cs="Calibri"/>
                <w:b/>
                <w:bCs/>
                <w:color w:val="000000"/>
                <w:sz w:val="18"/>
                <w:szCs w:val="18"/>
                <w:lang w:eastAsia="en-GB"/>
                <w14:ligatures w14:val="standardContextual"/>
              </w:rPr>
            </w:pPr>
            <w:proofErr w:type="spellStart"/>
            <w:r w:rsidRPr="00BF23DD">
              <w:rPr>
                <w:rFonts w:eastAsia="Aptos" w:cs="Calibri"/>
                <w:b/>
                <w:bCs/>
                <w:color w:val="000000"/>
                <w:sz w:val="18"/>
                <w:szCs w:val="18"/>
                <w:lang w:eastAsia="en-GB"/>
                <w14:ligatures w14:val="standardContextual"/>
              </w:rPr>
              <w:t>Qtr</w:t>
            </w:r>
            <w:proofErr w:type="spellEnd"/>
            <w:r w:rsidRPr="00BF23DD">
              <w:rPr>
                <w:rFonts w:eastAsia="Aptos" w:cs="Calibri"/>
                <w:b/>
                <w:bCs/>
                <w:color w:val="000000"/>
                <w:sz w:val="18"/>
                <w:szCs w:val="18"/>
                <w:lang w:eastAsia="en-GB"/>
                <w14:ligatures w14:val="standardContextual"/>
              </w:rPr>
              <w:t xml:space="preserve"> </w:t>
            </w:r>
            <w:r w:rsidR="002F0D85">
              <w:rPr>
                <w:rFonts w:eastAsia="Aptos" w:cs="Calibri"/>
                <w:b/>
                <w:bCs/>
                <w:color w:val="000000"/>
                <w:sz w:val="18"/>
                <w:szCs w:val="18"/>
                <w:lang w:eastAsia="en-GB"/>
                <w14:ligatures w14:val="standardContextual"/>
              </w:rPr>
              <w:t>4</w:t>
            </w:r>
          </w:p>
        </w:tc>
        <w:tc>
          <w:tcPr>
            <w:tcW w:w="93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BF23DD" w:rsidR="00C57277" w:rsidP="00E05190" w:rsidRDefault="00C57277" w14:paraId="0991AE3D" w14:textId="6F7A494E">
            <w:pPr>
              <w:spacing w:after="0" w:line="240" w:lineRule="auto"/>
              <w:jc w:val="center"/>
              <w:rPr>
                <w:rFonts w:eastAsia="Aptos" w:cs="Calibri"/>
                <w:b/>
                <w:bCs/>
                <w:color w:val="000000"/>
                <w:sz w:val="18"/>
                <w:szCs w:val="18"/>
                <w:lang w:eastAsia="en-GB"/>
                <w14:ligatures w14:val="standardContextual"/>
              </w:rPr>
            </w:pPr>
            <w:r w:rsidRPr="00BF23DD">
              <w:rPr>
                <w:rFonts w:eastAsia="Aptos" w:cs="Calibri"/>
                <w:b/>
                <w:bCs/>
                <w:color w:val="000000"/>
                <w:sz w:val="18"/>
                <w:szCs w:val="18"/>
                <w:lang w:eastAsia="en-GB"/>
                <w14:ligatures w14:val="standardContextual"/>
              </w:rPr>
              <w:t>2025/26</w:t>
            </w:r>
          </w:p>
          <w:p w:rsidRPr="00BF23DD" w:rsidR="00C57277" w:rsidP="00E05190" w:rsidRDefault="00C57277" w14:paraId="34D60B04" w14:textId="4E2363E1">
            <w:pPr>
              <w:spacing w:after="0" w:line="240" w:lineRule="auto"/>
              <w:jc w:val="center"/>
              <w:rPr>
                <w:rFonts w:eastAsia="Aptos" w:cs="Calibri"/>
                <w:b/>
                <w:bCs/>
                <w:color w:val="000000"/>
                <w:sz w:val="18"/>
                <w:szCs w:val="18"/>
                <w:lang w:eastAsia="en-GB"/>
                <w14:ligatures w14:val="standardContextual"/>
              </w:rPr>
            </w:pPr>
            <w:proofErr w:type="spellStart"/>
            <w:r w:rsidRPr="00BF23DD">
              <w:rPr>
                <w:rFonts w:eastAsia="Aptos" w:cs="Calibri"/>
                <w:b/>
                <w:bCs/>
                <w:color w:val="000000"/>
                <w:sz w:val="18"/>
                <w:szCs w:val="18"/>
                <w:lang w:eastAsia="en-GB"/>
                <w14:ligatures w14:val="standardContextual"/>
              </w:rPr>
              <w:t>Qtr</w:t>
            </w:r>
            <w:proofErr w:type="spellEnd"/>
            <w:r w:rsidRPr="00BF23DD">
              <w:rPr>
                <w:rFonts w:eastAsia="Aptos" w:cs="Calibri"/>
                <w:b/>
                <w:bCs/>
                <w:color w:val="000000"/>
                <w:sz w:val="18"/>
                <w:szCs w:val="18"/>
                <w:lang w:eastAsia="en-GB"/>
                <w14:ligatures w14:val="standardContextual"/>
              </w:rPr>
              <w:t xml:space="preserve"> </w:t>
            </w:r>
            <w:r w:rsidR="002F0D85">
              <w:rPr>
                <w:rFonts w:eastAsia="Aptos" w:cs="Calibri"/>
                <w:b/>
                <w:bCs/>
                <w:color w:val="000000"/>
                <w:sz w:val="18"/>
                <w:szCs w:val="18"/>
                <w:lang w:eastAsia="en-GB"/>
                <w14:ligatures w14:val="standardContextual"/>
              </w:rPr>
              <w:t>4</w:t>
            </w:r>
          </w:p>
        </w:tc>
        <w:tc>
          <w:tcPr>
            <w:tcW w:w="9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0" w:type="dxa"/>
              <w:left w:w="108" w:type="dxa"/>
              <w:bottom w:w="0" w:type="dxa"/>
              <w:right w:w="108" w:type="dxa"/>
            </w:tcMar>
            <w:vAlign w:val="center"/>
            <w:hideMark/>
          </w:tcPr>
          <w:p w:rsidRPr="00BF23DD" w:rsidR="00C57277" w:rsidP="00E05190" w:rsidRDefault="00C57277" w14:paraId="12715C6B" w14:textId="77777777">
            <w:pPr>
              <w:spacing w:after="0" w:line="240" w:lineRule="auto"/>
              <w:jc w:val="center"/>
              <w:rPr>
                <w:rFonts w:eastAsia="Aptos" w:cs="Calibri"/>
                <w:b/>
                <w:bCs/>
                <w:color w:val="000000"/>
                <w:sz w:val="18"/>
                <w:szCs w:val="18"/>
                <w:lang w:eastAsia="en-GB"/>
                <w14:ligatures w14:val="standardContextual"/>
              </w:rPr>
            </w:pPr>
            <w:r w:rsidRPr="00BF23DD">
              <w:rPr>
                <w:rFonts w:eastAsia="Aptos" w:cs="Calibri"/>
                <w:b/>
                <w:bCs/>
                <w:color w:val="000000"/>
                <w:sz w:val="18"/>
                <w:szCs w:val="18"/>
                <w:lang w:eastAsia="en-GB"/>
                <w14:ligatures w14:val="standardContextual"/>
              </w:rPr>
              <w:t>% change</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0" w:type="dxa"/>
              <w:left w:w="108" w:type="dxa"/>
              <w:bottom w:w="0" w:type="dxa"/>
              <w:right w:w="108" w:type="dxa"/>
            </w:tcMar>
            <w:vAlign w:val="center"/>
            <w:hideMark/>
          </w:tcPr>
          <w:p w:rsidRPr="00BF23DD" w:rsidR="00C57277" w:rsidP="00E05190" w:rsidRDefault="00C57277" w14:paraId="21F31EAF" w14:textId="415B3158">
            <w:pPr>
              <w:spacing w:after="0" w:line="240" w:lineRule="auto"/>
              <w:jc w:val="center"/>
              <w:rPr>
                <w:rFonts w:eastAsia="Aptos" w:cs="Calibri"/>
                <w:b/>
                <w:bCs/>
                <w:color w:val="000000"/>
                <w:sz w:val="18"/>
                <w:szCs w:val="18"/>
                <w:lang w:eastAsia="en-GB"/>
                <w14:ligatures w14:val="standardContextual"/>
              </w:rPr>
            </w:pPr>
            <w:r w:rsidRPr="00BF23DD">
              <w:rPr>
                <w:rFonts w:eastAsia="Aptos" w:cs="Calibri"/>
                <w:b/>
                <w:bCs/>
                <w:color w:val="000000"/>
                <w:sz w:val="18"/>
                <w:szCs w:val="18"/>
                <w:lang w:eastAsia="en-GB"/>
                <w14:ligatures w14:val="standardContextual"/>
              </w:rPr>
              <w:t>Rank in Wales HB 1= Best</w:t>
            </w:r>
          </w:p>
        </w:tc>
      </w:tr>
      <w:tr w:rsidRPr="00BF23DD" w:rsidR="00A42F8E" w:rsidTr="006942E2" w14:paraId="46EFD0A0"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487493DB" w14:textId="5FDFCA9A">
            <w:pPr>
              <w:spacing w:after="0" w:line="240" w:lineRule="auto"/>
              <w:jc w:val="both"/>
              <w:rPr>
                <w:rFonts w:eastAsia="Aptos" w:cs="Calibri"/>
                <w:color w:val="000000"/>
                <w:sz w:val="20"/>
                <w:szCs w:val="20"/>
                <w:lang w:eastAsia="en-GB"/>
                <w14:ligatures w14:val="standardContextual"/>
              </w:rPr>
            </w:pPr>
            <w:r w:rsidRPr="00BF23DD">
              <w:rPr>
                <w:b/>
                <w:bCs/>
                <w:sz w:val="20"/>
                <w:szCs w:val="20"/>
              </w:rPr>
              <w:t>4C antibacterial DDDs per 1,000 patients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3B59232F" w14:textId="03994889">
            <w:pPr>
              <w:spacing w:after="0" w:line="240" w:lineRule="auto"/>
              <w:jc w:val="both"/>
              <w:rPr>
                <w:rFonts w:eastAsia="Aptos" w:cs="Calibri"/>
                <w:color w:val="000000"/>
                <w:sz w:val="20"/>
                <w:szCs w:val="20"/>
                <w:lang w:eastAsia="en-GB"/>
                <w14:ligatures w14:val="standardContextual"/>
              </w:rPr>
            </w:pPr>
            <w:r w:rsidRPr="00BF23DD">
              <w:rPr>
                <w:sz w:val="20"/>
                <w:szCs w:val="20"/>
              </w:rPr>
              <w:t>40.16</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65A787C1" w14:textId="1CE49D1C">
            <w:pPr>
              <w:spacing w:after="0" w:line="240" w:lineRule="auto"/>
              <w:jc w:val="both"/>
              <w:rPr>
                <w:rFonts w:eastAsia="Aptos" w:cs="Calibri"/>
                <w:color w:val="000000"/>
                <w:sz w:val="20"/>
                <w:szCs w:val="20"/>
                <w:lang w:eastAsia="en-GB"/>
                <w14:ligatures w14:val="standardContextual"/>
              </w:rPr>
            </w:pPr>
            <w:r w:rsidRPr="00BF23DD">
              <w:rPr>
                <w:sz w:val="20"/>
                <w:szCs w:val="20"/>
              </w:rPr>
              <w:t>37.28</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670FF477" w14:textId="0EBA5071">
            <w:pPr>
              <w:spacing w:after="0" w:line="240" w:lineRule="auto"/>
              <w:jc w:val="both"/>
              <w:rPr>
                <w:rFonts w:eastAsia="Aptos" w:cs="Calibri"/>
                <w:color w:val="000000"/>
                <w:sz w:val="20"/>
                <w:szCs w:val="20"/>
                <w:lang w:eastAsia="en-GB"/>
                <w14:ligatures w14:val="standardContextual"/>
              </w:rPr>
            </w:pPr>
            <w:r w:rsidRPr="00BF23DD">
              <w:rPr>
                <w:sz w:val="20"/>
                <w:szCs w:val="20"/>
              </w:rPr>
              <w:t>-7.17%</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6A227502" w14:textId="2ACD99BF">
            <w:pPr>
              <w:spacing w:after="0" w:line="240" w:lineRule="auto"/>
              <w:jc w:val="both"/>
              <w:rPr>
                <w:rFonts w:eastAsia="Aptos" w:cs="Calibri"/>
                <w:color w:val="000000"/>
                <w:sz w:val="20"/>
                <w:szCs w:val="20"/>
                <w:lang w:eastAsia="en-GB"/>
                <w14:ligatures w14:val="standardContextual"/>
              </w:rPr>
            </w:pPr>
            <w:r w:rsidRPr="00BF23DD">
              <w:rPr>
                <w:sz w:val="20"/>
                <w:szCs w:val="20"/>
              </w:rPr>
              <w:t>1</w:t>
            </w:r>
          </w:p>
        </w:tc>
      </w:tr>
      <w:tr w:rsidRPr="00BF23DD" w:rsidR="00A42F8E" w:rsidTr="006942E2" w14:paraId="676CDA53"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79237079" w14:textId="2D115DA8">
            <w:pPr>
              <w:spacing w:after="0" w:line="240" w:lineRule="auto"/>
              <w:jc w:val="both"/>
              <w:rPr>
                <w:rFonts w:eastAsia="Aptos" w:cs="Calibri"/>
                <w:color w:val="000000"/>
                <w:sz w:val="20"/>
                <w:szCs w:val="20"/>
                <w:lang w:eastAsia="en-GB"/>
                <w14:ligatures w14:val="standardContextual"/>
              </w:rPr>
            </w:pPr>
            <w:r w:rsidRPr="00BF23DD">
              <w:rPr>
                <w:b/>
                <w:bCs/>
                <w:sz w:val="20"/>
                <w:szCs w:val="20"/>
              </w:rPr>
              <w:t>Antibacterial DDDs per 1,000 STAR-PUs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5F9ED6CE" w14:textId="3494EB07">
            <w:pPr>
              <w:spacing w:after="0" w:line="240" w:lineRule="auto"/>
              <w:jc w:val="both"/>
              <w:rPr>
                <w:rFonts w:eastAsia="Aptos" w:cs="Calibri"/>
                <w:color w:val="000000"/>
                <w:sz w:val="20"/>
                <w:szCs w:val="20"/>
                <w:lang w:eastAsia="en-GB"/>
                <w14:ligatures w14:val="standardContextual"/>
              </w:rPr>
            </w:pPr>
            <w:r w:rsidRPr="00BF23DD">
              <w:rPr>
                <w:sz w:val="20"/>
                <w:szCs w:val="20"/>
              </w:rPr>
              <w:t>2320</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6BA3789F" w14:textId="0F69CA42">
            <w:pPr>
              <w:spacing w:after="0" w:line="240" w:lineRule="auto"/>
              <w:jc w:val="both"/>
              <w:rPr>
                <w:rFonts w:eastAsia="Aptos" w:cs="Calibri"/>
                <w:color w:val="000000"/>
                <w:sz w:val="20"/>
                <w:szCs w:val="20"/>
                <w:lang w:eastAsia="en-GB"/>
                <w14:ligatures w14:val="standardContextual"/>
              </w:rPr>
            </w:pPr>
            <w:r w:rsidRPr="00BF23DD">
              <w:rPr>
                <w:sz w:val="20"/>
                <w:szCs w:val="20"/>
              </w:rPr>
              <w:t>2295</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79575927" w14:textId="38D19316">
            <w:pPr>
              <w:spacing w:after="0" w:line="240" w:lineRule="auto"/>
              <w:jc w:val="both"/>
              <w:rPr>
                <w:rFonts w:eastAsia="Aptos" w:cs="Calibri"/>
                <w:color w:val="000000"/>
                <w:sz w:val="20"/>
                <w:szCs w:val="20"/>
                <w:lang w:eastAsia="en-GB"/>
                <w14:ligatures w14:val="standardContextual"/>
              </w:rPr>
            </w:pPr>
            <w:r w:rsidRPr="00BF23DD">
              <w:rPr>
                <w:sz w:val="20"/>
                <w:szCs w:val="20"/>
              </w:rPr>
              <w:t>-1.08%</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270434DD" w14:textId="58455CEE">
            <w:pPr>
              <w:spacing w:after="0" w:line="240" w:lineRule="auto"/>
              <w:jc w:val="both"/>
              <w:rPr>
                <w:rFonts w:eastAsia="Aptos" w:cs="Calibri"/>
                <w:color w:val="000000"/>
                <w:sz w:val="20"/>
                <w:szCs w:val="20"/>
                <w:lang w:eastAsia="en-GB"/>
                <w14:ligatures w14:val="standardContextual"/>
              </w:rPr>
            </w:pPr>
            <w:r w:rsidRPr="00BF23DD">
              <w:rPr>
                <w:sz w:val="20"/>
                <w:szCs w:val="20"/>
              </w:rPr>
              <w:t>4</w:t>
            </w:r>
          </w:p>
        </w:tc>
      </w:tr>
      <w:tr w:rsidRPr="00BF23DD" w:rsidR="00A42F8E" w:rsidTr="006942E2" w14:paraId="0AFC83AB"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56008C66" w14:textId="57E7FDAD">
            <w:pPr>
              <w:spacing w:after="0" w:line="240" w:lineRule="auto"/>
              <w:jc w:val="both"/>
              <w:rPr>
                <w:rFonts w:eastAsia="Aptos" w:cs="Calibri"/>
                <w:color w:val="000000"/>
                <w:sz w:val="20"/>
                <w:szCs w:val="20"/>
                <w:lang w:eastAsia="en-GB"/>
                <w14:ligatures w14:val="standardContextual"/>
              </w:rPr>
            </w:pPr>
            <w:r w:rsidRPr="00BF23DD">
              <w:rPr>
                <w:b/>
                <w:bCs/>
                <w:sz w:val="20"/>
                <w:szCs w:val="20"/>
              </w:rPr>
              <w:t>Course duration Amoxicillin</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6E17149F" w14:textId="49CEAABE">
            <w:pPr>
              <w:spacing w:after="0" w:line="240" w:lineRule="auto"/>
              <w:jc w:val="both"/>
              <w:rPr>
                <w:rFonts w:eastAsia="Aptos" w:cs="Calibri"/>
                <w:color w:val="000000"/>
                <w:sz w:val="20"/>
                <w:szCs w:val="20"/>
                <w:lang w:eastAsia="en-GB"/>
                <w14:ligatures w14:val="standardContextual"/>
              </w:rPr>
            </w:pPr>
            <w:r w:rsidRPr="00BF23DD">
              <w:rPr>
                <w:sz w:val="20"/>
                <w:szCs w:val="20"/>
              </w:rPr>
              <w:t>84.98</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067F035D" w14:textId="7B0D9254">
            <w:pPr>
              <w:spacing w:after="0" w:line="240" w:lineRule="auto"/>
              <w:jc w:val="both"/>
              <w:rPr>
                <w:rFonts w:eastAsia="Aptos" w:cs="Calibri"/>
                <w:color w:val="000000"/>
                <w:sz w:val="20"/>
                <w:szCs w:val="20"/>
                <w:lang w:eastAsia="en-GB"/>
                <w14:ligatures w14:val="standardContextual"/>
              </w:rPr>
            </w:pPr>
            <w:r w:rsidRPr="00BF23DD">
              <w:rPr>
                <w:sz w:val="20"/>
                <w:szCs w:val="20"/>
              </w:rPr>
              <w:t>82.60</w:t>
            </w:r>
          </w:p>
        </w:tc>
        <w:tc>
          <w:tcPr>
            <w:tcW w:w="990" w:type="dxa"/>
            <w:tcBorders>
              <w:top w:val="single" w:color="auto" w:sz="4" w:space="0"/>
              <w:left w:val="single" w:color="auto" w:sz="4" w:space="0"/>
              <w:bottom w:val="single" w:color="auto" w:sz="4" w:space="0"/>
              <w:right w:val="single" w:color="auto" w:sz="4" w:space="0"/>
            </w:tcBorders>
            <w:shd w:val="clear" w:color="auto" w:fill="FFC000" w:themeFill="accent4"/>
            <w:tcMar>
              <w:top w:w="0" w:type="dxa"/>
              <w:left w:w="108" w:type="dxa"/>
              <w:bottom w:w="0" w:type="dxa"/>
              <w:right w:w="108" w:type="dxa"/>
            </w:tcMar>
            <w:vAlign w:val="center"/>
          </w:tcPr>
          <w:p w:rsidRPr="00BF23DD" w:rsidR="00A42F8E" w:rsidP="003B4312" w:rsidRDefault="00A42F8E" w14:paraId="51B0B3F7" w14:textId="507FC0B6">
            <w:pPr>
              <w:spacing w:after="0" w:line="240" w:lineRule="auto"/>
              <w:jc w:val="both"/>
              <w:rPr>
                <w:rFonts w:eastAsia="Aptos" w:cs="Calibri"/>
                <w:color w:val="000000"/>
                <w:sz w:val="20"/>
                <w:szCs w:val="20"/>
                <w:lang w:eastAsia="en-GB"/>
                <w14:ligatures w14:val="standardContextual"/>
              </w:rPr>
            </w:pPr>
            <w:r w:rsidRPr="00BF23DD">
              <w:rPr>
                <w:sz w:val="20"/>
                <w:szCs w:val="20"/>
              </w:rPr>
              <w:t>-2.80%</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02F4F8E1" w14:textId="321EEF2B">
            <w:pPr>
              <w:spacing w:after="0" w:line="240" w:lineRule="auto"/>
              <w:jc w:val="both"/>
              <w:rPr>
                <w:rFonts w:eastAsia="Aptos" w:cs="Calibri"/>
                <w:color w:val="000000"/>
                <w:sz w:val="20"/>
                <w:szCs w:val="20"/>
                <w:lang w:eastAsia="en-GB"/>
                <w14:ligatures w14:val="standardContextual"/>
              </w:rPr>
            </w:pPr>
            <w:r w:rsidRPr="00BF23DD">
              <w:rPr>
                <w:sz w:val="20"/>
                <w:szCs w:val="20"/>
              </w:rPr>
              <w:t>6</w:t>
            </w:r>
          </w:p>
        </w:tc>
      </w:tr>
      <w:tr w:rsidRPr="00BF23DD" w:rsidR="00A42F8E" w:rsidTr="006942E2" w14:paraId="64C2F3DF"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1453E5E2" w14:textId="4F5B8DE9">
            <w:pPr>
              <w:spacing w:after="0" w:line="240" w:lineRule="auto"/>
              <w:jc w:val="both"/>
              <w:rPr>
                <w:rFonts w:eastAsia="Aptos" w:cs="Calibri"/>
                <w:color w:val="000000"/>
                <w:sz w:val="20"/>
                <w:szCs w:val="20"/>
                <w:lang w:eastAsia="en-GB"/>
                <w14:ligatures w14:val="standardContextual"/>
              </w:rPr>
            </w:pPr>
            <w:r w:rsidRPr="00BF23DD">
              <w:rPr>
                <w:b/>
                <w:bCs/>
                <w:sz w:val="20"/>
                <w:szCs w:val="20"/>
              </w:rPr>
              <w:t>Course duration Clarithromycin</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71A6C064" w14:textId="2C302859">
            <w:pPr>
              <w:spacing w:after="0" w:line="240" w:lineRule="auto"/>
              <w:jc w:val="both"/>
              <w:rPr>
                <w:rFonts w:eastAsia="Aptos" w:cs="Calibri"/>
                <w:color w:val="000000"/>
                <w:sz w:val="20"/>
                <w:szCs w:val="20"/>
                <w:lang w:eastAsia="en-GB"/>
                <w14:ligatures w14:val="standardContextual"/>
              </w:rPr>
            </w:pPr>
            <w:r w:rsidRPr="00BF23DD">
              <w:rPr>
                <w:sz w:val="20"/>
                <w:szCs w:val="20"/>
              </w:rPr>
              <w:t>60.99</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252FC137" w14:textId="6D47EA94">
            <w:pPr>
              <w:spacing w:after="0" w:line="240" w:lineRule="auto"/>
              <w:jc w:val="both"/>
              <w:rPr>
                <w:rFonts w:eastAsia="Aptos" w:cs="Calibri"/>
                <w:color w:val="000000"/>
                <w:sz w:val="20"/>
                <w:szCs w:val="20"/>
                <w:lang w:eastAsia="en-GB"/>
                <w14:ligatures w14:val="standardContextual"/>
              </w:rPr>
            </w:pPr>
            <w:r w:rsidRPr="00BF23DD">
              <w:rPr>
                <w:sz w:val="20"/>
                <w:szCs w:val="20"/>
              </w:rPr>
              <w:t>59.47</w:t>
            </w:r>
          </w:p>
        </w:tc>
        <w:tc>
          <w:tcPr>
            <w:tcW w:w="990" w:type="dxa"/>
            <w:tcBorders>
              <w:top w:val="single" w:color="auto" w:sz="4" w:space="0"/>
              <w:left w:val="single" w:color="auto" w:sz="4" w:space="0"/>
              <w:bottom w:val="single" w:color="auto" w:sz="4" w:space="0"/>
              <w:right w:val="single" w:color="auto" w:sz="4" w:space="0"/>
            </w:tcBorders>
            <w:shd w:val="clear" w:color="auto" w:fill="FFC000" w:themeFill="accent4"/>
            <w:tcMar>
              <w:top w:w="0" w:type="dxa"/>
              <w:left w:w="108" w:type="dxa"/>
              <w:bottom w:w="0" w:type="dxa"/>
              <w:right w:w="108" w:type="dxa"/>
            </w:tcMar>
            <w:vAlign w:val="center"/>
          </w:tcPr>
          <w:p w:rsidRPr="00BF23DD" w:rsidR="00A42F8E" w:rsidP="003B4312" w:rsidRDefault="00A42F8E" w14:paraId="34142709" w14:textId="276D9678">
            <w:pPr>
              <w:spacing w:after="0" w:line="240" w:lineRule="auto"/>
              <w:jc w:val="both"/>
              <w:rPr>
                <w:rFonts w:eastAsia="Aptos" w:cs="Calibri"/>
                <w:color w:val="000000"/>
                <w:sz w:val="20"/>
                <w:szCs w:val="20"/>
                <w:lang w:eastAsia="en-GB"/>
                <w14:ligatures w14:val="standardContextual"/>
              </w:rPr>
            </w:pPr>
            <w:r w:rsidRPr="00BF23DD">
              <w:rPr>
                <w:sz w:val="20"/>
                <w:szCs w:val="20"/>
              </w:rPr>
              <w:t>-2.49%</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042A45C3" w14:textId="4F899D11">
            <w:pPr>
              <w:spacing w:after="0" w:line="240" w:lineRule="auto"/>
              <w:jc w:val="both"/>
              <w:rPr>
                <w:rFonts w:eastAsia="Aptos" w:cs="Calibri"/>
                <w:color w:val="000000"/>
                <w:sz w:val="20"/>
                <w:szCs w:val="20"/>
                <w:lang w:eastAsia="en-GB"/>
                <w14:ligatures w14:val="standardContextual"/>
              </w:rPr>
            </w:pPr>
            <w:r w:rsidRPr="00BF23DD">
              <w:rPr>
                <w:sz w:val="20"/>
                <w:szCs w:val="20"/>
              </w:rPr>
              <w:t>5</w:t>
            </w:r>
          </w:p>
        </w:tc>
      </w:tr>
      <w:tr w:rsidRPr="00BF23DD" w:rsidR="00A42F8E" w:rsidTr="006942E2" w14:paraId="038E01B3"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2612AE65" w14:textId="660F9186">
            <w:pPr>
              <w:spacing w:after="0" w:line="240" w:lineRule="auto"/>
              <w:jc w:val="both"/>
              <w:rPr>
                <w:rFonts w:eastAsia="Aptos" w:cs="Calibri"/>
                <w:color w:val="000000"/>
                <w:sz w:val="20"/>
                <w:szCs w:val="20"/>
                <w:lang w:eastAsia="en-GB"/>
                <w14:ligatures w14:val="standardContextual"/>
              </w:rPr>
            </w:pPr>
            <w:r w:rsidRPr="00BF23DD">
              <w:rPr>
                <w:b/>
                <w:bCs/>
                <w:sz w:val="20"/>
                <w:szCs w:val="20"/>
              </w:rPr>
              <w:t>Course duration Doxycycline</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35B92040" w14:textId="29468844">
            <w:pPr>
              <w:spacing w:after="0" w:line="240" w:lineRule="auto"/>
              <w:jc w:val="both"/>
              <w:rPr>
                <w:rFonts w:eastAsia="Aptos" w:cs="Calibri"/>
                <w:color w:val="000000"/>
                <w:sz w:val="20"/>
                <w:szCs w:val="20"/>
                <w:lang w:eastAsia="en-GB"/>
                <w14:ligatures w14:val="standardContextual"/>
              </w:rPr>
            </w:pPr>
            <w:r w:rsidRPr="00BF23DD">
              <w:rPr>
                <w:sz w:val="20"/>
                <w:szCs w:val="20"/>
              </w:rPr>
              <w:t>77.91</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1A16FCA3" w14:textId="4D5B377C">
            <w:pPr>
              <w:spacing w:after="0" w:line="240" w:lineRule="auto"/>
              <w:jc w:val="both"/>
              <w:rPr>
                <w:rFonts w:eastAsia="Aptos" w:cs="Calibri"/>
                <w:color w:val="000000"/>
                <w:sz w:val="20"/>
                <w:szCs w:val="20"/>
                <w:lang w:eastAsia="en-GB"/>
                <w14:ligatures w14:val="standardContextual"/>
              </w:rPr>
            </w:pPr>
            <w:r w:rsidRPr="00BF23DD">
              <w:rPr>
                <w:sz w:val="20"/>
                <w:szCs w:val="20"/>
              </w:rPr>
              <w:t>71.25</w:t>
            </w:r>
          </w:p>
        </w:tc>
        <w:tc>
          <w:tcPr>
            <w:tcW w:w="990" w:type="dxa"/>
            <w:tcBorders>
              <w:top w:val="single" w:color="auto" w:sz="4" w:space="0"/>
              <w:left w:val="single" w:color="auto" w:sz="4" w:space="0"/>
              <w:bottom w:val="single" w:color="auto" w:sz="4" w:space="0"/>
              <w:right w:val="single" w:color="auto" w:sz="4" w:space="0"/>
            </w:tcBorders>
            <w:shd w:val="clear" w:color="auto" w:fill="FFC000" w:themeFill="accent4"/>
            <w:tcMar>
              <w:top w:w="0" w:type="dxa"/>
              <w:left w:w="108" w:type="dxa"/>
              <w:bottom w:w="0" w:type="dxa"/>
              <w:right w:w="108" w:type="dxa"/>
            </w:tcMar>
            <w:vAlign w:val="center"/>
          </w:tcPr>
          <w:p w:rsidRPr="00BF23DD" w:rsidR="00A42F8E" w:rsidP="003B4312" w:rsidRDefault="00A42F8E" w14:paraId="7EE6B454" w14:textId="3B1BD2AD">
            <w:pPr>
              <w:spacing w:after="0" w:line="240" w:lineRule="auto"/>
              <w:jc w:val="both"/>
              <w:rPr>
                <w:rFonts w:eastAsia="Aptos" w:cs="Calibri"/>
                <w:color w:val="000000"/>
                <w:sz w:val="20"/>
                <w:szCs w:val="20"/>
                <w:lang w:eastAsia="en-GB"/>
                <w14:ligatures w14:val="standardContextual"/>
              </w:rPr>
            </w:pPr>
            <w:r w:rsidRPr="00BF23DD">
              <w:rPr>
                <w:sz w:val="20"/>
                <w:szCs w:val="20"/>
              </w:rPr>
              <w:t>-8.55%</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73A106C7" w14:textId="57DCA021">
            <w:pPr>
              <w:spacing w:after="0" w:line="240" w:lineRule="auto"/>
              <w:jc w:val="both"/>
              <w:rPr>
                <w:rFonts w:eastAsia="Aptos" w:cs="Calibri"/>
                <w:color w:val="000000"/>
                <w:sz w:val="20"/>
                <w:szCs w:val="20"/>
                <w:lang w:eastAsia="en-GB"/>
                <w14:ligatures w14:val="standardContextual"/>
              </w:rPr>
            </w:pPr>
            <w:r w:rsidRPr="00BF23DD">
              <w:rPr>
                <w:sz w:val="20"/>
                <w:szCs w:val="20"/>
              </w:rPr>
              <w:t>4</w:t>
            </w:r>
          </w:p>
        </w:tc>
      </w:tr>
      <w:tr w:rsidRPr="00BF23DD" w:rsidR="00A42F8E" w:rsidTr="006942E2" w14:paraId="5B5E2A6E"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79E3D7D0" w14:textId="55131F2F">
            <w:pPr>
              <w:spacing w:after="0" w:line="240" w:lineRule="auto"/>
              <w:jc w:val="both"/>
              <w:rPr>
                <w:rFonts w:eastAsia="Aptos" w:cs="Calibri"/>
                <w:color w:val="000000"/>
                <w:sz w:val="20"/>
                <w:szCs w:val="20"/>
                <w:lang w:eastAsia="en-GB"/>
                <w14:ligatures w14:val="standardContextual"/>
              </w:rPr>
            </w:pPr>
            <w:r w:rsidRPr="00BF23DD">
              <w:rPr>
                <w:b/>
                <w:bCs/>
                <w:sz w:val="20"/>
                <w:szCs w:val="20"/>
              </w:rPr>
              <w:lastRenderedPageBreak/>
              <w:t>DPIs and SMIs as a percentage of all inhalers (quantity) 26-27</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34DB31B6" w14:textId="71DCFA05">
            <w:pPr>
              <w:spacing w:after="0" w:line="240" w:lineRule="auto"/>
              <w:jc w:val="both"/>
              <w:rPr>
                <w:rFonts w:eastAsia="Aptos" w:cs="Calibri"/>
                <w:color w:val="000000"/>
                <w:sz w:val="20"/>
                <w:szCs w:val="20"/>
                <w:lang w:eastAsia="en-GB"/>
                <w14:ligatures w14:val="standardContextual"/>
              </w:rPr>
            </w:pPr>
            <w:r w:rsidRPr="00BF23DD">
              <w:rPr>
                <w:sz w:val="20"/>
                <w:szCs w:val="20"/>
              </w:rPr>
              <w:t>42.53</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580EE35D" w14:textId="08AA7212">
            <w:pPr>
              <w:spacing w:after="0" w:line="240" w:lineRule="auto"/>
              <w:jc w:val="both"/>
              <w:rPr>
                <w:rFonts w:eastAsia="Aptos" w:cs="Calibri"/>
                <w:color w:val="000000"/>
                <w:sz w:val="20"/>
                <w:szCs w:val="20"/>
                <w:lang w:eastAsia="en-GB"/>
                <w14:ligatures w14:val="standardContextual"/>
              </w:rPr>
            </w:pPr>
            <w:r w:rsidRPr="00BF23DD">
              <w:rPr>
                <w:sz w:val="20"/>
                <w:szCs w:val="20"/>
              </w:rPr>
              <w:t>45.55</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4E35553B" w14:textId="69FAE44E">
            <w:pPr>
              <w:spacing w:after="0" w:line="240" w:lineRule="auto"/>
              <w:jc w:val="both"/>
              <w:rPr>
                <w:rFonts w:eastAsia="Aptos" w:cs="Calibri"/>
                <w:color w:val="000000"/>
                <w:sz w:val="20"/>
                <w:szCs w:val="20"/>
                <w:lang w:eastAsia="en-GB"/>
                <w14:ligatures w14:val="standardContextual"/>
              </w:rPr>
            </w:pPr>
            <w:r w:rsidRPr="00BF23DD">
              <w:rPr>
                <w:sz w:val="20"/>
                <w:szCs w:val="20"/>
              </w:rPr>
              <w:t>+7.10%</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6F13883B" w14:textId="27542D49">
            <w:pPr>
              <w:spacing w:after="0" w:line="240" w:lineRule="auto"/>
              <w:jc w:val="both"/>
              <w:rPr>
                <w:rFonts w:eastAsia="Aptos" w:cs="Calibri"/>
                <w:color w:val="000000"/>
                <w:sz w:val="20"/>
                <w:szCs w:val="20"/>
                <w:lang w:eastAsia="en-GB"/>
                <w14:ligatures w14:val="standardContextual"/>
              </w:rPr>
            </w:pPr>
            <w:r w:rsidRPr="00BF23DD">
              <w:rPr>
                <w:sz w:val="20"/>
                <w:szCs w:val="20"/>
              </w:rPr>
              <w:t>5</w:t>
            </w:r>
          </w:p>
        </w:tc>
      </w:tr>
      <w:tr w:rsidRPr="00BF23DD" w:rsidR="00A42F8E" w:rsidTr="006942E2" w14:paraId="0F7A4375"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468EA67C" w14:textId="0F28EA5B">
            <w:pPr>
              <w:spacing w:after="0" w:line="240" w:lineRule="auto"/>
              <w:jc w:val="both"/>
              <w:rPr>
                <w:rFonts w:eastAsia="Aptos" w:cs="Calibri"/>
                <w:color w:val="000000"/>
                <w:sz w:val="20"/>
                <w:szCs w:val="20"/>
                <w:lang w:eastAsia="en-GB"/>
                <w14:ligatures w14:val="standardContextual"/>
              </w:rPr>
            </w:pPr>
            <w:r w:rsidRPr="00BF23DD">
              <w:rPr>
                <w:b/>
                <w:bCs/>
                <w:sz w:val="20"/>
                <w:szCs w:val="20"/>
              </w:rPr>
              <w:t>Gabapentin and pregabalin DDDs per 1,000 patients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6995CBCB" w14:textId="0CB78432">
            <w:pPr>
              <w:spacing w:after="0" w:line="240" w:lineRule="auto"/>
              <w:jc w:val="both"/>
              <w:rPr>
                <w:rFonts w:eastAsia="Aptos" w:cs="Calibri"/>
                <w:color w:val="000000"/>
                <w:sz w:val="20"/>
                <w:szCs w:val="20"/>
                <w:lang w:eastAsia="en-GB"/>
                <w14:ligatures w14:val="standardContextual"/>
              </w:rPr>
            </w:pPr>
            <w:r w:rsidRPr="00BF23DD">
              <w:rPr>
                <w:sz w:val="20"/>
                <w:szCs w:val="20"/>
              </w:rPr>
              <w:t>1429.7</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32B82867" w14:textId="688A90DF">
            <w:pPr>
              <w:spacing w:after="0" w:line="240" w:lineRule="auto"/>
              <w:jc w:val="both"/>
              <w:rPr>
                <w:rFonts w:eastAsia="Aptos" w:cs="Calibri"/>
                <w:color w:val="000000"/>
                <w:sz w:val="20"/>
                <w:szCs w:val="20"/>
                <w:lang w:eastAsia="en-GB"/>
                <w14:ligatures w14:val="standardContextual"/>
              </w:rPr>
            </w:pPr>
            <w:r w:rsidRPr="00BF23DD">
              <w:rPr>
                <w:sz w:val="20"/>
                <w:szCs w:val="20"/>
              </w:rPr>
              <w:t>1397.8</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5DF2C258" w14:textId="2F9E8246">
            <w:pPr>
              <w:spacing w:after="0" w:line="240" w:lineRule="auto"/>
              <w:jc w:val="both"/>
              <w:rPr>
                <w:rFonts w:eastAsia="Aptos" w:cs="Calibri"/>
                <w:color w:val="000000"/>
                <w:sz w:val="20"/>
                <w:szCs w:val="20"/>
                <w:lang w:eastAsia="en-GB"/>
                <w14:ligatures w14:val="standardContextual"/>
              </w:rPr>
            </w:pPr>
            <w:r w:rsidRPr="00BF23DD">
              <w:rPr>
                <w:sz w:val="20"/>
                <w:szCs w:val="20"/>
              </w:rPr>
              <w:t>-2.23%</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45169C62" w14:textId="50E415FF">
            <w:pPr>
              <w:spacing w:after="0" w:line="240" w:lineRule="auto"/>
              <w:jc w:val="both"/>
              <w:rPr>
                <w:rFonts w:eastAsia="Aptos" w:cs="Calibri"/>
                <w:color w:val="000000"/>
                <w:sz w:val="20"/>
                <w:szCs w:val="20"/>
                <w:lang w:eastAsia="en-GB"/>
                <w14:ligatures w14:val="standardContextual"/>
              </w:rPr>
            </w:pPr>
            <w:r w:rsidRPr="00BF23DD">
              <w:rPr>
                <w:sz w:val="20"/>
                <w:szCs w:val="20"/>
              </w:rPr>
              <w:t>2</w:t>
            </w:r>
          </w:p>
        </w:tc>
      </w:tr>
      <w:tr w:rsidRPr="00BF23DD" w:rsidR="00A42F8E" w:rsidTr="006942E2" w14:paraId="320B6D2A"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607A8989" w14:textId="23CC598B">
            <w:pPr>
              <w:spacing w:after="0" w:line="240" w:lineRule="auto"/>
              <w:jc w:val="both"/>
              <w:rPr>
                <w:rFonts w:eastAsia="Aptos" w:cs="Calibri"/>
                <w:color w:val="000000"/>
                <w:sz w:val="20"/>
                <w:szCs w:val="20"/>
                <w:lang w:eastAsia="en-GB"/>
                <w14:ligatures w14:val="standardContextual"/>
              </w:rPr>
            </w:pPr>
            <w:r w:rsidRPr="00BF23DD">
              <w:rPr>
                <w:b/>
                <w:bCs/>
                <w:sz w:val="20"/>
                <w:szCs w:val="20"/>
              </w:rPr>
              <w:t>High Strength Opioid Total OME Per 1,000 Patients (&gt;=90mg)</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57FB4926" w14:textId="55429812">
            <w:pPr>
              <w:spacing w:after="0" w:line="240" w:lineRule="auto"/>
              <w:jc w:val="both"/>
              <w:rPr>
                <w:rFonts w:eastAsia="Aptos" w:cs="Calibri"/>
                <w:color w:val="000000"/>
                <w:sz w:val="20"/>
                <w:szCs w:val="20"/>
                <w:lang w:eastAsia="en-GB"/>
                <w14:ligatures w14:val="standardContextual"/>
              </w:rPr>
            </w:pPr>
            <w:r w:rsidRPr="00BF23DD">
              <w:rPr>
                <w:sz w:val="20"/>
                <w:szCs w:val="20"/>
              </w:rPr>
              <w:t>13253</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5E3224B9" w14:textId="42890938">
            <w:pPr>
              <w:spacing w:after="0" w:line="240" w:lineRule="auto"/>
              <w:jc w:val="both"/>
              <w:rPr>
                <w:rFonts w:eastAsia="Aptos" w:cs="Calibri"/>
                <w:color w:val="000000"/>
                <w:sz w:val="20"/>
                <w:szCs w:val="20"/>
                <w:lang w:eastAsia="en-GB"/>
                <w14:ligatures w14:val="standardContextual"/>
              </w:rPr>
            </w:pPr>
            <w:r w:rsidRPr="00BF23DD">
              <w:rPr>
                <w:sz w:val="20"/>
                <w:szCs w:val="20"/>
              </w:rPr>
              <w:t>11972</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44B7B8F4" w14:textId="3AC36229">
            <w:pPr>
              <w:spacing w:after="0" w:line="240" w:lineRule="auto"/>
              <w:jc w:val="both"/>
              <w:rPr>
                <w:rFonts w:eastAsia="Aptos" w:cs="Calibri"/>
                <w:color w:val="000000"/>
                <w:sz w:val="20"/>
                <w:szCs w:val="20"/>
                <w:lang w:eastAsia="en-GB"/>
                <w14:ligatures w14:val="standardContextual"/>
              </w:rPr>
            </w:pPr>
            <w:r w:rsidRPr="00BF23DD">
              <w:rPr>
                <w:sz w:val="20"/>
                <w:szCs w:val="20"/>
              </w:rPr>
              <w:t>-9.67%</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573F4A1F" w14:textId="3FF31F18">
            <w:pPr>
              <w:spacing w:after="0" w:line="240" w:lineRule="auto"/>
              <w:jc w:val="both"/>
              <w:rPr>
                <w:rFonts w:eastAsia="Aptos" w:cs="Calibri"/>
                <w:color w:val="000000"/>
                <w:sz w:val="20"/>
                <w:szCs w:val="20"/>
                <w:lang w:eastAsia="en-GB"/>
                <w14:ligatures w14:val="standardContextual"/>
              </w:rPr>
            </w:pPr>
            <w:r w:rsidRPr="00BF23DD">
              <w:rPr>
                <w:sz w:val="20"/>
                <w:szCs w:val="20"/>
              </w:rPr>
              <w:t>2</w:t>
            </w:r>
          </w:p>
        </w:tc>
      </w:tr>
      <w:tr w:rsidRPr="00BF23DD" w:rsidR="00A42F8E" w:rsidTr="006942E2" w14:paraId="66FC1D0E"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7B67BF4B" w14:textId="36A876CB">
            <w:pPr>
              <w:spacing w:after="0" w:line="240" w:lineRule="auto"/>
              <w:jc w:val="both"/>
              <w:rPr>
                <w:rFonts w:eastAsia="Aptos" w:cs="Calibri"/>
                <w:color w:val="000000"/>
                <w:sz w:val="20"/>
                <w:szCs w:val="20"/>
                <w:lang w:eastAsia="en-GB"/>
                <w14:ligatures w14:val="standardContextual"/>
              </w:rPr>
            </w:pPr>
            <w:r w:rsidRPr="00BF23DD">
              <w:rPr>
                <w:b/>
                <w:bCs/>
                <w:sz w:val="20"/>
                <w:szCs w:val="20"/>
              </w:rPr>
              <w:t>Hypnotics and anxiolytics ADQs per 1,000 STAR-PUs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562294AF" w14:textId="387F0E8C">
            <w:pPr>
              <w:spacing w:after="0" w:line="240" w:lineRule="auto"/>
              <w:jc w:val="both"/>
              <w:rPr>
                <w:rFonts w:eastAsia="Aptos" w:cs="Calibri"/>
                <w:color w:val="000000"/>
                <w:sz w:val="20"/>
                <w:szCs w:val="20"/>
                <w:lang w:eastAsia="en-GB"/>
                <w14:ligatures w14:val="standardContextual"/>
              </w:rPr>
            </w:pPr>
            <w:r w:rsidRPr="00BF23DD">
              <w:rPr>
                <w:sz w:val="20"/>
                <w:szCs w:val="20"/>
              </w:rPr>
              <w:t>1746</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07AEE1E8" w14:textId="13D14B6E">
            <w:pPr>
              <w:spacing w:after="0" w:line="240" w:lineRule="auto"/>
              <w:jc w:val="both"/>
              <w:rPr>
                <w:rFonts w:eastAsia="Aptos" w:cs="Calibri"/>
                <w:color w:val="000000"/>
                <w:sz w:val="20"/>
                <w:szCs w:val="20"/>
                <w:lang w:eastAsia="en-GB"/>
                <w14:ligatures w14:val="standardContextual"/>
              </w:rPr>
            </w:pPr>
            <w:r w:rsidRPr="00BF23DD">
              <w:rPr>
                <w:sz w:val="20"/>
                <w:szCs w:val="20"/>
              </w:rPr>
              <w:t>1605</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5B1D3D13" w14:textId="55446F40">
            <w:pPr>
              <w:spacing w:after="0" w:line="240" w:lineRule="auto"/>
              <w:jc w:val="both"/>
              <w:rPr>
                <w:rFonts w:eastAsia="Aptos" w:cs="Calibri"/>
                <w:color w:val="000000"/>
                <w:sz w:val="20"/>
                <w:szCs w:val="20"/>
                <w:lang w:eastAsia="en-GB"/>
                <w14:ligatures w14:val="standardContextual"/>
              </w:rPr>
            </w:pPr>
            <w:r w:rsidRPr="00BF23DD">
              <w:rPr>
                <w:sz w:val="20"/>
                <w:szCs w:val="20"/>
              </w:rPr>
              <w:t>-8.08%</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0BBCD9CC" w14:textId="137A17B3">
            <w:pPr>
              <w:spacing w:after="0" w:line="240" w:lineRule="auto"/>
              <w:jc w:val="both"/>
              <w:rPr>
                <w:rFonts w:eastAsia="Aptos" w:cs="Calibri"/>
                <w:color w:val="000000"/>
                <w:sz w:val="20"/>
                <w:szCs w:val="20"/>
                <w:lang w:eastAsia="en-GB"/>
                <w14:ligatures w14:val="standardContextual"/>
              </w:rPr>
            </w:pPr>
            <w:r w:rsidRPr="00BF23DD">
              <w:rPr>
                <w:sz w:val="20"/>
                <w:szCs w:val="20"/>
              </w:rPr>
              <w:t>4</w:t>
            </w:r>
          </w:p>
        </w:tc>
      </w:tr>
      <w:tr w:rsidRPr="00BF23DD" w:rsidR="00A42F8E" w:rsidTr="006942E2" w14:paraId="4C3EE665"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70F399E5" w14:textId="6DFA5ABD">
            <w:pPr>
              <w:spacing w:after="0" w:line="240" w:lineRule="auto"/>
              <w:jc w:val="both"/>
              <w:rPr>
                <w:rFonts w:eastAsia="Aptos" w:cs="Calibri"/>
                <w:color w:val="000000"/>
                <w:sz w:val="20"/>
                <w:szCs w:val="20"/>
                <w:lang w:eastAsia="en-GB"/>
                <w14:ligatures w14:val="standardContextual"/>
              </w:rPr>
            </w:pPr>
            <w:r w:rsidRPr="00BF23DD">
              <w:rPr>
                <w:b/>
                <w:bCs/>
                <w:sz w:val="20"/>
                <w:szCs w:val="20"/>
              </w:rPr>
              <w:t>Low Value for Prescribing (UDG) spend (£) per 1,000 patients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4C63D10A" w14:textId="6D8DB8FB">
            <w:pPr>
              <w:spacing w:after="0" w:line="240" w:lineRule="auto"/>
              <w:jc w:val="both"/>
              <w:rPr>
                <w:rFonts w:eastAsia="Aptos" w:cs="Calibri"/>
                <w:color w:val="000000"/>
                <w:sz w:val="20"/>
                <w:szCs w:val="20"/>
                <w:lang w:eastAsia="en-GB"/>
                <w14:ligatures w14:val="standardContextual"/>
              </w:rPr>
            </w:pPr>
            <w:r w:rsidRPr="00BF23DD">
              <w:rPr>
                <w:sz w:val="20"/>
                <w:szCs w:val="20"/>
              </w:rPr>
              <w:t>212.2</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2C57475F" w14:textId="6A74A4F5">
            <w:pPr>
              <w:spacing w:after="0" w:line="240" w:lineRule="auto"/>
              <w:jc w:val="both"/>
              <w:rPr>
                <w:rFonts w:eastAsia="Aptos" w:cs="Calibri"/>
                <w:color w:val="000000"/>
                <w:sz w:val="20"/>
                <w:szCs w:val="20"/>
                <w:lang w:eastAsia="en-GB"/>
                <w14:ligatures w14:val="standardContextual"/>
              </w:rPr>
            </w:pPr>
            <w:r w:rsidRPr="00BF23DD">
              <w:rPr>
                <w:sz w:val="20"/>
                <w:szCs w:val="20"/>
              </w:rPr>
              <w:t>231.7</w:t>
            </w:r>
          </w:p>
        </w:tc>
        <w:tc>
          <w:tcPr>
            <w:tcW w:w="990" w:type="dxa"/>
            <w:tcBorders>
              <w:top w:val="single" w:color="auto" w:sz="4" w:space="0"/>
              <w:left w:val="single" w:color="auto" w:sz="4" w:space="0"/>
              <w:bottom w:val="single" w:color="auto" w:sz="4" w:space="0"/>
              <w:right w:val="single" w:color="auto" w:sz="4" w:space="0"/>
            </w:tcBorders>
            <w:shd w:val="clear" w:color="auto" w:fill="FFC000" w:themeFill="accent4"/>
            <w:tcMar>
              <w:top w:w="0" w:type="dxa"/>
              <w:left w:w="108" w:type="dxa"/>
              <w:bottom w:w="0" w:type="dxa"/>
              <w:right w:w="108" w:type="dxa"/>
            </w:tcMar>
            <w:vAlign w:val="center"/>
          </w:tcPr>
          <w:p w:rsidRPr="00BF23DD" w:rsidR="00A42F8E" w:rsidP="003B4312" w:rsidRDefault="00A42F8E" w14:paraId="2B59E014" w14:textId="692E21FF">
            <w:pPr>
              <w:spacing w:after="0" w:line="240" w:lineRule="auto"/>
              <w:jc w:val="both"/>
              <w:rPr>
                <w:rFonts w:eastAsia="Aptos" w:cs="Calibri"/>
                <w:color w:val="000000"/>
                <w:sz w:val="20"/>
                <w:szCs w:val="20"/>
                <w:lang w:eastAsia="en-GB"/>
                <w14:ligatures w14:val="standardContextual"/>
              </w:rPr>
            </w:pPr>
            <w:r w:rsidRPr="00BF23DD">
              <w:rPr>
                <w:sz w:val="20"/>
                <w:szCs w:val="20"/>
              </w:rPr>
              <w:t>+9.19%</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31F62D91" w14:textId="573E6959">
            <w:pPr>
              <w:spacing w:after="0" w:line="240" w:lineRule="auto"/>
              <w:jc w:val="both"/>
              <w:rPr>
                <w:rFonts w:eastAsia="Aptos" w:cs="Calibri"/>
                <w:color w:val="000000"/>
                <w:sz w:val="20"/>
                <w:szCs w:val="20"/>
                <w:lang w:eastAsia="en-GB"/>
                <w14:ligatures w14:val="standardContextual"/>
              </w:rPr>
            </w:pPr>
            <w:r w:rsidRPr="00BF23DD">
              <w:rPr>
                <w:sz w:val="20"/>
                <w:szCs w:val="20"/>
              </w:rPr>
              <w:t>4</w:t>
            </w:r>
          </w:p>
        </w:tc>
      </w:tr>
      <w:tr w:rsidRPr="00BF23DD" w:rsidR="00A42F8E" w:rsidTr="006942E2" w14:paraId="27D42B77"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24199EEA" w14:textId="4386B046">
            <w:pPr>
              <w:spacing w:after="0" w:line="240" w:lineRule="auto"/>
              <w:jc w:val="both"/>
              <w:rPr>
                <w:rFonts w:eastAsia="Aptos" w:cs="Calibri"/>
                <w:color w:val="000000"/>
                <w:sz w:val="20"/>
                <w:szCs w:val="20"/>
                <w:lang w:eastAsia="en-GB"/>
                <w14:ligatures w14:val="standardContextual"/>
              </w:rPr>
            </w:pPr>
            <w:r w:rsidRPr="00BF23DD">
              <w:rPr>
                <w:b/>
                <w:bCs/>
                <w:sz w:val="20"/>
                <w:szCs w:val="20"/>
              </w:rPr>
              <w:t>Opioid burden Total OME Per 1,000 Patients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05F231E8" w14:textId="2E992ED3">
            <w:pPr>
              <w:spacing w:after="0" w:line="240" w:lineRule="auto"/>
              <w:jc w:val="both"/>
              <w:rPr>
                <w:rFonts w:eastAsia="Aptos" w:cs="Calibri"/>
                <w:color w:val="000000"/>
                <w:sz w:val="20"/>
                <w:szCs w:val="20"/>
                <w:lang w:eastAsia="en-GB"/>
                <w14:ligatures w14:val="standardContextual"/>
              </w:rPr>
            </w:pPr>
            <w:r w:rsidRPr="00BF23DD">
              <w:rPr>
                <w:sz w:val="20"/>
                <w:szCs w:val="20"/>
              </w:rPr>
              <w:t>116453</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37713BEB" w14:textId="12C86FA8">
            <w:pPr>
              <w:spacing w:after="0" w:line="240" w:lineRule="auto"/>
              <w:jc w:val="both"/>
              <w:rPr>
                <w:rFonts w:eastAsia="Aptos" w:cs="Calibri"/>
                <w:color w:val="000000"/>
                <w:sz w:val="20"/>
                <w:szCs w:val="20"/>
                <w:lang w:eastAsia="en-GB"/>
                <w14:ligatures w14:val="standardContextual"/>
              </w:rPr>
            </w:pPr>
            <w:r w:rsidRPr="00BF23DD">
              <w:rPr>
                <w:sz w:val="20"/>
                <w:szCs w:val="20"/>
              </w:rPr>
              <w:t>115021</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0E14676A" w14:textId="22498A55">
            <w:pPr>
              <w:spacing w:after="0" w:line="240" w:lineRule="auto"/>
              <w:jc w:val="both"/>
              <w:rPr>
                <w:rFonts w:eastAsia="Aptos" w:cs="Calibri"/>
                <w:color w:val="000000"/>
                <w:sz w:val="20"/>
                <w:szCs w:val="20"/>
                <w:lang w:eastAsia="en-GB"/>
                <w14:ligatures w14:val="standardContextual"/>
              </w:rPr>
            </w:pPr>
            <w:r w:rsidRPr="00BF23DD">
              <w:rPr>
                <w:sz w:val="20"/>
                <w:szCs w:val="20"/>
              </w:rPr>
              <w:t>-1.23%</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3FCFF419" w14:textId="66D0FC24">
            <w:pPr>
              <w:spacing w:after="0" w:line="240" w:lineRule="auto"/>
              <w:jc w:val="both"/>
              <w:rPr>
                <w:rFonts w:eastAsia="Aptos" w:cs="Calibri"/>
                <w:color w:val="000000"/>
                <w:sz w:val="20"/>
                <w:szCs w:val="20"/>
                <w:lang w:eastAsia="en-GB"/>
                <w14:ligatures w14:val="standardContextual"/>
              </w:rPr>
            </w:pPr>
            <w:r w:rsidRPr="00BF23DD">
              <w:rPr>
                <w:sz w:val="20"/>
                <w:szCs w:val="20"/>
              </w:rPr>
              <w:t>4</w:t>
            </w:r>
          </w:p>
        </w:tc>
      </w:tr>
      <w:tr w:rsidRPr="00BF23DD" w:rsidR="00A42F8E" w:rsidTr="006942E2" w14:paraId="200C4132"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1194398B" w14:textId="3300332D">
            <w:pPr>
              <w:spacing w:after="0" w:line="240" w:lineRule="auto"/>
              <w:jc w:val="both"/>
              <w:rPr>
                <w:rFonts w:eastAsia="Aptos" w:cs="Calibri"/>
                <w:color w:val="000000"/>
                <w:sz w:val="20"/>
                <w:szCs w:val="20"/>
                <w:lang w:eastAsia="en-GB"/>
                <w14:ligatures w14:val="standardContextual"/>
              </w:rPr>
            </w:pPr>
            <w:r w:rsidRPr="00BF23DD">
              <w:rPr>
                <w:b/>
                <w:bCs/>
                <w:sz w:val="20"/>
                <w:szCs w:val="20"/>
              </w:rPr>
              <w:t>SABA as a percentage of all inhalers (quantity) 26-27</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7E703DA5" w14:textId="152FE188">
            <w:pPr>
              <w:spacing w:after="0" w:line="240" w:lineRule="auto"/>
              <w:jc w:val="both"/>
              <w:rPr>
                <w:rFonts w:eastAsia="Aptos" w:cs="Calibri"/>
                <w:color w:val="000000"/>
                <w:sz w:val="20"/>
                <w:szCs w:val="20"/>
                <w:lang w:eastAsia="en-GB"/>
                <w14:ligatures w14:val="standardContextual"/>
              </w:rPr>
            </w:pPr>
            <w:r w:rsidRPr="00BF23DD">
              <w:rPr>
                <w:sz w:val="20"/>
                <w:szCs w:val="20"/>
              </w:rPr>
              <w:t>37.39</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32F9CCF7" w14:textId="3880EC8D">
            <w:pPr>
              <w:spacing w:after="0" w:line="240" w:lineRule="auto"/>
              <w:jc w:val="both"/>
              <w:rPr>
                <w:rFonts w:eastAsia="Aptos" w:cs="Calibri"/>
                <w:color w:val="000000"/>
                <w:sz w:val="20"/>
                <w:szCs w:val="20"/>
                <w:lang w:eastAsia="en-GB"/>
                <w14:ligatures w14:val="standardContextual"/>
              </w:rPr>
            </w:pPr>
            <w:r w:rsidRPr="00BF23DD">
              <w:rPr>
                <w:sz w:val="20"/>
                <w:szCs w:val="20"/>
              </w:rPr>
              <w:t>33.86</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3438FA78" w14:textId="21A8AC47">
            <w:pPr>
              <w:spacing w:after="0" w:line="240" w:lineRule="auto"/>
              <w:jc w:val="both"/>
              <w:rPr>
                <w:rFonts w:eastAsia="Aptos" w:cs="Calibri"/>
                <w:color w:val="000000"/>
                <w:sz w:val="20"/>
                <w:szCs w:val="20"/>
                <w:lang w:eastAsia="en-GB"/>
                <w14:ligatures w14:val="standardContextual"/>
              </w:rPr>
            </w:pPr>
            <w:r w:rsidRPr="00BF23DD">
              <w:rPr>
                <w:sz w:val="20"/>
                <w:szCs w:val="20"/>
              </w:rPr>
              <w:t>-9.44%</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08EDA62A" w14:textId="36AF58A5">
            <w:pPr>
              <w:spacing w:after="0" w:line="240" w:lineRule="auto"/>
              <w:jc w:val="both"/>
              <w:rPr>
                <w:rFonts w:eastAsia="Aptos" w:cs="Calibri"/>
                <w:color w:val="000000"/>
                <w:sz w:val="20"/>
                <w:szCs w:val="20"/>
                <w:lang w:eastAsia="en-GB"/>
                <w14:ligatures w14:val="standardContextual"/>
              </w:rPr>
            </w:pPr>
            <w:r w:rsidRPr="00BF23DD">
              <w:rPr>
                <w:sz w:val="20"/>
                <w:szCs w:val="20"/>
              </w:rPr>
              <w:t>6</w:t>
            </w:r>
          </w:p>
        </w:tc>
      </w:tr>
      <w:tr w:rsidRPr="00BF23DD" w:rsidR="00A42F8E" w:rsidTr="006942E2" w14:paraId="6E8FAED1" w14:textId="77777777">
        <w:trPr>
          <w:trHeight w:val="300"/>
        </w:trPr>
        <w:tc>
          <w:tcPr>
            <w:tcW w:w="5377" w:type="dxa"/>
            <w:tcBorders>
              <w:top w:val="nil"/>
              <w:left w:val="single" w:color="auto" w:sz="8" w:space="0"/>
              <w:bottom w:val="single" w:color="auto" w:sz="8" w:space="0"/>
              <w:right w:val="single" w:color="auto" w:sz="4" w:space="0"/>
            </w:tcBorders>
            <w:shd w:val="clear" w:color="auto" w:fill="F2F2F2"/>
            <w:tcMar>
              <w:top w:w="0" w:type="dxa"/>
              <w:left w:w="108" w:type="dxa"/>
              <w:bottom w:w="0" w:type="dxa"/>
              <w:right w:w="108" w:type="dxa"/>
            </w:tcMar>
            <w:vAlign w:val="center"/>
          </w:tcPr>
          <w:p w:rsidRPr="00BF23DD" w:rsidR="00A42F8E" w:rsidP="003B4312" w:rsidRDefault="00A42F8E" w14:paraId="112DEDE3" w14:textId="1894BA54">
            <w:pPr>
              <w:spacing w:after="0" w:line="240" w:lineRule="auto"/>
              <w:jc w:val="both"/>
              <w:rPr>
                <w:rFonts w:eastAsia="Aptos" w:cs="Calibri"/>
                <w:color w:val="000000"/>
                <w:sz w:val="20"/>
                <w:szCs w:val="20"/>
                <w:lang w:eastAsia="en-GB"/>
                <w14:ligatures w14:val="standardContextual"/>
              </w:rPr>
            </w:pPr>
            <w:r w:rsidRPr="00BF23DD">
              <w:rPr>
                <w:b/>
                <w:bCs/>
                <w:sz w:val="20"/>
                <w:szCs w:val="20"/>
              </w:rPr>
              <w:t>Tramadol DDDs per 1,000 patients</w:t>
            </w:r>
          </w:p>
        </w:tc>
        <w:tc>
          <w:tcPr>
            <w:tcW w:w="1051"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2A0BE553" w14:textId="175E4DC5">
            <w:pPr>
              <w:spacing w:after="0" w:line="240" w:lineRule="auto"/>
              <w:jc w:val="both"/>
              <w:rPr>
                <w:rFonts w:eastAsia="Aptos" w:cs="Calibri"/>
                <w:color w:val="000000"/>
                <w:sz w:val="20"/>
                <w:szCs w:val="20"/>
                <w:lang w:eastAsia="en-GB"/>
                <w14:ligatures w14:val="standardContextual"/>
              </w:rPr>
            </w:pPr>
            <w:r w:rsidRPr="00BF23DD">
              <w:rPr>
                <w:sz w:val="20"/>
                <w:szCs w:val="20"/>
              </w:rPr>
              <w:t>323.6</w:t>
            </w:r>
          </w:p>
        </w:tc>
        <w:tc>
          <w:tcPr>
            <w:tcW w:w="936" w:type="dxa"/>
            <w:tcBorders>
              <w:top w:val="single" w:color="auto" w:sz="4" w:space="0"/>
              <w:left w:val="single" w:color="auto" w:sz="4" w:space="0"/>
              <w:bottom w:val="single" w:color="auto" w:sz="4" w:space="0"/>
              <w:right w:val="single" w:color="auto" w:sz="4" w:space="0"/>
            </w:tcBorders>
            <w:shd w:val="clear" w:color="auto" w:fill="EAEDF1" w:themeFill="text2" w:themeFillTint="1A"/>
            <w:vAlign w:val="center"/>
          </w:tcPr>
          <w:p w:rsidRPr="00BF23DD" w:rsidR="00A42F8E" w:rsidP="003B4312" w:rsidRDefault="00A42F8E" w14:paraId="25695C0C" w14:textId="2D2B2EB7">
            <w:pPr>
              <w:spacing w:after="0" w:line="240" w:lineRule="auto"/>
              <w:jc w:val="both"/>
              <w:rPr>
                <w:rFonts w:eastAsia="Aptos" w:cs="Calibri"/>
                <w:color w:val="000000"/>
                <w:sz w:val="20"/>
                <w:szCs w:val="20"/>
                <w:lang w:eastAsia="en-GB"/>
                <w14:ligatures w14:val="standardContextual"/>
              </w:rPr>
            </w:pPr>
            <w:r w:rsidRPr="00BF23DD">
              <w:rPr>
                <w:sz w:val="20"/>
                <w:szCs w:val="20"/>
              </w:rPr>
              <w:t>300.9</w:t>
            </w:r>
          </w:p>
        </w:tc>
        <w:tc>
          <w:tcPr>
            <w:tcW w:w="990" w:type="dxa"/>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vAlign w:val="center"/>
          </w:tcPr>
          <w:p w:rsidRPr="00BF23DD" w:rsidR="00A42F8E" w:rsidP="003B4312" w:rsidRDefault="00A42F8E" w14:paraId="55FD095B" w14:textId="1B0D3DB5">
            <w:pPr>
              <w:spacing w:after="0" w:line="240" w:lineRule="auto"/>
              <w:jc w:val="both"/>
              <w:rPr>
                <w:rFonts w:eastAsia="Aptos" w:cs="Calibri"/>
                <w:color w:val="000000"/>
                <w:sz w:val="20"/>
                <w:szCs w:val="20"/>
                <w:lang w:eastAsia="en-GB"/>
                <w14:ligatures w14:val="standardContextual"/>
              </w:rPr>
            </w:pPr>
            <w:r w:rsidRPr="00BF23DD">
              <w:rPr>
                <w:sz w:val="20"/>
                <w:szCs w:val="20"/>
              </w:rPr>
              <w:t>-7.01%</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F23DD" w:rsidR="00A42F8E" w:rsidP="003B4312" w:rsidRDefault="00A42F8E" w14:paraId="675CCF75" w14:textId="6AFF1611">
            <w:pPr>
              <w:spacing w:after="0" w:line="240" w:lineRule="auto"/>
              <w:jc w:val="both"/>
              <w:rPr>
                <w:rFonts w:eastAsia="Aptos" w:cs="Calibri"/>
                <w:color w:val="000000"/>
                <w:sz w:val="20"/>
                <w:szCs w:val="20"/>
                <w:lang w:eastAsia="en-GB"/>
                <w14:ligatures w14:val="standardContextual"/>
              </w:rPr>
            </w:pPr>
            <w:r w:rsidRPr="00BF23DD">
              <w:rPr>
                <w:sz w:val="20"/>
                <w:szCs w:val="20"/>
              </w:rPr>
              <w:t>3</w:t>
            </w:r>
          </w:p>
        </w:tc>
      </w:tr>
    </w:tbl>
    <w:p w:rsidRPr="00BF23DD" w:rsidR="00C57277" w:rsidP="003B4312" w:rsidRDefault="00C57277" w14:paraId="406BC54B" w14:textId="77777777">
      <w:pPr>
        <w:spacing w:after="0" w:line="276" w:lineRule="auto"/>
        <w:jc w:val="both"/>
      </w:pPr>
    </w:p>
    <w:p w:rsidRPr="00BF23DD" w:rsidR="003E72DD" w:rsidP="003B4312" w:rsidRDefault="00C57277" w14:paraId="25217D59" w14:textId="7E76CBB7">
      <w:pPr>
        <w:spacing w:after="0" w:line="276" w:lineRule="auto"/>
        <w:jc w:val="both"/>
      </w:pPr>
      <w:r w:rsidR="0EB6DD37">
        <w:rPr/>
        <w:t xml:space="preserve">The </w:t>
      </w:r>
      <w:r w:rsidR="00C57277">
        <w:rPr/>
        <w:t>SBU</w:t>
      </w:r>
      <w:r w:rsidR="2CD77B9C">
        <w:rPr/>
        <w:t>HB</w:t>
      </w:r>
      <w:r w:rsidR="00C57277">
        <w:rPr/>
        <w:t xml:space="preserve"> has </w:t>
      </w:r>
      <w:r w:rsidR="00C57277">
        <w:rPr/>
        <w:t>demonstrated</w:t>
      </w:r>
      <w:r w:rsidR="00C57277">
        <w:rPr/>
        <w:t xml:space="preserve"> year on year improvement in </w:t>
      </w:r>
      <w:r w:rsidR="389BEEDE">
        <w:rPr/>
        <w:t>most</w:t>
      </w:r>
      <w:r w:rsidR="00C92A0E">
        <w:rPr/>
        <w:t xml:space="preserve"> </w:t>
      </w:r>
      <w:r w:rsidR="003E72DD">
        <w:rPr/>
        <w:t>national</w:t>
      </w:r>
      <w:r w:rsidR="00C57277">
        <w:rPr/>
        <w:t xml:space="preserve"> prescribing indicator</w:t>
      </w:r>
      <w:r w:rsidR="003E72DD">
        <w:rPr/>
        <w:t xml:space="preserve"> measures</w:t>
      </w:r>
      <w:r w:rsidR="00EF364F">
        <w:rPr/>
        <w:t xml:space="preserve">. </w:t>
      </w:r>
    </w:p>
    <w:p w:rsidRPr="00BF23DD" w:rsidR="00A82B97" w:rsidP="003B4312" w:rsidRDefault="00A82B97" w14:paraId="7CCD7F5B" w14:textId="77777777">
      <w:pPr>
        <w:spacing w:after="0" w:line="276" w:lineRule="auto"/>
        <w:jc w:val="both"/>
      </w:pPr>
    </w:p>
    <w:p w:rsidRPr="00BF23DD" w:rsidR="002326D2" w:rsidP="272F4351" w:rsidRDefault="002326D2" w14:paraId="0CD6ED41" w14:textId="75FE8701">
      <w:pPr>
        <w:spacing w:before="0" w:beforeAutospacing="off" w:after="0" w:afterAutospacing="off" w:line="300" w:lineRule="auto"/>
        <w:jc w:val="both"/>
      </w:pPr>
      <w:r w:rsidR="002326D2">
        <w:rPr/>
        <w:t xml:space="preserve">The course duration of prescribing of antibiotics has shown a reduction over the last 12 months, </w:t>
      </w:r>
      <w:r w:rsidR="002326D2">
        <w:rPr/>
        <w:t>predominantly driven</w:t>
      </w:r>
      <w:r w:rsidR="002326D2">
        <w:rPr/>
        <w:t xml:space="preserve"> by the change in the </w:t>
      </w:r>
      <w:r w:rsidR="000C548B">
        <w:rPr/>
        <w:t xml:space="preserve">prescribing system within GP practices from Vision to </w:t>
      </w:r>
      <w:r w:rsidRPr="272F4351" w:rsidR="6D0D9C0D">
        <w:rPr>
          <w:rFonts w:ascii="Verdana" w:hAnsi="Verdana" w:eastAsia="Verdana" w:cs="Verdana"/>
          <w:b w:val="0"/>
          <w:bCs w:val="0"/>
          <w:i w:val="0"/>
          <w:iCs w:val="0"/>
          <w:noProof w:val="0"/>
          <w:sz w:val="24"/>
          <w:szCs w:val="24"/>
          <w:lang w:val="en-GB"/>
        </w:rPr>
        <w:t>Egton</w:t>
      </w:r>
      <w:r w:rsidRPr="272F4351" w:rsidR="6D0D9C0D">
        <w:rPr>
          <w:rFonts w:ascii="Verdana" w:hAnsi="Verdana" w:eastAsia="Verdana" w:cs="Verdana"/>
          <w:b w:val="0"/>
          <w:bCs w:val="0"/>
          <w:i w:val="0"/>
          <w:iCs w:val="0"/>
          <w:noProof w:val="0"/>
          <w:sz w:val="24"/>
          <w:szCs w:val="24"/>
          <w:lang w:val="en-GB"/>
        </w:rPr>
        <w:t xml:space="preserve"> Medical Information Systems</w:t>
      </w:r>
      <w:r w:rsidRPr="272F4351" w:rsidR="6D0D9C0D">
        <w:rPr>
          <w:rFonts w:ascii="Verdana" w:hAnsi="Verdana" w:eastAsia="Verdana" w:cs="Verdana"/>
          <w:sz w:val="24"/>
          <w:szCs w:val="24"/>
        </w:rPr>
        <w:t xml:space="preserve"> </w:t>
      </w:r>
      <w:r w:rsidR="6D0D9C0D">
        <w:rPr/>
        <w:t>(</w:t>
      </w:r>
      <w:r w:rsidR="000C548B">
        <w:rPr/>
        <w:t>EMIS</w:t>
      </w:r>
      <w:r w:rsidR="6616486F">
        <w:rPr/>
        <w:t>)</w:t>
      </w:r>
      <w:r w:rsidR="000C548B">
        <w:rPr/>
        <w:t xml:space="preserve">, with loss of functionality to provide quantity recommendations as standard. </w:t>
      </w:r>
      <w:r w:rsidR="0089481F">
        <w:rPr/>
        <w:t>This measure, along with the other antimicrobial-related measures continue to be included within education and training</w:t>
      </w:r>
      <w:r w:rsidR="002F0D85">
        <w:rPr/>
        <w:t xml:space="preserve"> sessions for GP practices</w:t>
      </w:r>
      <w:r w:rsidR="0089481F">
        <w:rPr/>
        <w:t xml:space="preserve"> within primary care and included within the Prescribing Management Scheme for 26-27.</w:t>
      </w:r>
    </w:p>
    <w:p w:rsidRPr="00BF23DD" w:rsidR="000C548B" w:rsidP="003B4312" w:rsidRDefault="000C548B" w14:paraId="7EA36F04" w14:textId="77777777">
      <w:pPr>
        <w:spacing w:after="0" w:line="276" w:lineRule="auto"/>
        <w:jc w:val="both"/>
      </w:pPr>
    </w:p>
    <w:p w:rsidRPr="00BF23DD" w:rsidR="00C57277" w:rsidP="003B4312" w:rsidRDefault="003E72DD" w14:paraId="017CA458" w14:textId="55B145FD">
      <w:pPr>
        <w:spacing w:after="0" w:line="276" w:lineRule="auto"/>
        <w:jc w:val="both"/>
      </w:pPr>
      <w:r w:rsidRPr="00BF23DD">
        <w:t>The low value for prescribing indicator</w:t>
      </w:r>
      <w:r w:rsidRPr="00BF23DD" w:rsidR="00A82B97">
        <w:t xml:space="preserve"> continues to be</w:t>
      </w:r>
      <w:r w:rsidRPr="00BF23DD" w:rsidR="002506FE">
        <w:t xml:space="preserve"> reviewed by the medicines management team to understand the drivers </w:t>
      </w:r>
      <w:r w:rsidRPr="00BF23DD" w:rsidR="00A82B97">
        <w:t>for</w:t>
      </w:r>
      <w:r w:rsidRPr="00BF23DD" w:rsidR="002506FE">
        <w:t xml:space="preserve"> this growth,</w:t>
      </w:r>
      <w:r w:rsidRPr="00BF23DD" w:rsidR="00A82B97">
        <w:t xml:space="preserve"> which is predominantly driven from acute care prescribing. A </w:t>
      </w:r>
      <w:r w:rsidRPr="00BF23DD" w:rsidR="002506FE">
        <w:t xml:space="preserve">national consultation via AWMSG will be </w:t>
      </w:r>
      <w:r w:rsidRPr="00BF23DD" w:rsidR="001E7329">
        <w:t xml:space="preserve">circulated soon for wider review and consideration of suitability of the measure and </w:t>
      </w:r>
      <w:r w:rsidRPr="00BF23DD" w:rsidR="00A82B97">
        <w:t xml:space="preserve">continued </w:t>
      </w:r>
      <w:r w:rsidRPr="00BF23DD" w:rsidR="001E7329">
        <w:t>inclusion</w:t>
      </w:r>
      <w:r w:rsidRPr="00BF23DD" w:rsidR="00A82B97">
        <w:t xml:space="preserve"> within the indicators.</w:t>
      </w:r>
    </w:p>
    <w:p w:rsidRPr="00BF23DD" w:rsidR="00C133AA" w:rsidP="003B4312" w:rsidRDefault="00C133AA" w14:paraId="603B7819" w14:textId="77777777">
      <w:pPr>
        <w:spacing w:after="0" w:line="276" w:lineRule="auto"/>
        <w:jc w:val="both"/>
      </w:pPr>
    </w:p>
    <w:p w:rsidRPr="00BF23DD" w:rsidR="00C57277" w:rsidP="00383E4F" w:rsidRDefault="00C57277" w14:paraId="5576159D" w14:textId="77777777">
      <w:pPr>
        <w:pStyle w:val="ListParagraph"/>
        <w:numPr>
          <w:ilvl w:val="2"/>
          <w:numId w:val="2"/>
        </w:numPr>
        <w:spacing w:line="276" w:lineRule="auto"/>
        <w:jc w:val="both"/>
        <w:rPr>
          <w:b/>
          <w:u w:val="single"/>
        </w:rPr>
      </w:pPr>
      <w:r w:rsidRPr="00BF23DD">
        <w:rPr>
          <w:b/>
          <w:u w:val="single"/>
        </w:rPr>
        <w:t>Antimicrobial Stewardship</w:t>
      </w:r>
    </w:p>
    <w:p w:rsidRPr="00BF23DD" w:rsidR="00C57277" w:rsidP="003B4312" w:rsidRDefault="00C57277" w14:paraId="2E281565" w14:textId="2761FA55">
      <w:pPr>
        <w:spacing w:after="0" w:line="276" w:lineRule="auto"/>
        <w:jc w:val="both"/>
      </w:pPr>
      <w:r w:rsidRPr="00BF23DD">
        <w:t>Significant progress has been made in strengthening antimicrobial stewardship reporting arrangements across SBUHB. Following approval by both the Antimicrobial Stewardship Group and the Infection Control Committee, the service is transitioning to the use of H</w:t>
      </w:r>
      <w:r w:rsidR="00555832">
        <w:t>ospital Electronic Prescribing and Medicines Administration (H</w:t>
      </w:r>
      <w:r w:rsidRPr="00BF23DD">
        <w:t>EPMA</w:t>
      </w:r>
      <w:r w:rsidR="00555832">
        <w:t>)</w:t>
      </w:r>
      <w:r w:rsidRPr="00BF23DD">
        <w:t xml:space="preserve">-derived data for as many antibiotic prescribing indicators as possible. This change is intended to improve the quality, consistency and reliability of prescribing information while reducing the manual burden associated with data collection and reporting. </w:t>
      </w:r>
    </w:p>
    <w:p w:rsidRPr="00BF23DD" w:rsidR="00C57277" w:rsidP="003B4312" w:rsidRDefault="00C57277" w14:paraId="52C98E52" w14:textId="77777777">
      <w:pPr>
        <w:spacing w:after="0" w:line="276" w:lineRule="auto"/>
        <w:jc w:val="both"/>
      </w:pPr>
    </w:p>
    <w:p w:rsidRPr="00BF23DD" w:rsidR="00C57277" w:rsidP="003B4312" w:rsidRDefault="00C57277" w14:paraId="1965B655" w14:textId="77777777">
      <w:pPr>
        <w:spacing w:after="0" w:line="276" w:lineRule="auto"/>
        <w:jc w:val="both"/>
      </w:pPr>
      <w:r w:rsidRPr="00BF23DD">
        <w:t>The development of HEPMA-driven datasets will support more timely reporting and provide greater assurance regarding antimicrobial prescribing practice across the Health Board. New reporting measures are being introduced, to include:</w:t>
      </w:r>
    </w:p>
    <w:p w:rsidRPr="00BF23DD" w:rsidR="00C57277" w:rsidP="003B4312" w:rsidRDefault="00C57277" w14:paraId="6E10ACD9" w14:textId="77777777">
      <w:pPr>
        <w:pStyle w:val="ListParagraph"/>
        <w:numPr>
          <w:ilvl w:val="0"/>
          <w:numId w:val="20"/>
        </w:numPr>
        <w:spacing w:after="0" w:line="276" w:lineRule="auto"/>
        <w:jc w:val="both"/>
      </w:pPr>
      <w:r w:rsidRPr="00BF23DD">
        <w:t xml:space="preserve">Antibiotic auto-suspensions </w:t>
      </w:r>
    </w:p>
    <w:p w:rsidRPr="00BF23DD" w:rsidR="006A16AB" w:rsidP="003B4312" w:rsidRDefault="00C57277" w14:paraId="4EE474E3" w14:textId="77777777">
      <w:pPr>
        <w:pStyle w:val="ListParagraph"/>
        <w:numPr>
          <w:ilvl w:val="0"/>
          <w:numId w:val="20"/>
        </w:numPr>
        <w:spacing w:after="0" w:line="276" w:lineRule="auto"/>
        <w:jc w:val="both"/>
      </w:pPr>
      <w:r w:rsidRPr="00BF23DD">
        <w:t>Missed doses of antibiotics</w:t>
      </w:r>
    </w:p>
    <w:p w:rsidRPr="00BF23DD" w:rsidR="006A16AB" w:rsidP="003B4312" w:rsidRDefault="006A16AB" w14:paraId="4CD50D9A" w14:textId="50F48022">
      <w:pPr>
        <w:pStyle w:val="ListParagraph"/>
        <w:numPr>
          <w:ilvl w:val="0"/>
          <w:numId w:val="20"/>
        </w:numPr>
        <w:spacing w:after="0" w:line="276" w:lineRule="auto"/>
        <w:jc w:val="both"/>
      </w:pPr>
      <w:r w:rsidRPr="00BF23DD">
        <w:t>Outcome of reviews by 72 hours (including timely IV to oral switch)</w:t>
      </w:r>
    </w:p>
    <w:p w:rsidRPr="00BF23DD" w:rsidR="00C57277" w:rsidP="003B4312" w:rsidRDefault="00C57277" w14:paraId="430E7DC6" w14:textId="6E51A287">
      <w:pPr>
        <w:spacing w:after="0" w:line="276" w:lineRule="auto"/>
        <w:jc w:val="both"/>
      </w:pPr>
      <w:r w:rsidRPr="00BF23DD">
        <w:t>These measures will allow the Antimicrobial Stewardship Team to identify clinical areas where prescribing or medicines administration processes require improvement and support targeted interventions to improve compliance, reduce unnecessary variation, improve patient safety and support delivery of the Health Board’s antimicrobial stewardship objectives.</w:t>
      </w:r>
    </w:p>
    <w:p w:rsidRPr="00BF23DD" w:rsidR="00C57277" w:rsidP="003B4312" w:rsidRDefault="00C57277" w14:paraId="1DFBF511" w14:textId="77777777">
      <w:pPr>
        <w:spacing w:after="0" w:line="276" w:lineRule="auto"/>
        <w:jc w:val="both"/>
      </w:pPr>
    </w:p>
    <w:p w:rsidR="00C57277" w:rsidP="003B4312" w:rsidRDefault="00C57277" w14:paraId="65F5425F" w14:textId="0F1056DC">
      <w:pPr>
        <w:spacing w:after="0" w:line="276" w:lineRule="auto"/>
        <w:jc w:val="both"/>
      </w:pPr>
      <w:r w:rsidRPr="00BF23DD">
        <w:t xml:space="preserve">A revised audit programme has also been implemented to ensure greater focus on the quality and appropriateness of antibiotic prescribing. Quarterly pharmacy audits will now concentrate primarily on compliance with local and national antimicrobial prescribing guidelines. In addition to assessing adherence to </w:t>
      </w:r>
      <w:r w:rsidRPr="00BF23DD" w:rsidR="006A16AB">
        <w:t>guidelines</w:t>
      </w:r>
      <w:r w:rsidRPr="00BF23DD">
        <w:t>, the audits will capture more detailed information on the antibiotics prescribed, the clinical indications for treatment, and any recurring prescribing trends or themes. This enhanced level of intelligence will enable targeted feedback to clinical teams and help drive quality improvement initiatives aimed at reducing unwarranted variation in practice.</w:t>
      </w:r>
    </w:p>
    <w:p w:rsidR="00250432" w:rsidP="003B4312" w:rsidRDefault="00250432" w14:paraId="36C6FFAC" w14:textId="77777777">
      <w:pPr>
        <w:spacing w:after="0" w:line="276" w:lineRule="auto"/>
        <w:jc w:val="both"/>
      </w:pPr>
    </w:p>
    <w:p w:rsidR="00383E4F" w:rsidP="00383E4F" w:rsidRDefault="00383E4F" w14:paraId="773A16BA" w14:textId="245BC2D1">
      <w:pPr>
        <w:pStyle w:val="ListParagraph"/>
        <w:numPr>
          <w:ilvl w:val="1"/>
          <w:numId w:val="2"/>
        </w:numPr>
        <w:spacing w:line="276" w:lineRule="auto"/>
        <w:jc w:val="both"/>
        <w:rPr>
          <w:b/>
          <w:bCs/>
          <w:color w:val="000000" w:themeColor="text1"/>
        </w:rPr>
      </w:pPr>
      <w:r w:rsidRPr="006C3BB3">
        <w:rPr>
          <w:b/>
          <w:bCs/>
          <w:color w:val="000000" w:themeColor="text1"/>
        </w:rPr>
        <w:t>New Treatment Fund (NICE approved and High-Cost Drugs)</w:t>
      </w:r>
    </w:p>
    <w:p w:rsidR="00705CF7" w:rsidP="00705CF7" w:rsidRDefault="00705CF7" w14:paraId="6C9C4DE4" w14:textId="7CC95FB3">
      <w:pPr>
        <w:spacing w:line="276" w:lineRule="auto"/>
        <w:jc w:val="both"/>
        <w:rPr>
          <w:color w:val="000000" w:themeColor="text1"/>
        </w:rPr>
      </w:pPr>
      <w:r w:rsidRPr="00705CF7">
        <w:rPr>
          <w:color w:val="000000" w:themeColor="text1"/>
        </w:rPr>
        <w:t>Swansea Bay UHB remains compliant with N</w:t>
      </w:r>
      <w:r w:rsidR="008B4303">
        <w:rPr>
          <w:color w:val="000000" w:themeColor="text1"/>
        </w:rPr>
        <w:t>ew Treatment Fund (N</w:t>
      </w:r>
      <w:r w:rsidRPr="00705CF7">
        <w:rPr>
          <w:color w:val="000000" w:themeColor="text1"/>
        </w:rPr>
        <w:t>TF</w:t>
      </w:r>
      <w:r w:rsidR="008B4303">
        <w:rPr>
          <w:color w:val="000000" w:themeColor="text1"/>
        </w:rPr>
        <w:t>)</w:t>
      </w:r>
      <w:r w:rsidRPr="00705CF7">
        <w:rPr>
          <w:color w:val="000000" w:themeColor="text1"/>
        </w:rPr>
        <w:t xml:space="preserve"> requirements, including delivery within the 60-day implementation timeframe </w:t>
      </w:r>
      <w:proofErr w:type="gramStart"/>
      <w:r w:rsidRPr="00705CF7">
        <w:rPr>
          <w:color w:val="000000" w:themeColor="text1"/>
        </w:rPr>
        <w:t>with the exception of</w:t>
      </w:r>
      <w:proofErr w:type="gramEnd"/>
      <w:r w:rsidRPr="00705CF7">
        <w:rPr>
          <w:color w:val="000000" w:themeColor="text1"/>
        </w:rPr>
        <w:t xml:space="preserve"> NICE Technology </w:t>
      </w:r>
      <w:r w:rsidR="008B4303">
        <w:rPr>
          <w:color w:val="000000" w:themeColor="text1"/>
        </w:rPr>
        <w:t>A</w:t>
      </w:r>
      <w:r w:rsidRPr="00705CF7">
        <w:rPr>
          <w:color w:val="000000" w:themeColor="text1"/>
        </w:rPr>
        <w:t>ppraisal 1152</w:t>
      </w:r>
      <w:r w:rsidRPr="00705CF7">
        <w:rPr>
          <w:rFonts w:eastAsia="Times New Roman"/>
        </w:rPr>
        <w:t xml:space="preserve"> </w:t>
      </w:r>
      <w:r w:rsidR="008B4303">
        <w:rPr>
          <w:rFonts w:eastAsia="Times New Roman"/>
        </w:rPr>
        <w:t>(S</w:t>
      </w:r>
      <w:r w:rsidRPr="00705CF7">
        <w:rPr>
          <w:color w:val="000000" w:themeColor="text1"/>
        </w:rPr>
        <w:t>emaglutide</w:t>
      </w:r>
      <w:r w:rsidRPr="00705CF7">
        <w:rPr>
          <w:b/>
          <w:bCs/>
          <w:color w:val="000000" w:themeColor="text1"/>
        </w:rPr>
        <w:t xml:space="preserve"> </w:t>
      </w:r>
      <w:r w:rsidRPr="00705CF7">
        <w:rPr>
          <w:color w:val="000000" w:themeColor="text1"/>
        </w:rPr>
        <w:t>for reducing the risk of major adverse cardiovascular events in people with cardiovascular disease and overweight or obesity</w:t>
      </w:r>
      <w:r w:rsidR="008B4303">
        <w:rPr>
          <w:color w:val="000000" w:themeColor="text1"/>
        </w:rPr>
        <w:t>)</w:t>
      </w:r>
      <w:r w:rsidRPr="00705CF7">
        <w:rPr>
          <w:color w:val="000000" w:themeColor="text1"/>
        </w:rPr>
        <w:t>. For context, that is one medicine from a total of 757 medicines within NTF Welsh Government metric. SBUHB Medicines Management Board identified significant implementation challenges for NICE TA1152:</w:t>
      </w:r>
    </w:p>
    <w:p w:rsidR="00705CF7" w:rsidP="002C5234" w:rsidRDefault="00705CF7" w14:paraId="30B6F652" w14:textId="77777777">
      <w:pPr>
        <w:pStyle w:val="ListParagraph"/>
        <w:numPr>
          <w:ilvl w:val="0"/>
          <w:numId w:val="31"/>
        </w:numPr>
        <w:spacing w:line="276" w:lineRule="auto"/>
        <w:ind w:left="360"/>
        <w:jc w:val="both"/>
        <w:rPr>
          <w:color w:val="000000" w:themeColor="text1"/>
        </w:rPr>
      </w:pPr>
      <w:r w:rsidRPr="00705CF7">
        <w:rPr>
          <w:color w:val="000000" w:themeColor="text1"/>
        </w:rPr>
        <w:t>Lack of clarity regarding initiation and ongoing prescribing responsibilities.</w:t>
      </w:r>
    </w:p>
    <w:p w:rsidR="00705CF7" w:rsidP="00705CF7" w:rsidRDefault="00705CF7" w14:paraId="1A0AE222" w14:textId="77777777">
      <w:pPr>
        <w:pStyle w:val="ListParagraph"/>
        <w:numPr>
          <w:ilvl w:val="0"/>
          <w:numId w:val="31"/>
        </w:numPr>
        <w:spacing w:line="276" w:lineRule="auto"/>
        <w:ind w:left="360"/>
        <w:jc w:val="both"/>
        <w:rPr>
          <w:color w:val="000000" w:themeColor="text1"/>
        </w:rPr>
      </w:pPr>
      <w:r w:rsidRPr="00705CF7">
        <w:rPr>
          <w:color w:val="000000" w:themeColor="text1"/>
        </w:rPr>
        <w:t>Insufficient capacity in secondary care to manage ongoing prescribing</w:t>
      </w:r>
    </w:p>
    <w:p w:rsidR="00705CF7" w:rsidP="00705CF7" w:rsidRDefault="00705CF7" w14:paraId="4A6B7585" w14:textId="77777777">
      <w:pPr>
        <w:pStyle w:val="ListParagraph"/>
        <w:numPr>
          <w:ilvl w:val="0"/>
          <w:numId w:val="31"/>
        </w:numPr>
        <w:spacing w:line="276" w:lineRule="auto"/>
        <w:ind w:left="360"/>
        <w:jc w:val="both"/>
        <w:rPr>
          <w:color w:val="000000" w:themeColor="text1"/>
        </w:rPr>
      </w:pPr>
      <w:r w:rsidRPr="00705CF7">
        <w:rPr>
          <w:color w:val="000000" w:themeColor="text1"/>
        </w:rPr>
        <w:t>No current primary care funding mechanism (e.g. Directed Enhanced Service) for this indication</w:t>
      </w:r>
    </w:p>
    <w:p w:rsidRPr="00705CF7" w:rsidR="00705CF7" w:rsidP="00705CF7" w:rsidRDefault="00705CF7" w14:paraId="234A2700" w14:textId="06321565">
      <w:pPr>
        <w:pStyle w:val="ListParagraph"/>
        <w:numPr>
          <w:ilvl w:val="0"/>
          <w:numId w:val="31"/>
        </w:numPr>
        <w:spacing w:line="276" w:lineRule="auto"/>
        <w:ind w:left="360"/>
        <w:jc w:val="both"/>
        <w:rPr>
          <w:color w:val="000000" w:themeColor="text1"/>
        </w:rPr>
      </w:pPr>
      <w:r w:rsidRPr="00705CF7">
        <w:rPr>
          <w:color w:val="000000" w:themeColor="text1"/>
        </w:rPr>
        <w:lastRenderedPageBreak/>
        <w:t>Risk of inequity across Health Boards without a national approach.</w:t>
      </w:r>
    </w:p>
    <w:p w:rsidRPr="00705CF7" w:rsidR="00705CF7" w:rsidP="00705CF7" w:rsidRDefault="00705CF7" w14:paraId="6EC6FF7B" w14:textId="0C4DDEDB">
      <w:pPr>
        <w:spacing w:line="276" w:lineRule="auto"/>
        <w:jc w:val="both"/>
        <w:rPr>
          <w:color w:val="000000" w:themeColor="text1"/>
        </w:rPr>
      </w:pPr>
      <w:r w:rsidRPr="00705CF7">
        <w:rPr>
          <w:color w:val="000000" w:themeColor="text1"/>
        </w:rPr>
        <w:t>Overall, benchmarking against Health Boards in Wales through monthly report to Welsh Government shows SBUHB remains (August 2026) the most efficient Health Board at including approved medicines within formulary with the lowest average time to implementation in NHS Wales.</w:t>
      </w:r>
      <w:r w:rsidR="00887296">
        <w:rPr>
          <w:color w:val="000000" w:themeColor="text1"/>
        </w:rPr>
        <w:t xml:space="preserve"> (Appendix 1)</w:t>
      </w:r>
    </w:p>
    <w:p w:rsidRPr="006C3BB3" w:rsidR="00383E4F" w:rsidP="00383E4F" w:rsidRDefault="002D5923" w14:paraId="3E56CFA1" w14:textId="40BFD55B">
      <w:pPr>
        <w:pStyle w:val="ListParagraph"/>
        <w:numPr>
          <w:ilvl w:val="1"/>
          <w:numId w:val="2"/>
        </w:numPr>
        <w:spacing w:line="276" w:lineRule="auto"/>
        <w:jc w:val="both"/>
        <w:rPr>
          <w:b/>
          <w:bCs/>
          <w:color w:val="000000" w:themeColor="text1"/>
        </w:rPr>
      </w:pPr>
      <w:r>
        <w:rPr>
          <w:b/>
          <w:bCs/>
          <w:color w:val="000000" w:themeColor="text1"/>
        </w:rPr>
        <w:t>SBUHB Medicines Management Savings Plan</w:t>
      </w:r>
    </w:p>
    <w:p w:rsidR="00A723AB" w:rsidP="004D4708" w:rsidRDefault="004D4708" w14:paraId="040D4720" w14:textId="77777777">
      <w:pPr>
        <w:spacing w:after="0" w:line="276" w:lineRule="auto"/>
        <w:jc w:val="both"/>
      </w:pPr>
      <w:r>
        <w:t>The Pharmacy and Medicines Management Directorate is leading a comprehensive medicines savings programme across both primary and secondary care, aligned to the Welsh Government Medicines Value &amp; Sustainability priorities</w:t>
      </w:r>
      <w:r w:rsidR="00A723AB">
        <w:t>.</w:t>
      </w:r>
    </w:p>
    <w:p w:rsidR="00A723AB" w:rsidP="004D4708" w:rsidRDefault="00A723AB" w14:paraId="7D1AE4C1" w14:textId="77777777">
      <w:pPr>
        <w:spacing w:after="0" w:line="276" w:lineRule="auto"/>
        <w:jc w:val="both"/>
      </w:pPr>
    </w:p>
    <w:p w:rsidR="004D4708" w:rsidP="004D4708" w:rsidRDefault="004D4708" w14:paraId="77489462" w14:textId="0C6E435C">
      <w:pPr>
        <w:spacing w:after="0" w:line="276" w:lineRule="auto"/>
        <w:jc w:val="both"/>
      </w:pPr>
      <w:r>
        <w:t xml:space="preserve">Two formally approved Project Initiation Documents (PIDs) underpin delivery, covering primary care medicines (£1.25m recurrent savings target) and secondary care medicines (£2.0m recurrent savings target), giving a combined medicines management savings target of £3.25m during 2026-27. </w:t>
      </w:r>
    </w:p>
    <w:p w:rsidR="006274E5" w:rsidP="004D4708" w:rsidRDefault="006274E5" w14:paraId="28FEC7AB" w14:textId="77777777">
      <w:pPr>
        <w:spacing w:after="0" w:line="276" w:lineRule="auto"/>
        <w:jc w:val="both"/>
      </w:pPr>
    </w:p>
    <w:p w:rsidR="004D4708" w:rsidP="004D4708" w:rsidRDefault="004D4708" w14:paraId="36717E25" w14:textId="265A006F">
      <w:pPr>
        <w:spacing w:after="0" w:line="276" w:lineRule="auto"/>
        <w:jc w:val="both"/>
      </w:pPr>
      <w:r>
        <w:t>In primary care, the programme focuses on improving medicines value through increased formulary compliance, implementation of national Medicines Value &amp; Sustainability recommendations, use of prescribing decision support software (</w:t>
      </w:r>
      <w:proofErr w:type="spellStart"/>
      <w:r>
        <w:t>ScriptSwitch</w:t>
      </w:r>
      <w:proofErr w:type="spellEnd"/>
      <w:r w:rsidRPr="00A723AB">
        <w:rPr>
          <w:vertAlign w:val="superscript"/>
        </w:rPr>
        <w:t>®</w:t>
      </w:r>
      <w:r>
        <w:t xml:space="preserve">), targeted medicines optimisation initiatives, and clinically appropriate product switches. The programme seeks to maximise opportunities arising from loss of product exclusivity, generic competition and price reductions while reducing unwarranted variation and inappropriate prescribing across GP practices. The scheme is forecast to deliver recurrent savings of £1.25m during 2026-27. </w:t>
      </w:r>
    </w:p>
    <w:p w:rsidR="006274E5" w:rsidP="004D4708" w:rsidRDefault="006274E5" w14:paraId="4BA431E1" w14:textId="77777777">
      <w:pPr>
        <w:spacing w:after="0" w:line="276" w:lineRule="auto"/>
        <w:jc w:val="both"/>
      </w:pPr>
    </w:p>
    <w:p w:rsidR="004D4708" w:rsidP="004D4708" w:rsidRDefault="004D4708" w14:paraId="3B0125BD" w14:textId="56608DE0">
      <w:pPr>
        <w:spacing w:after="0" w:line="276" w:lineRule="auto"/>
        <w:jc w:val="both"/>
      </w:pPr>
      <w:r>
        <w:t xml:space="preserve">The secondary care medicines programme </w:t>
      </w:r>
      <w:r w:rsidR="00F97B3F">
        <w:t xml:space="preserve">aligns with the Medicines Value and Sustainability recommendation to </w:t>
      </w:r>
      <w:r>
        <w:t xml:space="preserve">focus on maximising biosimilar uptake, increasing use of best-value biological medicines, implementing on-contract generic medicines, reducing procurement losses and supporting clinically appropriate medicine switches across hospital services. Significant opportunities have already been identified through a review of high-cost medicines and include biosimilar adoption programmes, generic switching initiatives and expansion of medicines homecare services. The programme has a recurrent savings target of £2.0m. </w:t>
      </w:r>
    </w:p>
    <w:p w:rsidR="00C10960" w:rsidP="004D4708" w:rsidRDefault="00C10960" w14:paraId="58022081" w14:textId="77777777">
      <w:pPr>
        <w:spacing w:after="0" w:line="276" w:lineRule="auto"/>
        <w:jc w:val="both"/>
      </w:pPr>
    </w:p>
    <w:p w:rsidR="004D4708" w:rsidP="004D4708" w:rsidRDefault="004D4708" w14:paraId="36118466" w14:textId="48E2B788">
      <w:pPr>
        <w:spacing w:after="0" w:line="276" w:lineRule="auto"/>
        <w:jc w:val="both"/>
      </w:pPr>
      <w:r>
        <w:lastRenderedPageBreak/>
        <w:t xml:space="preserve">Progress against both programmes is monitored through the Recovery and Sustainability governance framework, with monthly financial tracking and oversight through Medicines Management governance arrangements. While delivery remains on track, several risks continue to be actively managed, including workforce capacity constraints following recurrent pay budget reductions, continued growth in prescribing demand, medicines price volatility, implementation of new NICE technologies and increasing demand for medicines homecare services. </w:t>
      </w:r>
    </w:p>
    <w:p w:rsidR="00A723AB" w:rsidP="004D4708" w:rsidRDefault="00A723AB" w14:paraId="3E08C936" w14:textId="77777777">
      <w:pPr>
        <w:spacing w:after="0" w:line="276" w:lineRule="auto"/>
        <w:jc w:val="both"/>
      </w:pPr>
    </w:p>
    <w:p w:rsidRPr="00BF23DD" w:rsidR="00250432" w:rsidP="004D4708" w:rsidRDefault="004D4708" w14:paraId="5E93F927" w14:textId="5911147F">
      <w:pPr>
        <w:spacing w:after="0" w:line="276" w:lineRule="auto"/>
        <w:jc w:val="both"/>
      </w:pPr>
      <w:r>
        <w:t>Overall, the medicines savings programme remains a key contributor to the Health Board's financial recovery plans, delivering both cash-releasing efficiencies and longer-term improvements in medicines optimisation through the selection of best-value treatments, reduction in unwarranted variation and improved utilisation of medicines across all care settings.</w:t>
      </w:r>
    </w:p>
    <w:p w:rsidRPr="00A65747" w:rsidR="00C57277" w:rsidP="00A65747" w:rsidRDefault="00C57277" w14:paraId="32F70F58" w14:textId="77777777">
      <w:pPr>
        <w:spacing w:after="0" w:line="240" w:lineRule="auto"/>
        <w:jc w:val="both"/>
        <w:rPr>
          <w:b/>
        </w:rPr>
      </w:pPr>
    </w:p>
    <w:p w:rsidRPr="00BF23DD" w:rsidR="00653AEC" w:rsidP="003B4312" w:rsidRDefault="17638CF8" w14:paraId="6D290422" w14:textId="5C4089E5">
      <w:pPr>
        <w:pStyle w:val="ListParagraph"/>
        <w:numPr>
          <w:ilvl w:val="0"/>
          <w:numId w:val="2"/>
        </w:numPr>
        <w:spacing w:after="0" w:line="240" w:lineRule="auto"/>
        <w:jc w:val="both"/>
        <w:rPr>
          <w:b/>
        </w:rPr>
      </w:pPr>
      <w:r w:rsidRPr="00BF23DD">
        <w:rPr>
          <w:b/>
          <w:bCs/>
        </w:rPr>
        <w:t>GOVERNANCE AND RISK ISSUES</w:t>
      </w:r>
    </w:p>
    <w:p w:rsidRPr="00BF23DD" w:rsidR="000E7560" w:rsidP="003B4312" w:rsidRDefault="000E7560" w14:paraId="19AF5849" w14:textId="2AC0DEFA">
      <w:pPr>
        <w:spacing w:after="0" w:line="240" w:lineRule="auto"/>
        <w:jc w:val="both"/>
      </w:pPr>
    </w:p>
    <w:p w:rsidRPr="00497C7E" w:rsidR="005A1F65" w:rsidP="00497C7E" w:rsidRDefault="00497C7E" w14:paraId="6B0202A6" w14:textId="39886CA5">
      <w:pPr>
        <w:pStyle w:val="ListParagraph"/>
        <w:numPr>
          <w:ilvl w:val="1"/>
          <w:numId w:val="2"/>
        </w:numPr>
        <w:spacing w:after="0" w:line="240" w:lineRule="auto"/>
        <w:jc w:val="both"/>
        <w:rPr>
          <w:b/>
          <w:bCs/>
          <w:u w:val="single"/>
        </w:rPr>
      </w:pPr>
      <w:r w:rsidRPr="00497C7E">
        <w:rPr>
          <w:b/>
          <w:bCs/>
          <w:u w:val="single"/>
        </w:rPr>
        <w:t>Workforce</w:t>
      </w:r>
    </w:p>
    <w:p w:rsidR="00B0017E" w:rsidP="00497C7E" w:rsidRDefault="00B0017E" w14:paraId="4BC0C164" w14:textId="77777777">
      <w:pPr>
        <w:spacing w:after="0" w:line="240" w:lineRule="auto"/>
        <w:jc w:val="both"/>
      </w:pPr>
    </w:p>
    <w:p w:rsidR="00027083" w:rsidP="00497C7E" w:rsidRDefault="00B0017E" w14:paraId="29097E6D" w14:textId="0D24F41B">
      <w:pPr>
        <w:spacing w:after="0" w:line="240" w:lineRule="auto"/>
        <w:jc w:val="both"/>
      </w:pPr>
      <w:r>
        <w:t xml:space="preserve">Pharmacy and Medicines Management continues to operate with challenging workforce constraints following </w:t>
      </w:r>
      <w:r w:rsidR="00BF6B25">
        <w:t>the decision</w:t>
      </w:r>
      <w:r>
        <w:t xml:space="preserve"> to recurrently remove </w:t>
      </w:r>
      <w:r w:rsidR="002F0D85">
        <w:t>p</w:t>
      </w:r>
      <w:r>
        <w:t>ay budget</w:t>
      </w:r>
      <w:r w:rsidR="0084591E">
        <w:t xml:space="preserve"> in 2026-27</w:t>
      </w:r>
      <w:r w:rsidR="00015158">
        <w:t xml:space="preserve"> </w:t>
      </w:r>
      <w:proofErr w:type="gramStart"/>
      <w:r w:rsidR="00015158">
        <w:t>as a consequence of</w:t>
      </w:r>
      <w:proofErr w:type="gramEnd"/>
      <w:r w:rsidR="00015158">
        <w:t xml:space="preserve"> the unmet deficit position for the Health Board</w:t>
      </w:r>
      <w:r>
        <w:t>.</w:t>
      </w:r>
      <w:r w:rsidR="0084591E">
        <w:t xml:space="preserve"> </w:t>
      </w:r>
    </w:p>
    <w:p w:rsidR="00027083" w:rsidP="00497C7E" w:rsidRDefault="00027083" w14:paraId="06315B1B" w14:textId="77777777">
      <w:pPr>
        <w:spacing w:after="0" w:line="240" w:lineRule="auto"/>
        <w:jc w:val="both"/>
      </w:pPr>
    </w:p>
    <w:p w:rsidRPr="00BF23DD" w:rsidR="00497C7E" w:rsidP="00497C7E" w:rsidRDefault="0084591E" w14:paraId="38F8BD71" w14:textId="54949BC3">
      <w:pPr>
        <w:spacing w:after="0" w:line="240" w:lineRule="auto"/>
        <w:jc w:val="both"/>
      </w:pPr>
      <w:r>
        <w:t xml:space="preserve">Core service delivery </w:t>
      </w:r>
      <w:r w:rsidR="00AE189A">
        <w:t>remains key to Pharmacy and Medicine</w:t>
      </w:r>
      <w:r w:rsidR="00027083">
        <w:t>s</w:t>
      </w:r>
      <w:r w:rsidR="00AE189A">
        <w:t xml:space="preserve"> Management, however due to the workforce constraints there have been instances where the service has had to </w:t>
      </w:r>
      <w:r w:rsidR="00015158">
        <w:t>implement</w:t>
      </w:r>
      <w:r w:rsidR="00AE189A">
        <w:t xml:space="preserve"> changes</w:t>
      </w:r>
      <w:r w:rsidR="00015158">
        <w:t>, including amending, limiting or removing</w:t>
      </w:r>
      <w:r w:rsidR="00AE189A">
        <w:t xml:space="preserve"> services to some areas following a robust risk assessment </w:t>
      </w:r>
      <w:r w:rsidR="00027083">
        <w:t>method.</w:t>
      </w:r>
      <w:r w:rsidR="003E537B">
        <w:t xml:space="preserve"> All decisions on impact on local services are communicated with key stakeholders through the service groups. </w:t>
      </w:r>
    </w:p>
    <w:p w:rsidR="00C133AA" w:rsidP="003B4312" w:rsidRDefault="00C133AA" w14:paraId="65559C4D" w14:textId="77777777">
      <w:pPr>
        <w:pStyle w:val="ListParagraph"/>
        <w:spacing w:after="0" w:line="240" w:lineRule="auto"/>
        <w:jc w:val="both"/>
        <w:rPr>
          <w:b/>
        </w:rPr>
      </w:pPr>
    </w:p>
    <w:p w:rsidRPr="00BF23DD" w:rsidR="00B50ABC" w:rsidP="003B4312" w:rsidRDefault="17638CF8" w14:paraId="7D6248A7" w14:textId="03FA6B07">
      <w:pPr>
        <w:pStyle w:val="ListParagraph"/>
        <w:numPr>
          <w:ilvl w:val="0"/>
          <w:numId w:val="2"/>
        </w:numPr>
        <w:spacing w:after="0" w:line="240" w:lineRule="auto"/>
        <w:jc w:val="both"/>
        <w:rPr>
          <w:b/>
        </w:rPr>
      </w:pPr>
      <w:r w:rsidRPr="00BF23DD">
        <w:rPr>
          <w:b/>
          <w:bCs/>
        </w:rPr>
        <w:t xml:space="preserve"> </w:t>
      </w:r>
      <w:r w:rsidRPr="00BF23DD" w:rsidR="1645D346">
        <w:rPr>
          <w:b/>
          <w:bCs/>
        </w:rPr>
        <w:t xml:space="preserve">OPEN AUDIT RECOMMENDATIONS </w:t>
      </w:r>
    </w:p>
    <w:p w:rsidRPr="00BF23DD" w:rsidR="00E24F83" w:rsidP="003B4312" w:rsidRDefault="00E24F83" w14:paraId="37EB0276" w14:textId="77777777">
      <w:pPr>
        <w:spacing w:after="0" w:line="240" w:lineRule="auto"/>
        <w:jc w:val="both"/>
        <w:rPr>
          <w:bCs/>
        </w:rPr>
      </w:pPr>
    </w:p>
    <w:p w:rsidRPr="00BF23DD" w:rsidR="00240820" w:rsidP="003B4312" w:rsidRDefault="00C57277" w14:paraId="59798998" w14:textId="2651D845">
      <w:pPr>
        <w:spacing w:after="0" w:line="240" w:lineRule="auto"/>
        <w:jc w:val="both"/>
      </w:pPr>
      <w:r w:rsidR="00C57277">
        <w:rPr/>
        <w:t xml:space="preserve">There </w:t>
      </w:r>
      <w:r w:rsidR="6B3CEE81">
        <w:rPr/>
        <w:t>is</w:t>
      </w:r>
      <w:r w:rsidR="00C57277">
        <w:rPr/>
        <w:t xml:space="preserve"> no current open audit recommendations associated with this report. </w:t>
      </w:r>
    </w:p>
    <w:p w:rsidRPr="00BF23DD" w:rsidR="00240820" w:rsidP="003B4312" w:rsidRDefault="00240820" w14:paraId="7629D492" w14:textId="77777777">
      <w:pPr>
        <w:spacing w:after="0" w:line="240" w:lineRule="auto"/>
        <w:jc w:val="both"/>
        <w:rPr>
          <w:bCs/>
        </w:rPr>
      </w:pPr>
    </w:p>
    <w:p w:rsidRPr="00BF23DD" w:rsidR="00B50ABC" w:rsidP="003B4312" w:rsidRDefault="00C57277" w14:paraId="2E68798D" w14:textId="496A556B">
      <w:pPr>
        <w:spacing w:after="0" w:line="240" w:lineRule="auto"/>
        <w:jc w:val="both"/>
        <w:rPr>
          <w:bCs/>
        </w:rPr>
      </w:pPr>
      <w:r w:rsidRPr="00BF23DD">
        <w:rPr>
          <w:bCs/>
        </w:rPr>
        <w:t xml:space="preserve">Pharmacy and Medicines Management continue </w:t>
      </w:r>
      <w:r w:rsidRPr="00BF23DD" w:rsidR="00E24F83">
        <w:rPr>
          <w:bCs/>
        </w:rPr>
        <w:t xml:space="preserve">with a program of audits across the service to provide assurance on quality, safety and governance, including </w:t>
      </w:r>
      <w:r w:rsidR="00A65747">
        <w:rPr>
          <w:bCs/>
        </w:rPr>
        <w:t>legislative requirements for licensed manufacturing and wholesale dealing units</w:t>
      </w:r>
      <w:r w:rsidRPr="00BF23DD" w:rsidR="00A77A81">
        <w:rPr>
          <w:bCs/>
        </w:rPr>
        <w:t>.</w:t>
      </w:r>
    </w:p>
    <w:p w:rsidRPr="00BF23DD" w:rsidR="00E24C8D" w:rsidP="003B4312" w:rsidRDefault="00E24C8D" w14:paraId="2FDC6256" w14:textId="77777777">
      <w:pPr>
        <w:spacing w:after="0" w:line="240" w:lineRule="auto"/>
        <w:jc w:val="both"/>
        <w:rPr>
          <w:b/>
        </w:rPr>
      </w:pPr>
    </w:p>
    <w:p w:rsidRPr="00BF23DD" w:rsidR="00653AEC" w:rsidP="003B4312" w:rsidRDefault="17638CF8" w14:paraId="6D290427" w14:textId="5AD01FD6">
      <w:pPr>
        <w:pStyle w:val="ListParagraph"/>
        <w:numPr>
          <w:ilvl w:val="0"/>
          <w:numId w:val="2"/>
        </w:numPr>
        <w:spacing w:after="0" w:line="240" w:lineRule="auto"/>
        <w:jc w:val="both"/>
        <w:rPr>
          <w:b/>
        </w:rPr>
      </w:pPr>
      <w:r w:rsidRPr="00BF23DD">
        <w:rPr>
          <w:b/>
          <w:bCs/>
        </w:rPr>
        <w:t>FINANCIAL IMPLICATIONS</w:t>
      </w:r>
    </w:p>
    <w:p w:rsidR="00784AD5" w:rsidP="00784AD5" w:rsidRDefault="00784AD5" w14:paraId="2007AA50" w14:textId="77777777">
      <w:pPr>
        <w:spacing w:after="0" w:line="240" w:lineRule="auto"/>
        <w:jc w:val="both"/>
        <w:rPr>
          <w:bCs/>
        </w:rPr>
      </w:pPr>
    </w:p>
    <w:p w:rsidR="00DA1A6F" w:rsidP="00DA1A6F" w:rsidRDefault="00DA1A6F" w14:paraId="5E43D2B6" w14:textId="548C400E">
      <w:pPr>
        <w:spacing w:after="0" w:line="240" w:lineRule="auto"/>
        <w:jc w:val="both"/>
        <w:rPr>
          <w:bCs/>
        </w:rPr>
      </w:pPr>
      <w:r w:rsidRPr="00DA1A6F">
        <w:rPr>
          <w:bCs/>
        </w:rPr>
        <w:lastRenderedPageBreak/>
        <w:t>Pharmacy and Medicines Management has a significant influence on the Health Board's financial position through medicines expenditure across both primary and secondary care. During 2026-27 the Directorate is delivering approved medicines savings programmes with recurrent savings targets of £1.25m in primary care and £2.0m in secondary care, representing a combined target of £3.25m</w:t>
      </w:r>
      <w:r w:rsidR="00C33A57">
        <w:rPr>
          <w:bCs/>
        </w:rPr>
        <w:t>.</w:t>
      </w:r>
      <w:r w:rsidRPr="00DA1A6F">
        <w:rPr>
          <w:bCs/>
        </w:rPr>
        <w:t xml:space="preserve"> </w:t>
      </w:r>
    </w:p>
    <w:p w:rsidR="00DA1A6F" w:rsidP="00DA1A6F" w:rsidRDefault="00DA1A6F" w14:paraId="31102905" w14:textId="77777777">
      <w:pPr>
        <w:spacing w:after="0" w:line="240" w:lineRule="auto"/>
        <w:jc w:val="both"/>
        <w:rPr>
          <w:bCs/>
        </w:rPr>
      </w:pPr>
    </w:p>
    <w:p w:rsidR="00DA1A6F" w:rsidP="00DA1A6F" w:rsidRDefault="00DA1A6F" w14:paraId="7F79BC6C" w14:textId="77777777">
      <w:pPr>
        <w:spacing w:after="0" w:line="240" w:lineRule="auto"/>
        <w:jc w:val="both"/>
        <w:rPr>
          <w:bCs/>
        </w:rPr>
      </w:pPr>
      <w:r w:rsidRPr="00DA1A6F">
        <w:rPr>
          <w:bCs/>
        </w:rPr>
        <w:t>Programmes include optimisation of biosimilar medicines, implementation of on-contract generic medicines, prescribing efficiency initiatives and expansion of medicines homecare services. Delivery of these savings contributes directly to the Health Board's financial recovery plan.</w:t>
      </w:r>
    </w:p>
    <w:p w:rsidR="00DA1A6F" w:rsidP="00DA1A6F" w:rsidRDefault="00DA1A6F" w14:paraId="04B901F0" w14:textId="77777777">
      <w:pPr>
        <w:spacing w:after="0" w:line="240" w:lineRule="auto"/>
        <w:jc w:val="both"/>
        <w:rPr>
          <w:bCs/>
        </w:rPr>
      </w:pPr>
    </w:p>
    <w:p w:rsidRPr="00DA1A6F" w:rsidR="00DA1A6F" w:rsidP="00DA1A6F" w:rsidRDefault="00DA1A6F" w14:paraId="6019C175" w14:textId="488C056A">
      <w:pPr>
        <w:spacing w:after="0" w:line="240" w:lineRule="auto"/>
        <w:jc w:val="both"/>
        <w:rPr>
          <w:bCs/>
        </w:rPr>
      </w:pPr>
      <w:r w:rsidRPr="00DA1A6F">
        <w:rPr>
          <w:bCs/>
        </w:rPr>
        <w:t>Risks to delivery include growth in prescribing demand, medicines price inflation and market volatility, implementation of new NICE-approved treatments, homecare service growth and workforce capacity constraints affecting programme implementation. Progress and financial performance are monitored through the Recovery and Sustainability governance framework and Medicines Management governance processes.</w:t>
      </w:r>
    </w:p>
    <w:p w:rsidRPr="00784AD5" w:rsidR="00784AD5" w:rsidP="00784AD5" w:rsidRDefault="00784AD5" w14:paraId="499E686D" w14:textId="77777777">
      <w:pPr>
        <w:spacing w:after="0" w:line="240" w:lineRule="auto"/>
        <w:jc w:val="both"/>
        <w:rPr>
          <w:bCs/>
        </w:rPr>
      </w:pPr>
    </w:p>
    <w:p w:rsidRPr="00BF23DD" w:rsidR="00653AEC" w:rsidP="003B4312" w:rsidRDefault="17638CF8" w14:paraId="6D29042A" w14:textId="77777777">
      <w:pPr>
        <w:pStyle w:val="ListParagraph"/>
        <w:numPr>
          <w:ilvl w:val="0"/>
          <w:numId w:val="2"/>
        </w:numPr>
        <w:spacing w:after="0" w:line="240" w:lineRule="auto"/>
        <w:jc w:val="both"/>
        <w:rPr>
          <w:b/>
        </w:rPr>
      </w:pPr>
      <w:r w:rsidRPr="00BF23DD">
        <w:rPr>
          <w:b/>
          <w:bCs/>
        </w:rPr>
        <w:t>RECOMMENDATION</w:t>
      </w:r>
    </w:p>
    <w:p w:rsidR="00880044" w:rsidP="003B4312" w:rsidRDefault="00880044" w14:paraId="2DDFFAA5" w14:textId="77777777">
      <w:pPr>
        <w:spacing w:after="120"/>
        <w:jc w:val="both"/>
      </w:pPr>
    </w:p>
    <w:p w:rsidRPr="00BF23DD" w:rsidR="000E7560" w:rsidP="003B4312" w:rsidRDefault="000E7560" w14:paraId="4E9CA271" w14:textId="52B96837">
      <w:pPr>
        <w:spacing w:after="120"/>
        <w:jc w:val="both"/>
      </w:pPr>
      <w:r w:rsidRPr="00BF23DD">
        <w:t>Members are asked to:</w:t>
      </w:r>
    </w:p>
    <w:p w:rsidRPr="00F46282" w:rsidR="00125107" w:rsidP="00125107" w:rsidRDefault="00125107" w14:paraId="53438F49" w14:textId="7102B054">
      <w:pPr>
        <w:pStyle w:val="ListParagraph"/>
        <w:numPr>
          <w:ilvl w:val="0"/>
          <w:numId w:val="21"/>
        </w:numPr>
        <w:spacing w:after="0" w:line="240" w:lineRule="auto"/>
        <w:jc w:val="both"/>
        <w:rPr/>
      </w:pPr>
      <w:r w:rsidRPr="4B80AA11" w:rsidR="00125107">
        <w:rPr>
          <w:b w:val="1"/>
          <w:bCs w:val="1"/>
        </w:rPr>
        <w:t xml:space="preserve">Receive the report for </w:t>
      </w:r>
      <w:r w:rsidRPr="4B80AA11" w:rsidR="4346F862">
        <w:rPr>
          <w:b w:val="1"/>
          <w:bCs w:val="1"/>
        </w:rPr>
        <w:t>ASSURANCE</w:t>
      </w:r>
      <w:r w:rsidRPr="4B80AA11" w:rsidR="00125107">
        <w:rPr>
          <w:b w:val="1"/>
          <w:bCs w:val="1"/>
        </w:rPr>
        <w:t xml:space="preserve"> </w:t>
      </w:r>
      <w:r w:rsidR="00125107">
        <w:rPr/>
        <w:t>regarding</w:t>
      </w:r>
      <w:r w:rsidR="00125107">
        <w:rPr/>
        <w:t xml:space="preserve"> </w:t>
      </w:r>
      <w:r w:rsidR="00FC585D">
        <w:rPr/>
        <w:t>Pharmacy and Medicines Management</w:t>
      </w:r>
      <w:r w:rsidR="00125107">
        <w:rPr/>
        <w:t xml:space="preserve"> </w:t>
      </w:r>
      <w:r w:rsidR="00A65747">
        <w:rPr/>
        <w:t>performance</w:t>
      </w:r>
      <w:r w:rsidR="00173FD1">
        <w:rPr/>
        <w:t>, medicines optimisation and governance arrangements.</w:t>
      </w:r>
    </w:p>
    <w:p w:rsidRPr="00F46282" w:rsidR="00A65747" w:rsidP="00125107" w:rsidRDefault="00A65747" w14:paraId="5135EED8" w14:textId="16C2F3AE">
      <w:pPr>
        <w:pStyle w:val="ListParagraph"/>
        <w:numPr>
          <w:ilvl w:val="0"/>
          <w:numId w:val="21"/>
        </w:numPr>
        <w:spacing w:after="0" w:line="240" w:lineRule="auto"/>
        <w:jc w:val="both"/>
      </w:pPr>
      <w:r w:rsidRPr="00F46282">
        <w:rPr>
          <w:b/>
          <w:bCs/>
        </w:rPr>
        <w:t xml:space="preserve">Take cognisance of </w:t>
      </w:r>
      <w:r w:rsidRPr="00F46282">
        <w:t xml:space="preserve">the </w:t>
      </w:r>
      <w:r w:rsidRPr="00F46282" w:rsidR="00173FD1">
        <w:t xml:space="preserve">progress made against NHS Wales Medicines Value and Sustainability priorities and the delivery arrangements support the Health Board’s medicines savings programme. </w:t>
      </w:r>
    </w:p>
    <w:p w:rsidR="00125107" w:rsidP="00125107" w:rsidRDefault="00664077" w14:paraId="64F8B7D0" w14:textId="76368BD4">
      <w:pPr>
        <w:pStyle w:val="ListParagraph"/>
        <w:numPr>
          <w:ilvl w:val="0"/>
          <w:numId w:val="21"/>
        </w:numPr>
        <w:spacing w:after="0" w:line="240" w:lineRule="auto"/>
        <w:jc w:val="both"/>
      </w:pPr>
      <w:r w:rsidRPr="00F46282">
        <w:rPr>
          <w:b/>
          <w:bCs/>
        </w:rPr>
        <w:t>Take cognisance of</w:t>
      </w:r>
      <w:r w:rsidRPr="00F46282" w:rsidR="00125107">
        <w:t xml:space="preserve"> the continued improvement in National Prescribing Indicators antimicrobial stewardship</w:t>
      </w:r>
      <w:r w:rsidRPr="00F46282" w:rsidR="00F46282">
        <w:t xml:space="preserve"> performance. </w:t>
      </w:r>
    </w:p>
    <w:p w:rsidRPr="00F46282" w:rsidR="0093393D" w:rsidP="00125107" w:rsidRDefault="0093393D" w14:paraId="15F76E92" w14:textId="2F9A03C4">
      <w:pPr>
        <w:pStyle w:val="ListParagraph"/>
        <w:numPr>
          <w:ilvl w:val="0"/>
          <w:numId w:val="21"/>
        </w:numPr>
        <w:spacing w:after="0" w:line="240" w:lineRule="auto"/>
        <w:jc w:val="both"/>
      </w:pPr>
      <w:r>
        <w:rPr>
          <w:b/>
          <w:bCs/>
        </w:rPr>
        <w:t xml:space="preserve">Take cognisance of the </w:t>
      </w:r>
      <w:r>
        <w:t xml:space="preserve">Health Board’s continued </w:t>
      </w:r>
      <w:r w:rsidR="009F5A80">
        <w:t xml:space="preserve">performance as leading Health Board in </w:t>
      </w:r>
      <w:r w:rsidR="00893284">
        <w:t>compliance with the New Treatment Fund implementation requirements.</w:t>
      </w:r>
    </w:p>
    <w:p w:rsidRPr="00F46282" w:rsidR="00F46282" w:rsidP="00125107" w:rsidRDefault="00F46282" w14:paraId="66A7B117" w14:textId="40FA4256">
      <w:pPr>
        <w:pStyle w:val="ListParagraph"/>
        <w:numPr>
          <w:ilvl w:val="0"/>
          <w:numId w:val="21"/>
        </w:numPr>
        <w:spacing w:after="0" w:line="240" w:lineRule="auto"/>
        <w:jc w:val="both"/>
        <w:rPr/>
      </w:pPr>
      <w:r w:rsidRPr="272F4351" w:rsidR="00F46282">
        <w:rPr>
          <w:b w:val="1"/>
          <w:bCs w:val="1"/>
        </w:rPr>
        <w:t>N</w:t>
      </w:r>
      <w:r w:rsidRPr="272F4351" w:rsidR="22D8DF2A">
        <w:rPr>
          <w:b w:val="1"/>
          <w:bCs w:val="1"/>
        </w:rPr>
        <w:t>OTE</w:t>
      </w:r>
      <w:r w:rsidRPr="272F4351" w:rsidR="00F46282">
        <w:rPr>
          <w:b w:val="1"/>
          <w:bCs w:val="1"/>
        </w:rPr>
        <w:t xml:space="preserve"> </w:t>
      </w:r>
      <w:r w:rsidR="00F46282">
        <w:rPr/>
        <w:t xml:space="preserve">the financial contribution of the </w:t>
      </w:r>
      <w:r w:rsidR="40EE1488">
        <w:rPr/>
        <w:t>medicine's</w:t>
      </w:r>
      <w:r w:rsidR="00F46282">
        <w:rPr/>
        <w:t xml:space="preserve"> savings programme toward delivery of the Health Board’s financial recovery plan and the associated risks to achievement.</w:t>
      </w:r>
    </w:p>
    <w:p w:rsidRPr="00B02595" w:rsidR="000E7560" w:rsidP="00694012" w:rsidRDefault="00664077" w14:paraId="3C5F71BD" w14:textId="1A64E026">
      <w:pPr>
        <w:pStyle w:val="ListParagraph"/>
        <w:numPr>
          <w:ilvl w:val="0"/>
          <w:numId w:val="21"/>
        </w:numPr>
        <w:spacing w:after="0" w:line="240" w:lineRule="auto"/>
        <w:jc w:val="both"/>
        <w:rPr>
          <w:b/>
        </w:rPr>
      </w:pPr>
      <w:r w:rsidRPr="00B02595">
        <w:rPr>
          <w:b/>
          <w:bCs/>
        </w:rPr>
        <w:t>Take cognisance of</w:t>
      </w:r>
      <w:r w:rsidRPr="00F46282" w:rsidR="00125107">
        <w:t xml:space="preserve"> the continued workforce</w:t>
      </w:r>
      <w:r w:rsidRPr="00F46282" w:rsidR="00F46282">
        <w:t xml:space="preserve"> and service resilience risks associated with the recurrent pay budget reductions and support continue mitigation through Health Board workforce planning processes.</w:t>
      </w:r>
      <w:r w:rsidRPr="00F46282" w:rsidR="00125107">
        <w:t xml:space="preserve"> </w:t>
      </w:r>
    </w:p>
    <w:p w:rsidRPr="00BF23DD" w:rsidR="00FE7070" w:rsidP="003B4312" w:rsidRDefault="00FE7070" w14:paraId="6D290430" w14:textId="28FBE2CF">
      <w:pPr>
        <w:jc w:val="both"/>
        <w:rPr>
          <w:b/>
        </w:rPr>
      </w:pPr>
      <w:r w:rsidRPr="00BF23DD">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BF23DD" w:rsidR="00034194" w:rsidTr="272F4351" w14:paraId="6D290436" w14:textId="77777777">
        <w:tc>
          <w:tcPr>
            <w:tcW w:w="9245" w:type="dxa"/>
            <w:gridSpan w:val="3"/>
            <w:shd w:val="clear" w:color="auto" w:fill="163E64"/>
            <w:tcMar/>
          </w:tcPr>
          <w:p w:rsidRPr="00BF23DD" w:rsidR="00034194" w:rsidP="003B4312" w:rsidRDefault="0020539A" w14:paraId="6D290435" w14:textId="704162EF">
            <w:pPr>
              <w:jc w:val="both"/>
              <w:rPr>
                <w:b/>
              </w:rPr>
            </w:pPr>
            <w:r w:rsidRPr="00BF23DD">
              <w:rPr>
                <w:b/>
              </w:rPr>
              <w:lastRenderedPageBreak/>
              <w:t>Governance and Assurance</w:t>
            </w:r>
          </w:p>
        </w:tc>
      </w:tr>
      <w:tr w:rsidRPr="00BF23DD" w:rsidR="002432C6" w:rsidTr="272F4351" w14:paraId="584BF17A" w14:textId="77777777">
        <w:tc>
          <w:tcPr>
            <w:tcW w:w="9245" w:type="dxa"/>
            <w:gridSpan w:val="3"/>
            <w:shd w:val="clear" w:color="auto" w:fill="C1A775"/>
            <w:tcMar/>
          </w:tcPr>
          <w:p w:rsidRPr="00BF23DD" w:rsidR="002432C6" w:rsidP="003B4312" w:rsidRDefault="002432C6" w14:paraId="4694DF6B" w14:textId="6CC5896F">
            <w:pPr>
              <w:jc w:val="both"/>
              <w:rPr>
                <w:b/>
              </w:rPr>
            </w:pPr>
            <w:r w:rsidRPr="00BF23DD">
              <w:rPr>
                <w:b/>
              </w:rPr>
              <w:t>Strategic Objectives</w:t>
            </w:r>
          </w:p>
        </w:tc>
      </w:tr>
      <w:tr w:rsidRPr="00BF23DD" w:rsidR="00F5324A" w:rsidTr="272F4351" w14:paraId="6D29043E" w14:textId="77777777">
        <w:tc>
          <w:tcPr>
            <w:tcW w:w="1809" w:type="dxa"/>
            <w:vMerge w:val="restart"/>
            <w:tcMar/>
          </w:tcPr>
          <w:p w:rsidRPr="00BF23DD" w:rsidR="005D5E16" w:rsidP="003B4312" w:rsidRDefault="005D5E16" w14:paraId="4BCFE1FB" w14:textId="05AE4DB4">
            <w:pPr>
              <w:jc w:val="both"/>
              <w:rPr>
                <w:b/>
              </w:rPr>
            </w:pPr>
            <w:r w:rsidRPr="00BF23DD">
              <w:rPr>
                <w:b/>
              </w:rPr>
              <w:t>Strategic Objectives</w:t>
            </w:r>
          </w:p>
          <w:p w:rsidRPr="00BF23DD" w:rsidR="00F5324A" w:rsidP="003B4312" w:rsidRDefault="005D5E16" w14:paraId="6D29043B" w14:textId="6893427A">
            <w:pPr>
              <w:jc w:val="both"/>
              <w:rPr>
                <w:b/>
              </w:rPr>
            </w:pPr>
            <w:r w:rsidRPr="00BF23DD">
              <w:rPr>
                <w:b/>
                <w:i/>
              </w:rPr>
              <w:t>(please choose</w:t>
            </w:r>
            <w:r w:rsidRPr="00BF23DD" w:rsidR="005506AE">
              <w:rPr>
                <w:b/>
                <w:i/>
              </w:rPr>
              <w:t xml:space="preserve"> which is impacted</w:t>
            </w:r>
            <w:r w:rsidRPr="00BF23DD">
              <w:rPr>
                <w:b/>
                <w:i/>
              </w:rPr>
              <w:t>)</w:t>
            </w:r>
          </w:p>
        </w:tc>
        <w:tc>
          <w:tcPr>
            <w:tcW w:w="5812" w:type="dxa"/>
            <w:tcMar/>
          </w:tcPr>
          <w:p w:rsidRPr="00BF23DD" w:rsidR="00F5324A" w:rsidP="003B4312" w:rsidRDefault="006F02B9" w14:paraId="6D29043C" w14:textId="6BE14270">
            <w:pPr>
              <w:jc w:val="both"/>
            </w:pPr>
            <w:r w:rsidRPr="00BF23DD">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BF23DD" w:rsidR="00F5324A" w:rsidP="003B4312" w:rsidRDefault="002A7316" w14:paraId="6D29043D" w14:textId="2C6F03F2">
                <w:pPr>
                  <w:jc w:val="both"/>
                </w:pPr>
                <w:r w:rsidRPr="00BF23DD">
                  <w:rPr>
                    <w:rFonts w:ascii="Segoe UI Symbol" w:hAnsi="Segoe UI Symbol" w:eastAsia="MS Gothic" w:cs="Segoe UI Symbol"/>
                  </w:rPr>
                  <w:t>☐</w:t>
                </w:r>
              </w:p>
            </w:tc>
          </w:sdtContent>
        </w:sdt>
      </w:tr>
      <w:tr w:rsidRPr="00BF23DD" w:rsidR="00F5324A" w:rsidTr="272F4351" w14:paraId="6D290442" w14:textId="77777777">
        <w:tc>
          <w:tcPr>
            <w:tcW w:w="1809" w:type="dxa"/>
            <w:vMerge/>
            <w:tcMar/>
          </w:tcPr>
          <w:p w:rsidRPr="00BF23DD" w:rsidR="00F5324A" w:rsidP="003B4312" w:rsidRDefault="00F5324A" w14:paraId="6D29043F" w14:textId="77777777">
            <w:pPr>
              <w:jc w:val="both"/>
              <w:rPr>
                <w:b/>
              </w:rPr>
            </w:pPr>
          </w:p>
        </w:tc>
        <w:tc>
          <w:tcPr>
            <w:tcW w:w="5812" w:type="dxa"/>
            <w:tcMar/>
          </w:tcPr>
          <w:p w:rsidRPr="00BF23DD" w:rsidR="00F5324A" w:rsidP="003B4312" w:rsidRDefault="004221DC" w14:paraId="6D290440" w14:textId="5071215F">
            <w:pPr>
              <w:jc w:val="both"/>
            </w:pPr>
            <w:r w:rsidRPr="00BF23DD">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BF23DD" w:rsidR="00F5324A" w:rsidP="003B4312" w:rsidRDefault="000E7560" w14:paraId="6D290441" w14:textId="28DA1944">
                <w:pPr>
                  <w:jc w:val="both"/>
                </w:pPr>
                <w:r w:rsidRPr="00BF23DD">
                  <w:rPr>
                    <w:rFonts w:ascii="Segoe UI Symbol" w:hAnsi="Segoe UI Symbol" w:eastAsia="MS Gothic" w:cs="Segoe UI Symbol"/>
                  </w:rPr>
                  <w:t>☒</w:t>
                </w:r>
              </w:p>
            </w:tc>
          </w:sdtContent>
        </w:sdt>
      </w:tr>
      <w:tr w:rsidRPr="00BF23DD" w:rsidR="00F5324A" w:rsidTr="272F4351" w14:paraId="6D290446" w14:textId="77777777">
        <w:tc>
          <w:tcPr>
            <w:tcW w:w="1809" w:type="dxa"/>
            <w:vMerge/>
            <w:tcMar/>
          </w:tcPr>
          <w:p w:rsidRPr="00BF23DD" w:rsidR="00F5324A" w:rsidP="003B4312" w:rsidRDefault="00F5324A" w14:paraId="6D290443" w14:textId="77777777">
            <w:pPr>
              <w:jc w:val="both"/>
              <w:rPr>
                <w:b/>
              </w:rPr>
            </w:pPr>
          </w:p>
        </w:tc>
        <w:tc>
          <w:tcPr>
            <w:tcW w:w="5812" w:type="dxa"/>
            <w:tcMar/>
          </w:tcPr>
          <w:p w:rsidRPr="00BF23DD" w:rsidR="00F5324A" w:rsidP="003B4312" w:rsidRDefault="004221DC" w14:paraId="6D290444" w14:textId="7BC6B5D7">
            <w:pPr>
              <w:jc w:val="both"/>
            </w:pPr>
            <w:r w:rsidRPr="00BF23DD">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BF23DD" w:rsidR="00F5324A" w:rsidP="003B4312" w:rsidRDefault="002A7316" w14:paraId="6D290445" w14:textId="5BA8AF05">
                <w:pPr>
                  <w:jc w:val="both"/>
                </w:pPr>
                <w:r w:rsidRPr="00BF23DD">
                  <w:rPr>
                    <w:rFonts w:ascii="Segoe UI Symbol" w:hAnsi="Segoe UI Symbol" w:eastAsia="MS Gothic" w:cs="Segoe UI Symbol"/>
                  </w:rPr>
                  <w:t>☐</w:t>
                </w:r>
              </w:p>
            </w:tc>
          </w:sdtContent>
        </w:sdt>
      </w:tr>
      <w:tr w:rsidRPr="00BF23DD" w:rsidR="00F5324A" w:rsidTr="272F4351" w14:paraId="6D29044D" w14:textId="77777777">
        <w:tc>
          <w:tcPr>
            <w:tcW w:w="1809" w:type="dxa"/>
            <w:vMerge/>
            <w:tcMar/>
          </w:tcPr>
          <w:p w:rsidRPr="00BF23DD" w:rsidR="00F5324A" w:rsidP="003B4312" w:rsidRDefault="00F5324A" w14:paraId="6D29044A" w14:textId="77777777">
            <w:pPr>
              <w:jc w:val="both"/>
              <w:rPr>
                <w:b/>
              </w:rPr>
            </w:pPr>
          </w:p>
        </w:tc>
        <w:tc>
          <w:tcPr>
            <w:tcW w:w="5812" w:type="dxa"/>
            <w:tcMar/>
          </w:tcPr>
          <w:p w:rsidRPr="00BF23DD" w:rsidR="00F5324A" w:rsidP="003B4312" w:rsidRDefault="00233D58" w14:paraId="6D29044B" w14:textId="21751B0B">
            <w:pPr>
              <w:jc w:val="both"/>
            </w:pPr>
            <w:r w:rsidRPr="00BF23DD">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BF23DD" w:rsidR="00F5324A" w:rsidP="003B4312" w:rsidRDefault="00F57042" w14:paraId="6D29044C" w14:textId="77777777">
                <w:pPr>
                  <w:jc w:val="both"/>
                </w:pPr>
                <w:r w:rsidRPr="00BF23DD">
                  <w:rPr>
                    <w:rFonts w:ascii="Segoe UI Symbol" w:hAnsi="Segoe UI Symbol" w:eastAsia="MS Gothic" w:cs="Segoe UI Symbol"/>
                  </w:rPr>
                  <w:t>☐</w:t>
                </w:r>
              </w:p>
            </w:tc>
          </w:sdtContent>
        </w:sdt>
      </w:tr>
      <w:tr w:rsidRPr="00BF23DD" w:rsidR="00F5324A" w:rsidTr="272F4351" w14:paraId="6D290451" w14:textId="77777777">
        <w:tc>
          <w:tcPr>
            <w:tcW w:w="1809" w:type="dxa"/>
            <w:vMerge/>
            <w:tcMar/>
          </w:tcPr>
          <w:p w:rsidRPr="00BF23DD" w:rsidR="00F5324A" w:rsidP="003B4312" w:rsidRDefault="00F5324A" w14:paraId="6D29044E" w14:textId="77777777">
            <w:pPr>
              <w:jc w:val="both"/>
              <w:rPr>
                <w:b/>
              </w:rPr>
            </w:pPr>
          </w:p>
        </w:tc>
        <w:tc>
          <w:tcPr>
            <w:tcW w:w="5812" w:type="dxa"/>
            <w:tcMar/>
          </w:tcPr>
          <w:p w:rsidRPr="00BF23DD" w:rsidR="00F5324A" w:rsidP="003B4312" w:rsidRDefault="00233D58" w14:paraId="6D29044F" w14:textId="57073FBE">
            <w:pPr>
              <w:jc w:val="both"/>
            </w:pPr>
            <w:r w:rsidRPr="00BF23DD">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BF23DD" w:rsidR="00F5324A" w:rsidP="003B4312" w:rsidRDefault="003D087E" w14:paraId="6D290450" w14:textId="7315E0AB">
                <w:pPr>
                  <w:jc w:val="both"/>
                </w:pPr>
                <w:r w:rsidRPr="00BF23DD">
                  <w:rPr>
                    <w:rFonts w:ascii="Segoe UI Symbol" w:hAnsi="Segoe UI Symbol" w:eastAsia="MS Gothic" w:cs="Segoe UI Symbol"/>
                  </w:rPr>
                  <w:t>☒</w:t>
                </w:r>
              </w:p>
            </w:tc>
          </w:sdtContent>
        </w:sdt>
      </w:tr>
      <w:tr w:rsidRPr="00BF23DD" w:rsidR="00F5324A" w:rsidTr="272F4351" w14:paraId="6D29045F" w14:textId="77777777">
        <w:tc>
          <w:tcPr>
            <w:tcW w:w="9245" w:type="dxa"/>
            <w:gridSpan w:val="3"/>
            <w:shd w:val="clear" w:color="auto" w:fill="C1A775"/>
            <w:tcMar/>
          </w:tcPr>
          <w:p w:rsidRPr="00BF23DD" w:rsidR="00F5324A" w:rsidP="003B4312" w:rsidRDefault="00F5324A" w14:paraId="6D29045E" w14:textId="77777777">
            <w:pPr>
              <w:jc w:val="both"/>
              <w:rPr>
                <w:b/>
              </w:rPr>
            </w:pPr>
            <w:r w:rsidRPr="00BF23DD">
              <w:rPr>
                <w:b/>
              </w:rPr>
              <w:t>Health and Care Standards</w:t>
            </w:r>
          </w:p>
        </w:tc>
      </w:tr>
      <w:tr w:rsidRPr="00BF23DD" w:rsidR="00C43F7B" w:rsidTr="272F4351" w14:paraId="6D290463" w14:textId="77777777">
        <w:tc>
          <w:tcPr>
            <w:tcW w:w="1809" w:type="dxa"/>
            <w:vMerge w:val="restart"/>
            <w:tcMar/>
          </w:tcPr>
          <w:p w:rsidRPr="00BF23DD" w:rsidR="00C43F7B" w:rsidP="003B4312" w:rsidRDefault="00C43F7B" w14:paraId="6D290460" w14:textId="1FC1DD16">
            <w:pPr>
              <w:jc w:val="both"/>
            </w:pPr>
            <w:r w:rsidRPr="00BF23DD">
              <w:rPr>
                <w:b/>
                <w:iCs/>
              </w:rPr>
              <w:t>Standards</w:t>
            </w:r>
            <w:r w:rsidRPr="00BF23DD">
              <w:rPr>
                <w:b/>
                <w:i/>
              </w:rPr>
              <w:t xml:space="preserve"> </w:t>
            </w:r>
            <w:r w:rsidRPr="00BF23DD" w:rsidR="005506AE">
              <w:rPr>
                <w:b/>
                <w:i/>
              </w:rPr>
              <w:t>(please choose which applies)</w:t>
            </w:r>
          </w:p>
        </w:tc>
        <w:tc>
          <w:tcPr>
            <w:tcW w:w="5812" w:type="dxa"/>
            <w:tcMar/>
          </w:tcPr>
          <w:p w:rsidRPr="00BF23DD" w:rsidR="00C43F7B" w:rsidP="003B4312" w:rsidRDefault="00C43F7B" w14:paraId="6D290461" w14:textId="28B971FB">
            <w:pPr>
              <w:jc w:val="both"/>
            </w:pPr>
            <w:r w:rsidRPr="00BF23DD">
              <w:t>Safe Care</w:t>
            </w:r>
          </w:p>
        </w:tc>
        <w:sdt>
          <w:sdtPr>
            <w:id w:val="937573542"/>
            <w14:checkbox>
              <w14:checked w14:val="1"/>
              <w14:checkedState w14:val="2612" w14:font="MS Gothic"/>
              <w14:uncheckedState w14:val="2610" w14:font="MS Gothic"/>
            </w14:checkbox>
          </w:sdtPr>
          <w:sdtEndPr/>
          <w:sdtContent>
            <w:tc>
              <w:tcPr>
                <w:tcW w:w="1624" w:type="dxa"/>
                <w:tcMar/>
              </w:tcPr>
              <w:p w:rsidRPr="00BF23DD" w:rsidR="00C43F7B" w:rsidP="003B4312" w:rsidRDefault="003D087E" w14:paraId="6D290462" w14:textId="53B36563">
                <w:pPr>
                  <w:jc w:val="both"/>
                </w:pPr>
                <w:r w:rsidRPr="00BF23DD">
                  <w:rPr>
                    <w:rFonts w:ascii="Segoe UI Symbol" w:hAnsi="Segoe UI Symbol" w:eastAsia="MS Gothic" w:cs="Segoe UI Symbol"/>
                  </w:rPr>
                  <w:t>☒</w:t>
                </w:r>
              </w:p>
            </w:tc>
          </w:sdtContent>
        </w:sdt>
      </w:tr>
      <w:tr w:rsidRPr="00BF23DD" w:rsidR="00C43F7B" w:rsidTr="272F4351" w14:paraId="6D290467" w14:textId="77777777">
        <w:tc>
          <w:tcPr>
            <w:tcW w:w="1809" w:type="dxa"/>
            <w:vMerge/>
            <w:tcMar/>
          </w:tcPr>
          <w:p w:rsidRPr="00BF23DD" w:rsidR="00C43F7B" w:rsidP="003B4312" w:rsidRDefault="00C43F7B" w14:paraId="6D290464" w14:textId="77777777">
            <w:pPr>
              <w:jc w:val="both"/>
              <w:rPr>
                <w:b/>
              </w:rPr>
            </w:pPr>
          </w:p>
        </w:tc>
        <w:tc>
          <w:tcPr>
            <w:tcW w:w="5812" w:type="dxa"/>
            <w:tcMar/>
          </w:tcPr>
          <w:p w:rsidRPr="00BF23DD" w:rsidR="00C43F7B" w:rsidP="003B4312" w:rsidRDefault="00C43F7B" w14:paraId="6D290465" w14:textId="26C0FDA5">
            <w:pPr>
              <w:jc w:val="both"/>
              <w:rPr>
                <w:b/>
              </w:rPr>
            </w:pPr>
            <w:r w:rsidRPr="00BF23DD">
              <w:t>Timely Care</w:t>
            </w:r>
          </w:p>
        </w:tc>
        <w:sdt>
          <w:sdtPr>
            <w:id w:val="-275186550"/>
            <w14:checkbox>
              <w14:checked w14:val="0"/>
              <w14:checkedState w14:val="2612" w14:font="MS Gothic"/>
              <w14:uncheckedState w14:val="2610" w14:font="MS Gothic"/>
            </w14:checkbox>
          </w:sdtPr>
          <w:sdtEndPr/>
          <w:sdtContent>
            <w:tc>
              <w:tcPr>
                <w:tcW w:w="1624" w:type="dxa"/>
                <w:tcMar/>
              </w:tcPr>
              <w:p w:rsidRPr="00BF23DD" w:rsidR="00C43F7B" w:rsidP="003B4312" w:rsidRDefault="00C43F7B" w14:paraId="6D290466" w14:textId="77777777">
                <w:pPr>
                  <w:jc w:val="both"/>
                  <w:rPr>
                    <w:b/>
                  </w:rPr>
                </w:pPr>
                <w:r w:rsidRPr="00BF23DD">
                  <w:rPr>
                    <w:rFonts w:ascii="Segoe UI Symbol" w:hAnsi="Segoe UI Symbol" w:eastAsia="MS Gothic" w:cs="Segoe UI Symbol"/>
                  </w:rPr>
                  <w:t>☐</w:t>
                </w:r>
              </w:p>
            </w:tc>
          </w:sdtContent>
        </w:sdt>
      </w:tr>
      <w:tr w:rsidRPr="00BF23DD" w:rsidR="00C43F7B" w:rsidTr="272F4351" w14:paraId="6D29046B" w14:textId="77777777">
        <w:tc>
          <w:tcPr>
            <w:tcW w:w="1809" w:type="dxa"/>
            <w:vMerge/>
            <w:tcMar/>
          </w:tcPr>
          <w:p w:rsidRPr="00BF23DD" w:rsidR="00C43F7B" w:rsidP="003B4312" w:rsidRDefault="00C43F7B" w14:paraId="6D290468" w14:textId="77777777">
            <w:pPr>
              <w:jc w:val="both"/>
              <w:rPr>
                <w:b/>
              </w:rPr>
            </w:pPr>
          </w:p>
        </w:tc>
        <w:tc>
          <w:tcPr>
            <w:tcW w:w="5812" w:type="dxa"/>
            <w:tcMar/>
          </w:tcPr>
          <w:p w:rsidRPr="00BF23DD" w:rsidR="00C43F7B" w:rsidP="003B4312" w:rsidRDefault="00C43F7B" w14:paraId="6D290469" w14:textId="3332C186">
            <w:pPr>
              <w:jc w:val="both"/>
              <w:rPr>
                <w:b/>
              </w:rPr>
            </w:pPr>
            <w:r w:rsidRPr="00BF23DD">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BF23DD" w:rsidR="00C43F7B" w:rsidP="003B4312" w:rsidRDefault="003A1DE6" w14:paraId="6D29046A" w14:textId="2B5B0075">
                <w:pPr>
                  <w:jc w:val="both"/>
                  <w:rPr>
                    <w:b/>
                  </w:rPr>
                </w:pPr>
                <w:r w:rsidRPr="00BF23DD">
                  <w:rPr>
                    <w:rFonts w:ascii="Segoe UI Symbol" w:hAnsi="Segoe UI Symbol" w:eastAsia="MS Gothic" w:cs="Segoe UI Symbol"/>
                  </w:rPr>
                  <w:t>☒</w:t>
                </w:r>
              </w:p>
            </w:tc>
          </w:sdtContent>
        </w:sdt>
      </w:tr>
      <w:tr w:rsidRPr="00BF23DD" w:rsidR="00C43F7B" w:rsidTr="272F4351" w14:paraId="6D29046F" w14:textId="77777777">
        <w:tc>
          <w:tcPr>
            <w:tcW w:w="1809" w:type="dxa"/>
            <w:vMerge/>
            <w:tcMar/>
          </w:tcPr>
          <w:p w:rsidRPr="00BF23DD" w:rsidR="00C43F7B" w:rsidP="003B4312" w:rsidRDefault="00C43F7B" w14:paraId="6D29046C" w14:textId="77777777">
            <w:pPr>
              <w:jc w:val="both"/>
              <w:rPr>
                <w:b/>
              </w:rPr>
            </w:pPr>
          </w:p>
        </w:tc>
        <w:tc>
          <w:tcPr>
            <w:tcW w:w="5812" w:type="dxa"/>
            <w:tcMar/>
          </w:tcPr>
          <w:p w:rsidRPr="00BF23DD" w:rsidR="00C43F7B" w:rsidP="003B4312" w:rsidRDefault="00C43F7B" w14:paraId="6D29046D" w14:textId="02FE47C9">
            <w:pPr>
              <w:jc w:val="both"/>
              <w:rPr>
                <w:b/>
              </w:rPr>
            </w:pPr>
            <w:r w:rsidRPr="00BF23DD">
              <w:t>Efficient Care</w:t>
            </w:r>
          </w:p>
        </w:tc>
        <w:sdt>
          <w:sdtPr>
            <w:id w:val="1427299090"/>
            <w14:checkbox>
              <w14:checked w14:val="0"/>
              <w14:checkedState w14:val="2612" w14:font="MS Gothic"/>
              <w14:uncheckedState w14:val="2610" w14:font="MS Gothic"/>
            </w14:checkbox>
          </w:sdtPr>
          <w:sdtEndPr/>
          <w:sdtContent>
            <w:tc>
              <w:tcPr>
                <w:tcW w:w="1624" w:type="dxa"/>
                <w:tcMar/>
              </w:tcPr>
              <w:p w:rsidRPr="00BF23DD" w:rsidR="00C43F7B" w:rsidP="003B4312" w:rsidRDefault="00C43F7B" w14:paraId="6D29046E" w14:textId="77777777">
                <w:pPr>
                  <w:jc w:val="both"/>
                  <w:rPr>
                    <w:b/>
                  </w:rPr>
                </w:pPr>
                <w:r w:rsidRPr="00BF23DD">
                  <w:rPr>
                    <w:rFonts w:ascii="Segoe UI Symbol" w:hAnsi="Segoe UI Symbol" w:eastAsia="MS Gothic" w:cs="Segoe UI Symbol"/>
                  </w:rPr>
                  <w:t>☐</w:t>
                </w:r>
              </w:p>
            </w:tc>
          </w:sdtContent>
        </w:sdt>
      </w:tr>
      <w:tr w:rsidRPr="00BF23DD" w:rsidR="00C43F7B" w:rsidTr="272F4351" w14:paraId="6D290473" w14:textId="77777777">
        <w:tc>
          <w:tcPr>
            <w:tcW w:w="1809" w:type="dxa"/>
            <w:vMerge/>
            <w:tcMar/>
          </w:tcPr>
          <w:p w:rsidRPr="00BF23DD" w:rsidR="00C43F7B" w:rsidP="003B4312" w:rsidRDefault="00C43F7B" w14:paraId="6D290470" w14:textId="77777777">
            <w:pPr>
              <w:jc w:val="both"/>
              <w:rPr>
                <w:b/>
              </w:rPr>
            </w:pPr>
          </w:p>
        </w:tc>
        <w:tc>
          <w:tcPr>
            <w:tcW w:w="5812" w:type="dxa"/>
            <w:tcMar/>
          </w:tcPr>
          <w:p w:rsidRPr="00BF23DD" w:rsidR="00C43F7B" w:rsidP="003B4312" w:rsidRDefault="00C43F7B" w14:paraId="6D290471" w14:textId="639A0F69">
            <w:pPr>
              <w:jc w:val="both"/>
              <w:rPr>
                <w:b/>
              </w:rPr>
            </w:pPr>
            <w:r w:rsidRPr="00BF23DD">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BF23DD" w:rsidR="00C43F7B" w:rsidP="003B4312" w:rsidRDefault="00C43F7B" w14:paraId="6D290472" w14:textId="77777777">
                <w:pPr>
                  <w:jc w:val="both"/>
                  <w:rPr>
                    <w:b/>
                  </w:rPr>
                </w:pPr>
                <w:r w:rsidRPr="00BF23DD">
                  <w:rPr>
                    <w:rFonts w:ascii="Segoe UI Symbol" w:hAnsi="Segoe UI Symbol" w:eastAsia="MS Gothic" w:cs="Segoe UI Symbol"/>
                  </w:rPr>
                  <w:t>☐</w:t>
                </w:r>
              </w:p>
            </w:tc>
          </w:sdtContent>
        </w:sdt>
      </w:tr>
      <w:tr w:rsidRPr="00BF23DD" w:rsidR="00C43F7B" w:rsidTr="272F4351" w14:paraId="6D290477" w14:textId="77777777">
        <w:tc>
          <w:tcPr>
            <w:tcW w:w="1809" w:type="dxa"/>
            <w:vMerge/>
            <w:tcMar/>
          </w:tcPr>
          <w:p w:rsidRPr="00BF23DD" w:rsidR="00C43F7B" w:rsidP="003B4312" w:rsidRDefault="00C43F7B" w14:paraId="6D290474" w14:textId="77777777">
            <w:pPr>
              <w:jc w:val="both"/>
              <w:rPr>
                <w:b/>
              </w:rPr>
            </w:pPr>
          </w:p>
        </w:tc>
        <w:tc>
          <w:tcPr>
            <w:tcW w:w="5812" w:type="dxa"/>
            <w:tcMar/>
          </w:tcPr>
          <w:p w:rsidRPr="00BF23DD" w:rsidR="00C43F7B" w:rsidP="003B4312" w:rsidRDefault="00C43F7B" w14:paraId="6D290475" w14:textId="5778DDA9">
            <w:pPr>
              <w:jc w:val="both"/>
              <w:rPr>
                <w:b/>
              </w:rPr>
            </w:pPr>
            <w:r w:rsidRPr="00BF23DD">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BF23DD" w:rsidR="00C43F7B" w:rsidP="003B4312" w:rsidRDefault="002A7316" w14:paraId="6D290476" w14:textId="751938DA">
                <w:pPr>
                  <w:jc w:val="both"/>
                  <w:rPr>
                    <w:b/>
                    <w:bCs/>
                  </w:rPr>
                </w:pPr>
                <w:r w:rsidRPr="00BF23DD">
                  <w:rPr>
                    <w:rFonts w:ascii="Segoe UI Symbol" w:hAnsi="Segoe UI Symbol" w:eastAsia="MS Gothic" w:cs="Segoe UI Symbol"/>
                  </w:rPr>
                  <w:t>☐</w:t>
                </w:r>
              </w:p>
            </w:tc>
          </w:sdtContent>
        </w:sdt>
      </w:tr>
      <w:tr w:rsidRPr="00BF23DD" w:rsidR="00C43F7B" w:rsidTr="272F4351" w14:paraId="6D29047B" w14:textId="77777777">
        <w:tc>
          <w:tcPr>
            <w:tcW w:w="1809" w:type="dxa"/>
            <w:vMerge/>
            <w:tcMar/>
          </w:tcPr>
          <w:p w:rsidRPr="00BF23DD" w:rsidR="00C43F7B" w:rsidP="003B4312" w:rsidRDefault="00C43F7B" w14:paraId="6D290478" w14:textId="77777777">
            <w:pPr>
              <w:jc w:val="both"/>
              <w:rPr>
                <w:b/>
              </w:rPr>
            </w:pPr>
          </w:p>
        </w:tc>
        <w:tc>
          <w:tcPr>
            <w:tcW w:w="5812" w:type="dxa"/>
            <w:tcMar/>
          </w:tcPr>
          <w:p w:rsidRPr="00BF23DD" w:rsidR="00C43F7B" w:rsidP="003B4312" w:rsidRDefault="00C43F7B" w14:paraId="6D290479" w14:textId="7328B9FF">
            <w:pPr>
              <w:jc w:val="both"/>
              <w:rPr>
                <w:b/>
              </w:rPr>
            </w:pPr>
            <w:r w:rsidRPr="00BF23DD">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BF23DD" w:rsidR="00C43F7B" w:rsidP="003B4312" w:rsidRDefault="003D087E" w14:paraId="6D29047A" w14:textId="16ECD600">
                <w:pPr>
                  <w:jc w:val="both"/>
                  <w:rPr>
                    <w:b/>
                  </w:rPr>
                </w:pPr>
                <w:r w:rsidRPr="00BF23DD">
                  <w:rPr>
                    <w:rFonts w:ascii="Segoe UI Symbol" w:hAnsi="Segoe UI Symbol" w:eastAsia="MS Gothic" w:cs="Segoe UI Symbol"/>
                  </w:rPr>
                  <w:t>☒</w:t>
                </w:r>
              </w:p>
            </w:tc>
          </w:sdtContent>
        </w:sdt>
      </w:tr>
      <w:tr w:rsidRPr="00BF23DD" w:rsidR="00925DA1" w:rsidTr="272F4351" w14:paraId="4481435E" w14:textId="77777777">
        <w:tc>
          <w:tcPr>
            <w:tcW w:w="1809" w:type="dxa"/>
            <w:vMerge w:val="restart"/>
            <w:tcMar/>
          </w:tcPr>
          <w:p w:rsidRPr="00BF23DD" w:rsidR="00925DA1" w:rsidP="003B4312" w:rsidRDefault="00925DA1" w14:paraId="24852AC0" w14:textId="79557235">
            <w:pPr>
              <w:jc w:val="both"/>
              <w:rPr>
                <w:b/>
              </w:rPr>
            </w:pPr>
            <w:r w:rsidRPr="00BF23DD">
              <w:rPr>
                <w:b/>
                <w:iCs/>
              </w:rPr>
              <w:t>Enablers</w:t>
            </w:r>
            <w:r w:rsidRPr="00BF23DD">
              <w:rPr>
                <w:b/>
                <w:i/>
              </w:rPr>
              <w:t xml:space="preserve"> </w:t>
            </w:r>
            <w:r w:rsidRPr="00BF23DD" w:rsidR="005506AE">
              <w:rPr>
                <w:b/>
                <w:i/>
              </w:rPr>
              <w:t>(please choose which applies)</w:t>
            </w:r>
          </w:p>
        </w:tc>
        <w:tc>
          <w:tcPr>
            <w:tcW w:w="5812" w:type="dxa"/>
            <w:tcMar/>
          </w:tcPr>
          <w:p w:rsidRPr="00BF23DD" w:rsidR="00925DA1" w:rsidP="003B4312" w:rsidRDefault="00925DA1" w14:paraId="23C5DEE5" w14:textId="11BC75F3">
            <w:pPr>
              <w:jc w:val="both"/>
            </w:pPr>
            <w:r w:rsidRPr="00BF23DD">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Pr="00BF23DD" w:rsidR="00925DA1" w:rsidP="003B4312" w:rsidRDefault="003D087E" w14:paraId="7904B42E" w14:textId="550F4931">
                <w:pPr>
                  <w:jc w:val="both"/>
                </w:pPr>
                <w:r w:rsidRPr="00BF23DD">
                  <w:rPr>
                    <w:rFonts w:ascii="Segoe UI Symbol" w:hAnsi="Segoe UI Symbol" w:eastAsia="MS Gothic" w:cs="Segoe UI Symbol"/>
                  </w:rPr>
                  <w:t>☒</w:t>
                </w:r>
              </w:p>
            </w:tc>
          </w:sdtContent>
        </w:sdt>
      </w:tr>
      <w:tr w:rsidRPr="00BF23DD" w:rsidR="00925DA1" w:rsidTr="272F4351" w14:paraId="2D450AA3" w14:textId="77777777">
        <w:tc>
          <w:tcPr>
            <w:tcW w:w="1809" w:type="dxa"/>
            <w:vMerge/>
            <w:tcMar/>
          </w:tcPr>
          <w:p w:rsidRPr="00BF23DD" w:rsidR="00925DA1" w:rsidP="003B4312" w:rsidRDefault="00925DA1" w14:paraId="2E025453" w14:textId="77777777">
            <w:pPr>
              <w:jc w:val="both"/>
              <w:rPr>
                <w:b/>
              </w:rPr>
            </w:pPr>
          </w:p>
        </w:tc>
        <w:tc>
          <w:tcPr>
            <w:tcW w:w="5812" w:type="dxa"/>
            <w:tcMar/>
          </w:tcPr>
          <w:p w:rsidRPr="00BF23DD" w:rsidR="00925DA1" w:rsidP="003B4312" w:rsidRDefault="00925DA1" w14:paraId="2A69D290" w14:textId="0605AEDE">
            <w:pPr>
              <w:jc w:val="both"/>
            </w:pPr>
            <w:r w:rsidRPr="00BF23DD">
              <w:t>Leadership</w:t>
            </w:r>
          </w:p>
        </w:tc>
        <w:sdt>
          <w:sdtPr>
            <w:id w:val="2117096538"/>
            <w14:checkbox>
              <w14:checked w14:val="1"/>
              <w14:checkedState w14:val="2612" w14:font="MS Gothic"/>
              <w14:uncheckedState w14:val="2610" w14:font="MS Gothic"/>
            </w14:checkbox>
          </w:sdtPr>
          <w:sdtEndPr/>
          <w:sdtContent>
            <w:tc>
              <w:tcPr>
                <w:tcW w:w="1624" w:type="dxa"/>
                <w:tcMar/>
              </w:tcPr>
              <w:p w:rsidRPr="00BF23DD" w:rsidR="00925DA1" w:rsidP="003B4312" w:rsidRDefault="003D087E" w14:paraId="38BFB30F" w14:textId="78956F88">
                <w:pPr>
                  <w:jc w:val="both"/>
                </w:pPr>
                <w:r w:rsidRPr="00BF23DD">
                  <w:rPr>
                    <w:rFonts w:ascii="Segoe UI Symbol" w:hAnsi="Segoe UI Symbol" w:eastAsia="MS Gothic" w:cs="Segoe UI Symbol"/>
                  </w:rPr>
                  <w:t>☒</w:t>
                </w:r>
              </w:p>
            </w:tc>
          </w:sdtContent>
        </w:sdt>
      </w:tr>
      <w:tr w:rsidRPr="00BF23DD" w:rsidR="00925DA1" w:rsidTr="272F4351" w14:paraId="086E4F8D" w14:textId="77777777">
        <w:tc>
          <w:tcPr>
            <w:tcW w:w="1809" w:type="dxa"/>
            <w:vMerge/>
            <w:tcMar/>
          </w:tcPr>
          <w:p w:rsidRPr="00BF23DD" w:rsidR="00925DA1" w:rsidP="003B4312" w:rsidRDefault="00925DA1" w14:paraId="4CB5CDEE" w14:textId="77777777">
            <w:pPr>
              <w:jc w:val="both"/>
              <w:rPr>
                <w:b/>
              </w:rPr>
            </w:pPr>
          </w:p>
        </w:tc>
        <w:tc>
          <w:tcPr>
            <w:tcW w:w="5812" w:type="dxa"/>
            <w:tcMar/>
          </w:tcPr>
          <w:p w:rsidRPr="00BF23DD" w:rsidR="00925DA1" w:rsidP="003B4312" w:rsidRDefault="00925DA1" w14:paraId="75A9FE92" w14:textId="231227FB">
            <w:pPr>
              <w:jc w:val="both"/>
            </w:pPr>
            <w:r w:rsidRPr="00BF23DD">
              <w:t>Workforce</w:t>
            </w:r>
          </w:p>
        </w:tc>
        <w:sdt>
          <w:sdtPr>
            <w:id w:val="-1282257052"/>
            <w14:checkbox>
              <w14:checked w14:val="1"/>
              <w14:checkedState w14:val="2612" w14:font="MS Gothic"/>
              <w14:uncheckedState w14:val="2610" w14:font="MS Gothic"/>
            </w14:checkbox>
          </w:sdtPr>
          <w:sdtEndPr/>
          <w:sdtContent>
            <w:tc>
              <w:tcPr>
                <w:tcW w:w="1624" w:type="dxa"/>
                <w:tcMar/>
              </w:tcPr>
              <w:p w:rsidRPr="00BF23DD" w:rsidR="00925DA1" w:rsidP="003B4312" w:rsidRDefault="003D087E" w14:paraId="15982273" w14:textId="3D0E29B1">
                <w:pPr>
                  <w:jc w:val="both"/>
                </w:pPr>
                <w:r w:rsidRPr="00BF23DD">
                  <w:rPr>
                    <w:rFonts w:ascii="Segoe UI Symbol" w:hAnsi="Segoe UI Symbol" w:eastAsia="MS Gothic" w:cs="Segoe UI Symbol"/>
                  </w:rPr>
                  <w:t>☒</w:t>
                </w:r>
              </w:p>
            </w:tc>
          </w:sdtContent>
        </w:sdt>
      </w:tr>
      <w:tr w:rsidRPr="00BF23DD" w:rsidR="00925DA1" w:rsidTr="272F4351" w14:paraId="6F3DEEC2" w14:textId="77777777">
        <w:tc>
          <w:tcPr>
            <w:tcW w:w="1809" w:type="dxa"/>
            <w:vMerge/>
            <w:tcMar/>
          </w:tcPr>
          <w:p w:rsidRPr="00BF23DD" w:rsidR="00925DA1" w:rsidP="003B4312" w:rsidRDefault="00925DA1" w14:paraId="0AEE896D" w14:textId="77777777">
            <w:pPr>
              <w:jc w:val="both"/>
              <w:rPr>
                <w:b/>
              </w:rPr>
            </w:pPr>
          </w:p>
        </w:tc>
        <w:tc>
          <w:tcPr>
            <w:tcW w:w="5812" w:type="dxa"/>
            <w:tcMar/>
          </w:tcPr>
          <w:p w:rsidRPr="00BF23DD" w:rsidR="00925DA1" w:rsidP="003B4312" w:rsidRDefault="00925DA1" w14:paraId="7C1ACCB9" w14:textId="0A949DE8">
            <w:pPr>
              <w:jc w:val="both"/>
            </w:pPr>
            <w:r w:rsidRPr="00BF23DD">
              <w:t>Culture</w:t>
            </w:r>
          </w:p>
        </w:tc>
        <w:sdt>
          <w:sdtPr>
            <w:id w:val="617871883"/>
            <w14:checkbox>
              <w14:checked w14:val="0"/>
              <w14:checkedState w14:val="2612" w14:font="MS Gothic"/>
              <w14:uncheckedState w14:val="2610" w14:font="MS Gothic"/>
            </w14:checkbox>
          </w:sdtPr>
          <w:sdtEndPr/>
          <w:sdtContent>
            <w:tc>
              <w:tcPr>
                <w:tcW w:w="1624" w:type="dxa"/>
                <w:tcMar/>
              </w:tcPr>
              <w:p w:rsidRPr="00BF23DD" w:rsidR="00925DA1" w:rsidP="003B4312" w:rsidRDefault="002A7316" w14:paraId="2B2CC2E7" w14:textId="16A50F8D">
                <w:pPr>
                  <w:jc w:val="both"/>
                </w:pPr>
                <w:r w:rsidRPr="00BF23DD">
                  <w:rPr>
                    <w:rFonts w:ascii="Segoe UI Symbol" w:hAnsi="Segoe UI Symbol" w:eastAsia="MS Gothic" w:cs="Segoe UI Symbol"/>
                  </w:rPr>
                  <w:t>☐</w:t>
                </w:r>
              </w:p>
            </w:tc>
          </w:sdtContent>
        </w:sdt>
      </w:tr>
      <w:tr w:rsidRPr="00BF23DD" w:rsidR="00925DA1" w:rsidTr="272F4351" w14:paraId="7AD6E919" w14:textId="77777777">
        <w:tc>
          <w:tcPr>
            <w:tcW w:w="1809" w:type="dxa"/>
            <w:vMerge/>
            <w:tcMar/>
          </w:tcPr>
          <w:p w:rsidRPr="00BF23DD" w:rsidR="00925DA1" w:rsidP="003B4312" w:rsidRDefault="00925DA1" w14:paraId="35FD7653" w14:textId="77777777">
            <w:pPr>
              <w:jc w:val="both"/>
              <w:rPr>
                <w:b/>
              </w:rPr>
            </w:pPr>
          </w:p>
        </w:tc>
        <w:tc>
          <w:tcPr>
            <w:tcW w:w="5812" w:type="dxa"/>
            <w:tcMar/>
          </w:tcPr>
          <w:p w:rsidRPr="00BF23DD" w:rsidR="00925DA1" w:rsidP="003B4312" w:rsidRDefault="00925DA1" w14:paraId="57B10CB7" w14:textId="027A78F8">
            <w:pPr>
              <w:jc w:val="both"/>
            </w:pPr>
            <w:r w:rsidRPr="00BF23DD">
              <w:t xml:space="preserve">Information </w:t>
            </w:r>
          </w:p>
        </w:tc>
        <w:sdt>
          <w:sdtPr>
            <w:id w:val="314299722"/>
            <w14:checkbox>
              <w14:checked w14:val="1"/>
              <w14:checkedState w14:val="2612" w14:font="MS Gothic"/>
              <w14:uncheckedState w14:val="2610" w14:font="MS Gothic"/>
            </w14:checkbox>
          </w:sdtPr>
          <w:sdtEndPr/>
          <w:sdtContent>
            <w:tc>
              <w:tcPr>
                <w:tcW w:w="1624" w:type="dxa"/>
                <w:tcMar/>
              </w:tcPr>
              <w:p w:rsidRPr="00BF23DD" w:rsidR="00925DA1" w:rsidP="003B4312" w:rsidRDefault="003D087E" w14:paraId="3E41BC05" w14:textId="4A627A80">
                <w:pPr>
                  <w:jc w:val="both"/>
                </w:pPr>
                <w:r w:rsidRPr="00BF23DD">
                  <w:rPr>
                    <w:rFonts w:ascii="Segoe UI Symbol" w:hAnsi="Segoe UI Symbol" w:eastAsia="MS Gothic" w:cs="Segoe UI Symbol"/>
                  </w:rPr>
                  <w:t>☒</w:t>
                </w:r>
              </w:p>
            </w:tc>
          </w:sdtContent>
        </w:sdt>
      </w:tr>
      <w:tr w:rsidRPr="00BF23DD" w:rsidR="00925DA1" w:rsidTr="272F4351" w14:paraId="5A1317D4" w14:textId="77777777">
        <w:tc>
          <w:tcPr>
            <w:tcW w:w="1809" w:type="dxa"/>
            <w:vMerge/>
            <w:tcMar/>
          </w:tcPr>
          <w:p w:rsidRPr="00BF23DD" w:rsidR="00925DA1" w:rsidP="003B4312" w:rsidRDefault="00925DA1" w14:paraId="21B969C2" w14:textId="77777777">
            <w:pPr>
              <w:jc w:val="both"/>
              <w:rPr>
                <w:b/>
              </w:rPr>
            </w:pPr>
          </w:p>
        </w:tc>
        <w:tc>
          <w:tcPr>
            <w:tcW w:w="5812" w:type="dxa"/>
            <w:tcMar/>
          </w:tcPr>
          <w:p w:rsidRPr="00BF23DD" w:rsidR="00925DA1" w:rsidP="003B4312" w:rsidRDefault="00925DA1" w14:paraId="611AECC0" w14:textId="2F7F719A">
            <w:pPr>
              <w:jc w:val="both"/>
            </w:pPr>
            <w:r w:rsidRPr="00BF23DD">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Pr="00BF23DD" w:rsidR="00925DA1" w:rsidP="003B4312" w:rsidRDefault="002A7316" w14:paraId="60F96135" w14:textId="758DBD52">
                <w:pPr>
                  <w:jc w:val="both"/>
                </w:pPr>
                <w:r w:rsidRPr="00BF23DD">
                  <w:rPr>
                    <w:rFonts w:ascii="Segoe UI Symbol" w:hAnsi="Segoe UI Symbol" w:eastAsia="MS Gothic" w:cs="Segoe UI Symbol"/>
                  </w:rPr>
                  <w:t>☐</w:t>
                </w:r>
              </w:p>
            </w:tc>
          </w:sdtContent>
        </w:sdt>
      </w:tr>
      <w:tr w:rsidRPr="00BF23DD" w:rsidR="00925DA1" w:rsidTr="272F4351" w14:paraId="6D29047D" w14:textId="77777777">
        <w:tc>
          <w:tcPr>
            <w:tcW w:w="9245" w:type="dxa"/>
            <w:gridSpan w:val="3"/>
            <w:shd w:val="clear" w:color="auto" w:fill="C1A775"/>
            <w:tcMar/>
          </w:tcPr>
          <w:p w:rsidRPr="00BF23DD" w:rsidR="00925DA1" w:rsidP="003B4312" w:rsidRDefault="00925DA1" w14:paraId="6D29047C" w14:textId="45C29034">
            <w:pPr>
              <w:jc w:val="both"/>
              <w:rPr>
                <w:b/>
              </w:rPr>
            </w:pPr>
            <w:r w:rsidRPr="00BF23DD">
              <w:rPr>
                <w:b/>
              </w:rPr>
              <w:t>Quality, Safety and Patient Experience</w:t>
            </w:r>
          </w:p>
        </w:tc>
      </w:tr>
      <w:tr w:rsidRPr="00BF23DD" w:rsidR="00925DA1" w:rsidTr="272F4351" w14:paraId="6D290480" w14:textId="77777777">
        <w:tc>
          <w:tcPr>
            <w:tcW w:w="9245" w:type="dxa"/>
            <w:gridSpan w:val="3"/>
            <w:tcMar/>
          </w:tcPr>
          <w:p w:rsidRPr="00BF23DD" w:rsidR="00925DA1" w:rsidP="006F2F4E" w:rsidRDefault="007D772F" w14:paraId="6D29047F" w14:textId="14C5B155">
            <w:pPr>
              <w:jc w:val="both"/>
            </w:pPr>
            <w:r w:rsidR="24828EA7">
              <w:rPr/>
              <w:t>T</w:t>
            </w:r>
            <w:r w:rsidR="24828EA7">
              <w:rPr/>
              <w:t xml:space="preserve">he report </w:t>
            </w:r>
            <w:r w:rsidR="230A9620">
              <w:rPr/>
              <w:t>supports</w:t>
            </w:r>
            <w:r w:rsidR="24828EA7">
              <w:rPr/>
              <w:t xml:space="preserve"> the safe and effective use of medicines across </w:t>
            </w:r>
            <w:r w:rsidR="24828EA7">
              <w:rPr/>
              <w:t xml:space="preserve">SBUHB </w:t>
            </w:r>
            <w:r w:rsidR="24828EA7">
              <w:rPr/>
              <w:t>through medicines optimisation, antimicrobial stewardship, medicines safety governance and controlled drug assurance.</w:t>
            </w:r>
          </w:p>
        </w:tc>
      </w:tr>
      <w:tr w:rsidRPr="00BF23DD" w:rsidR="00925DA1" w:rsidTr="272F4351" w14:paraId="6D290482" w14:textId="77777777">
        <w:tc>
          <w:tcPr>
            <w:tcW w:w="9245" w:type="dxa"/>
            <w:gridSpan w:val="3"/>
            <w:shd w:val="clear" w:color="auto" w:fill="C1A775"/>
            <w:tcMar/>
          </w:tcPr>
          <w:p w:rsidRPr="00BF23DD" w:rsidR="00925DA1" w:rsidP="003B4312" w:rsidRDefault="6612E799" w14:paraId="6D290481" w14:textId="77777777">
            <w:pPr>
              <w:jc w:val="both"/>
              <w:rPr>
                <w:b/>
                <w:bCs/>
              </w:rPr>
            </w:pPr>
            <w:r w:rsidRPr="00BF23DD">
              <w:rPr>
                <w:b/>
                <w:bCs/>
              </w:rPr>
              <w:t>Financial Implications</w:t>
            </w:r>
          </w:p>
        </w:tc>
      </w:tr>
      <w:tr w:rsidRPr="00BF23DD" w:rsidR="00925DA1" w:rsidTr="272F4351" w14:paraId="6D290487" w14:textId="77777777">
        <w:tc>
          <w:tcPr>
            <w:tcW w:w="9245" w:type="dxa"/>
            <w:gridSpan w:val="3"/>
            <w:tcMar/>
          </w:tcPr>
          <w:p w:rsidRPr="007D772F" w:rsidR="00925DA1" w:rsidP="007D772F" w:rsidRDefault="009243C5" w14:paraId="6D290486" w14:textId="19C62BF8">
            <w:pPr>
              <w:jc w:val="both"/>
              <w:rPr>
                <w:bCs/>
              </w:rPr>
            </w:pPr>
            <w:r w:rsidRPr="009243C5">
              <w:rPr>
                <w:bCs/>
              </w:rPr>
              <w:t>Pharmacy and Medicines Management is delivering a £3.25m recurrent medicines savings programme in 2026-27, making a significant contribution to the Health Board's financial recovery plan. Delivery remains on track, with key risks relating to demand growth, medicines costs, implementation of new therapies and workforce capacity being actively managed</w:t>
            </w:r>
          </w:p>
        </w:tc>
      </w:tr>
      <w:tr w:rsidRPr="00BF23DD" w:rsidR="00925DA1" w:rsidTr="272F4351" w14:paraId="6D290489" w14:textId="77777777">
        <w:tc>
          <w:tcPr>
            <w:tcW w:w="9245" w:type="dxa"/>
            <w:gridSpan w:val="3"/>
            <w:shd w:val="clear" w:color="auto" w:fill="C1A775"/>
            <w:tcMar/>
          </w:tcPr>
          <w:p w:rsidRPr="00BF23DD" w:rsidR="00925DA1" w:rsidP="003B4312" w:rsidRDefault="6612E799" w14:paraId="6D290488" w14:textId="77777777">
            <w:pPr>
              <w:keepNext/>
              <w:keepLines/>
              <w:ind w:right="96"/>
              <w:jc w:val="both"/>
              <w:rPr>
                <w:b/>
                <w:bCs/>
              </w:rPr>
            </w:pPr>
            <w:r w:rsidRPr="00BF23DD">
              <w:rPr>
                <w:b/>
                <w:bCs/>
              </w:rPr>
              <w:t>Legal Implications (including equality and diversity assessment)</w:t>
            </w:r>
          </w:p>
        </w:tc>
      </w:tr>
      <w:tr w:rsidRPr="00BF23DD" w:rsidR="00925DA1" w:rsidTr="272F4351" w14:paraId="6D29048C" w14:textId="77777777">
        <w:tc>
          <w:tcPr>
            <w:tcW w:w="9245" w:type="dxa"/>
            <w:gridSpan w:val="3"/>
            <w:tcMar/>
          </w:tcPr>
          <w:p w:rsidRPr="00BF23DD" w:rsidR="00925DA1" w:rsidP="003B4312" w:rsidRDefault="0018709A" w14:paraId="6D29048B" w14:textId="7B7CEDE3">
            <w:pPr>
              <w:jc w:val="both"/>
            </w:pPr>
            <w:r w:rsidRPr="0018709A">
              <w:t xml:space="preserve">Pharmacy services operate within a robust legislative and regulatory framework including the Human Medicines Regulations, Controlled Drugs legislation, General Pharmaceutical Council standards, MHRA requirements, </w:t>
            </w:r>
            <w:r w:rsidRPr="0018709A">
              <w:lastRenderedPageBreak/>
              <w:t xml:space="preserve">Home Office licensing arrangements and Welsh Government patient safety requirements. </w:t>
            </w:r>
          </w:p>
        </w:tc>
      </w:tr>
      <w:tr w:rsidRPr="00BF23DD" w:rsidR="00925DA1" w:rsidTr="272F4351" w14:paraId="6D29048E" w14:textId="77777777">
        <w:tc>
          <w:tcPr>
            <w:tcW w:w="9245" w:type="dxa"/>
            <w:gridSpan w:val="3"/>
            <w:shd w:val="clear" w:color="auto" w:fill="C1A775"/>
            <w:tcMar/>
          </w:tcPr>
          <w:p w:rsidRPr="00BF23DD" w:rsidR="00925DA1" w:rsidP="003B4312" w:rsidRDefault="00925DA1" w14:paraId="6D29048D" w14:textId="77777777">
            <w:pPr>
              <w:ind w:right="96"/>
              <w:jc w:val="both"/>
              <w:rPr>
                <w:b/>
                <w:color w:val="FF0000"/>
              </w:rPr>
            </w:pPr>
            <w:r w:rsidRPr="00BF23DD">
              <w:rPr>
                <w:b/>
              </w:rPr>
              <w:lastRenderedPageBreak/>
              <w:t>Staffing Implications</w:t>
            </w:r>
          </w:p>
        </w:tc>
      </w:tr>
      <w:tr w:rsidRPr="00BF23DD" w:rsidR="00925DA1" w:rsidTr="272F4351" w14:paraId="6D290491" w14:textId="77777777">
        <w:tc>
          <w:tcPr>
            <w:tcW w:w="9245" w:type="dxa"/>
            <w:gridSpan w:val="3"/>
            <w:tcMar/>
          </w:tcPr>
          <w:p w:rsidRPr="00BF23DD" w:rsidR="00925DA1" w:rsidP="006F2F4E" w:rsidRDefault="0018709A" w14:paraId="6D290490" w14:textId="58FB9548">
            <w:pPr>
              <w:ind w:right="96"/>
              <w:jc w:val="both"/>
            </w:pPr>
            <w:r w:rsidRPr="0018709A">
              <w:t xml:space="preserve">Workforce pressures continue across several pharmacy service areas following recurrent pay budget reductions and recruitment challenges. These constraints have impacted service resilience and capacity to support some governance activities and have contributed to ongoing operational risks. </w:t>
            </w:r>
          </w:p>
        </w:tc>
      </w:tr>
      <w:tr w:rsidRPr="00BF23DD" w:rsidR="00925DA1" w:rsidTr="272F4351" w14:paraId="6D290493" w14:textId="77777777">
        <w:tc>
          <w:tcPr>
            <w:tcW w:w="9245" w:type="dxa"/>
            <w:gridSpan w:val="3"/>
            <w:shd w:val="clear" w:color="auto" w:fill="C1A775"/>
            <w:tcMar/>
          </w:tcPr>
          <w:p w:rsidRPr="00BF23DD" w:rsidR="00925DA1" w:rsidP="003B4312" w:rsidRDefault="00925DA1" w14:paraId="6D290492" w14:textId="77777777">
            <w:pPr>
              <w:ind w:right="96"/>
              <w:jc w:val="both"/>
              <w:rPr>
                <w:b/>
                <w:color w:val="FF0000"/>
              </w:rPr>
            </w:pPr>
            <w:r w:rsidRPr="00BF23DD">
              <w:rPr>
                <w:b/>
              </w:rPr>
              <w:t>Long Term Implications (including the impact of the Well-being of Future Generations (Wales) Act 2015)</w:t>
            </w:r>
          </w:p>
        </w:tc>
      </w:tr>
      <w:tr w:rsidRPr="00BF23DD" w:rsidR="00925DA1" w:rsidTr="272F4351" w14:paraId="6D290496" w14:textId="77777777">
        <w:tc>
          <w:tcPr>
            <w:tcW w:w="9245" w:type="dxa"/>
            <w:gridSpan w:val="3"/>
            <w:tcMar/>
          </w:tcPr>
          <w:p w:rsidRPr="00150BDC" w:rsidR="00925DA1" w:rsidP="00150BDC" w:rsidRDefault="00150BDC" w14:paraId="6D290495" w14:textId="469AD362">
            <w:pPr>
              <w:ind w:right="96"/>
              <w:jc w:val="both"/>
            </w:pPr>
            <w:r w:rsidRPr="00150BDC">
              <w:t xml:space="preserve">The initiatives described within this report support the Health Board's long-term objectives by strengthening medicines governance, improving antimicrobial stewardship, reducing unwarranted variation in prescribing practice and enhancing medicines safety. </w:t>
            </w:r>
          </w:p>
        </w:tc>
      </w:tr>
      <w:tr w:rsidRPr="00BF23DD" w:rsidR="00925DA1" w:rsidTr="272F4351" w14:paraId="4C321512" w14:textId="77777777">
        <w:tc>
          <w:tcPr>
            <w:tcW w:w="9245" w:type="dxa"/>
            <w:gridSpan w:val="3"/>
            <w:shd w:val="clear" w:color="auto" w:fill="C1A775"/>
            <w:tcMar/>
          </w:tcPr>
          <w:p w:rsidRPr="00BF23DD" w:rsidR="00925DA1" w:rsidP="003B4312" w:rsidRDefault="00925DA1" w14:paraId="7E102395" w14:textId="5A180082">
            <w:pPr>
              <w:ind w:right="96"/>
              <w:jc w:val="both"/>
              <w:rPr>
                <w:b/>
              </w:rPr>
            </w:pPr>
            <w:r w:rsidRPr="00BF23DD">
              <w:rPr>
                <w:b/>
              </w:rPr>
              <w:t>Report History</w:t>
            </w:r>
          </w:p>
        </w:tc>
      </w:tr>
      <w:tr w:rsidRPr="00BF23DD" w:rsidR="00925DA1" w:rsidTr="272F4351" w14:paraId="6D29049A" w14:textId="77777777">
        <w:tc>
          <w:tcPr>
            <w:tcW w:w="9245" w:type="dxa"/>
            <w:gridSpan w:val="3"/>
            <w:tcMar/>
          </w:tcPr>
          <w:p w:rsidRPr="00BF23DD" w:rsidR="00B36A0E" w:rsidP="003B4312" w:rsidRDefault="00B36A0E" w14:paraId="6D290499" w14:textId="614B0F76">
            <w:pPr>
              <w:ind w:right="96"/>
              <w:jc w:val="both"/>
            </w:pPr>
            <w:r w:rsidR="2CF9A106">
              <w:rPr/>
              <w:t>N/A.</w:t>
            </w:r>
          </w:p>
        </w:tc>
      </w:tr>
      <w:tr w:rsidRPr="00BF23DD" w:rsidR="00925DA1" w:rsidTr="272F4351" w14:paraId="08CD5C29" w14:textId="77777777">
        <w:tc>
          <w:tcPr>
            <w:tcW w:w="9245" w:type="dxa"/>
            <w:gridSpan w:val="3"/>
            <w:shd w:val="clear" w:color="auto" w:fill="C1A775"/>
            <w:tcMar/>
          </w:tcPr>
          <w:p w:rsidRPr="00BF23DD" w:rsidR="00925DA1" w:rsidP="003B4312" w:rsidRDefault="6612E799" w14:paraId="6800FBEB" w14:textId="3ED5416B">
            <w:pPr>
              <w:ind w:right="96"/>
              <w:jc w:val="both"/>
            </w:pPr>
            <w:r w:rsidRPr="00BF23DD">
              <w:rPr>
                <w:b/>
                <w:bCs/>
              </w:rPr>
              <w:t>Appendices</w:t>
            </w:r>
          </w:p>
        </w:tc>
      </w:tr>
      <w:tr w:rsidRPr="00BF23DD" w:rsidR="00925DA1" w:rsidTr="272F4351" w14:paraId="6D29049F" w14:textId="77777777">
        <w:tc>
          <w:tcPr>
            <w:tcW w:w="9245" w:type="dxa"/>
            <w:gridSpan w:val="3"/>
            <w:tcMar/>
          </w:tcPr>
          <w:p w:rsidRPr="00BF23DD" w:rsidR="00925DA1" w:rsidP="003B4312" w:rsidRDefault="007140D2" w14:paraId="6D29049E" w14:textId="2BE2B976">
            <w:pPr>
              <w:ind w:right="96"/>
              <w:jc w:val="both"/>
            </w:pPr>
            <w:r>
              <w:t>Appendix One – Formulary Status Report</w:t>
            </w:r>
          </w:p>
        </w:tc>
      </w:tr>
    </w:tbl>
    <w:p w:rsidRPr="00BF23DD" w:rsidR="00034194" w:rsidP="003B4312" w:rsidRDefault="00034194" w14:paraId="6D2904A0" w14:textId="77777777">
      <w:pPr>
        <w:jc w:val="both"/>
      </w:pPr>
    </w:p>
    <w:sectPr w:rsidRPr="00BF23DD" w:rsidR="00034194" w:rsidSect="00234ABA">
      <w:headerReference w:type="default" r:id="rId13"/>
      <w:footerReference w:type="default" r:id="rId14"/>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BAE" w:rsidP="00C107F2" w:rsidRDefault="00295BAE" w14:paraId="130A9F65" w14:textId="77777777">
      <w:pPr>
        <w:spacing w:after="0" w:line="240" w:lineRule="auto"/>
      </w:pPr>
      <w:r>
        <w:separator/>
      </w:r>
    </w:p>
  </w:endnote>
  <w:endnote w:type="continuationSeparator" w:id="0">
    <w:p w:rsidR="00295BAE" w:rsidP="00C107F2" w:rsidRDefault="00295BAE" w14:paraId="0268AF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131C6FC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233096439"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A65747">
          <w:rPr>
            <w:sz w:val="20"/>
            <w:szCs w:val="20"/>
          </w:rPr>
          <w:t>1</w:t>
        </w:r>
        <w:r w:rsidR="00200315">
          <w:rPr>
            <w:sz w:val="20"/>
            <w:szCs w:val="20"/>
          </w:rPr>
          <w:t>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rsidR="003324CB" w:rsidP="0031077C" w:rsidRDefault="00BE4BF6" w14:paraId="6D2904A9" w14:textId="37D94612">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5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BE4BF6" w14:paraId="6DC782A8" w14:textId="64BBB20D">
        <w:pPr>
          <w:pStyle w:val="Footer"/>
          <w:jc w:val="right"/>
          <w:rPr>
            <w:sz w:val="20"/>
            <w:szCs w:val="20"/>
          </w:rPr>
        </w:pPr>
        <w:r>
          <w:rPr>
            <w:rStyle w:val="CorporateStyle2"/>
          </w:rPr>
          <w:t>Tuesday, 25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BAE" w:rsidP="00C107F2" w:rsidRDefault="00295BAE" w14:paraId="76AB2FA7" w14:textId="77777777">
      <w:pPr>
        <w:spacing w:after="0" w:line="240" w:lineRule="auto"/>
      </w:pPr>
      <w:r>
        <w:separator/>
      </w:r>
    </w:p>
  </w:footnote>
  <w:footnote w:type="continuationSeparator" w:id="0">
    <w:p w:rsidR="00295BAE" w:rsidP="00C107F2" w:rsidRDefault="00295BAE" w14:paraId="3A9602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7477377">
          <wp:simplePos x="0" y="0"/>
          <wp:positionH relativeFrom="column">
            <wp:posOffset>1078865</wp:posOffset>
          </wp:positionH>
          <wp:positionV relativeFrom="paragraph">
            <wp:posOffset>-284480</wp:posOffset>
          </wp:positionV>
          <wp:extent cx="3598545" cy="866140"/>
          <wp:effectExtent l="0" t="0" r="1905" b="0"/>
          <wp:wrapNone/>
          <wp:docPr id="1542061956" name="Picture 154206195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0EFA"/>
    <w:multiLevelType w:val="hybridMultilevel"/>
    <w:tmpl w:val="CB3A0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56F64"/>
    <w:multiLevelType w:val="hybridMultilevel"/>
    <w:tmpl w:val="59D823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9665A5"/>
    <w:multiLevelType w:val="hybridMultilevel"/>
    <w:tmpl w:val="80966726"/>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3" w15:restartNumberingAfterBreak="0">
    <w:nsid w:val="0C392365"/>
    <w:multiLevelType w:val="hybridMultilevel"/>
    <w:tmpl w:val="012C6740"/>
    <w:lvl w:ilvl="0" w:tplc="7EAACD66">
      <w:start w:val="1"/>
      <w:numFmt w:val="bullet"/>
      <w:lvlText w:val="•"/>
      <w:lvlJc w:val="left"/>
      <w:pPr>
        <w:tabs>
          <w:tab w:val="num" w:pos="720"/>
        </w:tabs>
        <w:ind w:left="720" w:hanging="360"/>
      </w:pPr>
      <w:rPr>
        <w:rFonts w:hint="default" w:ascii="Arial,Sans-Serif" w:hAnsi="Arial,Sans-Serif"/>
      </w:rPr>
    </w:lvl>
    <w:lvl w:ilvl="1" w:tplc="60283F78" w:tentative="1">
      <w:start w:val="1"/>
      <w:numFmt w:val="bullet"/>
      <w:lvlText w:val="•"/>
      <w:lvlJc w:val="left"/>
      <w:pPr>
        <w:tabs>
          <w:tab w:val="num" w:pos="1440"/>
        </w:tabs>
        <w:ind w:left="1440" w:hanging="360"/>
      </w:pPr>
      <w:rPr>
        <w:rFonts w:hint="default" w:ascii="Arial,Sans-Serif" w:hAnsi="Arial,Sans-Serif"/>
      </w:rPr>
    </w:lvl>
    <w:lvl w:ilvl="2" w:tplc="6720C31E" w:tentative="1">
      <w:start w:val="1"/>
      <w:numFmt w:val="bullet"/>
      <w:lvlText w:val="•"/>
      <w:lvlJc w:val="left"/>
      <w:pPr>
        <w:tabs>
          <w:tab w:val="num" w:pos="2160"/>
        </w:tabs>
        <w:ind w:left="2160" w:hanging="360"/>
      </w:pPr>
      <w:rPr>
        <w:rFonts w:hint="default" w:ascii="Arial,Sans-Serif" w:hAnsi="Arial,Sans-Serif"/>
      </w:rPr>
    </w:lvl>
    <w:lvl w:ilvl="3" w:tplc="F118AB06" w:tentative="1">
      <w:start w:val="1"/>
      <w:numFmt w:val="bullet"/>
      <w:lvlText w:val="•"/>
      <w:lvlJc w:val="left"/>
      <w:pPr>
        <w:tabs>
          <w:tab w:val="num" w:pos="2880"/>
        </w:tabs>
        <w:ind w:left="2880" w:hanging="360"/>
      </w:pPr>
      <w:rPr>
        <w:rFonts w:hint="default" w:ascii="Arial,Sans-Serif" w:hAnsi="Arial,Sans-Serif"/>
      </w:rPr>
    </w:lvl>
    <w:lvl w:ilvl="4" w:tplc="7AB4AB5E" w:tentative="1">
      <w:start w:val="1"/>
      <w:numFmt w:val="bullet"/>
      <w:lvlText w:val="•"/>
      <w:lvlJc w:val="left"/>
      <w:pPr>
        <w:tabs>
          <w:tab w:val="num" w:pos="3600"/>
        </w:tabs>
        <w:ind w:left="3600" w:hanging="360"/>
      </w:pPr>
      <w:rPr>
        <w:rFonts w:hint="default" w:ascii="Arial,Sans-Serif" w:hAnsi="Arial,Sans-Serif"/>
      </w:rPr>
    </w:lvl>
    <w:lvl w:ilvl="5" w:tplc="BB1812BA" w:tentative="1">
      <w:start w:val="1"/>
      <w:numFmt w:val="bullet"/>
      <w:lvlText w:val="•"/>
      <w:lvlJc w:val="left"/>
      <w:pPr>
        <w:tabs>
          <w:tab w:val="num" w:pos="4320"/>
        </w:tabs>
        <w:ind w:left="4320" w:hanging="360"/>
      </w:pPr>
      <w:rPr>
        <w:rFonts w:hint="default" w:ascii="Arial,Sans-Serif" w:hAnsi="Arial,Sans-Serif"/>
      </w:rPr>
    </w:lvl>
    <w:lvl w:ilvl="6" w:tplc="DB8E8192" w:tentative="1">
      <w:start w:val="1"/>
      <w:numFmt w:val="bullet"/>
      <w:lvlText w:val="•"/>
      <w:lvlJc w:val="left"/>
      <w:pPr>
        <w:tabs>
          <w:tab w:val="num" w:pos="5040"/>
        </w:tabs>
        <w:ind w:left="5040" w:hanging="360"/>
      </w:pPr>
      <w:rPr>
        <w:rFonts w:hint="default" w:ascii="Arial,Sans-Serif" w:hAnsi="Arial,Sans-Serif"/>
      </w:rPr>
    </w:lvl>
    <w:lvl w:ilvl="7" w:tplc="2C180D16" w:tentative="1">
      <w:start w:val="1"/>
      <w:numFmt w:val="bullet"/>
      <w:lvlText w:val="•"/>
      <w:lvlJc w:val="left"/>
      <w:pPr>
        <w:tabs>
          <w:tab w:val="num" w:pos="5760"/>
        </w:tabs>
        <w:ind w:left="5760" w:hanging="360"/>
      </w:pPr>
      <w:rPr>
        <w:rFonts w:hint="default" w:ascii="Arial,Sans-Serif" w:hAnsi="Arial,Sans-Serif"/>
      </w:rPr>
    </w:lvl>
    <w:lvl w:ilvl="8" w:tplc="64CE882E" w:tentative="1">
      <w:start w:val="1"/>
      <w:numFmt w:val="bullet"/>
      <w:lvlText w:val="•"/>
      <w:lvlJc w:val="left"/>
      <w:pPr>
        <w:tabs>
          <w:tab w:val="num" w:pos="6480"/>
        </w:tabs>
        <w:ind w:left="6480" w:hanging="360"/>
      </w:pPr>
      <w:rPr>
        <w:rFonts w:hint="default" w:ascii="Arial,Sans-Serif" w:hAnsi="Arial,Sans-Serif"/>
      </w:rPr>
    </w:lvl>
  </w:abstractNum>
  <w:abstractNum w:abstractNumId="4" w15:restartNumberingAfterBreak="0">
    <w:nsid w:val="0D1A5794"/>
    <w:multiLevelType w:val="hybridMultilevel"/>
    <w:tmpl w:val="CB3A0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multilevel"/>
    <w:tmpl w:val="5764E7C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15:restartNumberingAfterBreak="0">
    <w:nsid w:val="1F582823"/>
    <w:multiLevelType w:val="hybridMultilevel"/>
    <w:tmpl w:val="15329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1F579C0"/>
    <w:multiLevelType w:val="hybridMultilevel"/>
    <w:tmpl w:val="1B96B66E"/>
    <w:lvl w:ilvl="0" w:tplc="36A85134">
      <w:start w:val="1"/>
      <w:numFmt w:val="bullet"/>
      <w:lvlText w:val="•"/>
      <w:lvlJc w:val="left"/>
      <w:pPr>
        <w:tabs>
          <w:tab w:val="num" w:pos="720"/>
        </w:tabs>
        <w:ind w:left="720" w:hanging="360"/>
      </w:pPr>
      <w:rPr>
        <w:rFonts w:hint="default" w:ascii="Arial,Sans-Serif" w:hAnsi="Arial,Sans-Serif"/>
      </w:rPr>
    </w:lvl>
    <w:lvl w:ilvl="1" w:tplc="C772ECC6">
      <w:numFmt w:val="bullet"/>
      <w:lvlText w:val="•"/>
      <w:lvlJc w:val="left"/>
      <w:pPr>
        <w:tabs>
          <w:tab w:val="num" w:pos="1440"/>
        </w:tabs>
        <w:ind w:left="1440" w:hanging="360"/>
      </w:pPr>
      <w:rPr>
        <w:rFonts w:hint="default" w:ascii="Arial,Sans-Serif" w:hAnsi="Arial,Sans-Serif"/>
      </w:rPr>
    </w:lvl>
    <w:lvl w:ilvl="2" w:tplc="2FDEBD26" w:tentative="1">
      <w:start w:val="1"/>
      <w:numFmt w:val="bullet"/>
      <w:lvlText w:val="•"/>
      <w:lvlJc w:val="left"/>
      <w:pPr>
        <w:tabs>
          <w:tab w:val="num" w:pos="2160"/>
        </w:tabs>
        <w:ind w:left="2160" w:hanging="360"/>
      </w:pPr>
      <w:rPr>
        <w:rFonts w:hint="default" w:ascii="Arial,Sans-Serif" w:hAnsi="Arial,Sans-Serif"/>
      </w:rPr>
    </w:lvl>
    <w:lvl w:ilvl="3" w:tplc="DEF63F36" w:tentative="1">
      <w:start w:val="1"/>
      <w:numFmt w:val="bullet"/>
      <w:lvlText w:val="•"/>
      <w:lvlJc w:val="left"/>
      <w:pPr>
        <w:tabs>
          <w:tab w:val="num" w:pos="2880"/>
        </w:tabs>
        <w:ind w:left="2880" w:hanging="360"/>
      </w:pPr>
      <w:rPr>
        <w:rFonts w:hint="default" w:ascii="Arial,Sans-Serif" w:hAnsi="Arial,Sans-Serif"/>
      </w:rPr>
    </w:lvl>
    <w:lvl w:ilvl="4" w:tplc="4880DA68" w:tentative="1">
      <w:start w:val="1"/>
      <w:numFmt w:val="bullet"/>
      <w:lvlText w:val="•"/>
      <w:lvlJc w:val="left"/>
      <w:pPr>
        <w:tabs>
          <w:tab w:val="num" w:pos="3600"/>
        </w:tabs>
        <w:ind w:left="3600" w:hanging="360"/>
      </w:pPr>
      <w:rPr>
        <w:rFonts w:hint="default" w:ascii="Arial,Sans-Serif" w:hAnsi="Arial,Sans-Serif"/>
      </w:rPr>
    </w:lvl>
    <w:lvl w:ilvl="5" w:tplc="7EFAB7B0" w:tentative="1">
      <w:start w:val="1"/>
      <w:numFmt w:val="bullet"/>
      <w:lvlText w:val="•"/>
      <w:lvlJc w:val="left"/>
      <w:pPr>
        <w:tabs>
          <w:tab w:val="num" w:pos="4320"/>
        </w:tabs>
        <w:ind w:left="4320" w:hanging="360"/>
      </w:pPr>
      <w:rPr>
        <w:rFonts w:hint="default" w:ascii="Arial,Sans-Serif" w:hAnsi="Arial,Sans-Serif"/>
      </w:rPr>
    </w:lvl>
    <w:lvl w:ilvl="6" w:tplc="6E9856DA" w:tentative="1">
      <w:start w:val="1"/>
      <w:numFmt w:val="bullet"/>
      <w:lvlText w:val="•"/>
      <w:lvlJc w:val="left"/>
      <w:pPr>
        <w:tabs>
          <w:tab w:val="num" w:pos="5040"/>
        </w:tabs>
        <w:ind w:left="5040" w:hanging="360"/>
      </w:pPr>
      <w:rPr>
        <w:rFonts w:hint="default" w:ascii="Arial,Sans-Serif" w:hAnsi="Arial,Sans-Serif"/>
      </w:rPr>
    </w:lvl>
    <w:lvl w:ilvl="7" w:tplc="7BBA194E" w:tentative="1">
      <w:start w:val="1"/>
      <w:numFmt w:val="bullet"/>
      <w:lvlText w:val="•"/>
      <w:lvlJc w:val="left"/>
      <w:pPr>
        <w:tabs>
          <w:tab w:val="num" w:pos="5760"/>
        </w:tabs>
        <w:ind w:left="5760" w:hanging="360"/>
      </w:pPr>
      <w:rPr>
        <w:rFonts w:hint="default" w:ascii="Arial,Sans-Serif" w:hAnsi="Arial,Sans-Serif"/>
      </w:rPr>
    </w:lvl>
    <w:lvl w:ilvl="8" w:tplc="3B5E0578" w:tentative="1">
      <w:start w:val="1"/>
      <w:numFmt w:val="bullet"/>
      <w:lvlText w:val="•"/>
      <w:lvlJc w:val="left"/>
      <w:pPr>
        <w:tabs>
          <w:tab w:val="num" w:pos="6480"/>
        </w:tabs>
        <w:ind w:left="6480" w:hanging="360"/>
      </w:pPr>
      <w:rPr>
        <w:rFonts w:hint="default" w:ascii="Arial,Sans-Serif" w:hAnsi="Arial,Sans-Serif"/>
      </w:rPr>
    </w:lvl>
  </w:abstractNum>
  <w:abstractNum w:abstractNumId="9" w15:restartNumberingAfterBreak="0">
    <w:nsid w:val="33FF6E96"/>
    <w:multiLevelType w:val="hybridMultilevel"/>
    <w:tmpl w:val="5D3C5B4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16F10D4"/>
    <w:multiLevelType w:val="hybridMultilevel"/>
    <w:tmpl w:val="715EADAA"/>
    <w:lvl w:ilvl="0" w:tplc="D8E2FA26">
      <w:start w:val="1"/>
      <w:numFmt w:val="bullet"/>
      <w:lvlText w:val="•"/>
      <w:lvlJc w:val="left"/>
      <w:pPr>
        <w:tabs>
          <w:tab w:val="num" w:pos="720"/>
        </w:tabs>
        <w:ind w:left="720" w:hanging="360"/>
      </w:pPr>
      <w:rPr>
        <w:rFonts w:hint="default" w:ascii="Arial" w:hAnsi="Arial"/>
      </w:rPr>
    </w:lvl>
    <w:lvl w:ilvl="1" w:tplc="24E276CC">
      <w:numFmt w:val="bullet"/>
      <w:lvlText w:val="•"/>
      <w:lvlJc w:val="left"/>
      <w:pPr>
        <w:tabs>
          <w:tab w:val="num" w:pos="1440"/>
        </w:tabs>
        <w:ind w:left="1440" w:hanging="360"/>
      </w:pPr>
      <w:rPr>
        <w:rFonts w:hint="default" w:ascii="Arial" w:hAnsi="Arial"/>
      </w:rPr>
    </w:lvl>
    <w:lvl w:ilvl="2" w:tplc="F61630E2" w:tentative="1">
      <w:start w:val="1"/>
      <w:numFmt w:val="bullet"/>
      <w:lvlText w:val="•"/>
      <w:lvlJc w:val="left"/>
      <w:pPr>
        <w:tabs>
          <w:tab w:val="num" w:pos="2160"/>
        </w:tabs>
        <w:ind w:left="2160" w:hanging="360"/>
      </w:pPr>
      <w:rPr>
        <w:rFonts w:hint="default" w:ascii="Arial" w:hAnsi="Arial"/>
      </w:rPr>
    </w:lvl>
    <w:lvl w:ilvl="3" w:tplc="B1CA40EE" w:tentative="1">
      <w:start w:val="1"/>
      <w:numFmt w:val="bullet"/>
      <w:lvlText w:val="•"/>
      <w:lvlJc w:val="left"/>
      <w:pPr>
        <w:tabs>
          <w:tab w:val="num" w:pos="2880"/>
        </w:tabs>
        <w:ind w:left="2880" w:hanging="360"/>
      </w:pPr>
      <w:rPr>
        <w:rFonts w:hint="default" w:ascii="Arial" w:hAnsi="Arial"/>
      </w:rPr>
    </w:lvl>
    <w:lvl w:ilvl="4" w:tplc="57D8952C" w:tentative="1">
      <w:start w:val="1"/>
      <w:numFmt w:val="bullet"/>
      <w:lvlText w:val="•"/>
      <w:lvlJc w:val="left"/>
      <w:pPr>
        <w:tabs>
          <w:tab w:val="num" w:pos="3600"/>
        </w:tabs>
        <w:ind w:left="3600" w:hanging="360"/>
      </w:pPr>
      <w:rPr>
        <w:rFonts w:hint="default" w:ascii="Arial" w:hAnsi="Arial"/>
      </w:rPr>
    </w:lvl>
    <w:lvl w:ilvl="5" w:tplc="36C47128" w:tentative="1">
      <w:start w:val="1"/>
      <w:numFmt w:val="bullet"/>
      <w:lvlText w:val="•"/>
      <w:lvlJc w:val="left"/>
      <w:pPr>
        <w:tabs>
          <w:tab w:val="num" w:pos="4320"/>
        </w:tabs>
        <w:ind w:left="4320" w:hanging="360"/>
      </w:pPr>
      <w:rPr>
        <w:rFonts w:hint="default" w:ascii="Arial" w:hAnsi="Arial"/>
      </w:rPr>
    </w:lvl>
    <w:lvl w:ilvl="6" w:tplc="7870D428" w:tentative="1">
      <w:start w:val="1"/>
      <w:numFmt w:val="bullet"/>
      <w:lvlText w:val="•"/>
      <w:lvlJc w:val="left"/>
      <w:pPr>
        <w:tabs>
          <w:tab w:val="num" w:pos="5040"/>
        </w:tabs>
        <w:ind w:left="5040" w:hanging="360"/>
      </w:pPr>
      <w:rPr>
        <w:rFonts w:hint="default" w:ascii="Arial" w:hAnsi="Arial"/>
      </w:rPr>
    </w:lvl>
    <w:lvl w:ilvl="7" w:tplc="B54EF362" w:tentative="1">
      <w:start w:val="1"/>
      <w:numFmt w:val="bullet"/>
      <w:lvlText w:val="•"/>
      <w:lvlJc w:val="left"/>
      <w:pPr>
        <w:tabs>
          <w:tab w:val="num" w:pos="5760"/>
        </w:tabs>
        <w:ind w:left="5760" w:hanging="360"/>
      </w:pPr>
      <w:rPr>
        <w:rFonts w:hint="default" w:ascii="Arial" w:hAnsi="Arial"/>
      </w:rPr>
    </w:lvl>
    <w:lvl w:ilvl="8" w:tplc="9D8EEA50"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4D993E38"/>
    <w:multiLevelType w:val="hybridMultilevel"/>
    <w:tmpl w:val="619625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AEE1B35"/>
    <w:multiLevelType w:val="hybridMultilevel"/>
    <w:tmpl w:val="DD7A2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CC1279D"/>
    <w:multiLevelType w:val="hybridMultilevel"/>
    <w:tmpl w:val="CB3A0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6B458A0"/>
    <w:multiLevelType w:val="hybridMultilevel"/>
    <w:tmpl w:val="581C8BCE"/>
    <w:lvl w:ilvl="0" w:tplc="FE9C43BE">
      <w:start w:val="1"/>
      <w:numFmt w:val="bullet"/>
      <w:lvlText w:val="•"/>
      <w:lvlJc w:val="left"/>
      <w:pPr>
        <w:tabs>
          <w:tab w:val="num" w:pos="720"/>
        </w:tabs>
        <w:ind w:left="720" w:hanging="360"/>
      </w:pPr>
      <w:rPr>
        <w:rFonts w:hint="default" w:ascii="Arial" w:hAnsi="Arial"/>
      </w:rPr>
    </w:lvl>
    <w:lvl w:ilvl="1" w:tplc="572A7FDE">
      <w:numFmt w:val="bullet"/>
      <w:lvlText w:val="•"/>
      <w:lvlJc w:val="left"/>
      <w:pPr>
        <w:tabs>
          <w:tab w:val="num" w:pos="1440"/>
        </w:tabs>
        <w:ind w:left="1440" w:hanging="360"/>
      </w:pPr>
      <w:rPr>
        <w:rFonts w:hint="default" w:ascii="Arial" w:hAnsi="Arial"/>
      </w:rPr>
    </w:lvl>
    <w:lvl w:ilvl="2" w:tplc="CDB067CE" w:tentative="1">
      <w:start w:val="1"/>
      <w:numFmt w:val="bullet"/>
      <w:lvlText w:val="•"/>
      <w:lvlJc w:val="left"/>
      <w:pPr>
        <w:tabs>
          <w:tab w:val="num" w:pos="2160"/>
        </w:tabs>
        <w:ind w:left="2160" w:hanging="360"/>
      </w:pPr>
      <w:rPr>
        <w:rFonts w:hint="default" w:ascii="Arial" w:hAnsi="Arial"/>
      </w:rPr>
    </w:lvl>
    <w:lvl w:ilvl="3" w:tplc="B2782F7E" w:tentative="1">
      <w:start w:val="1"/>
      <w:numFmt w:val="bullet"/>
      <w:lvlText w:val="•"/>
      <w:lvlJc w:val="left"/>
      <w:pPr>
        <w:tabs>
          <w:tab w:val="num" w:pos="2880"/>
        </w:tabs>
        <w:ind w:left="2880" w:hanging="360"/>
      </w:pPr>
      <w:rPr>
        <w:rFonts w:hint="default" w:ascii="Arial" w:hAnsi="Arial"/>
      </w:rPr>
    </w:lvl>
    <w:lvl w:ilvl="4" w:tplc="50788428" w:tentative="1">
      <w:start w:val="1"/>
      <w:numFmt w:val="bullet"/>
      <w:lvlText w:val="•"/>
      <w:lvlJc w:val="left"/>
      <w:pPr>
        <w:tabs>
          <w:tab w:val="num" w:pos="3600"/>
        </w:tabs>
        <w:ind w:left="3600" w:hanging="360"/>
      </w:pPr>
      <w:rPr>
        <w:rFonts w:hint="default" w:ascii="Arial" w:hAnsi="Arial"/>
      </w:rPr>
    </w:lvl>
    <w:lvl w:ilvl="5" w:tplc="6C02062E" w:tentative="1">
      <w:start w:val="1"/>
      <w:numFmt w:val="bullet"/>
      <w:lvlText w:val="•"/>
      <w:lvlJc w:val="left"/>
      <w:pPr>
        <w:tabs>
          <w:tab w:val="num" w:pos="4320"/>
        </w:tabs>
        <w:ind w:left="4320" w:hanging="360"/>
      </w:pPr>
      <w:rPr>
        <w:rFonts w:hint="default" w:ascii="Arial" w:hAnsi="Arial"/>
      </w:rPr>
    </w:lvl>
    <w:lvl w:ilvl="6" w:tplc="4AAAC618" w:tentative="1">
      <w:start w:val="1"/>
      <w:numFmt w:val="bullet"/>
      <w:lvlText w:val="•"/>
      <w:lvlJc w:val="left"/>
      <w:pPr>
        <w:tabs>
          <w:tab w:val="num" w:pos="5040"/>
        </w:tabs>
        <w:ind w:left="5040" w:hanging="360"/>
      </w:pPr>
      <w:rPr>
        <w:rFonts w:hint="default" w:ascii="Arial" w:hAnsi="Arial"/>
      </w:rPr>
    </w:lvl>
    <w:lvl w:ilvl="7" w:tplc="1346A45E" w:tentative="1">
      <w:start w:val="1"/>
      <w:numFmt w:val="bullet"/>
      <w:lvlText w:val="•"/>
      <w:lvlJc w:val="left"/>
      <w:pPr>
        <w:tabs>
          <w:tab w:val="num" w:pos="5760"/>
        </w:tabs>
        <w:ind w:left="5760" w:hanging="360"/>
      </w:pPr>
      <w:rPr>
        <w:rFonts w:hint="default" w:ascii="Arial" w:hAnsi="Arial"/>
      </w:rPr>
    </w:lvl>
    <w:lvl w:ilvl="8" w:tplc="124C5A18"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6871063C"/>
    <w:multiLevelType w:val="hybridMultilevel"/>
    <w:tmpl w:val="A0C8C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8DE6C77"/>
    <w:multiLevelType w:val="multilevel"/>
    <w:tmpl w:val="80BC16EA"/>
    <w:lvl w:ilvl="0">
      <w:start w:val="1"/>
      <w:numFmt w:val="bullet"/>
      <w:lvlText w:val="o"/>
      <w:lvlJc w:val="left"/>
      <w:pPr>
        <w:tabs>
          <w:tab w:val="num" w:pos="720"/>
        </w:tabs>
        <w:ind w:left="720" w:hanging="360"/>
      </w:pPr>
      <w:rPr>
        <w:rFonts w:hint="default" w:ascii="Courier New" w:hAnsi="Courier New"/>
        <w:color w:val="auto"/>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6BA901A1"/>
    <w:multiLevelType w:val="hybridMultilevel"/>
    <w:tmpl w:val="4BA8BA9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6C791BD0"/>
    <w:multiLevelType w:val="hybridMultilevel"/>
    <w:tmpl w:val="6AA6F3F4"/>
    <w:lvl w:ilvl="0" w:tplc="79C295DE">
      <w:start w:val="1"/>
      <w:numFmt w:val="bullet"/>
      <w:lvlText w:val="-"/>
      <w:lvlJc w:val="left"/>
      <w:pPr>
        <w:ind w:left="2160" w:hanging="360"/>
      </w:pPr>
      <w:rPr>
        <w:rFonts w:hint="default" w:ascii="Aptos" w:hAnsi="Aptos"/>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3" w15:restartNumberingAfterBreak="0">
    <w:nsid w:val="6E0A4B0A"/>
    <w:multiLevelType w:val="hybridMultilevel"/>
    <w:tmpl w:val="A588DB78"/>
    <w:lvl w:ilvl="0" w:tplc="E7309F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603990"/>
    <w:multiLevelType w:val="hybridMultilevel"/>
    <w:tmpl w:val="0CA43A26"/>
    <w:lvl w:ilvl="0" w:tplc="4C6096C6">
      <w:start w:val="1"/>
      <w:numFmt w:val="bullet"/>
      <w:lvlText w:val="•"/>
      <w:lvlJc w:val="left"/>
      <w:pPr>
        <w:tabs>
          <w:tab w:val="num" w:pos="720"/>
        </w:tabs>
        <w:ind w:left="720" w:hanging="360"/>
      </w:pPr>
      <w:rPr>
        <w:rFonts w:hint="default" w:ascii="Arial" w:hAnsi="Arial"/>
      </w:rPr>
    </w:lvl>
    <w:lvl w:ilvl="1" w:tplc="D76A96CA" w:tentative="1">
      <w:start w:val="1"/>
      <w:numFmt w:val="bullet"/>
      <w:lvlText w:val="•"/>
      <w:lvlJc w:val="left"/>
      <w:pPr>
        <w:tabs>
          <w:tab w:val="num" w:pos="1440"/>
        </w:tabs>
        <w:ind w:left="1440" w:hanging="360"/>
      </w:pPr>
      <w:rPr>
        <w:rFonts w:hint="default" w:ascii="Arial" w:hAnsi="Arial"/>
      </w:rPr>
    </w:lvl>
    <w:lvl w:ilvl="2" w:tplc="42285C22" w:tentative="1">
      <w:start w:val="1"/>
      <w:numFmt w:val="bullet"/>
      <w:lvlText w:val="•"/>
      <w:lvlJc w:val="left"/>
      <w:pPr>
        <w:tabs>
          <w:tab w:val="num" w:pos="2160"/>
        </w:tabs>
        <w:ind w:left="2160" w:hanging="360"/>
      </w:pPr>
      <w:rPr>
        <w:rFonts w:hint="default" w:ascii="Arial" w:hAnsi="Arial"/>
      </w:rPr>
    </w:lvl>
    <w:lvl w:ilvl="3" w:tplc="D7AA3508" w:tentative="1">
      <w:start w:val="1"/>
      <w:numFmt w:val="bullet"/>
      <w:lvlText w:val="•"/>
      <w:lvlJc w:val="left"/>
      <w:pPr>
        <w:tabs>
          <w:tab w:val="num" w:pos="2880"/>
        </w:tabs>
        <w:ind w:left="2880" w:hanging="360"/>
      </w:pPr>
      <w:rPr>
        <w:rFonts w:hint="default" w:ascii="Arial" w:hAnsi="Arial"/>
      </w:rPr>
    </w:lvl>
    <w:lvl w:ilvl="4" w:tplc="CEAC169C" w:tentative="1">
      <w:start w:val="1"/>
      <w:numFmt w:val="bullet"/>
      <w:lvlText w:val="•"/>
      <w:lvlJc w:val="left"/>
      <w:pPr>
        <w:tabs>
          <w:tab w:val="num" w:pos="3600"/>
        </w:tabs>
        <w:ind w:left="3600" w:hanging="360"/>
      </w:pPr>
      <w:rPr>
        <w:rFonts w:hint="default" w:ascii="Arial" w:hAnsi="Arial"/>
      </w:rPr>
    </w:lvl>
    <w:lvl w:ilvl="5" w:tplc="BA18DFF0" w:tentative="1">
      <w:start w:val="1"/>
      <w:numFmt w:val="bullet"/>
      <w:lvlText w:val="•"/>
      <w:lvlJc w:val="left"/>
      <w:pPr>
        <w:tabs>
          <w:tab w:val="num" w:pos="4320"/>
        </w:tabs>
        <w:ind w:left="4320" w:hanging="360"/>
      </w:pPr>
      <w:rPr>
        <w:rFonts w:hint="default" w:ascii="Arial" w:hAnsi="Arial"/>
      </w:rPr>
    </w:lvl>
    <w:lvl w:ilvl="6" w:tplc="77243418" w:tentative="1">
      <w:start w:val="1"/>
      <w:numFmt w:val="bullet"/>
      <w:lvlText w:val="•"/>
      <w:lvlJc w:val="left"/>
      <w:pPr>
        <w:tabs>
          <w:tab w:val="num" w:pos="5040"/>
        </w:tabs>
        <w:ind w:left="5040" w:hanging="360"/>
      </w:pPr>
      <w:rPr>
        <w:rFonts w:hint="default" w:ascii="Arial" w:hAnsi="Arial"/>
      </w:rPr>
    </w:lvl>
    <w:lvl w:ilvl="7" w:tplc="D542D32C" w:tentative="1">
      <w:start w:val="1"/>
      <w:numFmt w:val="bullet"/>
      <w:lvlText w:val="•"/>
      <w:lvlJc w:val="left"/>
      <w:pPr>
        <w:tabs>
          <w:tab w:val="num" w:pos="5760"/>
        </w:tabs>
        <w:ind w:left="5760" w:hanging="360"/>
      </w:pPr>
      <w:rPr>
        <w:rFonts w:hint="default" w:ascii="Arial" w:hAnsi="Arial"/>
      </w:rPr>
    </w:lvl>
    <w:lvl w:ilvl="8" w:tplc="ED6C0AEC"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73AB2D47"/>
    <w:multiLevelType w:val="hybridMultilevel"/>
    <w:tmpl w:val="DF58F51A"/>
    <w:lvl w:ilvl="0" w:tplc="79C295DE">
      <w:start w:val="1"/>
      <w:numFmt w:val="bullet"/>
      <w:lvlText w:val="-"/>
      <w:lvlJc w:val="left"/>
      <w:pPr>
        <w:ind w:left="720" w:hanging="360"/>
      </w:pPr>
      <w:rPr>
        <w:rFonts w:hint="default" w:ascii="Aptos" w:hAnsi="Aptos"/>
      </w:rPr>
    </w:lvl>
    <w:lvl w:ilvl="1" w:tplc="FDB26050">
      <w:start w:val="1"/>
      <w:numFmt w:val="bullet"/>
      <w:lvlText w:val="o"/>
      <w:lvlJc w:val="left"/>
      <w:pPr>
        <w:ind w:left="1440" w:hanging="360"/>
      </w:pPr>
      <w:rPr>
        <w:rFonts w:hint="default" w:ascii="Courier New" w:hAnsi="Courier New"/>
      </w:rPr>
    </w:lvl>
    <w:lvl w:ilvl="2" w:tplc="67000CAC">
      <w:start w:val="1"/>
      <w:numFmt w:val="bullet"/>
      <w:lvlText w:val=""/>
      <w:lvlJc w:val="left"/>
      <w:pPr>
        <w:ind w:left="2160" w:hanging="360"/>
      </w:pPr>
      <w:rPr>
        <w:rFonts w:hint="default" w:ascii="Wingdings" w:hAnsi="Wingdings"/>
      </w:rPr>
    </w:lvl>
    <w:lvl w:ilvl="3" w:tplc="94FAB5F2">
      <w:start w:val="1"/>
      <w:numFmt w:val="bullet"/>
      <w:lvlText w:val=""/>
      <w:lvlJc w:val="left"/>
      <w:pPr>
        <w:ind w:left="2880" w:hanging="360"/>
      </w:pPr>
      <w:rPr>
        <w:rFonts w:hint="default" w:ascii="Symbol" w:hAnsi="Symbol"/>
      </w:rPr>
    </w:lvl>
    <w:lvl w:ilvl="4" w:tplc="90A6BE14">
      <w:start w:val="1"/>
      <w:numFmt w:val="bullet"/>
      <w:lvlText w:val="o"/>
      <w:lvlJc w:val="left"/>
      <w:pPr>
        <w:ind w:left="3600" w:hanging="360"/>
      </w:pPr>
      <w:rPr>
        <w:rFonts w:hint="default" w:ascii="Courier New" w:hAnsi="Courier New"/>
      </w:rPr>
    </w:lvl>
    <w:lvl w:ilvl="5" w:tplc="755CABC6">
      <w:start w:val="1"/>
      <w:numFmt w:val="bullet"/>
      <w:lvlText w:val=""/>
      <w:lvlJc w:val="left"/>
      <w:pPr>
        <w:ind w:left="4320" w:hanging="360"/>
      </w:pPr>
      <w:rPr>
        <w:rFonts w:hint="default" w:ascii="Wingdings" w:hAnsi="Wingdings"/>
      </w:rPr>
    </w:lvl>
    <w:lvl w:ilvl="6" w:tplc="53A09246">
      <w:start w:val="1"/>
      <w:numFmt w:val="bullet"/>
      <w:lvlText w:val=""/>
      <w:lvlJc w:val="left"/>
      <w:pPr>
        <w:ind w:left="5040" w:hanging="360"/>
      </w:pPr>
      <w:rPr>
        <w:rFonts w:hint="default" w:ascii="Symbol" w:hAnsi="Symbol"/>
      </w:rPr>
    </w:lvl>
    <w:lvl w:ilvl="7" w:tplc="2230CD1C">
      <w:start w:val="1"/>
      <w:numFmt w:val="bullet"/>
      <w:lvlText w:val="o"/>
      <w:lvlJc w:val="left"/>
      <w:pPr>
        <w:ind w:left="5760" w:hanging="360"/>
      </w:pPr>
      <w:rPr>
        <w:rFonts w:hint="default" w:ascii="Courier New" w:hAnsi="Courier New"/>
      </w:rPr>
    </w:lvl>
    <w:lvl w:ilvl="8" w:tplc="5E3A6B5E">
      <w:start w:val="1"/>
      <w:numFmt w:val="bullet"/>
      <w:lvlText w:val=""/>
      <w:lvlJc w:val="left"/>
      <w:pPr>
        <w:ind w:left="6480" w:hanging="360"/>
      </w:pPr>
      <w:rPr>
        <w:rFonts w:hint="default" w:ascii="Wingdings" w:hAnsi="Wingdings"/>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AF37E57"/>
    <w:multiLevelType w:val="multilevel"/>
    <w:tmpl w:val="53CE88D6"/>
    <w:lvl w:ilvl="0">
      <w:start w:val="2"/>
      <w:numFmt w:val="decimal"/>
      <w:lvlText w:val="%1."/>
      <w:lvlJc w:val="left"/>
      <w:pPr>
        <w:ind w:left="720" w:hanging="720"/>
      </w:pPr>
      <w:rPr>
        <w:rFonts w:hint="default"/>
        <w:b w:val="0"/>
        <w:u w:val="none"/>
      </w:rPr>
    </w:lvl>
    <w:lvl w:ilvl="1">
      <w:start w:val="1"/>
      <w:numFmt w:val="decimal"/>
      <w:lvlText w:val="%1.%2."/>
      <w:lvlJc w:val="left"/>
      <w:pPr>
        <w:ind w:left="720" w:hanging="720"/>
      </w:pPr>
      <w:rPr>
        <w:rFonts w:hint="default"/>
        <w:b w:val="0"/>
        <w:u w:val="none"/>
      </w:rPr>
    </w:lvl>
    <w:lvl w:ilvl="2">
      <w:start w:val="2"/>
      <w:numFmt w:val="decimal"/>
      <w:lvlText w:val="%1.%2.%3."/>
      <w:lvlJc w:val="left"/>
      <w:pPr>
        <w:ind w:left="1080" w:hanging="1080"/>
      </w:pPr>
      <w:rPr>
        <w:rFonts w:hint="default"/>
        <w:b w:val="0"/>
        <w:u w:val="none"/>
      </w:rPr>
    </w:lvl>
    <w:lvl w:ilvl="3">
      <w:start w:val="1"/>
      <w:numFmt w:val="decimal"/>
      <w:lvlText w:val="%1.%2.%3.%4."/>
      <w:lvlJc w:val="left"/>
      <w:pPr>
        <w:ind w:left="1440" w:hanging="1440"/>
      </w:pPr>
      <w:rPr>
        <w:rFonts w:hint="default"/>
        <w:b w:val="0"/>
        <w:u w:val="none"/>
      </w:rPr>
    </w:lvl>
    <w:lvl w:ilvl="4">
      <w:start w:val="1"/>
      <w:numFmt w:val="decimal"/>
      <w:lvlText w:val="%1.%2.%3.%4.%5."/>
      <w:lvlJc w:val="left"/>
      <w:pPr>
        <w:ind w:left="1800" w:hanging="1800"/>
      </w:pPr>
      <w:rPr>
        <w:rFonts w:hint="default"/>
        <w:b w:val="0"/>
        <w:u w:val="none"/>
      </w:rPr>
    </w:lvl>
    <w:lvl w:ilvl="5">
      <w:start w:val="1"/>
      <w:numFmt w:val="decimal"/>
      <w:lvlText w:val="%1.%2.%3.%4.%5.%6."/>
      <w:lvlJc w:val="left"/>
      <w:pPr>
        <w:ind w:left="1800" w:hanging="1800"/>
      </w:pPr>
      <w:rPr>
        <w:rFonts w:hint="default"/>
        <w:b w:val="0"/>
        <w:u w:val="none"/>
      </w:rPr>
    </w:lvl>
    <w:lvl w:ilvl="6">
      <w:start w:val="1"/>
      <w:numFmt w:val="decimal"/>
      <w:lvlText w:val="%1.%2.%3.%4.%5.%6.%7."/>
      <w:lvlJc w:val="left"/>
      <w:pPr>
        <w:ind w:left="2160" w:hanging="2160"/>
      </w:pPr>
      <w:rPr>
        <w:rFonts w:hint="default"/>
        <w:b w:val="0"/>
        <w:u w:val="none"/>
      </w:rPr>
    </w:lvl>
    <w:lvl w:ilvl="7">
      <w:start w:val="1"/>
      <w:numFmt w:val="decimal"/>
      <w:lvlText w:val="%1.%2.%3.%4.%5.%6.%7.%8."/>
      <w:lvlJc w:val="left"/>
      <w:pPr>
        <w:ind w:left="2520" w:hanging="2520"/>
      </w:pPr>
      <w:rPr>
        <w:rFonts w:hint="default"/>
        <w:b w:val="0"/>
        <w:u w:val="none"/>
      </w:rPr>
    </w:lvl>
    <w:lvl w:ilvl="8">
      <w:start w:val="1"/>
      <w:numFmt w:val="decimal"/>
      <w:lvlText w:val="%1.%2.%3.%4.%5.%6.%7.%8.%9."/>
      <w:lvlJc w:val="left"/>
      <w:pPr>
        <w:ind w:left="2880" w:hanging="2880"/>
      </w:pPr>
      <w:rPr>
        <w:rFonts w:hint="default"/>
        <w:b w:val="0"/>
        <w:u w:val="none"/>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E857BCF"/>
    <w:multiLevelType w:val="multilevel"/>
    <w:tmpl w:val="5684654A"/>
    <w:lvl w:ilvl="0">
      <w:start w:val="1"/>
      <w:numFmt w:val="decimal"/>
      <w:lvlText w:val="%1."/>
      <w:lvlJc w:val="left"/>
      <w:pPr>
        <w:ind w:left="360" w:hanging="360"/>
      </w:pPr>
      <w:rPr>
        <w:b/>
      </w:rPr>
    </w:lvl>
    <w:lvl w:ilvl="1">
      <w:start w:val="1"/>
      <w:numFmt w:val="decimal"/>
      <w:lvlText w:val="%1.%2."/>
      <w:lvlJc w:val="left"/>
      <w:pPr>
        <w:ind w:left="522" w:hanging="432"/>
      </w:pPr>
    </w:lvl>
    <w:lvl w:ilvl="2">
      <w:start w:val="1"/>
      <w:numFmt w:val="bullet"/>
      <w:lvlText w:val=""/>
      <w:lvlJc w:val="left"/>
      <w:pPr>
        <w:ind w:left="1080" w:hanging="360"/>
      </w:pPr>
      <w:rPr>
        <w:rFonts w:hint="default"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34457167">
    <w:abstractNumId w:val="25"/>
  </w:num>
  <w:num w:numId="2" w16cid:durableId="704521321">
    <w:abstractNumId w:val="5"/>
  </w:num>
  <w:num w:numId="3" w16cid:durableId="1731493387">
    <w:abstractNumId w:val="14"/>
  </w:num>
  <w:num w:numId="4" w16cid:durableId="358313792">
    <w:abstractNumId w:val="13"/>
  </w:num>
  <w:num w:numId="5" w16cid:durableId="1144618638">
    <w:abstractNumId w:val="10"/>
  </w:num>
  <w:num w:numId="6" w16cid:durableId="211239042">
    <w:abstractNumId w:val="7"/>
  </w:num>
  <w:num w:numId="7" w16cid:durableId="1874800944">
    <w:abstractNumId w:val="28"/>
  </w:num>
  <w:num w:numId="8" w16cid:durableId="263198079">
    <w:abstractNumId w:val="30"/>
  </w:num>
  <w:num w:numId="9" w16cid:durableId="1535070366">
    <w:abstractNumId w:val="17"/>
  </w:num>
  <w:num w:numId="10" w16cid:durableId="1823614381">
    <w:abstractNumId w:val="20"/>
  </w:num>
  <w:num w:numId="11" w16cid:durableId="875429971">
    <w:abstractNumId w:val="26"/>
  </w:num>
  <w:num w:numId="12" w16cid:durableId="1290819670">
    <w:abstractNumId w:val="21"/>
  </w:num>
  <w:num w:numId="13" w16cid:durableId="1087851092">
    <w:abstractNumId w:val="9"/>
  </w:num>
  <w:num w:numId="14" w16cid:durableId="206457956">
    <w:abstractNumId w:val="12"/>
  </w:num>
  <w:num w:numId="15" w16cid:durableId="978921066">
    <w:abstractNumId w:val="24"/>
  </w:num>
  <w:num w:numId="16" w16cid:durableId="1427114338">
    <w:abstractNumId w:val="18"/>
  </w:num>
  <w:num w:numId="17" w16cid:durableId="1166479084">
    <w:abstractNumId w:val="11"/>
  </w:num>
  <w:num w:numId="18" w16cid:durableId="1464805736">
    <w:abstractNumId w:val="3"/>
  </w:num>
  <w:num w:numId="19" w16cid:durableId="182594944">
    <w:abstractNumId w:val="8"/>
  </w:num>
  <w:num w:numId="20" w16cid:durableId="851801351">
    <w:abstractNumId w:val="19"/>
  </w:num>
  <w:num w:numId="21" w16cid:durableId="1811242173">
    <w:abstractNumId w:val="1"/>
  </w:num>
  <w:num w:numId="22" w16cid:durableId="1003046108">
    <w:abstractNumId w:val="29"/>
  </w:num>
  <w:num w:numId="23" w16cid:durableId="1096638013">
    <w:abstractNumId w:val="2"/>
  </w:num>
  <w:num w:numId="24" w16cid:durableId="1060202751">
    <w:abstractNumId w:val="16"/>
  </w:num>
  <w:num w:numId="25" w16cid:durableId="13699988">
    <w:abstractNumId w:val="15"/>
  </w:num>
  <w:num w:numId="26" w16cid:durableId="198977261">
    <w:abstractNumId w:val="4"/>
  </w:num>
  <w:num w:numId="27" w16cid:durableId="994532105">
    <w:abstractNumId w:val="0"/>
  </w:num>
  <w:num w:numId="28" w16cid:durableId="1110735333">
    <w:abstractNumId w:val="6"/>
  </w:num>
  <w:num w:numId="29" w16cid:durableId="1824543888">
    <w:abstractNumId w:val="27"/>
  </w:num>
  <w:num w:numId="30" w16cid:durableId="541595271">
    <w:abstractNumId w:val="23"/>
  </w:num>
  <w:num w:numId="31" w16cid:durableId="18741482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158"/>
    <w:rsid w:val="00015859"/>
    <w:rsid w:val="00017807"/>
    <w:rsid w:val="000203BD"/>
    <w:rsid w:val="00020C0A"/>
    <w:rsid w:val="00021C60"/>
    <w:rsid w:val="000221D6"/>
    <w:rsid w:val="00027083"/>
    <w:rsid w:val="0003295F"/>
    <w:rsid w:val="00034194"/>
    <w:rsid w:val="00037426"/>
    <w:rsid w:val="000401B2"/>
    <w:rsid w:val="00041CF6"/>
    <w:rsid w:val="0004211A"/>
    <w:rsid w:val="00052D01"/>
    <w:rsid w:val="00054F8C"/>
    <w:rsid w:val="00055111"/>
    <w:rsid w:val="00055571"/>
    <w:rsid w:val="000555EB"/>
    <w:rsid w:val="000615DC"/>
    <w:rsid w:val="00061E86"/>
    <w:rsid w:val="00065531"/>
    <w:rsid w:val="00072D3B"/>
    <w:rsid w:val="000771B7"/>
    <w:rsid w:val="00080EE2"/>
    <w:rsid w:val="00083FC0"/>
    <w:rsid w:val="000940E7"/>
    <w:rsid w:val="000A0751"/>
    <w:rsid w:val="000A0E99"/>
    <w:rsid w:val="000A6A20"/>
    <w:rsid w:val="000B2E37"/>
    <w:rsid w:val="000B79CE"/>
    <w:rsid w:val="000C3280"/>
    <w:rsid w:val="000C548B"/>
    <w:rsid w:val="000D079D"/>
    <w:rsid w:val="000E379E"/>
    <w:rsid w:val="000E7560"/>
    <w:rsid w:val="000F361B"/>
    <w:rsid w:val="00110100"/>
    <w:rsid w:val="00125107"/>
    <w:rsid w:val="00133EA1"/>
    <w:rsid w:val="00150BDC"/>
    <w:rsid w:val="00157136"/>
    <w:rsid w:val="0016096B"/>
    <w:rsid w:val="001707C4"/>
    <w:rsid w:val="00170B67"/>
    <w:rsid w:val="0017247D"/>
    <w:rsid w:val="00173FD1"/>
    <w:rsid w:val="00181F49"/>
    <w:rsid w:val="0018209C"/>
    <w:rsid w:val="00182C00"/>
    <w:rsid w:val="001830D0"/>
    <w:rsid w:val="0018709A"/>
    <w:rsid w:val="001A4E1B"/>
    <w:rsid w:val="001A7A9B"/>
    <w:rsid w:val="001B3120"/>
    <w:rsid w:val="001C06A8"/>
    <w:rsid w:val="001C6C4F"/>
    <w:rsid w:val="001D7107"/>
    <w:rsid w:val="001D7367"/>
    <w:rsid w:val="001E6F3B"/>
    <w:rsid w:val="001E7329"/>
    <w:rsid w:val="001F2857"/>
    <w:rsid w:val="001F48BE"/>
    <w:rsid w:val="00200315"/>
    <w:rsid w:val="002010FE"/>
    <w:rsid w:val="00203D3C"/>
    <w:rsid w:val="00203F67"/>
    <w:rsid w:val="0020539A"/>
    <w:rsid w:val="00230407"/>
    <w:rsid w:val="00232338"/>
    <w:rsid w:val="002326D2"/>
    <w:rsid w:val="00233330"/>
    <w:rsid w:val="00233D58"/>
    <w:rsid w:val="00234ABA"/>
    <w:rsid w:val="00234AC2"/>
    <w:rsid w:val="0023654F"/>
    <w:rsid w:val="00240820"/>
    <w:rsid w:val="00240F00"/>
    <w:rsid w:val="00241662"/>
    <w:rsid w:val="002432C6"/>
    <w:rsid w:val="00250432"/>
    <w:rsid w:val="002506FE"/>
    <w:rsid w:val="002518B7"/>
    <w:rsid w:val="00270897"/>
    <w:rsid w:val="00272BD5"/>
    <w:rsid w:val="002950FF"/>
    <w:rsid w:val="00295BAE"/>
    <w:rsid w:val="00296CD9"/>
    <w:rsid w:val="002A39C8"/>
    <w:rsid w:val="002A706E"/>
    <w:rsid w:val="002A7316"/>
    <w:rsid w:val="002B7C9A"/>
    <w:rsid w:val="002C3DD6"/>
    <w:rsid w:val="002C51CF"/>
    <w:rsid w:val="002D5923"/>
    <w:rsid w:val="002D77FE"/>
    <w:rsid w:val="002E4DB0"/>
    <w:rsid w:val="002F0D85"/>
    <w:rsid w:val="002F3B43"/>
    <w:rsid w:val="002F7C7B"/>
    <w:rsid w:val="0030042F"/>
    <w:rsid w:val="0030739E"/>
    <w:rsid w:val="00307DD6"/>
    <w:rsid w:val="0031077C"/>
    <w:rsid w:val="003261FD"/>
    <w:rsid w:val="00326B13"/>
    <w:rsid w:val="00327324"/>
    <w:rsid w:val="0032747D"/>
    <w:rsid w:val="00331157"/>
    <w:rsid w:val="003324CB"/>
    <w:rsid w:val="00336F11"/>
    <w:rsid w:val="003403CF"/>
    <w:rsid w:val="00341236"/>
    <w:rsid w:val="003464BA"/>
    <w:rsid w:val="00366FDD"/>
    <w:rsid w:val="00375605"/>
    <w:rsid w:val="00383E4F"/>
    <w:rsid w:val="00387A41"/>
    <w:rsid w:val="0039590E"/>
    <w:rsid w:val="003A1DE6"/>
    <w:rsid w:val="003B31B1"/>
    <w:rsid w:val="003B4312"/>
    <w:rsid w:val="003B6C24"/>
    <w:rsid w:val="003B7F25"/>
    <w:rsid w:val="003C0FF8"/>
    <w:rsid w:val="003D087E"/>
    <w:rsid w:val="003D603A"/>
    <w:rsid w:val="003E537B"/>
    <w:rsid w:val="003E5590"/>
    <w:rsid w:val="003E72DD"/>
    <w:rsid w:val="003E7603"/>
    <w:rsid w:val="003F3FF9"/>
    <w:rsid w:val="0040753F"/>
    <w:rsid w:val="004140C9"/>
    <w:rsid w:val="00414894"/>
    <w:rsid w:val="004221DC"/>
    <w:rsid w:val="004222DD"/>
    <w:rsid w:val="0042635B"/>
    <w:rsid w:val="00427AD3"/>
    <w:rsid w:val="00427C10"/>
    <w:rsid w:val="00436654"/>
    <w:rsid w:val="004417DD"/>
    <w:rsid w:val="00441D43"/>
    <w:rsid w:val="00450B03"/>
    <w:rsid w:val="00461835"/>
    <w:rsid w:val="00465428"/>
    <w:rsid w:val="00466120"/>
    <w:rsid w:val="00466612"/>
    <w:rsid w:val="00466F20"/>
    <w:rsid w:val="004671D2"/>
    <w:rsid w:val="004754FC"/>
    <w:rsid w:val="00484F14"/>
    <w:rsid w:val="004937D3"/>
    <w:rsid w:val="0049680E"/>
    <w:rsid w:val="00497C7E"/>
    <w:rsid w:val="004A0925"/>
    <w:rsid w:val="004A7DF2"/>
    <w:rsid w:val="004C0851"/>
    <w:rsid w:val="004D0844"/>
    <w:rsid w:val="004D4708"/>
    <w:rsid w:val="004E109D"/>
    <w:rsid w:val="00503ECC"/>
    <w:rsid w:val="005074DC"/>
    <w:rsid w:val="005075F8"/>
    <w:rsid w:val="0052297E"/>
    <w:rsid w:val="00524839"/>
    <w:rsid w:val="0053076A"/>
    <w:rsid w:val="005404F4"/>
    <w:rsid w:val="005406E2"/>
    <w:rsid w:val="005441E8"/>
    <w:rsid w:val="005506AE"/>
    <w:rsid w:val="00555832"/>
    <w:rsid w:val="00556711"/>
    <w:rsid w:val="00561D41"/>
    <w:rsid w:val="00564BD5"/>
    <w:rsid w:val="00574BCF"/>
    <w:rsid w:val="00576395"/>
    <w:rsid w:val="005835C5"/>
    <w:rsid w:val="00584F37"/>
    <w:rsid w:val="00585277"/>
    <w:rsid w:val="00586FDA"/>
    <w:rsid w:val="00594E39"/>
    <w:rsid w:val="005972D5"/>
    <w:rsid w:val="005A1F65"/>
    <w:rsid w:val="005D1652"/>
    <w:rsid w:val="005D2C4A"/>
    <w:rsid w:val="005D3DF1"/>
    <w:rsid w:val="005D5AFA"/>
    <w:rsid w:val="005D5E16"/>
    <w:rsid w:val="005E6797"/>
    <w:rsid w:val="005F24BE"/>
    <w:rsid w:val="005F38A1"/>
    <w:rsid w:val="005F4E71"/>
    <w:rsid w:val="005F755F"/>
    <w:rsid w:val="00606F01"/>
    <w:rsid w:val="006201D0"/>
    <w:rsid w:val="00622E62"/>
    <w:rsid w:val="0062515C"/>
    <w:rsid w:val="006274E5"/>
    <w:rsid w:val="00640A19"/>
    <w:rsid w:val="0064147E"/>
    <w:rsid w:val="00641883"/>
    <w:rsid w:val="00646AAE"/>
    <w:rsid w:val="0065251D"/>
    <w:rsid w:val="00653AEC"/>
    <w:rsid w:val="00655190"/>
    <w:rsid w:val="00656183"/>
    <w:rsid w:val="00662218"/>
    <w:rsid w:val="00664077"/>
    <w:rsid w:val="00670014"/>
    <w:rsid w:val="006715A4"/>
    <w:rsid w:val="006729DA"/>
    <w:rsid w:val="00672A4C"/>
    <w:rsid w:val="00685AE0"/>
    <w:rsid w:val="00687037"/>
    <w:rsid w:val="006942E2"/>
    <w:rsid w:val="006A16AB"/>
    <w:rsid w:val="006A2FEF"/>
    <w:rsid w:val="006B56D7"/>
    <w:rsid w:val="006D0E46"/>
    <w:rsid w:val="006D1998"/>
    <w:rsid w:val="006D215D"/>
    <w:rsid w:val="006F02B9"/>
    <w:rsid w:val="006F2F4E"/>
    <w:rsid w:val="006F549F"/>
    <w:rsid w:val="00703D77"/>
    <w:rsid w:val="00705CF7"/>
    <w:rsid w:val="00707FAD"/>
    <w:rsid w:val="00711095"/>
    <w:rsid w:val="007120A1"/>
    <w:rsid w:val="007140D2"/>
    <w:rsid w:val="0072604C"/>
    <w:rsid w:val="00726D23"/>
    <w:rsid w:val="007277B5"/>
    <w:rsid w:val="00737883"/>
    <w:rsid w:val="00745D94"/>
    <w:rsid w:val="0075502E"/>
    <w:rsid w:val="00760232"/>
    <w:rsid w:val="00762BBE"/>
    <w:rsid w:val="0076681D"/>
    <w:rsid w:val="00767E3E"/>
    <w:rsid w:val="007765A5"/>
    <w:rsid w:val="0078065E"/>
    <w:rsid w:val="00784AD5"/>
    <w:rsid w:val="007B683C"/>
    <w:rsid w:val="007D313C"/>
    <w:rsid w:val="007D772F"/>
    <w:rsid w:val="007E1B09"/>
    <w:rsid w:val="007E2AF3"/>
    <w:rsid w:val="007E3A2F"/>
    <w:rsid w:val="007E5BB1"/>
    <w:rsid w:val="007E6D88"/>
    <w:rsid w:val="007F125F"/>
    <w:rsid w:val="007F1A31"/>
    <w:rsid w:val="00804324"/>
    <w:rsid w:val="008167B3"/>
    <w:rsid w:val="00820546"/>
    <w:rsid w:val="00825A49"/>
    <w:rsid w:val="00825F6D"/>
    <w:rsid w:val="008267FB"/>
    <w:rsid w:val="00827C39"/>
    <w:rsid w:val="0083444C"/>
    <w:rsid w:val="008402E0"/>
    <w:rsid w:val="0084591E"/>
    <w:rsid w:val="00850C29"/>
    <w:rsid w:val="0085625C"/>
    <w:rsid w:val="00857D93"/>
    <w:rsid w:val="00860674"/>
    <w:rsid w:val="00864241"/>
    <w:rsid w:val="00880044"/>
    <w:rsid w:val="00885BB9"/>
    <w:rsid w:val="00885CE9"/>
    <w:rsid w:val="00887296"/>
    <w:rsid w:val="00891BA2"/>
    <w:rsid w:val="00893284"/>
    <w:rsid w:val="0089481F"/>
    <w:rsid w:val="008A785C"/>
    <w:rsid w:val="008B4303"/>
    <w:rsid w:val="008C15D9"/>
    <w:rsid w:val="008C3DA0"/>
    <w:rsid w:val="008C50D5"/>
    <w:rsid w:val="008D0747"/>
    <w:rsid w:val="008D4764"/>
    <w:rsid w:val="008D4AB2"/>
    <w:rsid w:val="008E13D1"/>
    <w:rsid w:val="008E6C6A"/>
    <w:rsid w:val="008F442A"/>
    <w:rsid w:val="00905E27"/>
    <w:rsid w:val="0090686E"/>
    <w:rsid w:val="00910C0A"/>
    <w:rsid w:val="009112DC"/>
    <w:rsid w:val="00915508"/>
    <w:rsid w:val="00917FF2"/>
    <w:rsid w:val="009243C5"/>
    <w:rsid w:val="00925DA1"/>
    <w:rsid w:val="00931E6B"/>
    <w:rsid w:val="009331F3"/>
    <w:rsid w:val="0093393D"/>
    <w:rsid w:val="009650A1"/>
    <w:rsid w:val="00982988"/>
    <w:rsid w:val="0098308E"/>
    <w:rsid w:val="00983F5E"/>
    <w:rsid w:val="009911F2"/>
    <w:rsid w:val="00996159"/>
    <w:rsid w:val="009A323B"/>
    <w:rsid w:val="009B52E7"/>
    <w:rsid w:val="009E14BB"/>
    <w:rsid w:val="009E18B6"/>
    <w:rsid w:val="009E53B8"/>
    <w:rsid w:val="009E7AF7"/>
    <w:rsid w:val="009F0620"/>
    <w:rsid w:val="009F5A80"/>
    <w:rsid w:val="009F7227"/>
    <w:rsid w:val="009F72EC"/>
    <w:rsid w:val="009F7421"/>
    <w:rsid w:val="00A12E3B"/>
    <w:rsid w:val="00A15A3A"/>
    <w:rsid w:val="00A30AA1"/>
    <w:rsid w:val="00A32B14"/>
    <w:rsid w:val="00A35122"/>
    <w:rsid w:val="00A42F8E"/>
    <w:rsid w:val="00A51654"/>
    <w:rsid w:val="00A54AD8"/>
    <w:rsid w:val="00A65747"/>
    <w:rsid w:val="00A671E8"/>
    <w:rsid w:val="00A723AB"/>
    <w:rsid w:val="00A77A81"/>
    <w:rsid w:val="00A82B97"/>
    <w:rsid w:val="00A83E54"/>
    <w:rsid w:val="00A84941"/>
    <w:rsid w:val="00A919B6"/>
    <w:rsid w:val="00A94002"/>
    <w:rsid w:val="00A97D23"/>
    <w:rsid w:val="00AA4753"/>
    <w:rsid w:val="00AA4A94"/>
    <w:rsid w:val="00AA75B3"/>
    <w:rsid w:val="00AB4B93"/>
    <w:rsid w:val="00AC4AD4"/>
    <w:rsid w:val="00AC5F9F"/>
    <w:rsid w:val="00AD064D"/>
    <w:rsid w:val="00AD40B8"/>
    <w:rsid w:val="00AD486E"/>
    <w:rsid w:val="00AD71BC"/>
    <w:rsid w:val="00AE02ED"/>
    <w:rsid w:val="00AE189A"/>
    <w:rsid w:val="00AE2881"/>
    <w:rsid w:val="00AF66FE"/>
    <w:rsid w:val="00B0017E"/>
    <w:rsid w:val="00B02595"/>
    <w:rsid w:val="00B0479E"/>
    <w:rsid w:val="00B0564E"/>
    <w:rsid w:val="00B105BD"/>
    <w:rsid w:val="00B14EAE"/>
    <w:rsid w:val="00B21EDC"/>
    <w:rsid w:val="00B224D7"/>
    <w:rsid w:val="00B22CF9"/>
    <w:rsid w:val="00B25C58"/>
    <w:rsid w:val="00B3430C"/>
    <w:rsid w:val="00B35ECC"/>
    <w:rsid w:val="00B365D5"/>
    <w:rsid w:val="00B36A0E"/>
    <w:rsid w:val="00B50ABC"/>
    <w:rsid w:val="00B6292E"/>
    <w:rsid w:val="00B644D9"/>
    <w:rsid w:val="00B670DA"/>
    <w:rsid w:val="00B70ED7"/>
    <w:rsid w:val="00B766F9"/>
    <w:rsid w:val="00B904E5"/>
    <w:rsid w:val="00B97950"/>
    <w:rsid w:val="00BA2507"/>
    <w:rsid w:val="00BA5EB1"/>
    <w:rsid w:val="00BA6BD3"/>
    <w:rsid w:val="00BB4E7C"/>
    <w:rsid w:val="00BB764F"/>
    <w:rsid w:val="00BC1144"/>
    <w:rsid w:val="00BC241D"/>
    <w:rsid w:val="00BE2567"/>
    <w:rsid w:val="00BE4BF6"/>
    <w:rsid w:val="00BF23DD"/>
    <w:rsid w:val="00BF4750"/>
    <w:rsid w:val="00BF6B25"/>
    <w:rsid w:val="00C107F2"/>
    <w:rsid w:val="00C10960"/>
    <w:rsid w:val="00C133AA"/>
    <w:rsid w:val="00C17DE5"/>
    <w:rsid w:val="00C2143D"/>
    <w:rsid w:val="00C30A15"/>
    <w:rsid w:val="00C31E08"/>
    <w:rsid w:val="00C33A04"/>
    <w:rsid w:val="00C33A57"/>
    <w:rsid w:val="00C40206"/>
    <w:rsid w:val="00C43F7B"/>
    <w:rsid w:val="00C55C8E"/>
    <w:rsid w:val="00C56152"/>
    <w:rsid w:val="00C57277"/>
    <w:rsid w:val="00C61658"/>
    <w:rsid w:val="00C74B0D"/>
    <w:rsid w:val="00C77B23"/>
    <w:rsid w:val="00C92A0E"/>
    <w:rsid w:val="00C933BE"/>
    <w:rsid w:val="00C95B3C"/>
    <w:rsid w:val="00CA1009"/>
    <w:rsid w:val="00CA3C1E"/>
    <w:rsid w:val="00CA6D65"/>
    <w:rsid w:val="00CB1C7D"/>
    <w:rsid w:val="00CC048E"/>
    <w:rsid w:val="00CC381D"/>
    <w:rsid w:val="00CD7AA5"/>
    <w:rsid w:val="00CE542E"/>
    <w:rsid w:val="00CE5DAC"/>
    <w:rsid w:val="00CF49F3"/>
    <w:rsid w:val="00CF4B48"/>
    <w:rsid w:val="00D11351"/>
    <w:rsid w:val="00D16C84"/>
    <w:rsid w:val="00D25C47"/>
    <w:rsid w:val="00D40B91"/>
    <w:rsid w:val="00D4584D"/>
    <w:rsid w:val="00D45B01"/>
    <w:rsid w:val="00D53020"/>
    <w:rsid w:val="00D56FBF"/>
    <w:rsid w:val="00D6215B"/>
    <w:rsid w:val="00D7642C"/>
    <w:rsid w:val="00D86BFD"/>
    <w:rsid w:val="00D914F2"/>
    <w:rsid w:val="00D93939"/>
    <w:rsid w:val="00D94918"/>
    <w:rsid w:val="00D94C7F"/>
    <w:rsid w:val="00DA0B21"/>
    <w:rsid w:val="00DA0F82"/>
    <w:rsid w:val="00DA1A6F"/>
    <w:rsid w:val="00DA51E0"/>
    <w:rsid w:val="00DA76AD"/>
    <w:rsid w:val="00DB1539"/>
    <w:rsid w:val="00DB308E"/>
    <w:rsid w:val="00DB4061"/>
    <w:rsid w:val="00DB76B3"/>
    <w:rsid w:val="00DC0355"/>
    <w:rsid w:val="00DC2B9B"/>
    <w:rsid w:val="00DC6D73"/>
    <w:rsid w:val="00DD41FA"/>
    <w:rsid w:val="00DF3645"/>
    <w:rsid w:val="00E04958"/>
    <w:rsid w:val="00E05190"/>
    <w:rsid w:val="00E06294"/>
    <w:rsid w:val="00E10124"/>
    <w:rsid w:val="00E242E5"/>
    <w:rsid w:val="00E2486C"/>
    <w:rsid w:val="00E24C8D"/>
    <w:rsid w:val="00E24F83"/>
    <w:rsid w:val="00E261CB"/>
    <w:rsid w:val="00E31442"/>
    <w:rsid w:val="00E3794C"/>
    <w:rsid w:val="00E509FF"/>
    <w:rsid w:val="00E52C94"/>
    <w:rsid w:val="00E5617A"/>
    <w:rsid w:val="00E575AE"/>
    <w:rsid w:val="00E62BD3"/>
    <w:rsid w:val="00E865C1"/>
    <w:rsid w:val="00E87B30"/>
    <w:rsid w:val="00EA436A"/>
    <w:rsid w:val="00EA4667"/>
    <w:rsid w:val="00EA49EB"/>
    <w:rsid w:val="00EB404E"/>
    <w:rsid w:val="00EB7F09"/>
    <w:rsid w:val="00EC0B78"/>
    <w:rsid w:val="00EC231A"/>
    <w:rsid w:val="00EC2981"/>
    <w:rsid w:val="00EC7151"/>
    <w:rsid w:val="00ED754B"/>
    <w:rsid w:val="00EE77D8"/>
    <w:rsid w:val="00EF0DC8"/>
    <w:rsid w:val="00EF31AD"/>
    <w:rsid w:val="00EF364F"/>
    <w:rsid w:val="00F06D6F"/>
    <w:rsid w:val="00F07DA6"/>
    <w:rsid w:val="00F11924"/>
    <w:rsid w:val="00F11CD2"/>
    <w:rsid w:val="00F1387A"/>
    <w:rsid w:val="00F17EB4"/>
    <w:rsid w:val="00F204CE"/>
    <w:rsid w:val="00F22CA3"/>
    <w:rsid w:val="00F31EBA"/>
    <w:rsid w:val="00F34BB5"/>
    <w:rsid w:val="00F37DB6"/>
    <w:rsid w:val="00F46282"/>
    <w:rsid w:val="00F5082D"/>
    <w:rsid w:val="00F531BD"/>
    <w:rsid w:val="00F5324A"/>
    <w:rsid w:val="00F548BE"/>
    <w:rsid w:val="00F549DE"/>
    <w:rsid w:val="00F54EFD"/>
    <w:rsid w:val="00F55629"/>
    <w:rsid w:val="00F57042"/>
    <w:rsid w:val="00F57C68"/>
    <w:rsid w:val="00F618CD"/>
    <w:rsid w:val="00F67EA6"/>
    <w:rsid w:val="00F7169E"/>
    <w:rsid w:val="00F7288F"/>
    <w:rsid w:val="00F82EA6"/>
    <w:rsid w:val="00F8567E"/>
    <w:rsid w:val="00F86656"/>
    <w:rsid w:val="00F91B06"/>
    <w:rsid w:val="00F97B3F"/>
    <w:rsid w:val="00F97C38"/>
    <w:rsid w:val="00FA0CA9"/>
    <w:rsid w:val="00FA4762"/>
    <w:rsid w:val="00FA4B83"/>
    <w:rsid w:val="00FA5DEC"/>
    <w:rsid w:val="00FB1F6C"/>
    <w:rsid w:val="00FC21DB"/>
    <w:rsid w:val="00FC585D"/>
    <w:rsid w:val="00FC75FE"/>
    <w:rsid w:val="00FD2D96"/>
    <w:rsid w:val="00FD63CF"/>
    <w:rsid w:val="00FE2CFF"/>
    <w:rsid w:val="00FE7070"/>
    <w:rsid w:val="019B7927"/>
    <w:rsid w:val="04475A45"/>
    <w:rsid w:val="0CE7EB74"/>
    <w:rsid w:val="0D645F25"/>
    <w:rsid w:val="0DFD1A76"/>
    <w:rsid w:val="0EB6DD37"/>
    <w:rsid w:val="12413FBE"/>
    <w:rsid w:val="136D508A"/>
    <w:rsid w:val="145467B2"/>
    <w:rsid w:val="146F2883"/>
    <w:rsid w:val="14FDA703"/>
    <w:rsid w:val="1619614F"/>
    <w:rsid w:val="1645D346"/>
    <w:rsid w:val="1678E29A"/>
    <w:rsid w:val="1699C689"/>
    <w:rsid w:val="171E6ABF"/>
    <w:rsid w:val="17638CF8"/>
    <w:rsid w:val="185E53FD"/>
    <w:rsid w:val="1B47A7F1"/>
    <w:rsid w:val="1BB6EEAA"/>
    <w:rsid w:val="1C3BDF4B"/>
    <w:rsid w:val="1E24858E"/>
    <w:rsid w:val="1EE36CB8"/>
    <w:rsid w:val="1F316717"/>
    <w:rsid w:val="2126BB54"/>
    <w:rsid w:val="22257DD9"/>
    <w:rsid w:val="22D8DF2A"/>
    <w:rsid w:val="230A9620"/>
    <w:rsid w:val="23117CAD"/>
    <w:rsid w:val="235BF8D5"/>
    <w:rsid w:val="245BE182"/>
    <w:rsid w:val="24828EA7"/>
    <w:rsid w:val="24D01AD7"/>
    <w:rsid w:val="25EF4037"/>
    <w:rsid w:val="268AAEF5"/>
    <w:rsid w:val="272F4351"/>
    <w:rsid w:val="28284122"/>
    <w:rsid w:val="287337DF"/>
    <w:rsid w:val="29DCD376"/>
    <w:rsid w:val="29E36485"/>
    <w:rsid w:val="2A31D359"/>
    <w:rsid w:val="2A326202"/>
    <w:rsid w:val="2AF087CA"/>
    <w:rsid w:val="2B67ED7E"/>
    <w:rsid w:val="2C950D07"/>
    <w:rsid w:val="2CD77B9C"/>
    <w:rsid w:val="2CF9A106"/>
    <w:rsid w:val="2D758219"/>
    <w:rsid w:val="339DCDBD"/>
    <w:rsid w:val="379F93AD"/>
    <w:rsid w:val="37A10E9B"/>
    <w:rsid w:val="389BEEDE"/>
    <w:rsid w:val="38B611A4"/>
    <w:rsid w:val="3AFF5AD3"/>
    <w:rsid w:val="3C8675DA"/>
    <w:rsid w:val="3CAEFEEB"/>
    <w:rsid w:val="3D946075"/>
    <w:rsid w:val="3DD2B004"/>
    <w:rsid w:val="40A2AD31"/>
    <w:rsid w:val="40EE1488"/>
    <w:rsid w:val="411ABD73"/>
    <w:rsid w:val="417E2099"/>
    <w:rsid w:val="4346F862"/>
    <w:rsid w:val="45C44DBE"/>
    <w:rsid w:val="45E0CF64"/>
    <w:rsid w:val="4781BF27"/>
    <w:rsid w:val="47E10FC9"/>
    <w:rsid w:val="49862B6B"/>
    <w:rsid w:val="4B80AA11"/>
    <w:rsid w:val="4E3EF580"/>
    <w:rsid w:val="4EA2A9B9"/>
    <w:rsid w:val="50A48B34"/>
    <w:rsid w:val="538C2C2D"/>
    <w:rsid w:val="556B38F9"/>
    <w:rsid w:val="557F7DBB"/>
    <w:rsid w:val="56AAF78F"/>
    <w:rsid w:val="572ABE6D"/>
    <w:rsid w:val="578AD06F"/>
    <w:rsid w:val="57EE0481"/>
    <w:rsid w:val="5DAE8E10"/>
    <w:rsid w:val="5F9AFCFA"/>
    <w:rsid w:val="6039F549"/>
    <w:rsid w:val="614D1D16"/>
    <w:rsid w:val="6163AAFF"/>
    <w:rsid w:val="6171F35E"/>
    <w:rsid w:val="656CF2BD"/>
    <w:rsid w:val="6612E799"/>
    <w:rsid w:val="6616486F"/>
    <w:rsid w:val="66DEA60C"/>
    <w:rsid w:val="67C2BC74"/>
    <w:rsid w:val="68203F6D"/>
    <w:rsid w:val="692D8EA3"/>
    <w:rsid w:val="6A6AFCF9"/>
    <w:rsid w:val="6B0F0567"/>
    <w:rsid w:val="6B35E8D5"/>
    <w:rsid w:val="6B3CEE81"/>
    <w:rsid w:val="6BF68BFE"/>
    <w:rsid w:val="6D0D9C0D"/>
    <w:rsid w:val="6D5CC22A"/>
    <w:rsid w:val="6DD03F26"/>
    <w:rsid w:val="6F069F5F"/>
    <w:rsid w:val="6FC5F940"/>
    <w:rsid w:val="700BDDA0"/>
    <w:rsid w:val="70243873"/>
    <w:rsid w:val="703883DA"/>
    <w:rsid w:val="71D5CBCA"/>
    <w:rsid w:val="75B07560"/>
    <w:rsid w:val="766D8846"/>
    <w:rsid w:val="78FBB3F1"/>
    <w:rsid w:val="7BB1C7C2"/>
    <w:rsid w:val="7C078191"/>
    <w:rsid w:val="7F69C2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UnresolvedMention">
    <w:name w:val="Unresolved Mention"/>
    <w:basedOn w:val="DefaultParagraphFont"/>
    <w:uiPriority w:val="99"/>
    <w:semiHidden/>
    <w:unhideWhenUsed/>
    <w:rsid w:val="0082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B79CE"/>
    <w:rsid w:val="000F6DD0"/>
    <w:rsid w:val="001B0EEF"/>
    <w:rsid w:val="001B3EFE"/>
    <w:rsid w:val="001C6C4F"/>
    <w:rsid w:val="00232338"/>
    <w:rsid w:val="00240F00"/>
    <w:rsid w:val="002C51CF"/>
    <w:rsid w:val="002D7989"/>
    <w:rsid w:val="00305B8B"/>
    <w:rsid w:val="00307DD6"/>
    <w:rsid w:val="003261FD"/>
    <w:rsid w:val="00327324"/>
    <w:rsid w:val="00387A41"/>
    <w:rsid w:val="003953B7"/>
    <w:rsid w:val="0040753F"/>
    <w:rsid w:val="004140C9"/>
    <w:rsid w:val="00452091"/>
    <w:rsid w:val="00466120"/>
    <w:rsid w:val="00467E8C"/>
    <w:rsid w:val="00500DD2"/>
    <w:rsid w:val="00503ECC"/>
    <w:rsid w:val="00524839"/>
    <w:rsid w:val="00591655"/>
    <w:rsid w:val="00641883"/>
    <w:rsid w:val="00672A4C"/>
    <w:rsid w:val="006D0E46"/>
    <w:rsid w:val="006F549F"/>
    <w:rsid w:val="0076681D"/>
    <w:rsid w:val="007C0257"/>
    <w:rsid w:val="007D313C"/>
    <w:rsid w:val="008350C4"/>
    <w:rsid w:val="008D2FCC"/>
    <w:rsid w:val="00957258"/>
    <w:rsid w:val="009B6F08"/>
    <w:rsid w:val="009E14BB"/>
    <w:rsid w:val="009F7227"/>
    <w:rsid w:val="00A15A3A"/>
    <w:rsid w:val="00AD486E"/>
    <w:rsid w:val="00B06ACB"/>
    <w:rsid w:val="00B670DA"/>
    <w:rsid w:val="00B904E5"/>
    <w:rsid w:val="00BA6BD3"/>
    <w:rsid w:val="00BC434A"/>
    <w:rsid w:val="00BF4750"/>
    <w:rsid w:val="00C00FA0"/>
    <w:rsid w:val="00C3159D"/>
    <w:rsid w:val="00CB2F21"/>
    <w:rsid w:val="00CC048E"/>
    <w:rsid w:val="00D47C80"/>
    <w:rsid w:val="00D914F2"/>
    <w:rsid w:val="00D95875"/>
    <w:rsid w:val="00DC2B9B"/>
    <w:rsid w:val="00DE5A35"/>
    <w:rsid w:val="00DF4468"/>
    <w:rsid w:val="00E10124"/>
    <w:rsid w:val="00E117BF"/>
    <w:rsid w:val="00E30FE5"/>
    <w:rsid w:val="00E62BD3"/>
    <w:rsid w:val="00E62F67"/>
    <w:rsid w:val="00EB404E"/>
    <w:rsid w:val="00EB7F09"/>
    <w:rsid w:val="00ED754B"/>
    <w:rsid w:val="00EE044A"/>
    <w:rsid w:val="00F22CA3"/>
    <w:rsid w:val="00F97C38"/>
    <w:rsid w:val="00FA4B83"/>
    <w:rsid w:val="00FB29FD"/>
    <w:rsid w:val="00FF3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2B2406BB-AB94-4EF2-BECD-A6BB1217731B}"/>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212d2a54-162c-4e9f-8caf-ebad99b8300a"/>
    <ds:schemaRef ds:uri="2886f916-5d1a-425c-a166-a8d6e1c4ef90"/>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58</cp:revision>
  <dcterms:created xsi:type="dcterms:W3CDTF">2026-08-05T10:19:00Z</dcterms:created>
  <dcterms:modified xsi:type="dcterms:W3CDTF">2026-08-18T08:16:14Z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