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4694C3" w14:textId="77777777" w:rsidR="00480247" w:rsidRPr="006E697D" w:rsidRDefault="00480247" w:rsidP="00480247">
      <w:pPr>
        <w:spacing w:after="0" w:line="240" w:lineRule="auto"/>
        <w:jc w:val="both"/>
        <w:rPr>
          <w:rFonts w:ascii="Verdana" w:hAnsi="Verdana"/>
          <w:b/>
          <w:bCs/>
          <w:sz w:val="24"/>
          <w:szCs w:val="24"/>
        </w:rPr>
      </w:pPr>
      <w:r w:rsidRPr="006E697D">
        <w:rPr>
          <w:rFonts w:ascii="Verdana" w:hAnsi="Verdana"/>
          <w:b/>
          <w:bCs/>
          <w:sz w:val="24"/>
          <w:szCs w:val="24"/>
        </w:rPr>
        <w:t>APPENDIX ONE</w:t>
      </w:r>
      <w:r>
        <w:rPr>
          <w:rFonts w:ascii="Verdana" w:hAnsi="Verdana"/>
          <w:b/>
          <w:bCs/>
          <w:sz w:val="24"/>
          <w:szCs w:val="24"/>
        </w:rPr>
        <w:t>: EXTRACTS FROM ORGANISATIONAL CHANGE SBAR</w:t>
      </w:r>
    </w:p>
    <w:p w14:paraId="3AC5EE6F" w14:textId="77777777" w:rsidR="00480247" w:rsidRDefault="00480247" w:rsidP="00480247">
      <w:pPr>
        <w:spacing w:after="0" w:line="240" w:lineRule="auto"/>
        <w:jc w:val="both"/>
        <w:rPr>
          <w:rFonts w:ascii="Verdana" w:hAnsi="Verdana"/>
          <w:sz w:val="24"/>
          <w:szCs w:val="24"/>
        </w:rPr>
      </w:pPr>
    </w:p>
    <w:p w14:paraId="5658D9E3" w14:textId="77777777" w:rsidR="00480247" w:rsidRPr="00C11C04" w:rsidRDefault="00480247" w:rsidP="00480247">
      <w:pPr>
        <w:spacing w:after="0" w:line="240" w:lineRule="auto"/>
        <w:jc w:val="both"/>
        <w:rPr>
          <w:rFonts w:ascii="Verdana" w:hAnsi="Verdana" w:cs="Arial"/>
          <w:b/>
          <w:sz w:val="24"/>
          <w:szCs w:val="24"/>
        </w:rPr>
      </w:pPr>
      <w:r w:rsidRPr="00C11C04">
        <w:rPr>
          <w:rFonts w:ascii="Verdana" w:hAnsi="Verdana" w:cs="Arial"/>
          <w:b/>
          <w:sz w:val="24"/>
          <w:szCs w:val="24"/>
        </w:rPr>
        <w:t xml:space="preserve">ESTATES UPDATE: </w:t>
      </w:r>
      <w:r>
        <w:rPr>
          <w:rFonts w:ascii="Verdana" w:hAnsi="Verdana" w:cs="Arial"/>
          <w:b/>
          <w:sz w:val="24"/>
          <w:szCs w:val="24"/>
        </w:rPr>
        <w:t>ESTATE MODERNISATION</w:t>
      </w:r>
    </w:p>
    <w:p w14:paraId="29ABB0D5" w14:textId="77777777" w:rsidR="00480247" w:rsidRDefault="00480247" w:rsidP="00480247">
      <w:pPr>
        <w:spacing w:after="0" w:line="240" w:lineRule="auto"/>
        <w:jc w:val="both"/>
        <w:rPr>
          <w:rFonts w:ascii="Verdana" w:hAnsi="Verdana" w:cs="Arial"/>
          <w:b/>
          <w:sz w:val="24"/>
          <w:szCs w:val="24"/>
        </w:rPr>
      </w:pPr>
    </w:p>
    <w:p w14:paraId="3AABAD47" w14:textId="77777777" w:rsidR="00480247" w:rsidRPr="00D11F82" w:rsidRDefault="00480247" w:rsidP="00480247">
      <w:pPr>
        <w:spacing w:after="0" w:line="240" w:lineRule="auto"/>
        <w:jc w:val="both"/>
        <w:rPr>
          <w:rFonts w:ascii="Arial" w:eastAsia="Calibri" w:hAnsi="Arial" w:cs="Arial"/>
          <w:b/>
          <w:bCs/>
          <w:sz w:val="24"/>
          <w:szCs w:val="24"/>
        </w:rPr>
      </w:pPr>
      <w:r w:rsidRPr="00D11F82">
        <w:rPr>
          <w:rFonts w:ascii="Arial" w:eastAsia="Calibri" w:hAnsi="Arial" w:cs="Arial"/>
          <w:b/>
          <w:bCs/>
          <w:sz w:val="24"/>
          <w:szCs w:val="24"/>
        </w:rPr>
        <w:t>Key Challenges and Opportunities for Improvement</w:t>
      </w:r>
    </w:p>
    <w:p w14:paraId="672344B9" w14:textId="77777777" w:rsidR="00480247" w:rsidRPr="00D11F82" w:rsidRDefault="00480247" w:rsidP="00480247">
      <w:pPr>
        <w:spacing w:after="0" w:line="240" w:lineRule="auto"/>
        <w:jc w:val="both"/>
        <w:rPr>
          <w:rFonts w:ascii="Arial" w:eastAsia="Calibri" w:hAnsi="Arial" w:cs="Arial"/>
          <w:sz w:val="24"/>
          <w:szCs w:val="24"/>
        </w:rPr>
      </w:pPr>
    </w:p>
    <w:p w14:paraId="4F10556F" w14:textId="77777777" w:rsidR="00480247" w:rsidRPr="00D11F82" w:rsidRDefault="00480247" w:rsidP="00480247">
      <w:pPr>
        <w:numPr>
          <w:ilvl w:val="0"/>
          <w:numId w:val="2"/>
        </w:numPr>
        <w:spacing w:after="0" w:line="240" w:lineRule="auto"/>
        <w:ind w:left="360"/>
        <w:contextualSpacing/>
        <w:jc w:val="both"/>
        <w:rPr>
          <w:rFonts w:ascii="Arial" w:eastAsia="Calibri" w:hAnsi="Arial" w:cs="Arial"/>
          <w:sz w:val="24"/>
          <w:szCs w:val="24"/>
        </w:rPr>
      </w:pPr>
      <w:r w:rsidRPr="00D11F82">
        <w:rPr>
          <w:rFonts w:ascii="Arial" w:eastAsia="Calibri" w:hAnsi="Arial" w:cs="Arial"/>
          <w:b/>
          <w:bCs/>
          <w:sz w:val="24"/>
          <w:szCs w:val="24"/>
        </w:rPr>
        <w:t>Legacy of Underinvestment</w:t>
      </w:r>
      <w:r w:rsidRPr="00D11F82">
        <w:rPr>
          <w:rFonts w:ascii="Arial" w:eastAsia="Calibri" w:hAnsi="Arial" w:cs="Arial"/>
          <w:sz w:val="24"/>
          <w:szCs w:val="24"/>
        </w:rPr>
        <w:t>: Like many NHS organisations, Swansea Bay has experienced prolonged cost constraints. This has led to a reactive approach to estate management. However, this presents a pivotal opportunity to reposition Estates as a strategic enabler of healthcare delivery rather than a cost centre.</w:t>
      </w:r>
    </w:p>
    <w:p w14:paraId="40AA5033" w14:textId="77777777" w:rsidR="00480247" w:rsidRPr="00D11F82" w:rsidRDefault="00480247" w:rsidP="00480247">
      <w:pPr>
        <w:spacing w:after="0" w:line="240" w:lineRule="auto"/>
        <w:ind w:left="360"/>
        <w:contextualSpacing/>
        <w:jc w:val="both"/>
        <w:rPr>
          <w:rFonts w:ascii="Arial" w:eastAsia="Calibri" w:hAnsi="Arial" w:cs="Arial"/>
          <w:sz w:val="24"/>
          <w:szCs w:val="24"/>
        </w:rPr>
      </w:pPr>
    </w:p>
    <w:p w14:paraId="60D39C4D" w14:textId="77777777" w:rsidR="00480247" w:rsidRPr="00D11F82" w:rsidRDefault="00480247" w:rsidP="00480247">
      <w:pPr>
        <w:numPr>
          <w:ilvl w:val="0"/>
          <w:numId w:val="2"/>
        </w:numPr>
        <w:spacing w:after="0" w:line="240" w:lineRule="auto"/>
        <w:ind w:left="360"/>
        <w:contextualSpacing/>
        <w:jc w:val="both"/>
        <w:rPr>
          <w:rFonts w:ascii="Arial" w:eastAsia="Calibri" w:hAnsi="Arial" w:cs="Arial"/>
          <w:sz w:val="24"/>
          <w:szCs w:val="24"/>
        </w:rPr>
      </w:pPr>
      <w:r w:rsidRPr="00D11F82">
        <w:rPr>
          <w:rFonts w:ascii="Arial" w:eastAsia="Calibri" w:hAnsi="Arial" w:cs="Arial"/>
          <w:b/>
          <w:bCs/>
          <w:sz w:val="24"/>
          <w:szCs w:val="24"/>
        </w:rPr>
        <w:t>Workforce Capacity</w:t>
      </w:r>
      <w:r w:rsidRPr="00D11F82">
        <w:rPr>
          <w:rFonts w:ascii="Arial" w:eastAsia="Calibri" w:hAnsi="Arial" w:cs="Arial"/>
          <w:sz w:val="24"/>
          <w:szCs w:val="24"/>
        </w:rPr>
        <w:t>: Addressing staffing levels</w:t>
      </w:r>
      <w:r>
        <w:rPr>
          <w:rFonts w:ascii="Arial" w:eastAsia="Calibri" w:hAnsi="Arial" w:cs="Arial"/>
          <w:sz w:val="24"/>
          <w:szCs w:val="24"/>
        </w:rPr>
        <w:t xml:space="preserve">, </w:t>
      </w:r>
      <w:r w:rsidRPr="00D11F82">
        <w:rPr>
          <w:rFonts w:ascii="Arial" w:eastAsia="Calibri" w:hAnsi="Arial" w:cs="Arial"/>
          <w:sz w:val="24"/>
          <w:szCs w:val="24"/>
        </w:rPr>
        <w:t>especially at Morriston</w:t>
      </w:r>
      <w:r>
        <w:rPr>
          <w:rFonts w:ascii="Arial" w:eastAsia="Calibri" w:hAnsi="Arial" w:cs="Arial"/>
          <w:sz w:val="24"/>
          <w:szCs w:val="24"/>
        </w:rPr>
        <w:t xml:space="preserve">, </w:t>
      </w:r>
      <w:r w:rsidRPr="00D11F82">
        <w:rPr>
          <w:rFonts w:ascii="Arial" w:eastAsia="Calibri" w:hAnsi="Arial" w:cs="Arial"/>
          <w:sz w:val="24"/>
          <w:szCs w:val="24"/>
        </w:rPr>
        <w:t>will improve safety, service reliability, and succession planning. Investing in professional development and accreditation will build a future-ready workforce.</w:t>
      </w:r>
    </w:p>
    <w:p w14:paraId="312025C4" w14:textId="77777777" w:rsidR="00480247" w:rsidRPr="00D11F82" w:rsidRDefault="00480247" w:rsidP="00480247">
      <w:pPr>
        <w:spacing w:after="0" w:line="240" w:lineRule="auto"/>
        <w:ind w:left="360"/>
        <w:contextualSpacing/>
        <w:jc w:val="both"/>
        <w:rPr>
          <w:rFonts w:ascii="Arial" w:eastAsia="Calibri" w:hAnsi="Arial" w:cs="Arial"/>
          <w:sz w:val="24"/>
          <w:szCs w:val="24"/>
        </w:rPr>
      </w:pPr>
    </w:p>
    <w:p w14:paraId="3955AA58" w14:textId="77777777" w:rsidR="00480247" w:rsidRPr="00D11F82" w:rsidRDefault="00480247" w:rsidP="00480247">
      <w:pPr>
        <w:numPr>
          <w:ilvl w:val="0"/>
          <w:numId w:val="2"/>
        </w:numPr>
        <w:spacing w:after="0" w:line="240" w:lineRule="auto"/>
        <w:ind w:left="360"/>
        <w:contextualSpacing/>
        <w:jc w:val="both"/>
        <w:rPr>
          <w:rFonts w:ascii="Arial" w:eastAsia="Calibri" w:hAnsi="Arial" w:cs="Arial"/>
          <w:sz w:val="24"/>
          <w:szCs w:val="24"/>
        </w:rPr>
      </w:pPr>
      <w:r w:rsidRPr="00D11F82">
        <w:rPr>
          <w:rFonts w:ascii="Arial" w:eastAsia="Calibri" w:hAnsi="Arial" w:cs="Arial"/>
          <w:b/>
          <w:bCs/>
          <w:sz w:val="24"/>
          <w:szCs w:val="24"/>
        </w:rPr>
        <w:t>Culture and Leadership</w:t>
      </w:r>
      <w:r w:rsidRPr="00D11F82">
        <w:rPr>
          <w:rFonts w:ascii="Arial" w:eastAsia="Calibri" w:hAnsi="Arial" w:cs="Arial"/>
          <w:sz w:val="24"/>
          <w:szCs w:val="24"/>
        </w:rPr>
        <w:t>: Rebuilding a collaborative and inclusive culture, aligned with Swansea Bay Values, will restore morale and foster a more positive working environment. Note: In March the management team developed an ‘Estates Charter’. This needs to be socialised with the workforce as part of the engagement process to emphasise the contribution of Estates to the Hospital’s operations.</w:t>
      </w:r>
    </w:p>
    <w:p w14:paraId="2674B927" w14:textId="77777777" w:rsidR="00480247" w:rsidRPr="00D11F82" w:rsidRDefault="00480247" w:rsidP="00480247">
      <w:pPr>
        <w:spacing w:after="0" w:line="240" w:lineRule="auto"/>
        <w:ind w:left="360"/>
        <w:contextualSpacing/>
        <w:jc w:val="both"/>
        <w:rPr>
          <w:rFonts w:ascii="Arial" w:eastAsia="Calibri" w:hAnsi="Arial" w:cs="Arial"/>
          <w:sz w:val="24"/>
          <w:szCs w:val="24"/>
        </w:rPr>
      </w:pPr>
    </w:p>
    <w:p w14:paraId="66EFD612" w14:textId="77777777" w:rsidR="00480247" w:rsidRPr="00D11F82" w:rsidRDefault="00480247" w:rsidP="00480247">
      <w:pPr>
        <w:numPr>
          <w:ilvl w:val="0"/>
          <w:numId w:val="2"/>
        </w:numPr>
        <w:spacing w:after="0" w:line="240" w:lineRule="auto"/>
        <w:ind w:left="360"/>
        <w:contextualSpacing/>
        <w:jc w:val="both"/>
        <w:rPr>
          <w:rFonts w:ascii="Arial" w:eastAsia="Calibri" w:hAnsi="Arial" w:cs="Arial"/>
          <w:sz w:val="24"/>
          <w:szCs w:val="24"/>
        </w:rPr>
      </w:pPr>
      <w:r w:rsidRPr="00D11F82">
        <w:rPr>
          <w:rFonts w:ascii="Arial" w:eastAsia="Calibri" w:hAnsi="Arial" w:cs="Arial"/>
          <w:b/>
          <w:bCs/>
          <w:sz w:val="24"/>
          <w:szCs w:val="24"/>
        </w:rPr>
        <w:t>Training and Succession Planning</w:t>
      </w:r>
      <w:r w:rsidRPr="00D11F82">
        <w:rPr>
          <w:rFonts w:ascii="Arial" w:eastAsia="Calibri" w:hAnsi="Arial" w:cs="Arial"/>
          <w:sz w:val="24"/>
          <w:szCs w:val="24"/>
        </w:rPr>
        <w:t>: Developing a structured training programme and competency framework will support succession planning and reduce reliance on an ageing workforce.</w:t>
      </w:r>
    </w:p>
    <w:p w14:paraId="19F466A1" w14:textId="77777777" w:rsidR="00480247" w:rsidRPr="00D11F82" w:rsidRDefault="00480247" w:rsidP="00480247">
      <w:pPr>
        <w:spacing w:after="0" w:line="240" w:lineRule="auto"/>
        <w:ind w:left="360"/>
        <w:contextualSpacing/>
        <w:jc w:val="both"/>
        <w:rPr>
          <w:rFonts w:ascii="Arial" w:eastAsia="Calibri" w:hAnsi="Arial" w:cs="Arial"/>
          <w:sz w:val="24"/>
          <w:szCs w:val="24"/>
        </w:rPr>
      </w:pPr>
    </w:p>
    <w:p w14:paraId="5011EC27" w14:textId="77777777" w:rsidR="00480247" w:rsidRPr="00D11F82" w:rsidRDefault="00480247" w:rsidP="00480247">
      <w:pPr>
        <w:numPr>
          <w:ilvl w:val="0"/>
          <w:numId w:val="2"/>
        </w:numPr>
        <w:spacing w:after="0" w:line="240" w:lineRule="auto"/>
        <w:ind w:left="360"/>
        <w:contextualSpacing/>
        <w:jc w:val="both"/>
        <w:rPr>
          <w:rFonts w:ascii="Arial" w:eastAsia="Calibri" w:hAnsi="Arial" w:cs="Arial"/>
          <w:sz w:val="24"/>
          <w:szCs w:val="24"/>
        </w:rPr>
      </w:pPr>
      <w:r w:rsidRPr="00D11F82">
        <w:rPr>
          <w:rFonts w:ascii="Arial" w:eastAsia="Calibri" w:hAnsi="Arial" w:cs="Arial"/>
          <w:b/>
          <w:bCs/>
          <w:sz w:val="24"/>
          <w:szCs w:val="24"/>
        </w:rPr>
        <w:t>Site Integration</w:t>
      </w:r>
      <w:r w:rsidRPr="00D11F82">
        <w:rPr>
          <w:rFonts w:ascii="Arial" w:eastAsia="Calibri" w:hAnsi="Arial" w:cs="Arial"/>
          <w:sz w:val="24"/>
          <w:szCs w:val="24"/>
        </w:rPr>
        <w:t>: Promoting collaboration between acute sites will reduce duplication and foster shared learning and resource optimisation.</w:t>
      </w:r>
    </w:p>
    <w:p w14:paraId="5A9D80D0" w14:textId="77777777" w:rsidR="00480247" w:rsidRPr="00D11F82" w:rsidRDefault="00480247" w:rsidP="00480247">
      <w:pPr>
        <w:spacing w:after="0" w:line="240" w:lineRule="auto"/>
        <w:ind w:left="360"/>
        <w:contextualSpacing/>
        <w:jc w:val="both"/>
        <w:rPr>
          <w:rFonts w:ascii="Arial" w:eastAsia="Calibri" w:hAnsi="Arial" w:cs="Arial"/>
          <w:sz w:val="24"/>
          <w:szCs w:val="24"/>
        </w:rPr>
      </w:pPr>
    </w:p>
    <w:p w14:paraId="676393EF" w14:textId="77777777" w:rsidR="00480247" w:rsidRPr="00D11F82" w:rsidRDefault="00480247" w:rsidP="00480247">
      <w:pPr>
        <w:numPr>
          <w:ilvl w:val="0"/>
          <w:numId w:val="2"/>
        </w:numPr>
        <w:spacing w:after="0" w:line="240" w:lineRule="auto"/>
        <w:ind w:left="360"/>
        <w:contextualSpacing/>
        <w:jc w:val="both"/>
        <w:rPr>
          <w:rFonts w:ascii="Arial" w:eastAsia="Calibri" w:hAnsi="Arial" w:cs="Arial"/>
          <w:sz w:val="24"/>
          <w:szCs w:val="24"/>
        </w:rPr>
      </w:pPr>
      <w:r w:rsidRPr="00D11F82">
        <w:rPr>
          <w:rFonts w:ascii="Arial" w:eastAsia="Calibri" w:hAnsi="Arial" w:cs="Arial"/>
          <w:b/>
          <w:bCs/>
          <w:sz w:val="24"/>
          <w:szCs w:val="24"/>
        </w:rPr>
        <w:t>Contract Oversight</w:t>
      </w:r>
      <w:r w:rsidRPr="00D11F82">
        <w:rPr>
          <w:rFonts w:ascii="Arial" w:eastAsia="Calibri" w:hAnsi="Arial" w:cs="Arial"/>
          <w:sz w:val="24"/>
          <w:szCs w:val="24"/>
        </w:rPr>
        <w:t>: Introducing robust challenge and review mechanisms for maintenance and service contracts will ensure value and performance.</w:t>
      </w:r>
    </w:p>
    <w:p w14:paraId="722F38FF" w14:textId="77777777" w:rsidR="00480247" w:rsidRPr="00D11F82" w:rsidRDefault="00480247" w:rsidP="00480247">
      <w:pPr>
        <w:spacing w:after="0" w:line="240" w:lineRule="auto"/>
        <w:ind w:left="360"/>
        <w:contextualSpacing/>
        <w:jc w:val="both"/>
        <w:rPr>
          <w:rFonts w:ascii="Arial" w:eastAsia="Calibri" w:hAnsi="Arial" w:cs="Arial"/>
          <w:sz w:val="24"/>
          <w:szCs w:val="24"/>
        </w:rPr>
      </w:pPr>
    </w:p>
    <w:p w14:paraId="18AA9489" w14:textId="77777777" w:rsidR="00480247" w:rsidRPr="00D11F82" w:rsidRDefault="00480247" w:rsidP="00480247">
      <w:pPr>
        <w:numPr>
          <w:ilvl w:val="0"/>
          <w:numId w:val="2"/>
        </w:numPr>
        <w:spacing w:after="0" w:line="240" w:lineRule="auto"/>
        <w:ind w:left="360"/>
        <w:contextualSpacing/>
        <w:jc w:val="both"/>
        <w:rPr>
          <w:rFonts w:ascii="Arial" w:eastAsia="Calibri" w:hAnsi="Arial" w:cs="Arial"/>
          <w:sz w:val="24"/>
          <w:szCs w:val="24"/>
        </w:rPr>
      </w:pPr>
      <w:r w:rsidRPr="00D11F82">
        <w:rPr>
          <w:rFonts w:ascii="Arial" w:eastAsia="Calibri" w:hAnsi="Arial" w:cs="Arial"/>
          <w:b/>
          <w:bCs/>
          <w:sz w:val="24"/>
          <w:szCs w:val="24"/>
        </w:rPr>
        <w:t>Transparency and Reporting:</w:t>
      </w:r>
      <w:r w:rsidRPr="00D11F82">
        <w:rPr>
          <w:rFonts w:ascii="Arial" w:eastAsia="Calibri" w:hAnsi="Arial" w:cs="Arial"/>
          <w:sz w:val="24"/>
          <w:szCs w:val="24"/>
        </w:rPr>
        <w:t xml:space="preserve"> Enhancing reporting practices will ensure senior management and the Board are fully informed of risks and issues, enabling timely and effective decision-making.</w:t>
      </w:r>
    </w:p>
    <w:p w14:paraId="63111606" w14:textId="77777777" w:rsidR="00480247" w:rsidRPr="00D11F82" w:rsidRDefault="00480247" w:rsidP="00480247">
      <w:pPr>
        <w:spacing w:after="0" w:line="240" w:lineRule="auto"/>
        <w:jc w:val="both"/>
        <w:rPr>
          <w:rFonts w:ascii="Arial" w:eastAsia="Calibri" w:hAnsi="Arial" w:cs="Arial"/>
          <w:sz w:val="24"/>
          <w:szCs w:val="24"/>
        </w:rPr>
      </w:pPr>
    </w:p>
    <w:p w14:paraId="2186BE3F" w14:textId="77777777" w:rsidR="00480247" w:rsidRPr="00D11F82" w:rsidRDefault="00480247" w:rsidP="00480247">
      <w:pPr>
        <w:spacing w:after="0" w:line="240" w:lineRule="auto"/>
        <w:jc w:val="both"/>
        <w:rPr>
          <w:rFonts w:ascii="Arial" w:eastAsia="Calibri" w:hAnsi="Arial" w:cs="Arial"/>
          <w:b/>
          <w:bCs/>
          <w:sz w:val="24"/>
          <w:szCs w:val="24"/>
        </w:rPr>
      </w:pPr>
      <w:r w:rsidRPr="00D11F82">
        <w:rPr>
          <w:rFonts w:ascii="Arial" w:eastAsia="Calibri" w:hAnsi="Arial" w:cs="Arial"/>
          <w:b/>
          <w:bCs/>
          <w:sz w:val="24"/>
          <w:szCs w:val="24"/>
        </w:rPr>
        <w:t>A System Under Strain: The Case for Urgent Action</w:t>
      </w:r>
    </w:p>
    <w:p w14:paraId="493D371A" w14:textId="77777777" w:rsidR="00480247" w:rsidRPr="00D11F82" w:rsidRDefault="00480247" w:rsidP="00480247">
      <w:pPr>
        <w:spacing w:after="0" w:line="240" w:lineRule="auto"/>
        <w:jc w:val="both"/>
        <w:rPr>
          <w:rFonts w:ascii="Arial" w:eastAsia="Calibri" w:hAnsi="Arial" w:cs="Arial"/>
          <w:sz w:val="24"/>
          <w:szCs w:val="24"/>
        </w:rPr>
      </w:pPr>
    </w:p>
    <w:p w14:paraId="4C77AD79" w14:textId="77777777" w:rsidR="00480247" w:rsidRPr="00D11F82" w:rsidRDefault="00480247" w:rsidP="00480247">
      <w:pPr>
        <w:spacing w:after="0" w:line="240" w:lineRule="auto"/>
        <w:jc w:val="both"/>
        <w:rPr>
          <w:rFonts w:ascii="Arial" w:eastAsia="Calibri" w:hAnsi="Arial" w:cs="Arial"/>
          <w:sz w:val="24"/>
          <w:szCs w:val="24"/>
        </w:rPr>
      </w:pPr>
      <w:r w:rsidRPr="00D11F82">
        <w:rPr>
          <w:rFonts w:ascii="Arial" w:eastAsia="Calibri" w:hAnsi="Arial" w:cs="Arial"/>
          <w:sz w:val="24"/>
          <w:szCs w:val="24"/>
        </w:rPr>
        <w:t>The combined weight of these challenges creates a daily operational quagmire</w:t>
      </w:r>
      <w:r w:rsidRPr="006A1D86">
        <w:rPr>
          <w:rFonts w:ascii="Arial" w:eastAsia="Calibri" w:hAnsi="Arial" w:cs="Arial"/>
          <w:sz w:val="24"/>
          <w:szCs w:val="24"/>
        </w:rPr>
        <w:t xml:space="preserve">, </w:t>
      </w:r>
      <w:r w:rsidRPr="00D11F82">
        <w:rPr>
          <w:rFonts w:ascii="Arial" w:eastAsia="Calibri" w:hAnsi="Arial" w:cs="Arial"/>
          <w:sz w:val="24"/>
          <w:szCs w:val="24"/>
        </w:rPr>
        <w:t>a system where staff at all levels are constrained and reactive, rather than empowered to deliver the core mission: ensuring the Health Board’s built environment supports safe, effective, and high-quality patient care.</w:t>
      </w:r>
    </w:p>
    <w:p w14:paraId="2646CA4F" w14:textId="77777777" w:rsidR="00480247" w:rsidRPr="00D11F82" w:rsidRDefault="00480247" w:rsidP="00480247">
      <w:pPr>
        <w:spacing w:after="0" w:line="240" w:lineRule="auto"/>
        <w:jc w:val="both"/>
        <w:rPr>
          <w:rFonts w:ascii="Arial" w:eastAsia="Calibri" w:hAnsi="Arial" w:cs="Arial"/>
          <w:sz w:val="24"/>
          <w:szCs w:val="24"/>
        </w:rPr>
      </w:pPr>
    </w:p>
    <w:p w14:paraId="04CBF9E4" w14:textId="77777777" w:rsidR="00480247" w:rsidRDefault="00480247" w:rsidP="00480247">
      <w:pPr>
        <w:spacing w:after="0" w:line="240" w:lineRule="auto"/>
        <w:jc w:val="both"/>
        <w:rPr>
          <w:rFonts w:ascii="Arial" w:eastAsia="Calibri" w:hAnsi="Arial" w:cs="Arial"/>
          <w:sz w:val="24"/>
          <w:szCs w:val="24"/>
        </w:rPr>
      </w:pPr>
      <w:r w:rsidRPr="00D11F82">
        <w:rPr>
          <w:rFonts w:ascii="Arial" w:eastAsia="Calibri" w:hAnsi="Arial" w:cs="Arial"/>
          <w:sz w:val="24"/>
          <w:szCs w:val="24"/>
        </w:rPr>
        <w:t>This is not simply a matter of ageing infrastructure. It is compounded by:</w:t>
      </w:r>
    </w:p>
    <w:p w14:paraId="203E545B" w14:textId="77777777" w:rsidR="00480247" w:rsidRPr="00D11F82" w:rsidRDefault="00480247" w:rsidP="00480247">
      <w:pPr>
        <w:spacing w:after="0" w:line="240" w:lineRule="auto"/>
        <w:jc w:val="both"/>
        <w:rPr>
          <w:rFonts w:ascii="Arial" w:eastAsia="Calibri" w:hAnsi="Arial" w:cs="Arial"/>
          <w:sz w:val="24"/>
          <w:szCs w:val="24"/>
        </w:rPr>
      </w:pPr>
    </w:p>
    <w:p w14:paraId="1236E733" w14:textId="77777777" w:rsidR="00480247" w:rsidRPr="00D11F82" w:rsidRDefault="00480247" w:rsidP="00480247">
      <w:pPr>
        <w:numPr>
          <w:ilvl w:val="0"/>
          <w:numId w:val="3"/>
        </w:numPr>
        <w:spacing w:after="0" w:line="240" w:lineRule="auto"/>
        <w:rPr>
          <w:rFonts w:ascii="Arial" w:eastAsia="Calibri" w:hAnsi="Arial" w:cs="Arial"/>
          <w:sz w:val="24"/>
          <w:szCs w:val="24"/>
        </w:rPr>
      </w:pPr>
      <w:r w:rsidRPr="00D11F82">
        <w:rPr>
          <w:rFonts w:ascii="Arial" w:eastAsia="Calibri" w:hAnsi="Arial" w:cs="Arial"/>
          <w:b/>
          <w:bCs/>
          <w:sz w:val="24"/>
          <w:szCs w:val="24"/>
        </w:rPr>
        <w:t>Fragmented business intelligence</w:t>
      </w:r>
      <w:r w:rsidRPr="00D11F82">
        <w:rPr>
          <w:rFonts w:ascii="Arial" w:eastAsia="Calibri" w:hAnsi="Arial" w:cs="Arial"/>
          <w:sz w:val="24"/>
          <w:szCs w:val="24"/>
        </w:rPr>
        <w:t>:</w:t>
      </w:r>
      <w:r w:rsidRPr="00D11F82">
        <w:rPr>
          <w:rFonts w:ascii="Arial" w:eastAsia="Calibri" w:hAnsi="Arial" w:cs="Arial"/>
          <w:sz w:val="24"/>
          <w:szCs w:val="24"/>
        </w:rPr>
        <w:br/>
        <w:t>Critical asset data is outdated and dispersed across five disconnected systems, making it nearly impossible to form a coherent picture of estate condition and risk.</w:t>
      </w:r>
    </w:p>
    <w:p w14:paraId="5F505595" w14:textId="77777777" w:rsidR="00480247" w:rsidRPr="00D11F82" w:rsidRDefault="00480247" w:rsidP="00480247">
      <w:pPr>
        <w:numPr>
          <w:ilvl w:val="0"/>
          <w:numId w:val="3"/>
        </w:numPr>
        <w:spacing w:after="0" w:line="240" w:lineRule="auto"/>
        <w:rPr>
          <w:rFonts w:ascii="Arial" w:eastAsia="Calibri" w:hAnsi="Arial" w:cs="Arial"/>
          <w:sz w:val="24"/>
          <w:szCs w:val="24"/>
        </w:rPr>
      </w:pPr>
      <w:r w:rsidRPr="00D11F82">
        <w:rPr>
          <w:rFonts w:ascii="Arial" w:eastAsia="Calibri" w:hAnsi="Arial" w:cs="Arial"/>
          <w:b/>
          <w:bCs/>
          <w:sz w:val="24"/>
          <w:szCs w:val="24"/>
        </w:rPr>
        <w:lastRenderedPageBreak/>
        <w:t>Reactive capital planning</w:t>
      </w:r>
      <w:r w:rsidRPr="00D11F82">
        <w:rPr>
          <w:rFonts w:ascii="Arial" w:eastAsia="Calibri" w:hAnsi="Arial" w:cs="Arial"/>
          <w:sz w:val="24"/>
          <w:szCs w:val="24"/>
        </w:rPr>
        <w:t>:</w:t>
      </w:r>
      <w:r w:rsidRPr="00D11F82">
        <w:rPr>
          <w:rFonts w:ascii="Arial" w:eastAsia="Calibri" w:hAnsi="Arial" w:cs="Arial"/>
          <w:sz w:val="24"/>
          <w:szCs w:val="24"/>
        </w:rPr>
        <w:br/>
        <w:t>Investment bids often need to be assembled at speed to secure Welsh Government funding. In the absence of reliable data, these bids rely heavily on local knowledge of plant rooms and infrastructure</w:t>
      </w:r>
      <w:r w:rsidRPr="00F86C1A">
        <w:rPr>
          <w:rFonts w:ascii="Arial" w:eastAsia="Calibri" w:hAnsi="Arial" w:cs="Arial"/>
          <w:sz w:val="24"/>
          <w:szCs w:val="24"/>
        </w:rPr>
        <w:t xml:space="preserve">, </w:t>
      </w:r>
      <w:r w:rsidRPr="00D11F82">
        <w:rPr>
          <w:rFonts w:ascii="Arial" w:eastAsia="Calibri" w:hAnsi="Arial" w:cs="Arial"/>
          <w:sz w:val="24"/>
          <w:szCs w:val="24"/>
        </w:rPr>
        <w:t>knowledge that resides almost exclusively with an ageing workforce, 25% of whom are over 62 and have ‘retired and returned’. This expertise could be lost at any time, leaving the organisation exposed.</w:t>
      </w:r>
    </w:p>
    <w:p w14:paraId="27F02EF7" w14:textId="77777777" w:rsidR="00480247" w:rsidRPr="00D11F82" w:rsidRDefault="00480247" w:rsidP="00480247">
      <w:pPr>
        <w:numPr>
          <w:ilvl w:val="0"/>
          <w:numId w:val="3"/>
        </w:numPr>
        <w:spacing w:after="0" w:line="240" w:lineRule="auto"/>
        <w:rPr>
          <w:rFonts w:ascii="Arial" w:eastAsia="Calibri" w:hAnsi="Arial" w:cs="Arial"/>
          <w:sz w:val="24"/>
          <w:szCs w:val="24"/>
        </w:rPr>
      </w:pPr>
      <w:r w:rsidRPr="00D11F82">
        <w:rPr>
          <w:rFonts w:ascii="Arial" w:eastAsia="Calibri" w:hAnsi="Arial" w:cs="Arial"/>
          <w:b/>
          <w:bCs/>
          <w:sz w:val="24"/>
          <w:szCs w:val="24"/>
        </w:rPr>
        <w:t>Workforce fragility</w:t>
      </w:r>
      <w:r w:rsidRPr="00D11F82">
        <w:rPr>
          <w:rFonts w:ascii="Arial" w:eastAsia="Calibri" w:hAnsi="Arial" w:cs="Arial"/>
          <w:sz w:val="24"/>
          <w:szCs w:val="24"/>
        </w:rPr>
        <w:t>:</w:t>
      </w:r>
      <w:r w:rsidRPr="00D11F82">
        <w:rPr>
          <w:rFonts w:ascii="Arial" w:eastAsia="Calibri" w:hAnsi="Arial" w:cs="Arial"/>
          <w:sz w:val="24"/>
          <w:szCs w:val="24"/>
        </w:rPr>
        <w:br/>
        <w:t>The reliance on a small number of experienced individuals is unsustainable. Without a structured succession plan and improved data systems, the Health Board risks losing not just knowledge, but the ability to respond to infrastructure failures with confidence and speed.</w:t>
      </w:r>
    </w:p>
    <w:p w14:paraId="44467A8B" w14:textId="77777777" w:rsidR="00480247" w:rsidRPr="00D11F82" w:rsidRDefault="00C179F9" w:rsidP="00480247">
      <w:pPr>
        <w:spacing w:after="0" w:line="240" w:lineRule="auto"/>
        <w:jc w:val="both"/>
        <w:rPr>
          <w:rFonts w:ascii="Arial" w:eastAsia="Calibri" w:hAnsi="Arial" w:cs="Arial"/>
          <w:sz w:val="24"/>
          <w:szCs w:val="24"/>
        </w:rPr>
      </w:pPr>
      <w:r>
        <w:rPr>
          <w:rFonts w:ascii="Arial" w:eastAsia="Calibri" w:hAnsi="Arial" w:cs="Arial"/>
          <w:sz w:val="24"/>
          <w:szCs w:val="24"/>
        </w:rPr>
        <w:pict w14:anchorId="04C5D04B">
          <v:rect id="_x0000_i1025" style="width:8in;height:0" o:hrpct="0" o:hralign="center" o:hrstd="t" o:hrnoshade="t" o:hr="t" fillcolor="#424242" stroked="f"/>
        </w:pict>
      </w:r>
    </w:p>
    <w:p w14:paraId="5ED804E7" w14:textId="77777777" w:rsidR="00480247" w:rsidRPr="00D11F82" w:rsidRDefault="00480247" w:rsidP="00480247">
      <w:pPr>
        <w:spacing w:after="0" w:line="240" w:lineRule="auto"/>
        <w:jc w:val="both"/>
        <w:rPr>
          <w:rFonts w:ascii="Arial" w:eastAsia="Calibri" w:hAnsi="Arial" w:cs="Arial"/>
          <w:sz w:val="24"/>
          <w:szCs w:val="24"/>
        </w:rPr>
      </w:pPr>
      <w:r w:rsidRPr="00D11F82">
        <w:rPr>
          <w:rFonts w:ascii="Arial" w:eastAsia="Calibri" w:hAnsi="Arial" w:cs="Arial"/>
          <w:sz w:val="24"/>
          <w:szCs w:val="24"/>
        </w:rPr>
        <w:t>This situation is not just inefficient</w:t>
      </w:r>
      <w:r>
        <w:rPr>
          <w:rFonts w:ascii="Arial" w:eastAsia="Calibri" w:hAnsi="Arial" w:cs="Arial"/>
          <w:sz w:val="24"/>
          <w:szCs w:val="24"/>
        </w:rPr>
        <w:t xml:space="preserve">: </w:t>
      </w:r>
      <w:r w:rsidRPr="00D11F82">
        <w:rPr>
          <w:rFonts w:ascii="Arial" w:eastAsia="Calibri" w:hAnsi="Arial" w:cs="Arial"/>
          <w:sz w:val="24"/>
          <w:szCs w:val="24"/>
        </w:rPr>
        <w:t>it is </w:t>
      </w:r>
      <w:r w:rsidRPr="00D90082">
        <w:rPr>
          <w:rFonts w:ascii="Arial" w:eastAsia="Calibri" w:hAnsi="Arial" w:cs="Arial"/>
          <w:sz w:val="24"/>
          <w:szCs w:val="24"/>
        </w:rPr>
        <w:t>strategically dangerous</w:t>
      </w:r>
      <w:r w:rsidRPr="00D11F82">
        <w:rPr>
          <w:rFonts w:ascii="Arial" w:eastAsia="Calibri" w:hAnsi="Arial" w:cs="Arial"/>
          <w:sz w:val="24"/>
          <w:szCs w:val="24"/>
        </w:rPr>
        <w:t>. Without intervention, the Health Board faces escalating risks to patient safety, service continuity, and financial sustainability. The Estates Modernisation Programme is not a luxury</w:t>
      </w:r>
      <w:r>
        <w:rPr>
          <w:rFonts w:ascii="Arial" w:eastAsia="Calibri" w:hAnsi="Arial" w:cs="Arial"/>
          <w:sz w:val="24"/>
          <w:szCs w:val="24"/>
        </w:rPr>
        <w:t xml:space="preserve">: </w:t>
      </w:r>
      <w:r w:rsidRPr="00D11F82">
        <w:rPr>
          <w:rFonts w:ascii="Arial" w:eastAsia="Calibri" w:hAnsi="Arial" w:cs="Arial"/>
          <w:sz w:val="24"/>
          <w:szCs w:val="24"/>
        </w:rPr>
        <w:t>it is a </w:t>
      </w:r>
      <w:r w:rsidRPr="00D90082">
        <w:rPr>
          <w:rFonts w:ascii="Arial" w:eastAsia="Calibri" w:hAnsi="Arial" w:cs="Arial"/>
          <w:sz w:val="24"/>
          <w:szCs w:val="24"/>
        </w:rPr>
        <w:t>strategic necessity</w:t>
      </w:r>
      <w:r w:rsidRPr="00D11F82">
        <w:rPr>
          <w:rFonts w:ascii="Arial" w:eastAsia="Calibri" w:hAnsi="Arial" w:cs="Arial"/>
          <w:sz w:val="24"/>
          <w:szCs w:val="24"/>
        </w:rPr>
        <w:t>.</w:t>
      </w:r>
    </w:p>
    <w:p w14:paraId="20410D07" w14:textId="77777777" w:rsidR="00480247" w:rsidRPr="00D11F82" w:rsidRDefault="00480247" w:rsidP="00480247">
      <w:pPr>
        <w:spacing w:after="0" w:line="240" w:lineRule="auto"/>
        <w:jc w:val="both"/>
        <w:rPr>
          <w:rFonts w:ascii="Arial" w:eastAsia="Calibri" w:hAnsi="Arial" w:cs="Arial"/>
          <w:sz w:val="24"/>
          <w:szCs w:val="24"/>
        </w:rPr>
      </w:pPr>
    </w:p>
    <w:p w14:paraId="7A9D89B9" w14:textId="77777777" w:rsidR="00480247" w:rsidRPr="00D11F82" w:rsidRDefault="00480247" w:rsidP="00480247">
      <w:pPr>
        <w:spacing w:after="0" w:line="240" w:lineRule="auto"/>
        <w:jc w:val="both"/>
        <w:rPr>
          <w:rFonts w:ascii="Arial" w:eastAsia="Calibri" w:hAnsi="Arial" w:cs="Arial"/>
          <w:b/>
          <w:bCs/>
          <w:sz w:val="24"/>
          <w:szCs w:val="24"/>
        </w:rPr>
      </w:pPr>
      <w:r w:rsidRPr="00D11F82">
        <w:rPr>
          <w:rFonts w:ascii="Arial" w:eastAsia="Calibri" w:hAnsi="Arial" w:cs="Arial"/>
          <w:b/>
          <w:bCs/>
          <w:sz w:val="24"/>
          <w:szCs w:val="24"/>
        </w:rPr>
        <w:t>Embedding Risk Management at the Heart of Estates Strategy</w:t>
      </w:r>
    </w:p>
    <w:p w14:paraId="08B989A7" w14:textId="77777777" w:rsidR="00480247" w:rsidRPr="00D11F82" w:rsidRDefault="00480247" w:rsidP="00480247">
      <w:pPr>
        <w:spacing w:after="0" w:line="240" w:lineRule="auto"/>
        <w:jc w:val="both"/>
        <w:rPr>
          <w:rFonts w:ascii="Arial" w:eastAsia="Calibri" w:hAnsi="Arial" w:cs="Arial"/>
          <w:sz w:val="24"/>
          <w:szCs w:val="24"/>
        </w:rPr>
      </w:pPr>
    </w:p>
    <w:p w14:paraId="50E2807E" w14:textId="77777777" w:rsidR="00480247" w:rsidRPr="00D11F82" w:rsidRDefault="00480247" w:rsidP="00480247">
      <w:pPr>
        <w:spacing w:after="0" w:line="240" w:lineRule="auto"/>
        <w:jc w:val="both"/>
        <w:rPr>
          <w:rFonts w:ascii="Arial" w:eastAsia="Calibri" w:hAnsi="Arial" w:cs="Arial"/>
          <w:sz w:val="24"/>
          <w:szCs w:val="24"/>
        </w:rPr>
      </w:pPr>
      <w:r w:rsidRPr="00D11F82">
        <w:rPr>
          <w:rFonts w:ascii="Arial" w:eastAsia="Calibri" w:hAnsi="Arial" w:cs="Arial"/>
          <w:sz w:val="24"/>
          <w:szCs w:val="24"/>
        </w:rPr>
        <w:t>Effective risk management is fundamental to the successful operation of the Estates function. Historically, this has been compromised by repeated cost improvement programmes that stripped away the capacity needed to maintain and use the risk register as a core management tool. As a result, risks were often under-reported or not reported at all, simply because the necessary data was either not captured or not held centrally.</w:t>
      </w:r>
    </w:p>
    <w:p w14:paraId="1C683DCA" w14:textId="77777777" w:rsidR="00480247" w:rsidRDefault="00480247" w:rsidP="00480247">
      <w:pPr>
        <w:spacing w:after="0" w:line="240" w:lineRule="auto"/>
        <w:jc w:val="both"/>
        <w:rPr>
          <w:rFonts w:ascii="Verdana" w:hAnsi="Verdana" w:cs="Arial"/>
          <w:b/>
          <w:sz w:val="24"/>
          <w:szCs w:val="24"/>
        </w:rPr>
      </w:pPr>
    </w:p>
    <w:p w14:paraId="661723F4" w14:textId="77777777" w:rsidR="00480247" w:rsidRPr="00493277" w:rsidRDefault="00480247" w:rsidP="00480247">
      <w:pPr>
        <w:spacing w:after="0" w:line="240" w:lineRule="auto"/>
        <w:jc w:val="both"/>
        <w:rPr>
          <w:rFonts w:ascii="Arial" w:eastAsia="Calibri" w:hAnsi="Arial" w:cs="Arial"/>
          <w:b/>
          <w:bCs/>
          <w:sz w:val="24"/>
          <w:szCs w:val="24"/>
        </w:rPr>
      </w:pPr>
      <w:r w:rsidRPr="00493277">
        <w:rPr>
          <w:rFonts w:ascii="Arial" w:eastAsia="Calibri" w:hAnsi="Arial" w:cs="Arial"/>
          <w:b/>
          <w:bCs/>
          <w:sz w:val="24"/>
          <w:szCs w:val="24"/>
        </w:rPr>
        <w:t>A Strategic Shift for 2026 and Beyond</w:t>
      </w:r>
    </w:p>
    <w:p w14:paraId="20CB42FA" w14:textId="77777777" w:rsidR="00480247" w:rsidRPr="00493277" w:rsidRDefault="00480247" w:rsidP="00480247">
      <w:pPr>
        <w:spacing w:after="0" w:line="240" w:lineRule="auto"/>
        <w:jc w:val="both"/>
        <w:rPr>
          <w:rFonts w:ascii="Arial" w:eastAsia="Calibri" w:hAnsi="Arial" w:cs="Arial"/>
          <w:sz w:val="24"/>
          <w:szCs w:val="24"/>
        </w:rPr>
      </w:pPr>
    </w:p>
    <w:p w14:paraId="30D5238C" w14:textId="77777777" w:rsidR="00480247" w:rsidRDefault="00480247" w:rsidP="00480247">
      <w:pPr>
        <w:spacing w:after="0" w:line="240" w:lineRule="auto"/>
        <w:jc w:val="both"/>
        <w:rPr>
          <w:rFonts w:ascii="Arial" w:eastAsia="Calibri" w:hAnsi="Arial" w:cs="Arial"/>
          <w:sz w:val="24"/>
          <w:szCs w:val="24"/>
        </w:rPr>
      </w:pPr>
      <w:r w:rsidRPr="00493277">
        <w:rPr>
          <w:rFonts w:ascii="Arial" w:eastAsia="Calibri" w:hAnsi="Arial" w:cs="Arial"/>
          <w:sz w:val="24"/>
          <w:szCs w:val="24"/>
        </w:rPr>
        <w:t>Looking ahead, the Estates function will be driven by a proactive, intelligence-led risk management ethos. This will be supported by:</w:t>
      </w:r>
    </w:p>
    <w:p w14:paraId="7BC18A92" w14:textId="77777777" w:rsidR="00480247" w:rsidRPr="00493277" w:rsidRDefault="00480247" w:rsidP="00480247">
      <w:pPr>
        <w:spacing w:after="0" w:line="240" w:lineRule="auto"/>
        <w:jc w:val="both"/>
        <w:rPr>
          <w:rFonts w:ascii="Arial" w:eastAsia="Calibri" w:hAnsi="Arial" w:cs="Arial"/>
          <w:sz w:val="24"/>
          <w:szCs w:val="24"/>
        </w:rPr>
      </w:pPr>
    </w:p>
    <w:p w14:paraId="4AEE05A4" w14:textId="77777777" w:rsidR="00480247" w:rsidRPr="00493277" w:rsidRDefault="00480247" w:rsidP="00480247">
      <w:pPr>
        <w:numPr>
          <w:ilvl w:val="0"/>
          <w:numId w:val="4"/>
        </w:numPr>
        <w:spacing w:after="0" w:line="240" w:lineRule="auto"/>
        <w:jc w:val="both"/>
        <w:rPr>
          <w:rFonts w:ascii="Arial" w:eastAsia="Calibri" w:hAnsi="Arial" w:cs="Arial"/>
          <w:sz w:val="24"/>
          <w:szCs w:val="24"/>
        </w:rPr>
      </w:pPr>
      <w:r w:rsidRPr="00493277">
        <w:rPr>
          <w:rFonts w:ascii="Arial" w:eastAsia="Calibri" w:hAnsi="Arial" w:cs="Arial"/>
          <w:b/>
          <w:bCs/>
          <w:sz w:val="24"/>
          <w:szCs w:val="24"/>
        </w:rPr>
        <w:t>Improved use of Datix</w:t>
      </w:r>
      <w:r w:rsidRPr="00493277">
        <w:rPr>
          <w:rFonts w:ascii="Arial" w:eastAsia="Calibri" w:hAnsi="Arial" w:cs="Arial"/>
          <w:sz w:val="24"/>
          <w:szCs w:val="24"/>
        </w:rPr>
        <w:t> for incident reporting and tracking</w:t>
      </w:r>
    </w:p>
    <w:p w14:paraId="285B2F22" w14:textId="77777777" w:rsidR="00480247" w:rsidRPr="00493277" w:rsidRDefault="00480247" w:rsidP="00480247">
      <w:pPr>
        <w:numPr>
          <w:ilvl w:val="0"/>
          <w:numId w:val="4"/>
        </w:numPr>
        <w:spacing w:after="0" w:line="240" w:lineRule="auto"/>
        <w:jc w:val="both"/>
        <w:rPr>
          <w:rFonts w:ascii="Arial" w:eastAsia="Calibri" w:hAnsi="Arial" w:cs="Arial"/>
          <w:sz w:val="24"/>
          <w:szCs w:val="24"/>
        </w:rPr>
      </w:pPr>
      <w:r w:rsidRPr="00493277">
        <w:rPr>
          <w:rFonts w:ascii="Arial" w:eastAsia="Calibri" w:hAnsi="Arial" w:cs="Arial"/>
          <w:b/>
          <w:bCs/>
          <w:sz w:val="24"/>
          <w:szCs w:val="24"/>
        </w:rPr>
        <w:t>Root cause analysis</w:t>
      </w:r>
      <w:r w:rsidRPr="00493277">
        <w:rPr>
          <w:rFonts w:ascii="Arial" w:eastAsia="Calibri" w:hAnsi="Arial" w:cs="Arial"/>
          <w:sz w:val="24"/>
          <w:szCs w:val="24"/>
        </w:rPr>
        <w:t> using structured methodologies such as the </w:t>
      </w:r>
      <w:r w:rsidRPr="00493277">
        <w:rPr>
          <w:rFonts w:ascii="Arial" w:eastAsia="Calibri" w:hAnsi="Arial" w:cs="Arial"/>
          <w:i/>
          <w:iCs/>
          <w:sz w:val="24"/>
          <w:szCs w:val="24"/>
        </w:rPr>
        <w:t>Five Whys</w:t>
      </w:r>
    </w:p>
    <w:p w14:paraId="4D2BFAED" w14:textId="77777777" w:rsidR="00480247" w:rsidRPr="00493277" w:rsidRDefault="00480247" w:rsidP="00480247">
      <w:pPr>
        <w:numPr>
          <w:ilvl w:val="0"/>
          <w:numId w:val="4"/>
        </w:numPr>
        <w:spacing w:after="0" w:line="240" w:lineRule="auto"/>
        <w:jc w:val="both"/>
        <w:rPr>
          <w:rFonts w:ascii="Arial" w:eastAsia="Calibri" w:hAnsi="Arial" w:cs="Arial"/>
          <w:sz w:val="24"/>
          <w:szCs w:val="24"/>
        </w:rPr>
      </w:pPr>
      <w:r w:rsidRPr="00493277">
        <w:rPr>
          <w:rFonts w:ascii="Arial" w:eastAsia="Calibri" w:hAnsi="Arial" w:cs="Arial"/>
          <w:b/>
          <w:bCs/>
          <w:sz w:val="24"/>
          <w:szCs w:val="24"/>
        </w:rPr>
        <w:t>Stronger integration</w:t>
      </w:r>
      <w:r w:rsidRPr="00493277">
        <w:rPr>
          <w:rFonts w:ascii="Arial" w:eastAsia="Calibri" w:hAnsi="Arial" w:cs="Arial"/>
          <w:sz w:val="24"/>
          <w:szCs w:val="24"/>
        </w:rPr>
        <w:t> between Operational Estates, Capital Planning, and Service Groups</w:t>
      </w:r>
    </w:p>
    <w:p w14:paraId="2B462C31" w14:textId="77777777" w:rsidR="00480247" w:rsidRPr="00493277" w:rsidRDefault="00480247" w:rsidP="00480247">
      <w:pPr>
        <w:numPr>
          <w:ilvl w:val="0"/>
          <w:numId w:val="4"/>
        </w:numPr>
        <w:spacing w:after="0" w:line="240" w:lineRule="auto"/>
        <w:jc w:val="both"/>
        <w:rPr>
          <w:rFonts w:ascii="Arial" w:eastAsia="Calibri" w:hAnsi="Arial" w:cs="Arial"/>
          <w:sz w:val="24"/>
          <w:szCs w:val="24"/>
        </w:rPr>
      </w:pPr>
      <w:r w:rsidRPr="00493277">
        <w:rPr>
          <w:rFonts w:ascii="Arial" w:eastAsia="Calibri" w:hAnsi="Arial" w:cs="Arial"/>
          <w:b/>
          <w:bCs/>
          <w:sz w:val="24"/>
          <w:szCs w:val="24"/>
        </w:rPr>
        <w:t>Closer engagement between management and frontline teams</w:t>
      </w:r>
    </w:p>
    <w:p w14:paraId="3E1A2253" w14:textId="77777777" w:rsidR="00480247" w:rsidRPr="00493277" w:rsidRDefault="00480247" w:rsidP="00480247">
      <w:pPr>
        <w:numPr>
          <w:ilvl w:val="0"/>
          <w:numId w:val="4"/>
        </w:numPr>
        <w:spacing w:after="0" w:line="240" w:lineRule="auto"/>
        <w:jc w:val="both"/>
        <w:rPr>
          <w:rFonts w:ascii="Arial" w:eastAsia="Calibri" w:hAnsi="Arial" w:cs="Arial"/>
          <w:sz w:val="24"/>
          <w:szCs w:val="24"/>
        </w:rPr>
      </w:pPr>
      <w:r w:rsidRPr="00493277">
        <w:rPr>
          <w:rFonts w:ascii="Arial" w:eastAsia="Calibri" w:hAnsi="Arial" w:cs="Arial"/>
          <w:b/>
          <w:bCs/>
          <w:sz w:val="24"/>
          <w:szCs w:val="24"/>
        </w:rPr>
        <w:t>Formalised partnership working with Trade Unions</w:t>
      </w:r>
      <w:r w:rsidRPr="00493277">
        <w:rPr>
          <w:rFonts w:ascii="Arial" w:eastAsia="Calibri" w:hAnsi="Arial" w:cs="Arial"/>
          <w:sz w:val="24"/>
          <w:szCs w:val="24"/>
        </w:rPr>
        <w:t>, including the newly agreed </w:t>
      </w:r>
      <w:r w:rsidRPr="00493277">
        <w:rPr>
          <w:rFonts w:ascii="Arial" w:eastAsia="Calibri" w:hAnsi="Arial" w:cs="Arial"/>
          <w:b/>
          <w:bCs/>
          <w:sz w:val="24"/>
          <w:szCs w:val="24"/>
        </w:rPr>
        <w:t>Operational Estates Health &amp; Safety Forum</w:t>
      </w:r>
      <w:r w:rsidRPr="00493277">
        <w:rPr>
          <w:rFonts w:ascii="Arial" w:eastAsia="Calibri" w:hAnsi="Arial" w:cs="Arial"/>
          <w:sz w:val="24"/>
          <w:szCs w:val="24"/>
        </w:rPr>
        <w:t>, initially focused on both acute sites in collaboration with Unite</w:t>
      </w:r>
    </w:p>
    <w:p w14:paraId="0BA3B1C8" w14:textId="77777777" w:rsidR="00480247" w:rsidRPr="00493277" w:rsidRDefault="00480247" w:rsidP="00480247">
      <w:pPr>
        <w:spacing w:after="0" w:line="240" w:lineRule="auto"/>
        <w:jc w:val="both"/>
        <w:rPr>
          <w:rFonts w:ascii="Arial" w:eastAsia="Calibri" w:hAnsi="Arial" w:cs="Arial"/>
          <w:sz w:val="24"/>
          <w:szCs w:val="24"/>
        </w:rPr>
      </w:pPr>
    </w:p>
    <w:p w14:paraId="21E80127" w14:textId="77777777" w:rsidR="00480247" w:rsidRPr="00493277" w:rsidRDefault="00480247" w:rsidP="00480247">
      <w:pPr>
        <w:spacing w:after="0" w:line="240" w:lineRule="auto"/>
        <w:jc w:val="both"/>
        <w:rPr>
          <w:rFonts w:ascii="Arial" w:eastAsia="Calibri" w:hAnsi="Arial" w:cs="Arial"/>
          <w:sz w:val="24"/>
          <w:szCs w:val="24"/>
        </w:rPr>
      </w:pPr>
      <w:r w:rsidRPr="00493277">
        <w:rPr>
          <w:rFonts w:ascii="Arial" w:eastAsia="Calibri" w:hAnsi="Arial" w:cs="Arial"/>
          <w:sz w:val="24"/>
          <w:szCs w:val="24"/>
        </w:rPr>
        <w:t>This shift marks a move away from reactive firefighting toward </w:t>
      </w:r>
      <w:r w:rsidRPr="00493277">
        <w:rPr>
          <w:rFonts w:ascii="Arial" w:eastAsia="Calibri" w:hAnsi="Arial" w:cs="Arial"/>
          <w:b/>
          <w:bCs/>
          <w:sz w:val="24"/>
          <w:szCs w:val="24"/>
        </w:rPr>
        <w:t>strategic foresight and operational resilience</w:t>
      </w:r>
      <w:r w:rsidRPr="00493277">
        <w:rPr>
          <w:rFonts w:ascii="Arial" w:eastAsia="Calibri" w:hAnsi="Arial" w:cs="Arial"/>
          <w:sz w:val="24"/>
          <w:szCs w:val="24"/>
        </w:rPr>
        <w:t>. It will ensure that risks are not only identified and recorded—but understood, prioritised, and mitigated in a way that protects patients, staff, and the long-term viability of the Health Board’s estate.</w:t>
      </w:r>
    </w:p>
    <w:p w14:paraId="5C80F12F" w14:textId="77777777" w:rsidR="00480247" w:rsidRDefault="00480247" w:rsidP="00480247">
      <w:pPr>
        <w:spacing w:after="0" w:line="240" w:lineRule="auto"/>
        <w:jc w:val="both"/>
        <w:rPr>
          <w:rFonts w:ascii="Verdana" w:hAnsi="Verdana" w:cs="Arial"/>
          <w:b/>
          <w:sz w:val="24"/>
          <w:szCs w:val="24"/>
        </w:rPr>
      </w:pPr>
    </w:p>
    <w:p w14:paraId="59B184DE" w14:textId="77777777" w:rsidR="00480247" w:rsidRDefault="00480247" w:rsidP="00480247">
      <w:pPr>
        <w:rPr>
          <w:rFonts w:ascii="Arial" w:eastAsia="Calibri" w:hAnsi="Arial" w:cs="Arial"/>
          <w:b/>
          <w:bCs/>
          <w:sz w:val="24"/>
          <w:szCs w:val="24"/>
        </w:rPr>
      </w:pPr>
      <w:r>
        <w:rPr>
          <w:rFonts w:ascii="Arial" w:eastAsia="Calibri" w:hAnsi="Arial" w:cs="Arial"/>
          <w:b/>
          <w:bCs/>
          <w:sz w:val="24"/>
          <w:szCs w:val="24"/>
        </w:rPr>
        <w:br w:type="page"/>
      </w:r>
    </w:p>
    <w:p w14:paraId="0A432EF7" w14:textId="77777777" w:rsidR="00480247" w:rsidRPr="00E53E9A" w:rsidRDefault="00480247" w:rsidP="00480247">
      <w:pPr>
        <w:spacing w:after="0" w:line="240" w:lineRule="auto"/>
        <w:jc w:val="both"/>
        <w:rPr>
          <w:rFonts w:ascii="Arial" w:eastAsia="Calibri" w:hAnsi="Arial" w:cs="Arial"/>
          <w:b/>
          <w:bCs/>
          <w:sz w:val="24"/>
          <w:szCs w:val="24"/>
        </w:rPr>
      </w:pPr>
      <w:r w:rsidRPr="00E53E9A">
        <w:rPr>
          <w:rFonts w:ascii="Arial" w:eastAsia="Calibri" w:hAnsi="Arial" w:cs="Arial"/>
          <w:b/>
          <w:bCs/>
          <w:sz w:val="24"/>
          <w:szCs w:val="24"/>
        </w:rPr>
        <w:lastRenderedPageBreak/>
        <w:t>Strategic Positioning</w:t>
      </w:r>
    </w:p>
    <w:p w14:paraId="4E6D65F0" w14:textId="77777777" w:rsidR="00480247" w:rsidRPr="00E53E9A" w:rsidRDefault="00480247" w:rsidP="00480247">
      <w:pPr>
        <w:spacing w:after="0" w:line="240" w:lineRule="auto"/>
        <w:jc w:val="both"/>
        <w:rPr>
          <w:rFonts w:ascii="Arial" w:eastAsia="Calibri" w:hAnsi="Arial" w:cs="Arial"/>
          <w:b/>
          <w:bCs/>
          <w:sz w:val="24"/>
          <w:szCs w:val="24"/>
        </w:rPr>
      </w:pPr>
    </w:p>
    <w:p w14:paraId="55EC8878" w14:textId="77777777" w:rsidR="00480247" w:rsidRPr="00E53E9A" w:rsidRDefault="00480247" w:rsidP="00480247">
      <w:pPr>
        <w:numPr>
          <w:ilvl w:val="0"/>
          <w:numId w:val="5"/>
        </w:numPr>
        <w:tabs>
          <w:tab w:val="clear" w:pos="360"/>
          <w:tab w:val="num" w:pos="720"/>
        </w:tabs>
        <w:spacing w:after="0" w:line="240" w:lineRule="auto"/>
        <w:jc w:val="both"/>
        <w:rPr>
          <w:rFonts w:ascii="Arial" w:eastAsia="Calibri" w:hAnsi="Arial" w:cs="Arial"/>
          <w:b/>
          <w:bCs/>
          <w:sz w:val="24"/>
          <w:szCs w:val="24"/>
        </w:rPr>
      </w:pPr>
      <w:r w:rsidRPr="00E53E9A">
        <w:rPr>
          <w:rFonts w:ascii="Arial" w:eastAsia="Calibri" w:hAnsi="Arial" w:cs="Arial"/>
          <w:b/>
          <w:bCs/>
          <w:sz w:val="24"/>
          <w:szCs w:val="24"/>
        </w:rPr>
        <w:t xml:space="preserve">Complexity of the Task: </w:t>
      </w:r>
      <w:r w:rsidRPr="00E53E9A">
        <w:rPr>
          <w:rFonts w:ascii="Arial" w:eastAsia="Calibri" w:hAnsi="Arial" w:cs="Arial"/>
          <w:sz w:val="24"/>
          <w:szCs w:val="24"/>
        </w:rPr>
        <w:t>Estates is responsible for managing a vast and ageing infrastructure with limited visibility into emerging risks. The work is technical, continuous, and often invisible until failure occurs.</w:t>
      </w:r>
    </w:p>
    <w:p w14:paraId="6E3C4D17" w14:textId="77777777" w:rsidR="00480247" w:rsidRPr="00E53E9A" w:rsidRDefault="00480247" w:rsidP="00480247">
      <w:pPr>
        <w:numPr>
          <w:ilvl w:val="0"/>
          <w:numId w:val="5"/>
        </w:numPr>
        <w:tabs>
          <w:tab w:val="clear" w:pos="360"/>
          <w:tab w:val="num" w:pos="720"/>
        </w:tabs>
        <w:spacing w:after="0" w:line="240" w:lineRule="auto"/>
        <w:jc w:val="both"/>
        <w:rPr>
          <w:rFonts w:ascii="Arial" w:eastAsia="Calibri" w:hAnsi="Arial" w:cs="Arial"/>
          <w:b/>
          <w:bCs/>
          <w:sz w:val="24"/>
          <w:szCs w:val="24"/>
        </w:rPr>
      </w:pPr>
      <w:r w:rsidRPr="00E53E9A">
        <w:rPr>
          <w:rFonts w:ascii="Arial" w:eastAsia="Calibri" w:hAnsi="Arial" w:cs="Arial"/>
          <w:b/>
          <w:bCs/>
          <w:sz w:val="24"/>
          <w:szCs w:val="24"/>
        </w:rPr>
        <w:t xml:space="preserve">Resource Constraints: </w:t>
      </w:r>
      <w:r w:rsidRPr="00E53E9A">
        <w:rPr>
          <w:rFonts w:ascii="Arial" w:eastAsia="Calibri" w:hAnsi="Arial" w:cs="Arial"/>
          <w:sz w:val="24"/>
          <w:szCs w:val="24"/>
        </w:rPr>
        <w:t>Chronic underinvestment has left the department with insufficient capacity to proactively manage risk. This is not unique to Swansea Bay, but the local impact is increasingly acute</w:t>
      </w:r>
      <w:r w:rsidRPr="00E53E9A">
        <w:rPr>
          <w:rFonts w:ascii="Arial" w:eastAsia="Calibri" w:hAnsi="Arial" w:cs="Arial"/>
          <w:b/>
          <w:bCs/>
          <w:sz w:val="24"/>
          <w:szCs w:val="24"/>
        </w:rPr>
        <w:t>.</w:t>
      </w:r>
    </w:p>
    <w:p w14:paraId="1A6661F8" w14:textId="77777777" w:rsidR="00480247" w:rsidRPr="00E53E9A" w:rsidRDefault="00480247" w:rsidP="00480247">
      <w:pPr>
        <w:numPr>
          <w:ilvl w:val="0"/>
          <w:numId w:val="5"/>
        </w:numPr>
        <w:tabs>
          <w:tab w:val="clear" w:pos="360"/>
          <w:tab w:val="num" w:pos="720"/>
        </w:tabs>
        <w:spacing w:after="0" w:line="240" w:lineRule="auto"/>
        <w:jc w:val="both"/>
        <w:rPr>
          <w:rFonts w:ascii="Arial" w:eastAsia="Calibri" w:hAnsi="Arial" w:cs="Arial"/>
          <w:sz w:val="24"/>
          <w:szCs w:val="24"/>
        </w:rPr>
      </w:pPr>
      <w:r w:rsidRPr="00E53E9A">
        <w:rPr>
          <w:rFonts w:ascii="Arial" w:eastAsia="Calibri" w:hAnsi="Arial" w:cs="Arial"/>
          <w:b/>
          <w:bCs/>
          <w:sz w:val="24"/>
          <w:szCs w:val="24"/>
        </w:rPr>
        <w:t xml:space="preserve">No Expectation of Additional Funding: </w:t>
      </w:r>
      <w:r w:rsidRPr="00E53E9A">
        <w:rPr>
          <w:rFonts w:ascii="Arial" w:eastAsia="Calibri" w:hAnsi="Arial" w:cs="Arial"/>
          <w:sz w:val="24"/>
          <w:szCs w:val="24"/>
        </w:rPr>
        <w:t>This business case is grounded in financial realism. It does not seek new resources but rather proposes smarter deployment of existing ones.</w:t>
      </w:r>
    </w:p>
    <w:p w14:paraId="64C92F3F" w14:textId="77777777" w:rsidR="00480247" w:rsidRPr="00E53E9A" w:rsidRDefault="00480247" w:rsidP="00480247">
      <w:pPr>
        <w:numPr>
          <w:ilvl w:val="0"/>
          <w:numId w:val="5"/>
        </w:numPr>
        <w:tabs>
          <w:tab w:val="clear" w:pos="360"/>
          <w:tab w:val="num" w:pos="720"/>
        </w:tabs>
        <w:spacing w:after="0" w:line="240" w:lineRule="auto"/>
        <w:jc w:val="both"/>
        <w:rPr>
          <w:rFonts w:ascii="Arial" w:eastAsia="Calibri" w:hAnsi="Arial" w:cs="Arial"/>
          <w:sz w:val="24"/>
          <w:szCs w:val="24"/>
        </w:rPr>
      </w:pPr>
      <w:r w:rsidRPr="00E53E9A">
        <w:rPr>
          <w:rFonts w:ascii="Arial" w:eastAsia="Calibri" w:hAnsi="Arial" w:cs="Arial"/>
          <w:b/>
          <w:bCs/>
          <w:sz w:val="24"/>
          <w:szCs w:val="24"/>
        </w:rPr>
        <w:t xml:space="preserve">Evidence-Based Risk Management: </w:t>
      </w:r>
      <w:r w:rsidRPr="00E53E9A">
        <w:rPr>
          <w:rFonts w:ascii="Arial" w:eastAsia="Calibri" w:hAnsi="Arial" w:cs="Arial"/>
          <w:sz w:val="24"/>
          <w:szCs w:val="24"/>
        </w:rPr>
        <w:t>The review of engineering cover and benchmarking data will provide objective evidence of fragility, helping to inform future decisions and support strategic advocacy.</w:t>
      </w:r>
    </w:p>
    <w:p w14:paraId="15268105" w14:textId="77777777" w:rsidR="00480247" w:rsidRDefault="00480247" w:rsidP="00480247">
      <w:pPr>
        <w:spacing w:after="0" w:line="240" w:lineRule="auto"/>
        <w:jc w:val="both"/>
        <w:rPr>
          <w:rFonts w:ascii="Arial" w:eastAsia="Calibri" w:hAnsi="Arial" w:cs="Arial"/>
          <w:sz w:val="24"/>
          <w:szCs w:val="24"/>
        </w:rPr>
      </w:pPr>
    </w:p>
    <w:p w14:paraId="01305D55" w14:textId="77777777" w:rsidR="00480247" w:rsidRPr="00E53E9A" w:rsidRDefault="00480247" w:rsidP="00480247">
      <w:pPr>
        <w:spacing w:after="0" w:line="240" w:lineRule="auto"/>
        <w:jc w:val="both"/>
        <w:rPr>
          <w:rFonts w:ascii="Arial" w:eastAsia="Calibri" w:hAnsi="Arial" w:cs="Arial"/>
          <w:b/>
          <w:bCs/>
          <w:sz w:val="24"/>
          <w:szCs w:val="24"/>
        </w:rPr>
      </w:pPr>
      <w:r w:rsidRPr="00DD65FA">
        <w:rPr>
          <w:rFonts w:ascii="Arial" w:eastAsia="Calibri" w:hAnsi="Arial" w:cs="Arial"/>
          <w:b/>
          <w:bCs/>
          <w:sz w:val="24"/>
          <w:szCs w:val="24"/>
        </w:rPr>
        <w:t>Priority Risk Issues</w:t>
      </w:r>
    </w:p>
    <w:p w14:paraId="3779486B" w14:textId="77777777" w:rsidR="00480247" w:rsidRDefault="00480247" w:rsidP="00480247">
      <w:pPr>
        <w:spacing w:after="0" w:line="240" w:lineRule="auto"/>
        <w:jc w:val="both"/>
        <w:rPr>
          <w:rFonts w:ascii="Verdana" w:hAnsi="Verdana" w:cs="Arial"/>
          <w:bCs/>
          <w:sz w:val="24"/>
          <w:szCs w:val="24"/>
        </w:rPr>
      </w:pPr>
    </w:p>
    <w:p w14:paraId="42DBEFBD" w14:textId="77777777" w:rsidR="00480247" w:rsidRDefault="00480247" w:rsidP="00480247">
      <w:pPr>
        <w:spacing w:after="0" w:line="240" w:lineRule="auto"/>
        <w:jc w:val="both"/>
        <w:rPr>
          <w:rFonts w:ascii="Verdana" w:hAnsi="Verdana" w:cs="Arial"/>
          <w:bCs/>
          <w:sz w:val="24"/>
          <w:szCs w:val="24"/>
        </w:rPr>
      </w:pPr>
      <w:r>
        <w:rPr>
          <w:rFonts w:ascii="Verdana" w:hAnsi="Verdana" w:cs="Arial"/>
          <w:bCs/>
          <w:sz w:val="24"/>
          <w:szCs w:val="24"/>
        </w:rPr>
        <w:t>The top 10 risks, challenges, and potential consequences are:</w:t>
      </w:r>
    </w:p>
    <w:p w14:paraId="0A88F3D0" w14:textId="77777777" w:rsidR="00480247" w:rsidRDefault="00480247" w:rsidP="00480247">
      <w:pPr>
        <w:spacing w:after="0" w:line="240" w:lineRule="auto"/>
        <w:jc w:val="both"/>
        <w:rPr>
          <w:rFonts w:ascii="Verdana" w:hAnsi="Verdana" w:cs="Arial"/>
          <w:bCs/>
          <w:sz w:val="24"/>
          <w:szCs w:val="24"/>
        </w:rPr>
      </w:pPr>
    </w:p>
    <w:p w14:paraId="42FE3759" w14:textId="77777777" w:rsidR="00480247" w:rsidRPr="00737E64" w:rsidRDefault="00480247" w:rsidP="00480247">
      <w:pPr>
        <w:pStyle w:val="NormalWeb"/>
        <w:numPr>
          <w:ilvl w:val="0"/>
          <w:numId w:val="6"/>
        </w:numPr>
        <w:shd w:val="clear" w:color="auto" w:fill="FAFAFA"/>
        <w:spacing w:before="0" w:beforeAutospacing="0" w:after="0" w:afterAutospacing="0"/>
        <w:rPr>
          <w:rFonts w:ascii="Verdana" w:hAnsi="Verdana" w:cs="Segoe UI"/>
          <w:color w:val="424242"/>
        </w:rPr>
      </w:pPr>
      <w:r w:rsidRPr="00320F90">
        <w:rPr>
          <w:rFonts w:ascii="Verdana" w:hAnsi="Verdana" w:cs="Arial"/>
          <w:b/>
        </w:rPr>
        <w:t>Capacity and capability issues</w:t>
      </w:r>
      <w:r w:rsidRPr="00320F90">
        <w:rPr>
          <w:rFonts w:ascii="Verdana" w:hAnsi="Verdana" w:cs="Arial"/>
          <w:bCs/>
        </w:rPr>
        <w:t xml:space="preserve">. </w:t>
      </w:r>
      <w:r w:rsidRPr="00737E64">
        <w:rPr>
          <w:rFonts w:ascii="Verdana" w:hAnsi="Verdana" w:cs="Segoe UI"/>
          <w:color w:val="424242"/>
          <w:shd w:val="clear" w:color="auto" w:fill="FAFAFA"/>
        </w:rPr>
        <w:t>Over the past decade, ongoing budget reductions have significantly impacted the department’s operational reach and effectiveness.</w:t>
      </w:r>
      <w:r w:rsidRPr="00737E64">
        <w:rPr>
          <w:rFonts w:ascii="Verdana" w:hAnsi="Verdana" w:cs="Arial"/>
          <w:bCs/>
        </w:rPr>
        <w:t xml:space="preserve"> There is limited cover for Primary Care, Community, and for Mental Health (Cefn Coed), and Learning Disabilities is reliant on a CTMUHB SLA. This has a value of £130,000 per annum. It is estimated that a basic service for all </w:t>
      </w:r>
      <w:r>
        <w:rPr>
          <w:rFonts w:ascii="Verdana" w:hAnsi="Verdana" w:cs="Arial"/>
          <w:bCs/>
        </w:rPr>
        <w:t>8</w:t>
      </w:r>
      <w:r w:rsidRPr="00737E64">
        <w:rPr>
          <w:rFonts w:ascii="Verdana" w:hAnsi="Verdana" w:cs="Arial"/>
          <w:bCs/>
        </w:rPr>
        <w:t xml:space="preserve"> properties would cost circa £500,000. There is no support in place for new services, such as Ty Samlet, and there is limited ability to respond to more intensive use of some spaces, such as HVS at MH, which was not originally planned to support clinical services. </w:t>
      </w:r>
      <w:r w:rsidRPr="00737E64">
        <w:rPr>
          <w:rFonts w:ascii="Verdana" w:hAnsi="Verdana" w:cs="Segoe UI"/>
          <w:b/>
          <w:bCs/>
          <w:color w:val="424242"/>
        </w:rPr>
        <w:t xml:space="preserve">Mitigation Strategy: </w:t>
      </w:r>
      <w:r w:rsidRPr="00737E64">
        <w:rPr>
          <w:rFonts w:ascii="Verdana" w:hAnsi="Verdana" w:cs="Segoe UI"/>
          <w:color w:val="424242"/>
        </w:rPr>
        <w:t>Departmental Restructuring</w:t>
      </w:r>
    </w:p>
    <w:p w14:paraId="2D9E216F" w14:textId="77777777" w:rsidR="00480247" w:rsidRDefault="00480247" w:rsidP="00480247">
      <w:pPr>
        <w:shd w:val="clear" w:color="auto" w:fill="FAFAFA"/>
        <w:spacing w:after="0" w:line="240" w:lineRule="auto"/>
        <w:ind w:left="714"/>
        <w:rPr>
          <w:rFonts w:ascii="Verdana" w:hAnsi="Verdana" w:cs="Arial"/>
          <w:b/>
          <w:sz w:val="24"/>
          <w:szCs w:val="24"/>
        </w:rPr>
      </w:pPr>
      <w:r w:rsidRPr="00027C3D">
        <w:rPr>
          <w:rFonts w:ascii="Verdana" w:eastAsia="Times New Roman" w:hAnsi="Verdana" w:cs="Segoe UI"/>
          <w:b/>
          <w:bCs/>
          <w:color w:val="424242"/>
          <w:sz w:val="24"/>
          <w:szCs w:val="24"/>
          <w:lang w:eastAsia="en-GB"/>
        </w:rPr>
        <w:t>No additional funding is required</w:t>
      </w:r>
      <w:r w:rsidRPr="00027C3D">
        <w:rPr>
          <w:rFonts w:ascii="Verdana" w:eastAsia="Times New Roman" w:hAnsi="Verdana" w:cs="Segoe UI"/>
          <w:color w:val="424242"/>
          <w:sz w:val="24"/>
          <w:szCs w:val="24"/>
          <w:lang w:eastAsia="en-GB"/>
        </w:rPr>
        <w:t xml:space="preserve">. </w:t>
      </w:r>
    </w:p>
    <w:p w14:paraId="26755978" w14:textId="77777777" w:rsidR="00480247" w:rsidRPr="00A77E49" w:rsidRDefault="00480247" w:rsidP="00480247">
      <w:pPr>
        <w:pStyle w:val="ListParagraph"/>
        <w:spacing w:after="0" w:line="240" w:lineRule="auto"/>
        <w:jc w:val="both"/>
        <w:rPr>
          <w:rFonts w:ascii="Verdana" w:hAnsi="Verdana" w:cs="Arial"/>
          <w:bCs/>
          <w:sz w:val="24"/>
          <w:szCs w:val="24"/>
        </w:rPr>
      </w:pPr>
    </w:p>
    <w:p w14:paraId="7EF628A2" w14:textId="77777777" w:rsidR="00480247" w:rsidRDefault="00480247" w:rsidP="00480247">
      <w:pPr>
        <w:pStyle w:val="ListParagraph"/>
        <w:numPr>
          <w:ilvl w:val="0"/>
          <w:numId w:val="6"/>
        </w:numPr>
        <w:spacing w:after="0" w:line="240" w:lineRule="auto"/>
        <w:jc w:val="both"/>
        <w:rPr>
          <w:rFonts w:ascii="Verdana" w:hAnsi="Verdana" w:cs="Arial"/>
          <w:bCs/>
          <w:sz w:val="24"/>
          <w:szCs w:val="24"/>
        </w:rPr>
      </w:pPr>
      <w:r w:rsidRPr="00DD65FA">
        <w:rPr>
          <w:rFonts w:ascii="Verdana" w:hAnsi="Verdana" w:cs="Arial"/>
          <w:b/>
          <w:sz w:val="24"/>
          <w:szCs w:val="24"/>
        </w:rPr>
        <w:t>N+1, both acute sites</w:t>
      </w:r>
      <w:r w:rsidRPr="00DD65FA">
        <w:rPr>
          <w:rFonts w:ascii="Verdana" w:hAnsi="Verdana" w:cs="Arial"/>
          <w:bCs/>
          <w:sz w:val="24"/>
          <w:szCs w:val="24"/>
        </w:rPr>
        <w:t>. Good practice would have generator back up for generators that support services on essential power. This is a particular risk for hospitals that provide 24/7 emergency, urgent, and critical care services. Power outage is also one of the top risks identified by the EPRR</w:t>
      </w:r>
      <w:r>
        <w:rPr>
          <w:rStyle w:val="FootnoteReference"/>
          <w:rFonts w:ascii="Verdana" w:hAnsi="Verdana" w:cs="Arial"/>
          <w:bCs/>
          <w:sz w:val="24"/>
          <w:szCs w:val="24"/>
        </w:rPr>
        <w:footnoteReference w:id="1"/>
      </w:r>
      <w:r w:rsidRPr="00DD65FA">
        <w:rPr>
          <w:rFonts w:ascii="Verdana" w:hAnsi="Verdana" w:cs="Arial"/>
          <w:bCs/>
          <w:sz w:val="24"/>
          <w:szCs w:val="24"/>
        </w:rPr>
        <w:t xml:space="preserve"> team. Morriston and Singleton do not have N+1. </w:t>
      </w:r>
      <w:r w:rsidRPr="00DD65FA">
        <w:rPr>
          <w:rFonts w:ascii="Verdana" w:hAnsi="Verdana" w:cs="Arial"/>
          <w:b/>
          <w:sz w:val="24"/>
          <w:szCs w:val="24"/>
        </w:rPr>
        <w:t>Current mitigation</w:t>
      </w:r>
      <w:r w:rsidRPr="00DD65FA">
        <w:rPr>
          <w:rFonts w:ascii="Verdana" w:hAnsi="Verdana" w:cs="Arial"/>
          <w:bCs/>
          <w:sz w:val="24"/>
          <w:szCs w:val="24"/>
        </w:rPr>
        <w:t xml:space="preserve">: allocation of available funding to prepare a design solution for installing ‘hook up points’ on Sub Stations with an initial focus on Morriston. </w:t>
      </w:r>
      <w:r w:rsidRPr="00DD65FA">
        <w:rPr>
          <w:rFonts w:ascii="Verdana" w:hAnsi="Verdana" w:cs="Arial"/>
          <w:b/>
          <w:sz w:val="24"/>
          <w:szCs w:val="24"/>
        </w:rPr>
        <w:t>Future mitigation</w:t>
      </w:r>
      <w:r w:rsidRPr="00DD65FA">
        <w:rPr>
          <w:rFonts w:ascii="Verdana" w:hAnsi="Verdana" w:cs="Arial"/>
          <w:bCs/>
          <w:sz w:val="24"/>
          <w:szCs w:val="24"/>
        </w:rPr>
        <w:t xml:space="preserve">: installation of hook up points and acquisition of additional standalone generator. </w:t>
      </w:r>
    </w:p>
    <w:p w14:paraId="4481B91A" w14:textId="77777777" w:rsidR="00480247" w:rsidRPr="00DD65FA" w:rsidRDefault="00480247" w:rsidP="00480247">
      <w:pPr>
        <w:pStyle w:val="ListParagraph"/>
        <w:spacing w:after="0" w:line="240" w:lineRule="auto"/>
        <w:jc w:val="both"/>
        <w:rPr>
          <w:rFonts w:ascii="Verdana" w:hAnsi="Verdana" w:cs="Arial"/>
          <w:bCs/>
          <w:sz w:val="24"/>
          <w:szCs w:val="24"/>
        </w:rPr>
      </w:pPr>
    </w:p>
    <w:p w14:paraId="3FA6E3CD" w14:textId="77777777" w:rsidR="00480247" w:rsidRPr="002845FD" w:rsidRDefault="00480247" w:rsidP="00480247">
      <w:pPr>
        <w:pStyle w:val="ListParagraph"/>
        <w:numPr>
          <w:ilvl w:val="0"/>
          <w:numId w:val="6"/>
        </w:numPr>
        <w:spacing w:after="0" w:line="240" w:lineRule="auto"/>
        <w:jc w:val="both"/>
        <w:rPr>
          <w:rFonts w:ascii="Verdana" w:hAnsi="Verdana" w:cs="Arial"/>
          <w:bCs/>
          <w:sz w:val="24"/>
          <w:szCs w:val="24"/>
        </w:rPr>
      </w:pPr>
      <w:r w:rsidRPr="005550BE">
        <w:rPr>
          <w:rFonts w:ascii="Verdana" w:hAnsi="Verdana" w:cs="Arial"/>
          <w:b/>
          <w:sz w:val="24"/>
          <w:szCs w:val="24"/>
        </w:rPr>
        <w:t>Services on essential supply</w:t>
      </w:r>
      <w:r w:rsidRPr="002845FD">
        <w:rPr>
          <w:rFonts w:ascii="Verdana" w:hAnsi="Verdana" w:cs="Arial"/>
          <w:bCs/>
          <w:sz w:val="24"/>
          <w:szCs w:val="24"/>
        </w:rPr>
        <w:t>. The</w:t>
      </w:r>
      <w:r>
        <w:rPr>
          <w:rFonts w:ascii="Verdana" w:hAnsi="Verdana" w:cs="Arial"/>
          <w:bCs/>
          <w:sz w:val="24"/>
          <w:szCs w:val="24"/>
        </w:rPr>
        <w:t xml:space="preserve"> current situation is that there</w:t>
      </w:r>
      <w:r w:rsidRPr="002845FD">
        <w:rPr>
          <w:rFonts w:ascii="Verdana" w:hAnsi="Verdana" w:cs="Arial"/>
          <w:bCs/>
          <w:sz w:val="24"/>
          <w:szCs w:val="24"/>
        </w:rPr>
        <w:t xml:space="preserve"> is limited information on whether or not key services at Morriston are on essential supply, which is mainly due to the way in which developments have been implemented </w:t>
      </w:r>
      <w:r>
        <w:rPr>
          <w:rFonts w:ascii="Verdana" w:hAnsi="Verdana" w:cs="Arial"/>
          <w:bCs/>
          <w:sz w:val="24"/>
          <w:szCs w:val="24"/>
        </w:rPr>
        <w:t>in the past</w:t>
      </w:r>
      <w:r w:rsidRPr="002845FD">
        <w:rPr>
          <w:rFonts w:ascii="Verdana" w:hAnsi="Verdana" w:cs="Arial"/>
          <w:bCs/>
          <w:sz w:val="24"/>
          <w:szCs w:val="24"/>
        </w:rPr>
        <w:t xml:space="preserve"> and the extent to </w:t>
      </w:r>
      <w:r w:rsidRPr="002845FD">
        <w:rPr>
          <w:rFonts w:ascii="Verdana" w:hAnsi="Verdana" w:cs="Arial"/>
          <w:bCs/>
          <w:sz w:val="24"/>
          <w:szCs w:val="24"/>
        </w:rPr>
        <w:lastRenderedPageBreak/>
        <w:t>which Estates has been involved. For example, Pathology, Radiology</w:t>
      </w:r>
      <w:r>
        <w:rPr>
          <w:rFonts w:ascii="Verdana" w:hAnsi="Verdana" w:cs="Arial"/>
          <w:bCs/>
          <w:sz w:val="24"/>
          <w:szCs w:val="24"/>
        </w:rPr>
        <w:t>, half of the Pharmacy dispensing robot,</w:t>
      </w:r>
      <w:r w:rsidRPr="002845FD">
        <w:rPr>
          <w:rFonts w:ascii="Verdana" w:hAnsi="Verdana" w:cs="Arial"/>
          <w:bCs/>
          <w:sz w:val="24"/>
          <w:szCs w:val="24"/>
        </w:rPr>
        <w:t xml:space="preserve"> and some of the IT Hubs, such as the Pathology Hub, are not on essential supply. A power outage could disrupt key clinical/clinical support services with very little time to restore it, e.g. the hours before refrigeration of blood stocks reaches unsafe temperatures. Singleton is not in a similar situation, which was reaffirmed during a ‘black start’</w:t>
      </w:r>
      <w:r>
        <w:rPr>
          <w:rStyle w:val="FootnoteReference"/>
          <w:rFonts w:ascii="Verdana" w:hAnsi="Verdana" w:cs="Arial"/>
          <w:bCs/>
          <w:sz w:val="24"/>
          <w:szCs w:val="24"/>
        </w:rPr>
        <w:footnoteReference w:id="2"/>
      </w:r>
      <w:r w:rsidRPr="002845FD">
        <w:rPr>
          <w:rFonts w:ascii="Verdana" w:hAnsi="Verdana" w:cs="Arial"/>
          <w:bCs/>
          <w:sz w:val="24"/>
          <w:szCs w:val="24"/>
        </w:rPr>
        <w:t xml:space="preserve"> exercise in 2024. </w:t>
      </w:r>
      <w:r>
        <w:rPr>
          <w:rFonts w:ascii="Verdana" w:hAnsi="Verdana" w:cs="Arial"/>
          <w:bCs/>
          <w:sz w:val="24"/>
          <w:szCs w:val="24"/>
        </w:rPr>
        <w:t>There is also a need to produce accurate survey information of all services on the Morriston site (these appear to be up to date and accurate for the Singleton site). A recent issue at Morriston revealed that the most recent survey of services undertaken as part of the Sub 6 HV</w:t>
      </w:r>
      <w:r>
        <w:rPr>
          <w:rStyle w:val="FootnoteReference"/>
          <w:rFonts w:ascii="Verdana" w:hAnsi="Verdana" w:cs="Arial"/>
          <w:bCs/>
          <w:sz w:val="24"/>
          <w:szCs w:val="24"/>
        </w:rPr>
        <w:footnoteReference w:id="3"/>
      </w:r>
      <w:r>
        <w:rPr>
          <w:rFonts w:ascii="Verdana" w:hAnsi="Verdana" w:cs="Arial"/>
          <w:bCs/>
          <w:sz w:val="24"/>
          <w:szCs w:val="24"/>
        </w:rPr>
        <w:t xml:space="preserve"> upgrade project were incorrect. </w:t>
      </w:r>
      <w:r w:rsidRPr="00244D79">
        <w:rPr>
          <w:rFonts w:ascii="Verdana" w:hAnsi="Verdana" w:cs="Arial"/>
          <w:b/>
          <w:sz w:val="24"/>
          <w:szCs w:val="24"/>
        </w:rPr>
        <w:t>Current mitigation</w:t>
      </w:r>
      <w:r w:rsidRPr="002845FD">
        <w:rPr>
          <w:rFonts w:ascii="Verdana" w:hAnsi="Verdana" w:cs="Arial"/>
          <w:bCs/>
          <w:sz w:val="24"/>
          <w:szCs w:val="24"/>
        </w:rPr>
        <w:t xml:space="preserve">: Estate technical staff are systematically surveying the supply to key services. A phased black start is being </w:t>
      </w:r>
      <w:r>
        <w:rPr>
          <w:rFonts w:ascii="Verdana" w:hAnsi="Verdana" w:cs="Arial"/>
          <w:bCs/>
          <w:sz w:val="24"/>
          <w:szCs w:val="24"/>
        </w:rPr>
        <w:t>implemented in</w:t>
      </w:r>
      <w:r w:rsidRPr="002845FD">
        <w:rPr>
          <w:rFonts w:ascii="Verdana" w:hAnsi="Verdana" w:cs="Arial"/>
          <w:bCs/>
          <w:sz w:val="24"/>
          <w:szCs w:val="24"/>
        </w:rPr>
        <w:t xml:space="preserve"> October/November 2025. </w:t>
      </w:r>
      <w:r>
        <w:rPr>
          <w:rFonts w:ascii="Verdana" w:hAnsi="Verdana" w:cs="Arial"/>
          <w:bCs/>
          <w:sz w:val="24"/>
          <w:szCs w:val="24"/>
        </w:rPr>
        <w:t>A survey of services will be commissioned although timing will depend on funding and available capacity.</w:t>
      </w:r>
    </w:p>
    <w:p w14:paraId="007E02A6" w14:textId="77777777" w:rsidR="00480247" w:rsidRDefault="00480247" w:rsidP="00480247">
      <w:pPr>
        <w:spacing w:after="0" w:line="240" w:lineRule="auto"/>
        <w:jc w:val="both"/>
        <w:rPr>
          <w:rFonts w:ascii="Verdana" w:hAnsi="Verdana" w:cs="Arial"/>
          <w:bCs/>
          <w:sz w:val="24"/>
          <w:szCs w:val="24"/>
        </w:rPr>
      </w:pPr>
    </w:p>
    <w:p w14:paraId="7D383F3E" w14:textId="77777777" w:rsidR="00480247" w:rsidRDefault="00480247" w:rsidP="00480247">
      <w:pPr>
        <w:pStyle w:val="ListParagraph"/>
        <w:numPr>
          <w:ilvl w:val="0"/>
          <w:numId w:val="6"/>
        </w:numPr>
        <w:spacing w:after="0" w:line="240" w:lineRule="auto"/>
        <w:jc w:val="both"/>
        <w:rPr>
          <w:rFonts w:ascii="Verdana" w:hAnsi="Verdana" w:cs="Arial"/>
          <w:bCs/>
          <w:sz w:val="24"/>
          <w:szCs w:val="24"/>
        </w:rPr>
      </w:pPr>
      <w:r w:rsidRPr="00456B98">
        <w:rPr>
          <w:rFonts w:ascii="Verdana" w:hAnsi="Verdana" w:cs="Arial"/>
          <w:b/>
          <w:sz w:val="24"/>
          <w:szCs w:val="24"/>
        </w:rPr>
        <w:t>Uninterrupted power supply (UPS)</w:t>
      </w:r>
      <w:r w:rsidRPr="00456B98">
        <w:rPr>
          <w:rFonts w:ascii="Verdana" w:hAnsi="Verdana" w:cs="Arial"/>
          <w:bCs/>
          <w:sz w:val="24"/>
          <w:szCs w:val="24"/>
        </w:rPr>
        <w:t xml:space="preserve">. This is basically battery back-up that kicks in as soon as there is a power ‘spike’ or failure that could adversely affect the operation of key kit, such as Theatre equipment, or the life support pendants in Critical Care. Current practice is to replace them when they fail, i.e. there is no planned replacement programme. Three have failed at Morriston so far, this financial year, which is a cost pressure on discretionary of circa £15,000 (exc VAT) for each unit. </w:t>
      </w:r>
      <w:r w:rsidRPr="00456B98">
        <w:rPr>
          <w:rFonts w:ascii="Verdana" w:hAnsi="Verdana" w:cs="Arial"/>
          <w:b/>
          <w:sz w:val="24"/>
          <w:szCs w:val="24"/>
        </w:rPr>
        <w:t>Current mitigation</w:t>
      </w:r>
      <w:r w:rsidRPr="00456B98">
        <w:rPr>
          <w:rFonts w:ascii="Verdana" w:hAnsi="Verdana" w:cs="Arial"/>
          <w:bCs/>
          <w:sz w:val="24"/>
          <w:szCs w:val="24"/>
        </w:rPr>
        <w:t xml:space="preserve">: review of UPS units. </w:t>
      </w:r>
      <w:r w:rsidRPr="00456B98">
        <w:rPr>
          <w:rFonts w:ascii="Verdana" w:hAnsi="Verdana" w:cs="Arial"/>
          <w:b/>
          <w:sz w:val="24"/>
          <w:szCs w:val="24"/>
        </w:rPr>
        <w:t>Future mitigation</w:t>
      </w:r>
      <w:r w:rsidRPr="00456B98">
        <w:rPr>
          <w:rFonts w:ascii="Verdana" w:hAnsi="Verdana" w:cs="Arial"/>
          <w:bCs/>
          <w:sz w:val="24"/>
          <w:szCs w:val="24"/>
        </w:rPr>
        <w:t xml:space="preserve">: additional capital to establish a rolling replacement programme. </w:t>
      </w:r>
    </w:p>
    <w:p w14:paraId="71DF1C6A" w14:textId="77777777" w:rsidR="00480247" w:rsidRPr="00456B98" w:rsidRDefault="00480247" w:rsidP="00480247">
      <w:pPr>
        <w:spacing w:after="0" w:line="240" w:lineRule="auto"/>
        <w:jc w:val="both"/>
        <w:rPr>
          <w:rFonts w:ascii="Verdana" w:hAnsi="Verdana" w:cs="Arial"/>
          <w:bCs/>
          <w:sz w:val="24"/>
          <w:szCs w:val="24"/>
        </w:rPr>
      </w:pPr>
    </w:p>
    <w:p w14:paraId="175213A8" w14:textId="77777777" w:rsidR="00480247" w:rsidRPr="002845FD" w:rsidRDefault="00480247" w:rsidP="00480247">
      <w:pPr>
        <w:pStyle w:val="ListParagraph"/>
        <w:numPr>
          <w:ilvl w:val="0"/>
          <w:numId w:val="6"/>
        </w:numPr>
        <w:spacing w:after="0" w:line="240" w:lineRule="auto"/>
        <w:jc w:val="both"/>
        <w:rPr>
          <w:rFonts w:ascii="Verdana" w:hAnsi="Verdana" w:cs="Arial"/>
          <w:bCs/>
          <w:sz w:val="24"/>
          <w:szCs w:val="24"/>
        </w:rPr>
      </w:pPr>
      <w:r w:rsidRPr="00100B71">
        <w:rPr>
          <w:rFonts w:ascii="Verdana" w:hAnsi="Verdana" w:cs="Arial"/>
          <w:b/>
          <w:sz w:val="24"/>
          <w:szCs w:val="24"/>
        </w:rPr>
        <w:t>Obsolete electrical infrastructure, Central Ward Block, Singleton</w:t>
      </w:r>
      <w:r w:rsidRPr="002845FD">
        <w:rPr>
          <w:rFonts w:ascii="Verdana" w:hAnsi="Verdana" w:cs="Arial"/>
          <w:bCs/>
          <w:sz w:val="24"/>
          <w:szCs w:val="24"/>
        </w:rPr>
        <w:t xml:space="preserve">. This is the original infrastructure and is over 60 years old. Failure of any element, such as the Bakelite distribution boards, would close the CWB. </w:t>
      </w:r>
      <w:r w:rsidRPr="00100B71">
        <w:rPr>
          <w:rFonts w:ascii="Verdana" w:hAnsi="Verdana" w:cs="Arial"/>
          <w:b/>
          <w:sz w:val="24"/>
          <w:szCs w:val="24"/>
        </w:rPr>
        <w:t>Current mitigation</w:t>
      </w:r>
      <w:r w:rsidRPr="002845FD">
        <w:rPr>
          <w:rFonts w:ascii="Verdana" w:hAnsi="Verdana" w:cs="Arial"/>
          <w:bCs/>
          <w:sz w:val="24"/>
          <w:szCs w:val="24"/>
        </w:rPr>
        <w:t xml:space="preserve">: Survey and mitigation recommendations completed. </w:t>
      </w:r>
      <w:r w:rsidRPr="00100B71">
        <w:rPr>
          <w:rFonts w:ascii="Verdana" w:hAnsi="Verdana" w:cs="Arial"/>
          <w:b/>
          <w:sz w:val="24"/>
          <w:szCs w:val="24"/>
        </w:rPr>
        <w:t>Future mitigation</w:t>
      </w:r>
      <w:r w:rsidRPr="002845FD">
        <w:rPr>
          <w:rFonts w:ascii="Verdana" w:hAnsi="Verdana" w:cs="Arial"/>
          <w:bCs/>
          <w:sz w:val="24"/>
          <w:szCs w:val="24"/>
        </w:rPr>
        <w:t xml:space="preserve">: replacement </w:t>
      </w:r>
      <w:r w:rsidRPr="00100B71">
        <w:rPr>
          <w:rFonts w:ascii="Verdana" w:hAnsi="Verdana" w:cs="Arial"/>
          <w:b/>
          <w:sz w:val="24"/>
          <w:szCs w:val="24"/>
        </w:rPr>
        <w:t>Additional funding needed?</w:t>
      </w:r>
      <w:r>
        <w:rPr>
          <w:rFonts w:ascii="Verdana" w:hAnsi="Verdana" w:cs="Arial"/>
          <w:bCs/>
          <w:sz w:val="24"/>
          <w:szCs w:val="24"/>
        </w:rPr>
        <w:t xml:space="preserve"> Yes. B</w:t>
      </w:r>
      <w:r w:rsidRPr="002845FD">
        <w:rPr>
          <w:rFonts w:ascii="Verdana" w:hAnsi="Verdana" w:cs="Arial"/>
          <w:bCs/>
          <w:sz w:val="24"/>
          <w:szCs w:val="24"/>
        </w:rPr>
        <w:t>road estimate is circa £2.5m.</w:t>
      </w:r>
    </w:p>
    <w:p w14:paraId="42C8E554" w14:textId="77777777" w:rsidR="00480247" w:rsidRDefault="00480247" w:rsidP="00480247">
      <w:pPr>
        <w:spacing w:after="0" w:line="240" w:lineRule="auto"/>
        <w:jc w:val="both"/>
        <w:rPr>
          <w:rFonts w:ascii="Verdana" w:hAnsi="Verdana" w:cs="Arial"/>
          <w:bCs/>
          <w:sz w:val="24"/>
          <w:szCs w:val="24"/>
        </w:rPr>
      </w:pPr>
    </w:p>
    <w:p w14:paraId="3012A46E" w14:textId="77777777" w:rsidR="00480247" w:rsidRPr="002845FD" w:rsidRDefault="00480247" w:rsidP="00480247">
      <w:pPr>
        <w:pStyle w:val="ListParagraph"/>
        <w:numPr>
          <w:ilvl w:val="0"/>
          <w:numId w:val="6"/>
        </w:numPr>
        <w:spacing w:after="0" w:line="240" w:lineRule="auto"/>
        <w:jc w:val="both"/>
        <w:rPr>
          <w:rFonts w:ascii="Verdana" w:hAnsi="Verdana" w:cs="Arial"/>
          <w:bCs/>
          <w:sz w:val="24"/>
          <w:szCs w:val="24"/>
        </w:rPr>
      </w:pPr>
      <w:r w:rsidRPr="00100B71">
        <w:rPr>
          <w:rFonts w:ascii="Verdana" w:hAnsi="Verdana" w:cs="Arial"/>
          <w:b/>
          <w:sz w:val="24"/>
          <w:szCs w:val="24"/>
        </w:rPr>
        <w:t>Replacement of core plant and equipment</w:t>
      </w:r>
      <w:r w:rsidRPr="002845FD">
        <w:rPr>
          <w:rFonts w:ascii="Verdana" w:hAnsi="Verdana" w:cs="Arial"/>
          <w:bCs/>
          <w:sz w:val="24"/>
          <w:szCs w:val="24"/>
        </w:rPr>
        <w:t>, e.g. air handling units (AHUs) for Theatres and Critical Care, which are crucial for air changes and therefore infection prevention and control (IPC). Core plant and equipment has been targeted through EFAB and now TEF. However, whilst there is information on some of these assets, it is very limited and does not provide any of the detail necessary to assess viability and prioritise replacement, which is not necessarily the manufacturer’s recommended end of life. Also, there are a number of assets on the CAFM</w:t>
      </w:r>
      <w:r>
        <w:rPr>
          <w:rStyle w:val="FootnoteReference"/>
          <w:rFonts w:ascii="Verdana" w:hAnsi="Verdana" w:cs="Arial"/>
          <w:bCs/>
          <w:sz w:val="24"/>
          <w:szCs w:val="24"/>
        </w:rPr>
        <w:footnoteReference w:id="4"/>
      </w:r>
      <w:r w:rsidRPr="002845FD">
        <w:rPr>
          <w:rFonts w:ascii="Verdana" w:hAnsi="Verdana" w:cs="Arial"/>
          <w:bCs/>
          <w:sz w:val="24"/>
          <w:szCs w:val="24"/>
        </w:rPr>
        <w:t xml:space="preserve"> Asset Register that no longer exist, although job cards are still generated for them. Maintenance at Morriston is further compromised when some wards move because the assets’ identification is linked to the ward name.</w:t>
      </w:r>
      <w:r>
        <w:rPr>
          <w:rFonts w:ascii="Verdana" w:hAnsi="Verdana" w:cs="Arial"/>
          <w:bCs/>
          <w:sz w:val="24"/>
          <w:szCs w:val="24"/>
        </w:rPr>
        <w:t xml:space="preserve"> An up-to-date asset register is also essential for supporting SFG20, which is the industry standard for maintenance management, and which the HB has acquired.</w:t>
      </w:r>
      <w:r w:rsidRPr="002845FD">
        <w:rPr>
          <w:rFonts w:ascii="Verdana" w:hAnsi="Verdana" w:cs="Arial"/>
          <w:bCs/>
          <w:sz w:val="24"/>
          <w:szCs w:val="24"/>
        </w:rPr>
        <w:t xml:space="preserve"> </w:t>
      </w:r>
      <w:r w:rsidRPr="008A7F81">
        <w:rPr>
          <w:rFonts w:ascii="Verdana" w:hAnsi="Verdana" w:cs="Arial"/>
          <w:b/>
          <w:sz w:val="24"/>
          <w:szCs w:val="24"/>
        </w:rPr>
        <w:t>Future mitigation</w:t>
      </w:r>
      <w:r w:rsidRPr="002845FD">
        <w:rPr>
          <w:rFonts w:ascii="Verdana" w:hAnsi="Verdana" w:cs="Arial"/>
          <w:bCs/>
          <w:sz w:val="24"/>
          <w:szCs w:val="24"/>
        </w:rPr>
        <w:t>: A reliable rolling investment programme is wholly dependent upon accurate information</w:t>
      </w:r>
      <w:r w:rsidRPr="008A7F81">
        <w:rPr>
          <w:rFonts w:ascii="Verdana" w:hAnsi="Verdana" w:cs="Arial"/>
          <w:b/>
          <w:sz w:val="24"/>
          <w:szCs w:val="24"/>
        </w:rPr>
        <w:t>. Additional funding needed?</w:t>
      </w:r>
      <w:r>
        <w:rPr>
          <w:rFonts w:ascii="Verdana" w:hAnsi="Verdana" w:cs="Arial"/>
          <w:bCs/>
          <w:sz w:val="24"/>
          <w:szCs w:val="24"/>
        </w:rPr>
        <w:t xml:space="preserve"> Yes. </w:t>
      </w:r>
      <w:r w:rsidRPr="002845FD">
        <w:rPr>
          <w:rFonts w:ascii="Verdana" w:hAnsi="Verdana" w:cs="Arial"/>
          <w:bCs/>
          <w:sz w:val="24"/>
          <w:szCs w:val="24"/>
        </w:rPr>
        <w:t>Scoping exercises to date, based on</w:t>
      </w:r>
      <w:r>
        <w:rPr>
          <w:rFonts w:ascii="Verdana" w:hAnsi="Verdana" w:cs="Arial"/>
          <w:bCs/>
          <w:sz w:val="24"/>
          <w:szCs w:val="24"/>
        </w:rPr>
        <w:t xml:space="preserve"> using some of the information held on</w:t>
      </w:r>
      <w:r w:rsidRPr="002845FD">
        <w:rPr>
          <w:rFonts w:ascii="Verdana" w:hAnsi="Verdana" w:cs="Arial"/>
          <w:bCs/>
          <w:sz w:val="24"/>
          <w:szCs w:val="24"/>
        </w:rPr>
        <w:t xml:space="preserve"> 3 databases that are not linked, have identified a cost of between £180k to £267k (exc VAT) for up to 11,000 assets (focusing on critical care infrastructure at Morriston and Singleton only). </w:t>
      </w:r>
    </w:p>
    <w:p w14:paraId="563ACC6D" w14:textId="77777777" w:rsidR="00480247" w:rsidRDefault="00480247" w:rsidP="00480247">
      <w:pPr>
        <w:spacing w:after="0" w:line="240" w:lineRule="auto"/>
        <w:jc w:val="both"/>
        <w:rPr>
          <w:rFonts w:ascii="Verdana" w:hAnsi="Verdana" w:cs="Arial"/>
          <w:bCs/>
          <w:sz w:val="24"/>
          <w:szCs w:val="24"/>
        </w:rPr>
      </w:pPr>
    </w:p>
    <w:p w14:paraId="28C161D8" w14:textId="77777777" w:rsidR="00480247" w:rsidRPr="002845FD" w:rsidRDefault="00480247" w:rsidP="00480247">
      <w:pPr>
        <w:pStyle w:val="ListParagraph"/>
        <w:numPr>
          <w:ilvl w:val="0"/>
          <w:numId w:val="6"/>
        </w:numPr>
        <w:spacing w:after="0" w:line="240" w:lineRule="auto"/>
        <w:jc w:val="both"/>
        <w:rPr>
          <w:rFonts w:ascii="Verdana" w:hAnsi="Verdana" w:cs="Arial"/>
          <w:bCs/>
          <w:sz w:val="24"/>
          <w:szCs w:val="24"/>
        </w:rPr>
      </w:pPr>
      <w:r w:rsidRPr="00D826D0">
        <w:rPr>
          <w:rFonts w:ascii="Verdana" w:hAnsi="Verdana" w:cs="Arial"/>
          <w:b/>
          <w:sz w:val="24"/>
          <w:szCs w:val="24"/>
        </w:rPr>
        <w:t>Foul drainage, both sites</w:t>
      </w:r>
      <w:r w:rsidRPr="002845FD">
        <w:rPr>
          <w:rFonts w:ascii="Verdana" w:hAnsi="Verdana" w:cs="Arial"/>
          <w:bCs/>
          <w:sz w:val="24"/>
          <w:szCs w:val="24"/>
        </w:rPr>
        <w:t xml:space="preserve">. Leaks are increasingly common, and one of the main causes is the age and state of the network. At Singleton, the height of the risers means that leaks can affect a number of clinical areas, a situation complicated by the presence of asbestos. At Morriston the cast iron drainage system in the original nucleus building is rotting away, which can impact clinical areas without warning, as happened recently when a six-bed unit had to be closed on Ward G. More recently, a leak from the main kitchens has affected Pharmacy and could potentially affect the automated dispensing system. Concrete drains at ground level are also collapsing, which is age related, most recently at Morriston in July by the original main entrance. Repair was possible externally because of the location of the collapse but would have otherwise caused </w:t>
      </w:r>
      <w:r>
        <w:rPr>
          <w:rFonts w:ascii="Verdana" w:hAnsi="Verdana" w:cs="Arial"/>
          <w:bCs/>
          <w:sz w:val="24"/>
          <w:szCs w:val="24"/>
        </w:rPr>
        <w:t xml:space="preserve">considerable and </w:t>
      </w:r>
      <w:r w:rsidRPr="002845FD">
        <w:rPr>
          <w:rFonts w:ascii="Verdana" w:hAnsi="Verdana" w:cs="Arial"/>
          <w:bCs/>
          <w:sz w:val="24"/>
          <w:szCs w:val="24"/>
        </w:rPr>
        <w:t>extensive disruption if the ground floor corridor had to be excavated</w:t>
      </w:r>
      <w:r>
        <w:rPr>
          <w:rFonts w:ascii="Verdana" w:hAnsi="Verdana" w:cs="Arial"/>
          <w:bCs/>
          <w:sz w:val="24"/>
          <w:szCs w:val="24"/>
        </w:rPr>
        <w:t xml:space="preserve"> (p</w:t>
      </w:r>
      <w:r w:rsidRPr="002845FD">
        <w:rPr>
          <w:rFonts w:ascii="Verdana" w:hAnsi="Verdana" w:cs="Arial"/>
          <w:bCs/>
          <w:sz w:val="24"/>
          <w:szCs w:val="24"/>
        </w:rPr>
        <w:t>lus the access manhole in ALAC has been built over</w:t>
      </w:r>
      <w:r>
        <w:rPr>
          <w:rFonts w:ascii="Verdana" w:hAnsi="Verdana" w:cs="Arial"/>
          <w:bCs/>
          <w:sz w:val="24"/>
          <w:szCs w:val="24"/>
        </w:rPr>
        <w:t>)</w:t>
      </w:r>
      <w:r w:rsidRPr="002845FD">
        <w:rPr>
          <w:rFonts w:ascii="Verdana" w:hAnsi="Verdana" w:cs="Arial"/>
          <w:bCs/>
          <w:sz w:val="24"/>
          <w:szCs w:val="24"/>
        </w:rPr>
        <w:t xml:space="preserve">. Doing nothing is not an option as a catastrophic failure, especially at Morriston, could compromise a number of areas and potentially close the hospital. </w:t>
      </w:r>
      <w:r w:rsidRPr="00D90D66">
        <w:rPr>
          <w:rFonts w:ascii="Verdana" w:hAnsi="Verdana" w:cs="Arial"/>
          <w:b/>
          <w:sz w:val="24"/>
          <w:szCs w:val="24"/>
        </w:rPr>
        <w:t>Mitigation</w:t>
      </w:r>
      <w:r w:rsidRPr="002845FD">
        <w:rPr>
          <w:rFonts w:ascii="Verdana" w:hAnsi="Verdana" w:cs="Arial"/>
          <w:bCs/>
          <w:sz w:val="24"/>
          <w:szCs w:val="24"/>
        </w:rPr>
        <w:t xml:space="preserve">: survey of the drainage system to determine weaknesses to inform a programme of replacement. </w:t>
      </w:r>
      <w:r w:rsidRPr="00D54667">
        <w:rPr>
          <w:rFonts w:ascii="Verdana" w:hAnsi="Verdana" w:cs="Arial"/>
          <w:b/>
          <w:sz w:val="24"/>
          <w:szCs w:val="24"/>
        </w:rPr>
        <w:t>Additional funding needed?</w:t>
      </w:r>
      <w:r>
        <w:rPr>
          <w:rFonts w:ascii="Verdana" w:hAnsi="Verdana" w:cs="Arial"/>
          <w:bCs/>
          <w:sz w:val="24"/>
          <w:szCs w:val="24"/>
        </w:rPr>
        <w:t xml:space="preserve"> Yes (not known at this stage, but likely to be several millions, most of the cost being influenced by access challenges).</w:t>
      </w:r>
    </w:p>
    <w:p w14:paraId="1DD352B1" w14:textId="77777777" w:rsidR="00480247" w:rsidRDefault="00480247" w:rsidP="00480247">
      <w:pPr>
        <w:spacing w:after="0" w:line="240" w:lineRule="auto"/>
        <w:jc w:val="both"/>
        <w:rPr>
          <w:rFonts w:ascii="Verdana" w:hAnsi="Verdana" w:cs="Arial"/>
          <w:bCs/>
          <w:sz w:val="24"/>
          <w:szCs w:val="24"/>
        </w:rPr>
      </w:pPr>
    </w:p>
    <w:p w14:paraId="4F18251E" w14:textId="77777777" w:rsidR="00480247" w:rsidRPr="002845FD" w:rsidRDefault="00480247" w:rsidP="00480247">
      <w:pPr>
        <w:pStyle w:val="ListParagraph"/>
        <w:numPr>
          <w:ilvl w:val="0"/>
          <w:numId w:val="6"/>
        </w:numPr>
        <w:spacing w:after="0" w:line="240" w:lineRule="auto"/>
        <w:jc w:val="both"/>
        <w:rPr>
          <w:rFonts w:ascii="Verdana" w:hAnsi="Verdana" w:cs="Arial"/>
          <w:bCs/>
          <w:sz w:val="24"/>
          <w:szCs w:val="24"/>
        </w:rPr>
      </w:pPr>
      <w:r w:rsidRPr="00D54667">
        <w:rPr>
          <w:rFonts w:ascii="Verdana" w:hAnsi="Verdana" w:cs="Arial"/>
          <w:b/>
          <w:sz w:val="24"/>
          <w:szCs w:val="24"/>
        </w:rPr>
        <w:t>Electrical load, Sub Stations, Morriston</w:t>
      </w:r>
      <w:r w:rsidRPr="002845FD">
        <w:rPr>
          <w:rFonts w:ascii="Verdana" w:hAnsi="Verdana" w:cs="Arial"/>
          <w:bCs/>
          <w:sz w:val="24"/>
          <w:szCs w:val="24"/>
        </w:rPr>
        <w:t xml:space="preserve">. The demand on 5 of the Sub Stations – not an issue for the recently completed Sub Station 6 – has not been reviewed for at least a decade, and possibly 25 years when the first HV infrastructure upgrade was completed (both sites). Service developments and additional activity have increased demand on each Sub Station, which could result in power supply failure. </w:t>
      </w:r>
      <w:r w:rsidRPr="00A709D7">
        <w:rPr>
          <w:rFonts w:ascii="Verdana" w:hAnsi="Verdana" w:cs="Arial"/>
          <w:b/>
          <w:sz w:val="24"/>
          <w:szCs w:val="24"/>
        </w:rPr>
        <w:t>Mitigation</w:t>
      </w:r>
      <w:r w:rsidRPr="002845FD">
        <w:rPr>
          <w:rFonts w:ascii="Verdana" w:hAnsi="Verdana" w:cs="Arial"/>
          <w:bCs/>
          <w:sz w:val="24"/>
          <w:szCs w:val="24"/>
        </w:rPr>
        <w:t>: funding is available to support demand assessment – a grading study – in 25/26.</w:t>
      </w:r>
      <w:r>
        <w:rPr>
          <w:rFonts w:ascii="Verdana" w:hAnsi="Verdana" w:cs="Arial"/>
          <w:bCs/>
          <w:sz w:val="24"/>
          <w:szCs w:val="24"/>
        </w:rPr>
        <w:t xml:space="preserve"> </w:t>
      </w:r>
    </w:p>
    <w:p w14:paraId="6C54E16A" w14:textId="77777777" w:rsidR="00480247" w:rsidRDefault="00480247" w:rsidP="00480247">
      <w:pPr>
        <w:spacing w:after="0" w:line="240" w:lineRule="auto"/>
        <w:jc w:val="both"/>
        <w:rPr>
          <w:rFonts w:ascii="Verdana" w:hAnsi="Verdana" w:cs="Arial"/>
          <w:bCs/>
          <w:sz w:val="24"/>
          <w:szCs w:val="24"/>
        </w:rPr>
      </w:pPr>
    </w:p>
    <w:p w14:paraId="0F588078" w14:textId="77777777" w:rsidR="00480247" w:rsidRPr="002845FD" w:rsidRDefault="00480247" w:rsidP="00480247">
      <w:pPr>
        <w:pStyle w:val="ListParagraph"/>
        <w:numPr>
          <w:ilvl w:val="0"/>
          <w:numId w:val="6"/>
        </w:numPr>
        <w:spacing w:after="0" w:line="240" w:lineRule="auto"/>
        <w:jc w:val="both"/>
        <w:rPr>
          <w:rFonts w:ascii="Verdana" w:hAnsi="Verdana" w:cs="Arial"/>
          <w:bCs/>
          <w:sz w:val="24"/>
          <w:szCs w:val="24"/>
        </w:rPr>
      </w:pPr>
      <w:r w:rsidRPr="004F25D8">
        <w:rPr>
          <w:rFonts w:ascii="Verdana" w:hAnsi="Verdana" w:cs="Arial"/>
          <w:b/>
          <w:sz w:val="24"/>
          <w:szCs w:val="24"/>
        </w:rPr>
        <w:t>Main steam supply from Boilerhouse, Morriston</w:t>
      </w:r>
      <w:r w:rsidRPr="002845FD">
        <w:rPr>
          <w:rFonts w:ascii="Verdana" w:hAnsi="Verdana" w:cs="Arial"/>
          <w:bCs/>
          <w:sz w:val="24"/>
          <w:szCs w:val="24"/>
        </w:rPr>
        <w:t xml:space="preserve">. The main conduit from the Boilerhouse to Plant Room 5 is leaking and close to collapse. This provides all of the steam to the entire hospital. If the pipe fails the hospital would probably have to close. </w:t>
      </w:r>
      <w:r w:rsidRPr="004F25D8">
        <w:rPr>
          <w:rFonts w:ascii="Verdana" w:hAnsi="Verdana" w:cs="Arial"/>
          <w:b/>
          <w:sz w:val="24"/>
          <w:szCs w:val="24"/>
        </w:rPr>
        <w:t>Mitigation</w:t>
      </w:r>
      <w:r w:rsidRPr="002845FD">
        <w:rPr>
          <w:rFonts w:ascii="Verdana" w:hAnsi="Verdana" w:cs="Arial"/>
          <w:bCs/>
          <w:sz w:val="24"/>
          <w:szCs w:val="24"/>
        </w:rPr>
        <w:t xml:space="preserve">: </w:t>
      </w:r>
      <w:r>
        <w:rPr>
          <w:rFonts w:ascii="Verdana" w:hAnsi="Verdana" w:cs="Arial"/>
          <w:bCs/>
          <w:sz w:val="24"/>
          <w:szCs w:val="24"/>
        </w:rPr>
        <w:t xml:space="preserve">replacement &amp; additional resilience. </w:t>
      </w:r>
      <w:r w:rsidRPr="00EE00EF">
        <w:rPr>
          <w:rFonts w:ascii="Verdana" w:hAnsi="Verdana" w:cs="Arial"/>
          <w:b/>
          <w:sz w:val="24"/>
          <w:szCs w:val="24"/>
        </w:rPr>
        <w:t>Additional funding needed?</w:t>
      </w:r>
      <w:r>
        <w:rPr>
          <w:rFonts w:ascii="Verdana" w:hAnsi="Verdana" w:cs="Arial"/>
          <w:bCs/>
          <w:sz w:val="24"/>
          <w:szCs w:val="24"/>
        </w:rPr>
        <w:t xml:space="preserve"> No. F</w:t>
      </w:r>
      <w:r w:rsidRPr="002845FD">
        <w:rPr>
          <w:rFonts w:ascii="Verdana" w:hAnsi="Verdana" w:cs="Arial"/>
          <w:bCs/>
          <w:sz w:val="24"/>
          <w:szCs w:val="24"/>
        </w:rPr>
        <w:t>unding has been secured through TEF for 25/26 to replace the line and provide a second line for resilience.</w:t>
      </w:r>
    </w:p>
    <w:p w14:paraId="514530DE" w14:textId="77777777" w:rsidR="00480247" w:rsidRDefault="00480247" w:rsidP="00480247">
      <w:pPr>
        <w:spacing w:after="0" w:line="240" w:lineRule="auto"/>
        <w:jc w:val="both"/>
        <w:rPr>
          <w:rFonts w:ascii="Verdana" w:hAnsi="Verdana" w:cs="Arial"/>
          <w:bCs/>
          <w:sz w:val="24"/>
          <w:szCs w:val="24"/>
        </w:rPr>
      </w:pPr>
    </w:p>
    <w:p w14:paraId="6670941B" w14:textId="77777777" w:rsidR="00480247" w:rsidRDefault="00480247" w:rsidP="00480247">
      <w:pPr>
        <w:pStyle w:val="ListParagraph"/>
        <w:numPr>
          <w:ilvl w:val="0"/>
          <w:numId w:val="6"/>
        </w:numPr>
        <w:spacing w:after="0" w:line="240" w:lineRule="auto"/>
        <w:jc w:val="both"/>
        <w:rPr>
          <w:rFonts w:ascii="Verdana" w:hAnsi="Verdana" w:cs="Arial"/>
          <w:bCs/>
          <w:sz w:val="24"/>
          <w:szCs w:val="24"/>
        </w:rPr>
      </w:pPr>
      <w:r w:rsidRPr="00EE00EF">
        <w:rPr>
          <w:rFonts w:ascii="Verdana" w:hAnsi="Verdana" w:cs="Arial"/>
          <w:b/>
          <w:sz w:val="24"/>
          <w:szCs w:val="24"/>
        </w:rPr>
        <w:t>Resilience</w:t>
      </w:r>
      <w:r w:rsidRPr="002845FD">
        <w:rPr>
          <w:rFonts w:ascii="Verdana" w:hAnsi="Verdana" w:cs="Arial"/>
          <w:bCs/>
          <w:sz w:val="24"/>
          <w:szCs w:val="24"/>
        </w:rPr>
        <w:t>. There are two 11Kv incoming HV</w:t>
      </w:r>
      <w:r>
        <w:rPr>
          <w:rStyle w:val="FootnoteReference"/>
          <w:rFonts w:ascii="Verdana" w:hAnsi="Verdana" w:cs="Arial"/>
          <w:bCs/>
          <w:sz w:val="24"/>
          <w:szCs w:val="24"/>
        </w:rPr>
        <w:footnoteReference w:id="5"/>
      </w:r>
      <w:r w:rsidRPr="002845FD">
        <w:rPr>
          <w:rFonts w:ascii="Verdana" w:hAnsi="Verdana" w:cs="Arial"/>
          <w:bCs/>
          <w:sz w:val="24"/>
          <w:szCs w:val="24"/>
        </w:rPr>
        <w:t xml:space="preserve"> supplies to MH and SH. Singleton only has one dedicated incomer (the other also supports residential accommodation in the area). Both incomers are dedicated to the hospital</w:t>
      </w:r>
      <w:r>
        <w:rPr>
          <w:rFonts w:ascii="Verdana" w:hAnsi="Verdana" w:cs="Arial"/>
          <w:bCs/>
          <w:sz w:val="24"/>
          <w:szCs w:val="24"/>
        </w:rPr>
        <w:t xml:space="preserve"> at Morriston</w:t>
      </w:r>
      <w:r w:rsidRPr="002845FD">
        <w:rPr>
          <w:rFonts w:ascii="Verdana" w:hAnsi="Verdana" w:cs="Arial"/>
          <w:bCs/>
          <w:sz w:val="24"/>
          <w:szCs w:val="24"/>
        </w:rPr>
        <w:t xml:space="preserve">. However, both originate from the same source. It is conceivable that a major power failure in the locality could result in reliance on generator supply only. It is also understood that the capacity of the National Grid to meet increasing demand, especially for decarbonisation, is under pressure. Supply capacity is capped at the amount needed but increasing this may require an alternative supply, which could be provided from the Felindre Energy Centre. </w:t>
      </w:r>
      <w:r w:rsidRPr="00DD5E32">
        <w:rPr>
          <w:rFonts w:ascii="Verdana" w:hAnsi="Verdana" w:cs="Arial"/>
          <w:b/>
          <w:sz w:val="24"/>
          <w:szCs w:val="24"/>
        </w:rPr>
        <w:t>Mitigation</w:t>
      </w:r>
      <w:r w:rsidRPr="002845FD">
        <w:rPr>
          <w:rFonts w:ascii="Verdana" w:hAnsi="Verdana" w:cs="Arial"/>
          <w:bCs/>
          <w:sz w:val="24"/>
          <w:szCs w:val="24"/>
        </w:rPr>
        <w:t xml:space="preserve">: the proposed new access road to Morriston could provide access to </w:t>
      </w:r>
      <w:r>
        <w:rPr>
          <w:rFonts w:ascii="Verdana" w:hAnsi="Verdana" w:cs="Arial"/>
          <w:bCs/>
          <w:sz w:val="24"/>
          <w:szCs w:val="24"/>
        </w:rPr>
        <w:t xml:space="preserve">the </w:t>
      </w:r>
      <w:r w:rsidRPr="002845FD">
        <w:rPr>
          <w:rFonts w:ascii="Verdana" w:hAnsi="Verdana" w:cs="Arial"/>
          <w:bCs/>
          <w:sz w:val="24"/>
          <w:szCs w:val="24"/>
        </w:rPr>
        <w:t xml:space="preserve">Felindre </w:t>
      </w:r>
      <w:r>
        <w:rPr>
          <w:rFonts w:ascii="Verdana" w:hAnsi="Verdana" w:cs="Arial"/>
          <w:bCs/>
          <w:sz w:val="24"/>
          <w:szCs w:val="24"/>
        </w:rPr>
        <w:t>E</w:t>
      </w:r>
      <w:r w:rsidRPr="002845FD">
        <w:rPr>
          <w:rFonts w:ascii="Verdana" w:hAnsi="Verdana" w:cs="Arial"/>
          <w:bCs/>
          <w:sz w:val="24"/>
          <w:szCs w:val="24"/>
        </w:rPr>
        <w:t>nergy</w:t>
      </w:r>
      <w:r>
        <w:rPr>
          <w:rFonts w:ascii="Verdana" w:hAnsi="Verdana" w:cs="Arial"/>
          <w:bCs/>
          <w:sz w:val="24"/>
          <w:szCs w:val="24"/>
        </w:rPr>
        <w:t xml:space="preserve"> Centre</w:t>
      </w:r>
      <w:r w:rsidRPr="002845FD">
        <w:rPr>
          <w:rFonts w:ascii="Verdana" w:hAnsi="Verdana" w:cs="Arial"/>
          <w:bCs/>
          <w:sz w:val="24"/>
          <w:szCs w:val="24"/>
        </w:rPr>
        <w:t>.</w:t>
      </w:r>
      <w:r>
        <w:rPr>
          <w:rFonts w:ascii="Verdana" w:hAnsi="Verdana" w:cs="Arial"/>
          <w:bCs/>
          <w:sz w:val="24"/>
          <w:szCs w:val="24"/>
        </w:rPr>
        <w:t xml:space="preserve"> </w:t>
      </w:r>
      <w:r w:rsidRPr="00455A3B">
        <w:rPr>
          <w:rFonts w:ascii="Verdana" w:hAnsi="Verdana" w:cs="Arial"/>
          <w:b/>
          <w:sz w:val="24"/>
          <w:szCs w:val="24"/>
        </w:rPr>
        <w:t>Additional funding needed?</w:t>
      </w:r>
      <w:r>
        <w:rPr>
          <w:rFonts w:ascii="Verdana" w:hAnsi="Verdana" w:cs="Arial"/>
          <w:bCs/>
          <w:sz w:val="24"/>
          <w:szCs w:val="24"/>
        </w:rPr>
        <w:t xml:space="preserve"> Yes, via the business case for the access road, but supply and connection to Felindre Energy Centre not known.</w:t>
      </w:r>
    </w:p>
    <w:p w14:paraId="07EEB963" w14:textId="77777777" w:rsidR="00480247" w:rsidRPr="003D235F" w:rsidRDefault="00480247" w:rsidP="00480247">
      <w:pPr>
        <w:spacing w:after="0" w:line="240" w:lineRule="auto"/>
        <w:jc w:val="both"/>
        <w:rPr>
          <w:rFonts w:ascii="Verdana" w:hAnsi="Verdana" w:cs="Arial"/>
          <w:bCs/>
          <w:sz w:val="24"/>
          <w:szCs w:val="24"/>
        </w:rPr>
      </w:pPr>
    </w:p>
    <w:p w14:paraId="6C4ABBD1" w14:textId="77777777" w:rsidR="00480247" w:rsidRDefault="00480247" w:rsidP="00480247">
      <w:pPr>
        <w:spacing w:after="0" w:line="240" w:lineRule="auto"/>
        <w:jc w:val="both"/>
        <w:rPr>
          <w:rFonts w:ascii="Verdana" w:hAnsi="Verdana" w:cs="Arial"/>
          <w:b/>
          <w:sz w:val="24"/>
          <w:szCs w:val="24"/>
        </w:rPr>
      </w:pPr>
      <w:r>
        <w:rPr>
          <w:rFonts w:ascii="Verdana" w:hAnsi="Verdana" w:cs="Arial"/>
          <w:b/>
          <w:sz w:val="24"/>
          <w:szCs w:val="24"/>
        </w:rPr>
        <w:t>Compliance and Health &amp; Safety update (August 2025)</w:t>
      </w:r>
    </w:p>
    <w:p w14:paraId="0A142B41" w14:textId="77777777" w:rsidR="00480247" w:rsidRDefault="00480247" w:rsidP="00480247">
      <w:pPr>
        <w:spacing w:after="0" w:line="240" w:lineRule="auto"/>
        <w:jc w:val="both"/>
        <w:rPr>
          <w:rFonts w:ascii="Verdana" w:hAnsi="Verdana" w:cs="Arial"/>
          <w:b/>
          <w:sz w:val="24"/>
          <w:szCs w:val="24"/>
        </w:rPr>
      </w:pPr>
    </w:p>
    <w:bookmarkStart w:id="0" w:name="_MON_1822643039"/>
    <w:bookmarkEnd w:id="0"/>
    <w:p w14:paraId="42CC0680" w14:textId="77777777" w:rsidR="00480247" w:rsidRDefault="00480247" w:rsidP="00480247">
      <w:pPr>
        <w:spacing w:after="0" w:line="240" w:lineRule="auto"/>
        <w:jc w:val="both"/>
        <w:rPr>
          <w:rFonts w:ascii="Verdana" w:hAnsi="Verdana"/>
          <w:b/>
          <w:bCs/>
          <w:sz w:val="24"/>
          <w:szCs w:val="24"/>
        </w:rPr>
      </w:pPr>
      <w:r>
        <w:object w:dxaOrig="1543" w:dyaOrig="998" w14:anchorId="33D48D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7.25pt;height:50.25pt" o:ole="">
            <v:imagedata r:id="rId7" o:title=""/>
          </v:shape>
          <o:OLEObject Type="Embed" ProgID="Word.Document.12" ShapeID="_x0000_i1026" DrawAspect="Icon" ObjectID="_1822984134" r:id="rId8">
            <o:FieldCodes>\s</o:FieldCodes>
          </o:OLEObject>
        </w:object>
      </w:r>
    </w:p>
    <w:p w14:paraId="28222495" w14:textId="77777777" w:rsidR="00480247" w:rsidRDefault="00480247" w:rsidP="00480247">
      <w:pPr>
        <w:spacing w:after="0" w:line="240" w:lineRule="auto"/>
        <w:jc w:val="both"/>
        <w:rPr>
          <w:rFonts w:ascii="Verdana" w:hAnsi="Verdana"/>
          <w:b/>
          <w:bCs/>
          <w:sz w:val="24"/>
          <w:szCs w:val="24"/>
        </w:rPr>
      </w:pPr>
    </w:p>
    <w:p w14:paraId="40E237EE" w14:textId="77777777" w:rsidR="00480247" w:rsidRDefault="00480247" w:rsidP="00480247">
      <w:pPr>
        <w:spacing w:after="0" w:line="240" w:lineRule="auto"/>
        <w:jc w:val="both"/>
        <w:rPr>
          <w:rFonts w:ascii="Verdana" w:hAnsi="Verdana" w:cs="Arial"/>
          <w:b/>
          <w:sz w:val="24"/>
          <w:szCs w:val="24"/>
        </w:rPr>
      </w:pPr>
      <w:r>
        <w:rPr>
          <w:rFonts w:ascii="Verdana" w:hAnsi="Verdana" w:cs="Arial"/>
          <w:b/>
          <w:sz w:val="24"/>
          <w:szCs w:val="24"/>
        </w:rPr>
        <w:t>Further detailed reports are available, if required:</w:t>
      </w:r>
    </w:p>
    <w:p w14:paraId="41886A18" w14:textId="77777777" w:rsidR="00480247" w:rsidRDefault="00480247" w:rsidP="00480247">
      <w:pPr>
        <w:spacing w:after="0" w:line="240" w:lineRule="auto"/>
        <w:jc w:val="both"/>
        <w:rPr>
          <w:rFonts w:ascii="Verdana" w:hAnsi="Verdana" w:cs="Arial"/>
          <w:b/>
          <w:sz w:val="24"/>
          <w:szCs w:val="24"/>
        </w:rPr>
      </w:pPr>
    </w:p>
    <w:p w14:paraId="295B033F" w14:textId="77777777" w:rsidR="00480247" w:rsidRPr="005E3C3D" w:rsidRDefault="00480247" w:rsidP="00480247">
      <w:pPr>
        <w:pStyle w:val="ListParagraph"/>
        <w:numPr>
          <w:ilvl w:val="0"/>
          <w:numId w:val="1"/>
        </w:numPr>
        <w:spacing w:after="0" w:line="240" w:lineRule="auto"/>
        <w:jc w:val="both"/>
        <w:rPr>
          <w:rFonts w:ascii="Verdana" w:hAnsi="Verdana" w:cs="Arial"/>
          <w:bCs/>
          <w:sz w:val="24"/>
          <w:szCs w:val="24"/>
        </w:rPr>
      </w:pPr>
      <w:r w:rsidRPr="005E3C3D">
        <w:rPr>
          <w:rFonts w:ascii="Verdana" w:hAnsi="Verdana" w:cs="Arial"/>
          <w:bCs/>
          <w:sz w:val="24"/>
          <w:szCs w:val="24"/>
        </w:rPr>
        <w:t>Workforce update (July 2025)</w:t>
      </w:r>
    </w:p>
    <w:p w14:paraId="23984A46" w14:textId="77777777" w:rsidR="00480247" w:rsidRPr="005E3C3D" w:rsidRDefault="00480247" w:rsidP="00480247">
      <w:pPr>
        <w:spacing w:after="0" w:line="240" w:lineRule="auto"/>
        <w:jc w:val="both"/>
        <w:rPr>
          <w:rFonts w:ascii="Verdana" w:hAnsi="Verdana" w:cs="Arial"/>
          <w:bCs/>
          <w:sz w:val="24"/>
          <w:szCs w:val="24"/>
        </w:rPr>
      </w:pPr>
    </w:p>
    <w:p w14:paraId="246636B9" w14:textId="77777777" w:rsidR="00480247" w:rsidRPr="005E3C3D" w:rsidRDefault="00480247" w:rsidP="00480247">
      <w:pPr>
        <w:pStyle w:val="ListParagraph"/>
        <w:numPr>
          <w:ilvl w:val="0"/>
          <w:numId w:val="1"/>
        </w:numPr>
        <w:spacing w:after="0" w:line="240" w:lineRule="auto"/>
        <w:jc w:val="both"/>
        <w:rPr>
          <w:rFonts w:ascii="Verdana" w:hAnsi="Verdana" w:cs="Arial"/>
          <w:bCs/>
          <w:sz w:val="24"/>
          <w:szCs w:val="24"/>
        </w:rPr>
      </w:pPr>
      <w:r w:rsidRPr="005E3C3D">
        <w:rPr>
          <w:rFonts w:ascii="Verdana" w:hAnsi="Verdana" w:cs="Arial"/>
          <w:bCs/>
          <w:sz w:val="24"/>
          <w:szCs w:val="24"/>
        </w:rPr>
        <w:t>Morriston update (August 2025)</w:t>
      </w:r>
    </w:p>
    <w:p w14:paraId="004E2224" w14:textId="77777777" w:rsidR="00480247" w:rsidRPr="005E3C3D" w:rsidRDefault="00480247" w:rsidP="00480247">
      <w:pPr>
        <w:spacing w:after="0" w:line="240" w:lineRule="auto"/>
        <w:jc w:val="both"/>
        <w:rPr>
          <w:rFonts w:ascii="Verdana" w:hAnsi="Verdana" w:cs="Arial"/>
          <w:bCs/>
          <w:sz w:val="24"/>
          <w:szCs w:val="24"/>
        </w:rPr>
      </w:pPr>
    </w:p>
    <w:p w14:paraId="508064C4" w14:textId="77777777" w:rsidR="00480247" w:rsidRPr="005E3C3D" w:rsidRDefault="00480247" w:rsidP="00480247">
      <w:pPr>
        <w:pStyle w:val="ListParagraph"/>
        <w:numPr>
          <w:ilvl w:val="0"/>
          <w:numId w:val="1"/>
        </w:numPr>
        <w:spacing w:after="0" w:line="240" w:lineRule="auto"/>
        <w:jc w:val="both"/>
        <w:rPr>
          <w:rFonts w:ascii="Verdana" w:hAnsi="Verdana" w:cs="Arial"/>
          <w:bCs/>
          <w:sz w:val="24"/>
          <w:szCs w:val="24"/>
        </w:rPr>
      </w:pPr>
      <w:r w:rsidRPr="005E3C3D">
        <w:rPr>
          <w:rFonts w:ascii="Verdana" w:hAnsi="Verdana" w:cs="Arial"/>
          <w:bCs/>
          <w:sz w:val="24"/>
          <w:szCs w:val="24"/>
        </w:rPr>
        <w:t>Singleton update (August 2025)</w:t>
      </w:r>
    </w:p>
    <w:p w14:paraId="68A69B0E" w14:textId="77777777" w:rsidR="00480247" w:rsidRPr="005E3C3D" w:rsidRDefault="00480247" w:rsidP="00480247">
      <w:pPr>
        <w:spacing w:after="0" w:line="240" w:lineRule="auto"/>
        <w:jc w:val="both"/>
        <w:rPr>
          <w:rFonts w:ascii="Verdana" w:hAnsi="Verdana" w:cs="Arial"/>
          <w:bCs/>
          <w:sz w:val="24"/>
          <w:szCs w:val="24"/>
        </w:rPr>
      </w:pPr>
    </w:p>
    <w:p w14:paraId="5A9746DE" w14:textId="77777777" w:rsidR="00480247" w:rsidRPr="005E3C3D" w:rsidRDefault="00480247" w:rsidP="00480247">
      <w:pPr>
        <w:pStyle w:val="ListParagraph"/>
        <w:numPr>
          <w:ilvl w:val="0"/>
          <w:numId w:val="1"/>
        </w:numPr>
        <w:spacing w:after="0" w:line="240" w:lineRule="auto"/>
        <w:jc w:val="both"/>
        <w:rPr>
          <w:rFonts w:ascii="Verdana" w:hAnsi="Verdana" w:cs="Arial"/>
          <w:bCs/>
          <w:sz w:val="24"/>
          <w:szCs w:val="24"/>
        </w:rPr>
      </w:pPr>
      <w:r w:rsidRPr="005E3C3D">
        <w:rPr>
          <w:rFonts w:ascii="Verdana" w:hAnsi="Verdana" w:cs="Arial"/>
          <w:bCs/>
          <w:sz w:val="24"/>
          <w:szCs w:val="24"/>
        </w:rPr>
        <w:t>Technical Services update (August 2025)</w:t>
      </w:r>
    </w:p>
    <w:p w14:paraId="3BF89C57" w14:textId="77777777" w:rsidR="00C179F9" w:rsidRDefault="00C179F9"/>
    <w:sectPr w:rsidR="000C64BE">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7CF0F0" w14:textId="77777777" w:rsidR="00480247" w:rsidRDefault="00480247" w:rsidP="00480247">
      <w:pPr>
        <w:spacing w:after="0" w:line="240" w:lineRule="auto"/>
      </w:pPr>
      <w:r>
        <w:separator/>
      </w:r>
    </w:p>
  </w:endnote>
  <w:endnote w:type="continuationSeparator" w:id="0">
    <w:p w14:paraId="34B7A871" w14:textId="77777777" w:rsidR="00480247" w:rsidRDefault="00480247" w:rsidP="004802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8136629"/>
      <w:docPartObj>
        <w:docPartGallery w:val="Page Numbers (Bottom of Page)"/>
        <w:docPartUnique/>
      </w:docPartObj>
    </w:sdtPr>
    <w:sdtEndPr/>
    <w:sdtContent>
      <w:p w14:paraId="3A81FA3A" w14:textId="110CBD96" w:rsidR="00480247" w:rsidRDefault="00480247">
        <w:pPr>
          <w:pStyle w:val="Footer"/>
          <w:jc w:val="right"/>
        </w:pPr>
        <w:r>
          <w:fldChar w:fldCharType="begin"/>
        </w:r>
        <w:r>
          <w:instrText>PAGE   \* MERGEFORMAT</w:instrText>
        </w:r>
        <w:r>
          <w:fldChar w:fldCharType="separate"/>
        </w:r>
        <w:r>
          <w:t>2</w:t>
        </w:r>
        <w:r>
          <w:fldChar w:fldCharType="end"/>
        </w:r>
      </w:p>
    </w:sdtContent>
  </w:sdt>
  <w:p w14:paraId="039B47B1" w14:textId="6CD7A6E3" w:rsidR="00480247" w:rsidRDefault="00480247" w:rsidP="00480247">
    <w:pPr>
      <w:pStyle w:val="Footer"/>
      <w:ind w:left="-1134"/>
    </w:pPr>
    <w:r>
      <w:t>Performance &amp; Finance Committee – 28</w:t>
    </w:r>
    <w:r w:rsidRPr="00480247">
      <w:rPr>
        <w:vertAlign w:val="superscript"/>
      </w:rPr>
      <w:t>th</w:t>
    </w:r>
    <w:r>
      <w:t xml:space="preserve"> October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8B2F2B" w14:textId="77777777" w:rsidR="00480247" w:rsidRDefault="00480247" w:rsidP="00480247">
      <w:pPr>
        <w:spacing w:after="0" w:line="240" w:lineRule="auto"/>
      </w:pPr>
      <w:r>
        <w:separator/>
      </w:r>
    </w:p>
  </w:footnote>
  <w:footnote w:type="continuationSeparator" w:id="0">
    <w:p w14:paraId="65E77965" w14:textId="77777777" w:rsidR="00480247" w:rsidRDefault="00480247" w:rsidP="00480247">
      <w:pPr>
        <w:spacing w:after="0" w:line="240" w:lineRule="auto"/>
      </w:pPr>
      <w:r>
        <w:continuationSeparator/>
      </w:r>
    </w:p>
  </w:footnote>
  <w:footnote w:id="1">
    <w:p w14:paraId="7886AA3B" w14:textId="77777777" w:rsidR="00480247" w:rsidRDefault="00480247" w:rsidP="00480247">
      <w:pPr>
        <w:pStyle w:val="FootnoteText"/>
      </w:pPr>
      <w:r>
        <w:rPr>
          <w:rStyle w:val="FootnoteReference"/>
        </w:rPr>
        <w:footnoteRef/>
      </w:r>
      <w:r>
        <w:t xml:space="preserve"> Emergency Preparedness Resilience and Response</w:t>
      </w:r>
    </w:p>
  </w:footnote>
  <w:footnote w:id="2">
    <w:p w14:paraId="613D95BD" w14:textId="77777777" w:rsidR="00480247" w:rsidRDefault="00480247" w:rsidP="00480247">
      <w:pPr>
        <w:pStyle w:val="FootnoteText"/>
      </w:pPr>
      <w:r>
        <w:rPr>
          <w:rStyle w:val="FootnoteReference"/>
        </w:rPr>
        <w:footnoteRef/>
      </w:r>
      <w:r>
        <w:t xml:space="preserve"> Power is switched off to test all generators and to confirm what is on essential, as well as any failures that need to be addressed.</w:t>
      </w:r>
    </w:p>
  </w:footnote>
  <w:footnote w:id="3">
    <w:p w14:paraId="12A65AB1" w14:textId="77777777" w:rsidR="00480247" w:rsidRDefault="00480247" w:rsidP="00480247">
      <w:pPr>
        <w:pStyle w:val="FootnoteText"/>
      </w:pPr>
      <w:r>
        <w:rPr>
          <w:rStyle w:val="FootnoteReference"/>
        </w:rPr>
        <w:footnoteRef/>
      </w:r>
      <w:r>
        <w:t xml:space="preserve"> HV High Voltage</w:t>
      </w:r>
    </w:p>
  </w:footnote>
  <w:footnote w:id="4">
    <w:p w14:paraId="12F1E26A" w14:textId="77777777" w:rsidR="00480247" w:rsidRDefault="00480247" w:rsidP="00480247">
      <w:pPr>
        <w:pStyle w:val="FootnoteText"/>
      </w:pPr>
      <w:r>
        <w:rPr>
          <w:rStyle w:val="FootnoteReference"/>
        </w:rPr>
        <w:footnoteRef/>
      </w:r>
      <w:r>
        <w:t xml:space="preserve"> Computer Aided Facilities Management System</w:t>
      </w:r>
    </w:p>
  </w:footnote>
  <w:footnote w:id="5">
    <w:p w14:paraId="6487B321" w14:textId="77777777" w:rsidR="00480247" w:rsidRDefault="00480247" w:rsidP="00480247">
      <w:pPr>
        <w:pStyle w:val="FootnoteText"/>
      </w:pPr>
      <w:r>
        <w:rPr>
          <w:rStyle w:val="FootnoteReference"/>
        </w:rPr>
        <w:footnoteRef/>
      </w:r>
      <w:r>
        <w:t xml:space="preserve"> High Voltage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62646"/>
    <w:multiLevelType w:val="hybridMultilevel"/>
    <w:tmpl w:val="163C4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113CA3"/>
    <w:multiLevelType w:val="multilevel"/>
    <w:tmpl w:val="162CF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1793399"/>
    <w:multiLevelType w:val="multilevel"/>
    <w:tmpl w:val="57D2A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1563146"/>
    <w:multiLevelType w:val="hybridMultilevel"/>
    <w:tmpl w:val="EE9ED8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18439C2"/>
    <w:multiLevelType w:val="multilevel"/>
    <w:tmpl w:val="171E570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5" w15:restartNumberingAfterBreak="0">
    <w:nsid w:val="46851882"/>
    <w:multiLevelType w:val="hybridMultilevel"/>
    <w:tmpl w:val="C0E460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40243547">
    <w:abstractNumId w:val="0"/>
  </w:num>
  <w:num w:numId="2" w16cid:durableId="1195850988">
    <w:abstractNumId w:val="5"/>
  </w:num>
  <w:num w:numId="3" w16cid:durableId="1599632369">
    <w:abstractNumId w:val="2"/>
  </w:num>
  <w:num w:numId="4" w16cid:durableId="1931617442">
    <w:abstractNumId w:val="1"/>
  </w:num>
  <w:num w:numId="5" w16cid:durableId="605576157">
    <w:abstractNumId w:val="4"/>
  </w:num>
  <w:num w:numId="6" w16cid:durableId="18914458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0247"/>
    <w:rsid w:val="002126B1"/>
    <w:rsid w:val="00480247"/>
    <w:rsid w:val="00791B2D"/>
    <w:rsid w:val="00895B07"/>
    <w:rsid w:val="00B01EF5"/>
    <w:rsid w:val="00C179F9"/>
    <w:rsid w:val="00CF0B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1C0CCA3"/>
  <w15:chartTrackingRefBased/>
  <w15:docId w15:val="{688B950B-E81B-4318-8CA2-CB11F455B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02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0247"/>
    <w:pPr>
      <w:ind w:left="720"/>
      <w:contextualSpacing/>
    </w:pPr>
  </w:style>
  <w:style w:type="paragraph" w:styleId="NormalWeb">
    <w:name w:val="Normal (Web)"/>
    <w:basedOn w:val="Normal"/>
    <w:uiPriority w:val="99"/>
    <w:unhideWhenUsed/>
    <w:rsid w:val="0048024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noteText">
    <w:name w:val="footnote text"/>
    <w:basedOn w:val="Normal"/>
    <w:link w:val="FootnoteTextChar"/>
    <w:uiPriority w:val="99"/>
    <w:semiHidden/>
    <w:unhideWhenUsed/>
    <w:rsid w:val="00480247"/>
    <w:pPr>
      <w:spacing w:after="0" w:line="240" w:lineRule="auto"/>
    </w:pPr>
    <w:rPr>
      <w:kern w:val="2"/>
      <w:sz w:val="20"/>
      <w:szCs w:val="20"/>
      <w14:ligatures w14:val="standardContextual"/>
    </w:rPr>
  </w:style>
  <w:style w:type="character" w:customStyle="1" w:styleId="FootnoteTextChar">
    <w:name w:val="Footnote Text Char"/>
    <w:basedOn w:val="DefaultParagraphFont"/>
    <w:link w:val="FootnoteText"/>
    <w:uiPriority w:val="99"/>
    <w:semiHidden/>
    <w:rsid w:val="00480247"/>
    <w:rPr>
      <w:kern w:val="2"/>
      <w:sz w:val="20"/>
      <w:szCs w:val="20"/>
      <w14:ligatures w14:val="standardContextual"/>
    </w:rPr>
  </w:style>
  <w:style w:type="character" w:styleId="FootnoteReference">
    <w:name w:val="footnote reference"/>
    <w:basedOn w:val="DefaultParagraphFont"/>
    <w:uiPriority w:val="99"/>
    <w:semiHidden/>
    <w:unhideWhenUsed/>
    <w:rsid w:val="00480247"/>
    <w:rPr>
      <w:vertAlign w:val="superscript"/>
    </w:rPr>
  </w:style>
  <w:style w:type="paragraph" w:styleId="Header">
    <w:name w:val="header"/>
    <w:basedOn w:val="Normal"/>
    <w:link w:val="HeaderChar"/>
    <w:uiPriority w:val="99"/>
    <w:unhideWhenUsed/>
    <w:rsid w:val="004802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0247"/>
  </w:style>
  <w:style w:type="paragraph" w:styleId="Footer">
    <w:name w:val="footer"/>
    <w:basedOn w:val="Normal"/>
    <w:link w:val="FooterChar"/>
    <w:uiPriority w:val="99"/>
    <w:unhideWhenUsed/>
    <w:rsid w:val="004802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02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docx"/><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2133</Words>
  <Characters>12159</Characters>
  <Application>Microsoft Office Word</Application>
  <DocSecurity>4</DocSecurity>
  <Lines>101</Lines>
  <Paragraphs>28</Paragraphs>
  <ScaleCrop>false</ScaleCrop>
  <Company/>
  <LinksUpToDate>false</LinksUpToDate>
  <CharactersWithSpaces>14264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Sonja Anderson (Swansea Bay UHB - Finance)</dc:creator>
  <cp:keywords/>
  <dc:description/>
  <cp:lastModifiedBy>Ray Selby (Swansea Bay UHB - Estates)</cp:lastModifiedBy>
  <cp:revision>2</cp:revision>
  <dcterms:created xsi:type="dcterms:W3CDTF">2025-10-26T11:42:00Z</dcterms:created>
  <dcterms:modified xsi:type="dcterms:W3CDTF">2025-10-26T11:42:00Z</dcterms:modified>
</cp:coreProperties>
</file>