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6-25T00:00:00Z">
              <w:dateFormat w:val="dd MMMM yyyy"/>
              <w:lid w:val="en-GB"/>
              <w:storeMappedDataAs w:val="dateTime"/>
              <w:calendar w:val="gregorian"/>
            </w:date>
          </w:sdtPr>
          <w:sdtEndPr/>
          <w:sdtContent>
            <w:tc>
              <w:tcPr>
                <w:tcW w:w="3260" w:type="dxa"/>
                <w:gridSpan w:val="2"/>
              </w:tcPr>
              <w:p w14:paraId="6D2903DF" w14:textId="3F595173" w:rsidR="00F5082D" w:rsidRPr="00FA0CA9" w:rsidRDefault="0019642E" w:rsidP="00FA0CA9">
                <w:pPr>
                  <w:rPr>
                    <w:rFonts w:ascii="Arial" w:hAnsi="Arial" w:cs="Arial"/>
                    <w:b/>
                    <w:sz w:val="24"/>
                    <w:szCs w:val="24"/>
                  </w:rPr>
                </w:pPr>
                <w:r>
                  <w:rPr>
                    <w:rFonts w:ascii="Arial" w:hAnsi="Arial" w:cs="Arial"/>
                    <w:b/>
                    <w:sz w:val="24"/>
                    <w:szCs w:val="24"/>
                  </w:rPr>
                  <w:t>25 June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6CD2D83B" w:rsidR="00F5082D" w:rsidRPr="00FA0CA9" w:rsidRDefault="00FD1FE1" w:rsidP="00FA0CA9">
            <w:pPr>
              <w:rPr>
                <w:rFonts w:ascii="Arial" w:hAnsi="Arial" w:cs="Arial"/>
                <w:b/>
                <w:sz w:val="24"/>
                <w:szCs w:val="24"/>
              </w:rPr>
            </w:pPr>
            <w:r>
              <w:rPr>
                <w:rFonts w:ascii="Arial" w:hAnsi="Arial" w:cs="Arial"/>
                <w:b/>
                <w:sz w:val="24"/>
                <w:szCs w:val="24"/>
              </w:rPr>
              <w:t>3</w:t>
            </w:r>
            <w:r w:rsidR="0019642E">
              <w:rPr>
                <w:rFonts w:ascii="Arial" w:hAnsi="Arial" w:cs="Arial"/>
                <w:b/>
                <w:sz w:val="24"/>
                <w:szCs w:val="24"/>
              </w:rPr>
              <w:t>.</w:t>
            </w:r>
            <w:r>
              <w:rPr>
                <w:rFonts w:ascii="Arial" w:hAnsi="Arial" w:cs="Arial"/>
                <w:b/>
                <w:sz w:val="24"/>
                <w:szCs w:val="24"/>
              </w:rPr>
              <w:t>2</w:t>
            </w:r>
          </w:p>
        </w:tc>
      </w:tr>
      <w:tr w:rsidR="0019642E" w:rsidRPr="00034194" w14:paraId="6D2903E5" w14:textId="77777777" w:rsidTr="00DA76AD">
        <w:tc>
          <w:tcPr>
            <w:tcW w:w="2547" w:type="dxa"/>
          </w:tcPr>
          <w:p w14:paraId="6D2903E3" w14:textId="77777777" w:rsidR="0019642E" w:rsidRPr="00FA0CA9" w:rsidRDefault="0019642E" w:rsidP="0019642E">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56E19C97" w:rsidR="0019642E" w:rsidRPr="00FA0CA9" w:rsidRDefault="0019642E" w:rsidP="0019642E">
            <w:pPr>
              <w:rPr>
                <w:rFonts w:ascii="Arial" w:hAnsi="Arial" w:cs="Arial"/>
                <w:b/>
                <w:sz w:val="24"/>
                <w:szCs w:val="24"/>
              </w:rPr>
            </w:pPr>
            <w:r>
              <w:rPr>
                <w:rFonts w:ascii="Arial" w:eastAsia="Arial Unicode MS" w:hAnsi="Arial" w:cs="Arial"/>
                <w:b/>
                <w:sz w:val="24"/>
                <w:szCs w:val="24"/>
                <w:bdr w:val="nil"/>
              </w:rPr>
              <w:t>Cancer Performance Update</w:t>
            </w:r>
          </w:p>
        </w:tc>
      </w:tr>
      <w:tr w:rsidR="0019642E" w:rsidRPr="00034194" w14:paraId="6D2903E8" w14:textId="77777777" w:rsidTr="00DA76AD">
        <w:tc>
          <w:tcPr>
            <w:tcW w:w="2547" w:type="dxa"/>
          </w:tcPr>
          <w:p w14:paraId="6D2903E6" w14:textId="77777777" w:rsidR="0019642E" w:rsidRPr="00FA0CA9" w:rsidRDefault="0019642E" w:rsidP="0019642E">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0A074082" w:rsidR="0019642E" w:rsidRPr="00FA0CA9" w:rsidRDefault="0019642E" w:rsidP="0019642E">
            <w:pPr>
              <w:rPr>
                <w:rFonts w:ascii="Arial" w:hAnsi="Arial" w:cs="Arial"/>
                <w:sz w:val="24"/>
                <w:szCs w:val="24"/>
              </w:rPr>
            </w:pPr>
            <w:r>
              <w:rPr>
                <w:rFonts w:ascii="Arial" w:hAnsi="Arial" w:cs="Arial"/>
                <w:sz w:val="24"/>
                <w:szCs w:val="24"/>
              </w:rPr>
              <w:t>Marisa Bennett, Cancer Performance &amp; Information Manager</w:t>
            </w:r>
          </w:p>
        </w:tc>
      </w:tr>
      <w:tr w:rsidR="0019642E" w:rsidRPr="00034194" w14:paraId="6D2903EB" w14:textId="77777777" w:rsidTr="00DA76AD">
        <w:tc>
          <w:tcPr>
            <w:tcW w:w="2547" w:type="dxa"/>
          </w:tcPr>
          <w:p w14:paraId="6D2903E9" w14:textId="77777777" w:rsidR="0019642E" w:rsidRPr="00FA0CA9" w:rsidRDefault="0019642E" w:rsidP="0019642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5299E3FB" w:rsidR="0019642E" w:rsidRPr="00FA0CA9" w:rsidRDefault="0019642E" w:rsidP="0019642E">
            <w:pPr>
              <w:rPr>
                <w:rFonts w:ascii="Arial" w:hAnsi="Arial" w:cs="Arial"/>
                <w:sz w:val="24"/>
                <w:szCs w:val="24"/>
              </w:rPr>
            </w:pPr>
            <w:r>
              <w:rPr>
                <w:rFonts w:ascii="Arial" w:hAnsi="Arial" w:cs="Arial"/>
                <w:sz w:val="24"/>
                <w:szCs w:val="24"/>
              </w:rPr>
              <w:t>Craige Wilson, Deputy Chief Operating Officer</w:t>
            </w:r>
          </w:p>
        </w:tc>
      </w:tr>
      <w:tr w:rsidR="0019642E" w:rsidRPr="00034194" w14:paraId="6D2903EE" w14:textId="77777777" w:rsidTr="00DA76AD">
        <w:tc>
          <w:tcPr>
            <w:tcW w:w="2547" w:type="dxa"/>
          </w:tcPr>
          <w:p w14:paraId="6D2903EC" w14:textId="77777777" w:rsidR="0019642E" w:rsidRPr="00FA0CA9" w:rsidRDefault="0019642E" w:rsidP="0019642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89E54ED" w:rsidR="0019642E" w:rsidRPr="00FA0CA9" w:rsidRDefault="0019642E" w:rsidP="0019642E">
            <w:pPr>
              <w:rPr>
                <w:rFonts w:ascii="Arial" w:hAnsi="Arial" w:cs="Arial"/>
                <w:sz w:val="24"/>
                <w:szCs w:val="24"/>
              </w:rPr>
            </w:pPr>
            <w:r>
              <w:rPr>
                <w:rFonts w:ascii="Arial" w:hAnsi="Arial" w:cs="Arial"/>
                <w:sz w:val="24"/>
                <w:szCs w:val="24"/>
              </w:rPr>
              <w:t>Deb Lewis, Chief Operating Officer</w:t>
            </w:r>
          </w:p>
        </w:tc>
      </w:tr>
      <w:tr w:rsidR="0019642E" w:rsidRPr="00034194" w14:paraId="6D2903F1" w14:textId="77777777" w:rsidTr="00DA76AD">
        <w:tc>
          <w:tcPr>
            <w:tcW w:w="2547" w:type="dxa"/>
          </w:tcPr>
          <w:p w14:paraId="6D2903EF" w14:textId="77777777" w:rsidR="0019642E" w:rsidRPr="00FA0CA9" w:rsidRDefault="0019642E" w:rsidP="0019642E">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657C8681" w:rsidR="0019642E" w:rsidRPr="0019642E" w:rsidRDefault="0019642E" w:rsidP="0019642E">
            <w:pPr>
              <w:rPr>
                <w:rFonts w:ascii="Arial" w:hAnsi="Arial" w:cs="Arial"/>
                <w:sz w:val="24"/>
                <w:szCs w:val="24"/>
              </w:rPr>
            </w:pPr>
            <w:r w:rsidRPr="0019642E">
              <w:rPr>
                <w:rFonts w:ascii="Arial" w:hAnsi="Arial" w:cs="Arial"/>
                <w:sz w:val="24"/>
                <w:szCs w:val="24"/>
              </w:rPr>
              <w:t xml:space="preserve">Open </w:t>
            </w:r>
          </w:p>
        </w:tc>
      </w:tr>
      <w:tr w:rsidR="0019642E" w:rsidRPr="00034194" w14:paraId="6D2903F8" w14:textId="77777777" w:rsidTr="00DA76AD">
        <w:tc>
          <w:tcPr>
            <w:tcW w:w="2547" w:type="dxa"/>
          </w:tcPr>
          <w:p w14:paraId="6D2903F2" w14:textId="77777777" w:rsidR="0019642E" w:rsidRPr="00FA0CA9" w:rsidRDefault="0019642E" w:rsidP="0019642E">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241AD071" w14:textId="77777777" w:rsidR="0019642E" w:rsidRPr="006376E3" w:rsidRDefault="0019642E" w:rsidP="0019642E">
            <w:pPr>
              <w:jc w:val="both"/>
              <w:rPr>
                <w:rFonts w:ascii="Arial" w:hAnsi="Arial" w:cs="Arial"/>
                <w:color w:val="000000" w:themeColor="text1"/>
                <w:sz w:val="24"/>
                <w:szCs w:val="24"/>
              </w:rPr>
            </w:pPr>
            <w:r w:rsidRPr="006376E3">
              <w:rPr>
                <w:rFonts w:ascii="Arial" w:hAnsi="Arial" w:cs="Arial"/>
                <w:color w:val="000000" w:themeColor="text1"/>
                <w:sz w:val="24"/>
                <w:szCs w:val="24"/>
              </w:rPr>
              <w:t xml:space="preserve">The report provides an update on the delivery of the Single Cancer Pathway for Swansea Bay UHB patients.  It focusses on recovery plans in place for the top tumour sites: </w:t>
            </w:r>
          </w:p>
          <w:p w14:paraId="33BB4B1B"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Lower Gastrointestinal</w:t>
            </w:r>
          </w:p>
          <w:p w14:paraId="333D0C4C"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Breast</w:t>
            </w:r>
          </w:p>
          <w:p w14:paraId="480D9002"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Upper Gastrointestinal</w:t>
            </w:r>
          </w:p>
          <w:p w14:paraId="4B5A72BE"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Gynaecological</w:t>
            </w:r>
          </w:p>
          <w:p w14:paraId="67F0D0F1"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Urological</w:t>
            </w:r>
          </w:p>
          <w:p w14:paraId="1C8C994D" w14:textId="77777777" w:rsidR="0019642E" w:rsidRPr="006376E3" w:rsidRDefault="0019642E" w:rsidP="0019642E">
            <w:pPr>
              <w:pStyle w:val="ListParagraph"/>
              <w:numPr>
                <w:ilvl w:val="0"/>
                <w:numId w:val="11"/>
              </w:numPr>
              <w:jc w:val="both"/>
              <w:rPr>
                <w:rFonts w:ascii="Arial" w:hAnsi="Arial" w:cs="Arial"/>
                <w:color w:val="000000" w:themeColor="text1"/>
                <w:sz w:val="24"/>
                <w:szCs w:val="24"/>
              </w:rPr>
            </w:pPr>
            <w:r w:rsidRPr="006376E3">
              <w:rPr>
                <w:rFonts w:ascii="Arial" w:hAnsi="Arial" w:cs="Arial"/>
                <w:color w:val="000000" w:themeColor="text1"/>
                <w:sz w:val="24"/>
                <w:szCs w:val="24"/>
              </w:rPr>
              <w:t>Lung</w:t>
            </w:r>
          </w:p>
          <w:p w14:paraId="6D2903F7" w14:textId="77777777" w:rsidR="0019642E" w:rsidRPr="00FA0CA9" w:rsidRDefault="0019642E" w:rsidP="0019642E">
            <w:pPr>
              <w:rPr>
                <w:rFonts w:ascii="Arial" w:hAnsi="Arial" w:cs="Arial"/>
                <w:sz w:val="24"/>
                <w:szCs w:val="24"/>
              </w:rPr>
            </w:pPr>
          </w:p>
        </w:tc>
      </w:tr>
      <w:tr w:rsidR="0019642E" w:rsidRPr="00034194" w14:paraId="6D290402" w14:textId="77777777" w:rsidTr="00DA76AD">
        <w:tc>
          <w:tcPr>
            <w:tcW w:w="2547" w:type="dxa"/>
          </w:tcPr>
          <w:p w14:paraId="6D2903F9" w14:textId="77777777" w:rsidR="0019642E" w:rsidRPr="00FA0CA9" w:rsidRDefault="0019642E" w:rsidP="0019642E">
            <w:pPr>
              <w:rPr>
                <w:rFonts w:ascii="Arial" w:hAnsi="Arial" w:cs="Arial"/>
                <w:b/>
                <w:sz w:val="24"/>
                <w:szCs w:val="24"/>
              </w:rPr>
            </w:pPr>
            <w:r w:rsidRPr="00FA0CA9">
              <w:rPr>
                <w:rFonts w:ascii="Arial" w:hAnsi="Arial" w:cs="Arial"/>
                <w:b/>
                <w:sz w:val="24"/>
                <w:szCs w:val="24"/>
              </w:rPr>
              <w:t>Key Issues</w:t>
            </w:r>
          </w:p>
          <w:p w14:paraId="6D2903FA" w14:textId="77777777" w:rsidR="0019642E" w:rsidRPr="00FA0CA9" w:rsidRDefault="0019642E" w:rsidP="0019642E">
            <w:pPr>
              <w:rPr>
                <w:rFonts w:ascii="Arial" w:hAnsi="Arial" w:cs="Arial"/>
                <w:b/>
                <w:sz w:val="24"/>
                <w:szCs w:val="24"/>
              </w:rPr>
            </w:pPr>
          </w:p>
          <w:p w14:paraId="6D2903FB" w14:textId="77777777" w:rsidR="0019642E" w:rsidRPr="00FA0CA9" w:rsidRDefault="0019642E" w:rsidP="0019642E">
            <w:pPr>
              <w:rPr>
                <w:rFonts w:ascii="Arial" w:hAnsi="Arial" w:cs="Arial"/>
                <w:b/>
                <w:sz w:val="24"/>
                <w:szCs w:val="24"/>
              </w:rPr>
            </w:pPr>
          </w:p>
          <w:p w14:paraId="6D2903FC" w14:textId="77777777" w:rsidR="0019642E" w:rsidRPr="00FA0CA9" w:rsidRDefault="0019642E" w:rsidP="0019642E">
            <w:pPr>
              <w:rPr>
                <w:rFonts w:ascii="Arial" w:hAnsi="Arial" w:cs="Arial"/>
                <w:b/>
                <w:sz w:val="24"/>
                <w:szCs w:val="24"/>
              </w:rPr>
            </w:pPr>
          </w:p>
        </w:tc>
        <w:tc>
          <w:tcPr>
            <w:tcW w:w="6469" w:type="dxa"/>
            <w:gridSpan w:val="6"/>
          </w:tcPr>
          <w:p w14:paraId="426AA76D" w14:textId="77777777" w:rsidR="0019642E" w:rsidRDefault="0019642E" w:rsidP="0019642E">
            <w:pPr>
              <w:ind w:right="96"/>
              <w:jc w:val="both"/>
              <w:rPr>
                <w:rFonts w:ascii="Arial" w:hAnsi="Arial" w:cs="Arial"/>
                <w:color w:val="000000" w:themeColor="text1"/>
                <w:sz w:val="24"/>
                <w:szCs w:val="24"/>
              </w:rPr>
            </w:pPr>
            <w:r w:rsidRPr="007564A9">
              <w:rPr>
                <w:rFonts w:ascii="Arial" w:hAnsi="Arial" w:cs="Arial"/>
                <w:color w:val="000000" w:themeColor="text1"/>
                <w:sz w:val="24"/>
                <w:szCs w:val="24"/>
              </w:rPr>
              <w:t xml:space="preserve">This report will highlight </w:t>
            </w:r>
            <w:r>
              <w:rPr>
                <w:rFonts w:ascii="Arial" w:hAnsi="Arial" w:cs="Arial"/>
                <w:color w:val="000000" w:themeColor="text1"/>
                <w:sz w:val="24"/>
                <w:szCs w:val="24"/>
              </w:rPr>
              <w:t>current performance for both backlog and Single Cancer Pathway.</w:t>
            </w:r>
          </w:p>
          <w:p w14:paraId="10A5EAED" w14:textId="77777777" w:rsidR="0019642E" w:rsidRDefault="0019642E" w:rsidP="0019642E">
            <w:pPr>
              <w:ind w:right="96"/>
              <w:jc w:val="both"/>
              <w:rPr>
                <w:rFonts w:ascii="Arial" w:hAnsi="Arial" w:cs="Arial"/>
                <w:color w:val="000000" w:themeColor="text1"/>
                <w:sz w:val="24"/>
                <w:szCs w:val="24"/>
              </w:rPr>
            </w:pPr>
          </w:p>
          <w:p w14:paraId="48322FE8" w14:textId="793DF200" w:rsidR="0019642E" w:rsidRDefault="0019642E" w:rsidP="0019642E">
            <w:pPr>
              <w:ind w:right="96"/>
              <w:jc w:val="both"/>
              <w:rPr>
                <w:rFonts w:ascii="Arial" w:hAnsi="Arial" w:cs="Arial"/>
                <w:color w:val="000000" w:themeColor="text1"/>
                <w:sz w:val="24"/>
                <w:szCs w:val="24"/>
              </w:rPr>
            </w:pPr>
            <w:r>
              <w:rPr>
                <w:rFonts w:ascii="Arial" w:hAnsi="Arial" w:cs="Arial"/>
                <w:color w:val="000000" w:themeColor="text1"/>
                <w:sz w:val="24"/>
                <w:szCs w:val="24"/>
              </w:rPr>
              <w:t xml:space="preserve">Demonstrates by tumour sites current performance to meet 10-day outpatient; 31-day Decision to Treat internal targets and 5-day pathology turnaround. </w:t>
            </w:r>
          </w:p>
          <w:p w14:paraId="4864BEC2" w14:textId="77777777" w:rsidR="0019642E" w:rsidRDefault="0019642E" w:rsidP="0019642E">
            <w:pPr>
              <w:ind w:right="96"/>
              <w:jc w:val="both"/>
              <w:rPr>
                <w:rFonts w:ascii="Arial" w:hAnsi="Arial" w:cs="Arial"/>
                <w:color w:val="000000" w:themeColor="text1"/>
                <w:sz w:val="24"/>
                <w:szCs w:val="24"/>
              </w:rPr>
            </w:pPr>
          </w:p>
          <w:p w14:paraId="5BF6EC65" w14:textId="77777777" w:rsidR="0019642E" w:rsidRPr="007564A9" w:rsidRDefault="0019642E" w:rsidP="0019642E">
            <w:pPr>
              <w:ind w:right="96"/>
              <w:jc w:val="both"/>
              <w:rPr>
                <w:rFonts w:ascii="Arial" w:hAnsi="Arial" w:cs="Arial"/>
                <w:color w:val="000000" w:themeColor="text1"/>
                <w:sz w:val="24"/>
                <w:szCs w:val="24"/>
              </w:rPr>
            </w:pPr>
            <w:r>
              <w:rPr>
                <w:rFonts w:ascii="Arial" w:hAnsi="Arial" w:cs="Arial"/>
                <w:color w:val="000000" w:themeColor="text1"/>
                <w:sz w:val="24"/>
                <w:szCs w:val="24"/>
              </w:rPr>
              <w:t>Identifies</w:t>
            </w:r>
            <w:r w:rsidRPr="007564A9">
              <w:rPr>
                <w:rFonts w:ascii="Arial" w:hAnsi="Arial" w:cs="Arial"/>
                <w:color w:val="000000" w:themeColor="text1"/>
                <w:sz w:val="24"/>
                <w:szCs w:val="24"/>
              </w:rPr>
              <w:t xml:space="preserve"> </w:t>
            </w:r>
            <w:r>
              <w:rPr>
                <w:rFonts w:ascii="Arial" w:hAnsi="Arial" w:cs="Arial"/>
                <w:color w:val="000000" w:themeColor="text1"/>
                <w:sz w:val="24"/>
                <w:szCs w:val="24"/>
              </w:rPr>
              <w:t xml:space="preserve">key </w:t>
            </w:r>
            <w:r w:rsidRPr="007564A9">
              <w:rPr>
                <w:rFonts w:ascii="Arial" w:hAnsi="Arial" w:cs="Arial"/>
                <w:color w:val="000000" w:themeColor="text1"/>
                <w:sz w:val="24"/>
                <w:szCs w:val="24"/>
              </w:rPr>
              <w:t>service delivery challenges</w:t>
            </w:r>
            <w:r>
              <w:rPr>
                <w:rFonts w:ascii="Arial" w:hAnsi="Arial" w:cs="Arial"/>
                <w:color w:val="000000" w:themeColor="text1"/>
                <w:sz w:val="24"/>
                <w:szCs w:val="24"/>
              </w:rPr>
              <w:t xml:space="preserve"> and mitigating actions</w:t>
            </w:r>
            <w:r w:rsidRPr="007564A9">
              <w:rPr>
                <w:rFonts w:ascii="Arial" w:hAnsi="Arial" w:cs="Arial"/>
                <w:color w:val="000000" w:themeColor="text1"/>
                <w:sz w:val="24"/>
                <w:szCs w:val="24"/>
              </w:rPr>
              <w:t>.</w:t>
            </w:r>
          </w:p>
          <w:p w14:paraId="6D290401" w14:textId="77777777" w:rsidR="0019642E" w:rsidRPr="00FA0CA9" w:rsidRDefault="0019642E" w:rsidP="0019642E">
            <w:pPr>
              <w:rPr>
                <w:rFonts w:ascii="Arial" w:hAnsi="Arial" w:cs="Arial"/>
                <w:sz w:val="24"/>
                <w:szCs w:val="24"/>
              </w:rPr>
            </w:pPr>
          </w:p>
        </w:tc>
      </w:tr>
      <w:tr w:rsidR="0019642E" w:rsidRPr="00034194" w14:paraId="6D290409" w14:textId="77777777" w:rsidTr="00DA76AD">
        <w:trPr>
          <w:trHeight w:val="97"/>
        </w:trPr>
        <w:tc>
          <w:tcPr>
            <w:tcW w:w="2547" w:type="dxa"/>
            <w:vMerge w:val="restart"/>
          </w:tcPr>
          <w:p w14:paraId="6D290403" w14:textId="77777777" w:rsidR="0019642E" w:rsidRPr="00FA0CA9" w:rsidRDefault="0019642E" w:rsidP="0019642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19642E" w:rsidRPr="00FA0CA9" w:rsidRDefault="0019642E" w:rsidP="0019642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19642E" w:rsidRPr="00FA0CA9" w:rsidRDefault="0019642E" w:rsidP="0019642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19642E" w:rsidRPr="00FA0CA9" w:rsidRDefault="0019642E" w:rsidP="0019642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19642E" w:rsidRPr="00FA0CA9" w:rsidRDefault="0019642E" w:rsidP="0019642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19642E" w:rsidRPr="00FA0CA9" w:rsidRDefault="0019642E" w:rsidP="0019642E">
            <w:pPr>
              <w:rPr>
                <w:rFonts w:ascii="Arial" w:hAnsi="Arial" w:cs="Arial"/>
                <w:b/>
                <w:sz w:val="24"/>
                <w:szCs w:val="24"/>
              </w:rPr>
            </w:pPr>
            <w:r w:rsidRPr="00FA0CA9">
              <w:rPr>
                <w:rFonts w:ascii="Arial" w:hAnsi="Arial" w:cs="Arial"/>
                <w:b/>
                <w:sz w:val="24"/>
                <w:szCs w:val="24"/>
              </w:rPr>
              <w:t>Approval</w:t>
            </w:r>
          </w:p>
        </w:tc>
      </w:tr>
      <w:tr w:rsidR="0019642E" w:rsidRPr="00034194" w14:paraId="6D29040F" w14:textId="77777777" w:rsidTr="00DA76AD">
        <w:trPr>
          <w:trHeight w:val="96"/>
        </w:trPr>
        <w:tc>
          <w:tcPr>
            <w:tcW w:w="2547" w:type="dxa"/>
            <w:vMerge/>
          </w:tcPr>
          <w:p w14:paraId="6D29040A" w14:textId="77777777" w:rsidR="0019642E" w:rsidRPr="00FA0CA9" w:rsidRDefault="0019642E" w:rsidP="0019642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19642E" w:rsidRPr="00FA0CA9" w:rsidRDefault="0019642E"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19642E" w:rsidRPr="00FA0CA9" w:rsidRDefault="0019642E"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6D218CFE" w:rsidR="0019642E" w:rsidRPr="00FA0CA9" w:rsidRDefault="0019642E"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1"/>
              <w14:checkedState w14:val="2612" w14:font="MS Gothic"/>
              <w14:uncheckedState w14:val="2610" w14:font="MS Gothic"/>
            </w14:checkbox>
          </w:sdtPr>
          <w:sdtEndPr/>
          <w:sdtContent>
            <w:tc>
              <w:tcPr>
                <w:tcW w:w="1516" w:type="dxa"/>
                <w:gridSpan w:val="2"/>
              </w:tcPr>
              <w:p w14:paraId="6D29040E" w14:textId="270BCE46" w:rsidR="0019642E" w:rsidRPr="00FA0CA9" w:rsidRDefault="0019642E" w:rsidP="0019642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19642E" w:rsidRPr="00034194" w14:paraId="6D290418" w14:textId="77777777" w:rsidTr="00DA76AD">
        <w:tc>
          <w:tcPr>
            <w:tcW w:w="2547" w:type="dxa"/>
          </w:tcPr>
          <w:p w14:paraId="6D290410" w14:textId="77777777" w:rsidR="0019642E" w:rsidRPr="00FA0CA9" w:rsidRDefault="0019642E" w:rsidP="0019642E">
            <w:pPr>
              <w:rPr>
                <w:rFonts w:ascii="Arial" w:hAnsi="Arial" w:cs="Arial"/>
                <w:b/>
                <w:sz w:val="24"/>
                <w:szCs w:val="24"/>
              </w:rPr>
            </w:pPr>
            <w:r w:rsidRPr="00FA0CA9">
              <w:rPr>
                <w:rFonts w:ascii="Arial" w:hAnsi="Arial" w:cs="Arial"/>
                <w:b/>
                <w:sz w:val="24"/>
                <w:szCs w:val="24"/>
              </w:rPr>
              <w:t>Recommendations</w:t>
            </w:r>
          </w:p>
          <w:p w14:paraId="6D290411" w14:textId="77777777" w:rsidR="0019642E" w:rsidRPr="00FA0CA9" w:rsidRDefault="0019642E" w:rsidP="0019642E">
            <w:pPr>
              <w:rPr>
                <w:rFonts w:ascii="Arial" w:hAnsi="Arial" w:cs="Arial"/>
                <w:b/>
                <w:sz w:val="24"/>
                <w:szCs w:val="24"/>
              </w:rPr>
            </w:pPr>
          </w:p>
        </w:tc>
        <w:tc>
          <w:tcPr>
            <w:tcW w:w="6469" w:type="dxa"/>
            <w:gridSpan w:val="6"/>
          </w:tcPr>
          <w:p w14:paraId="7F09B3CE" w14:textId="77777777" w:rsidR="0019642E" w:rsidRPr="007564A9" w:rsidRDefault="0019642E" w:rsidP="0019642E">
            <w:pPr>
              <w:ind w:right="96"/>
              <w:jc w:val="both"/>
              <w:rPr>
                <w:rFonts w:ascii="Arial" w:hAnsi="Arial" w:cs="Arial"/>
                <w:color w:val="000000" w:themeColor="text1"/>
                <w:sz w:val="24"/>
                <w:szCs w:val="24"/>
              </w:rPr>
            </w:pPr>
            <w:r w:rsidRPr="007564A9">
              <w:rPr>
                <w:rFonts w:ascii="Arial" w:hAnsi="Arial" w:cs="Arial"/>
                <w:color w:val="000000" w:themeColor="text1"/>
                <w:sz w:val="24"/>
                <w:szCs w:val="24"/>
              </w:rPr>
              <w:t>Members are asked to:</w:t>
            </w:r>
          </w:p>
          <w:p w14:paraId="3243D661" w14:textId="77777777" w:rsidR="0019642E" w:rsidRPr="007564A9" w:rsidRDefault="0019642E" w:rsidP="0019642E">
            <w:pPr>
              <w:pStyle w:val="Default"/>
              <w:numPr>
                <w:ilvl w:val="0"/>
                <w:numId w:val="12"/>
              </w:numPr>
              <w:jc w:val="both"/>
              <w:rPr>
                <w:rFonts w:ascii="Arial" w:hAnsi="Arial" w:cs="Arial"/>
                <w:color w:val="000000" w:themeColor="text1"/>
              </w:rPr>
            </w:pPr>
            <w:r w:rsidRPr="007564A9">
              <w:rPr>
                <w:rFonts w:ascii="Arial" w:hAnsi="Arial" w:cs="Arial"/>
                <w:b/>
                <w:bCs/>
                <w:color w:val="000000" w:themeColor="text1"/>
              </w:rPr>
              <w:t xml:space="preserve">NOTE </w:t>
            </w:r>
            <w:r w:rsidRPr="007564A9">
              <w:rPr>
                <w:rFonts w:ascii="Arial" w:hAnsi="Arial" w:cs="Arial"/>
                <w:color w:val="000000" w:themeColor="text1"/>
              </w:rPr>
              <w:t>the performance and backlog volumes in the main tumour sites.</w:t>
            </w:r>
          </w:p>
          <w:p w14:paraId="6F841A7B" w14:textId="77777777" w:rsidR="0019642E" w:rsidRPr="007564A9" w:rsidRDefault="0019642E" w:rsidP="0019642E">
            <w:pPr>
              <w:pStyle w:val="Default"/>
              <w:numPr>
                <w:ilvl w:val="0"/>
                <w:numId w:val="12"/>
              </w:numPr>
              <w:jc w:val="both"/>
              <w:rPr>
                <w:rFonts w:ascii="Arial" w:hAnsi="Arial" w:cs="Arial"/>
                <w:color w:val="000000" w:themeColor="text1"/>
              </w:rPr>
            </w:pPr>
            <w:r w:rsidRPr="007564A9">
              <w:rPr>
                <w:rFonts w:ascii="Arial" w:hAnsi="Arial" w:cs="Arial"/>
                <w:b/>
                <w:bCs/>
                <w:color w:val="000000" w:themeColor="text1"/>
              </w:rPr>
              <w:t xml:space="preserve">NOTE </w:t>
            </w:r>
            <w:r w:rsidRPr="007564A9">
              <w:rPr>
                <w:rFonts w:ascii="Arial" w:hAnsi="Arial" w:cs="Arial"/>
                <w:color w:val="000000" w:themeColor="text1"/>
              </w:rPr>
              <w:t>the additional work required to improve both performance and backlog.</w:t>
            </w:r>
          </w:p>
          <w:p w14:paraId="6D290417" w14:textId="77777777" w:rsidR="0019642E" w:rsidRPr="00FA0CA9" w:rsidRDefault="0019642E" w:rsidP="0019642E">
            <w:pPr>
              <w:pStyle w:val="Default"/>
              <w:rPr>
                <w:rFonts w:ascii="Arial" w:hAnsi="Arial" w:cs="Arial"/>
              </w:rPr>
            </w:pPr>
          </w:p>
        </w:tc>
      </w:tr>
    </w:tbl>
    <w:p w14:paraId="6D290419" w14:textId="77777777" w:rsidR="0020539A" w:rsidRDefault="0020539A"/>
    <w:p w14:paraId="6D29041A" w14:textId="2556C333" w:rsidR="00653AEC" w:rsidRDefault="0020539A" w:rsidP="00653AEC">
      <w:pPr>
        <w:spacing w:after="0" w:line="240" w:lineRule="auto"/>
        <w:jc w:val="center"/>
        <w:rPr>
          <w:rFonts w:ascii="Arial" w:hAnsi="Arial" w:cs="Arial"/>
          <w:b/>
          <w:sz w:val="24"/>
          <w:szCs w:val="24"/>
        </w:rPr>
      </w:pPr>
      <w:r>
        <w:br w:type="page"/>
      </w:r>
      <w:r w:rsidR="0019642E">
        <w:rPr>
          <w:rFonts w:ascii="Arial" w:hAnsi="Arial" w:cs="Arial"/>
          <w:b/>
          <w:sz w:val="24"/>
          <w:szCs w:val="24"/>
        </w:rPr>
        <w:lastRenderedPageBreak/>
        <w:t>CANCER PERFORMANCE UPDATE</w:t>
      </w:r>
    </w:p>
    <w:p w14:paraId="6D29041B" w14:textId="77777777" w:rsidR="00653AEC" w:rsidRPr="0072604C" w:rsidRDefault="00653AEC" w:rsidP="00653AEC">
      <w:pPr>
        <w:spacing w:after="0" w:line="240" w:lineRule="auto"/>
        <w:jc w:val="center"/>
        <w:rPr>
          <w:rFonts w:ascii="Arial" w:hAnsi="Arial" w:cs="Arial"/>
          <w:b/>
          <w:sz w:val="24"/>
          <w:szCs w:val="24"/>
        </w:rPr>
      </w:pPr>
    </w:p>
    <w:p w14:paraId="6D29041C"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INTRODUCTION</w:t>
      </w:r>
    </w:p>
    <w:p w14:paraId="10D245C4" w14:textId="77777777" w:rsidR="00095DB8" w:rsidRDefault="00095DB8" w:rsidP="00095DB8">
      <w:pPr>
        <w:jc w:val="both"/>
        <w:rPr>
          <w:rFonts w:ascii="Arial" w:hAnsi="Arial" w:cs="Arial"/>
          <w:color w:val="000000" w:themeColor="text1"/>
          <w:sz w:val="24"/>
          <w:szCs w:val="24"/>
        </w:rPr>
      </w:pPr>
      <w:r>
        <w:rPr>
          <w:rFonts w:ascii="Arial" w:hAnsi="Arial" w:cs="Arial"/>
          <w:color w:val="000000" w:themeColor="text1"/>
          <w:sz w:val="24"/>
          <w:szCs w:val="24"/>
        </w:rPr>
        <w:t xml:space="preserve">In October 2022 Welsh Government (WG) initiated the enhanced monitoring (EM) intervention process for the Health Board (HB) due to quality issues relating poor performance and long waiting times.  In January 2025 the HB was escalated to targeted intervention (TI) within several areas, including performance against the Suspected Cancer Pathway (SCP). The HB meets with WG TI on a monthly basis.  The areas of greatest focus both locally and nationally for improvement are:  </w:t>
      </w:r>
    </w:p>
    <w:p w14:paraId="6DCB1ECE" w14:textId="77777777" w:rsidR="00095DB8" w:rsidRDefault="00095DB8" w:rsidP="00095DB8">
      <w:pPr>
        <w:pStyle w:val="ListParagraph"/>
        <w:numPr>
          <w:ilvl w:val="0"/>
          <w:numId w:val="11"/>
        </w:numPr>
        <w:spacing w:after="0" w:line="240" w:lineRule="auto"/>
        <w:jc w:val="both"/>
        <w:rPr>
          <w:rFonts w:ascii="Arial" w:hAnsi="Arial" w:cs="Arial"/>
          <w:color w:val="000000" w:themeColor="text1"/>
          <w:sz w:val="24"/>
          <w:szCs w:val="24"/>
        </w:rPr>
      </w:pPr>
      <w:r w:rsidRPr="00DE78E2">
        <w:rPr>
          <w:rFonts w:ascii="Arial" w:hAnsi="Arial" w:cs="Arial"/>
          <w:color w:val="000000" w:themeColor="text1"/>
          <w:sz w:val="24"/>
          <w:szCs w:val="24"/>
        </w:rPr>
        <w:t>Lower Gastrointestinal</w:t>
      </w:r>
    </w:p>
    <w:p w14:paraId="2469C44A" w14:textId="77777777" w:rsidR="00095DB8" w:rsidRPr="00593190" w:rsidRDefault="00095DB8" w:rsidP="00095DB8">
      <w:pPr>
        <w:pStyle w:val="ListParagraph"/>
        <w:numPr>
          <w:ilvl w:val="0"/>
          <w:numId w:val="11"/>
        </w:numPr>
        <w:spacing w:after="0" w:line="240" w:lineRule="auto"/>
        <w:jc w:val="both"/>
        <w:rPr>
          <w:rFonts w:ascii="Arial" w:hAnsi="Arial" w:cs="Arial"/>
          <w:color w:val="000000" w:themeColor="text1"/>
          <w:sz w:val="24"/>
          <w:szCs w:val="24"/>
        </w:rPr>
      </w:pPr>
      <w:r w:rsidRPr="00593190">
        <w:rPr>
          <w:rFonts w:ascii="Arial" w:hAnsi="Arial" w:cs="Arial"/>
          <w:color w:val="000000" w:themeColor="text1"/>
          <w:sz w:val="24"/>
          <w:szCs w:val="24"/>
        </w:rPr>
        <w:t>Gynaecological</w:t>
      </w:r>
    </w:p>
    <w:p w14:paraId="089C23AD" w14:textId="77777777" w:rsidR="00095DB8" w:rsidRDefault="00095DB8" w:rsidP="00095DB8">
      <w:pPr>
        <w:pStyle w:val="ListParagraph"/>
        <w:numPr>
          <w:ilvl w:val="0"/>
          <w:numId w:val="11"/>
        </w:numPr>
        <w:jc w:val="both"/>
        <w:rPr>
          <w:rFonts w:ascii="Arial" w:hAnsi="Arial" w:cs="Arial"/>
          <w:color w:val="000000" w:themeColor="text1"/>
          <w:sz w:val="24"/>
          <w:szCs w:val="24"/>
        </w:rPr>
      </w:pPr>
      <w:r w:rsidRPr="00DE78E2">
        <w:rPr>
          <w:rFonts w:ascii="Arial" w:hAnsi="Arial" w:cs="Arial"/>
          <w:color w:val="000000" w:themeColor="text1"/>
          <w:sz w:val="24"/>
          <w:szCs w:val="24"/>
        </w:rPr>
        <w:t>Urological</w:t>
      </w:r>
    </w:p>
    <w:p w14:paraId="691160B0" w14:textId="77777777" w:rsidR="00095DB8" w:rsidRDefault="00095DB8" w:rsidP="00095DB8">
      <w:pPr>
        <w:jc w:val="both"/>
        <w:rPr>
          <w:rFonts w:ascii="Arial" w:hAnsi="Arial" w:cs="Arial"/>
          <w:color w:val="000000" w:themeColor="text1"/>
          <w:sz w:val="24"/>
          <w:szCs w:val="24"/>
        </w:rPr>
      </w:pPr>
      <w:r>
        <w:rPr>
          <w:rFonts w:ascii="Arial" w:hAnsi="Arial" w:cs="Arial"/>
          <w:color w:val="000000" w:themeColor="text1"/>
          <w:sz w:val="24"/>
          <w:szCs w:val="24"/>
        </w:rPr>
        <w:t>In addition, the HB has identified other key tumour sites for improvement, including:</w:t>
      </w:r>
    </w:p>
    <w:p w14:paraId="5AB72CA8" w14:textId="77777777" w:rsidR="00095DB8" w:rsidRDefault="00095DB8" w:rsidP="00095DB8">
      <w:pPr>
        <w:pStyle w:val="ListParagraph"/>
        <w:numPr>
          <w:ilvl w:val="0"/>
          <w:numId w:val="22"/>
        </w:numPr>
        <w:ind w:left="426"/>
        <w:jc w:val="both"/>
        <w:rPr>
          <w:rFonts w:ascii="Arial" w:hAnsi="Arial" w:cs="Arial"/>
          <w:color w:val="000000" w:themeColor="text1"/>
          <w:sz w:val="24"/>
          <w:szCs w:val="24"/>
        </w:rPr>
      </w:pPr>
      <w:r w:rsidRPr="00970AB6">
        <w:rPr>
          <w:rFonts w:ascii="Arial" w:hAnsi="Arial" w:cs="Arial"/>
          <w:color w:val="000000" w:themeColor="text1"/>
          <w:sz w:val="24"/>
          <w:szCs w:val="24"/>
        </w:rPr>
        <w:t>Lung</w:t>
      </w:r>
    </w:p>
    <w:p w14:paraId="40391860" w14:textId="77777777" w:rsidR="00095DB8" w:rsidRDefault="00095DB8" w:rsidP="00095DB8">
      <w:pPr>
        <w:pStyle w:val="ListParagraph"/>
        <w:numPr>
          <w:ilvl w:val="0"/>
          <w:numId w:val="22"/>
        </w:numPr>
        <w:ind w:left="426"/>
        <w:jc w:val="both"/>
        <w:rPr>
          <w:rFonts w:ascii="Arial" w:hAnsi="Arial" w:cs="Arial"/>
          <w:color w:val="000000" w:themeColor="text1"/>
          <w:sz w:val="24"/>
          <w:szCs w:val="24"/>
        </w:rPr>
      </w:pPr>
      <w:r w:rsidRPr="00970AB6">
        <w:rPr>
          <w:rFonts w:ascii="Arial" w:hAnsi="Arial" w:cs="Arial"/>
          <w:color w:val="000000" w:themeColor="text1"/>
          <w:sz w:val="24"/>
          <w:szCs w:val="24"/>
        </w:rPr>
        <w:t>Upper Gastrointestinal</w:t>
      </w:r>
    </w:p>
    <w:p w14:paraId="6968F191" w14:textId="77777777" w:rsidR="00095DB8" w:rsidRDefault="00095DB8" w:rsidP="00095DB8">
      <w:pPr>
        <w:pStyle w:val="ListParagraph"/>
        <w:numPr>
          <w:ilvl w:val="0"/>
          <w:numId w:val="22"/>
        </w:numPr>
        <w:ind w:left="426"/>
        <w:jc w:val="both"/>
        <w:rPr>
          <w:rFonts w:ascii="Arial" w:hAnsi="Arial" w:cs="Arial"/>
          <w:color w:val="000000" w:themeColor="text1"/>
          <w:sz w:val="24"/>
          <w:szCs w:val="24"/>
        </w:rPr>
      </w:pPr>
      <w:r w:rsidRPr="00970AB6">
        <w:rPr>
          <w:rFonts w:ascii="Arial" w:hAnsi="Arial" w:cs="Arial"/>
          <w:color w:val="000000" w:themeColor="text1"/>
          <w:sz w:val="24"/>
          <w:szCs w:val="24"/>
        </w:rPr>
        <w:t xml:space="preserve">Breast </w:t>
      </w:r>
    </w:p>
    <w:p w14:paraId="7A082795" w14:textId="77777777" w:rsidR="00095DB8" w:rsidRDefault="00095DB8" w:rsidP="00095DB8">
      <w:pPr>
        <w:pStyle w:val="ListParagraph"/>
        <w:numPr>
          <w:ilvl w:val="0"/>
          <w:numId w:val="22"/>
        </w:numPr>
        <w:ind w:left="426"/>
        <w:jc w:val="both"/>
        <w:rPr>
          <w:rFonts w:ascii="Arial" w:hAnsi="Arial" w:cs="Arial"/>
          <w:color w:val="000000" w:themeColor="text1"/>
          <w:sz w:val="24"/>
          <w:szCs w:val="24"/>
        </w:rPr>
      </w:pPr>
      <w:r w:rsidRPr="00970AB6">
        <w:rPr>
          <w:rFonts w:ascii="Arial" w:hAnsi="Arial" w:cs="Arial"/>
          <w:color w:val="000000" w:themeColor="text1"/>
          <w:sz w:val="24"/>
          <w:szCs w:val="24"/>
        </w:rPr>
        <w:t>Skin</w:t>
      </w:r>
    </w:p>
    <w:p w14:paraId="25E36C27" w14:textId="32611D74" w:rsidR="00095DB8" w:rsidRDefault="00095DB8" w:rsidP="00095DB8">
      <w:pPr>
        <w:jc w:val="both"/>
        <w:rPr>
          <w:rFonts w:ascii="Arial" w:hAnsi="Arial" w:cs="Arial"/>
          <w:color w:val="000000" w:themeColor="text1"/>
          <w:sz w:val="24"/>
          <w:szCs w:val="24"/>
        </w:rPr>
      </w:pPr>
      <w:r>
        <w:rPr>
          <w:rFonts w:ascii="Arial" w:hAnsi="Arial" w:cs="Arial"/>
          <w:color w:val="000000" w:themeColor="text1"/>
          <w:sz w:val="24"/>
          <w:szCs w:val="24"/>
        </w:rPr>
        <w:t>Whilst S</w:t>
      </w:r>
      <w:r w:rsidRPr="00970AB6">
        <w:rPr>
          <w:rFonts w:ascii="Arial" w:hAnsi="Arial" w:cs="Arial"/>
          <w:color w:val="000000" w:themeColor="text1"/>
          <w:sz w:val="24"/>
          <w:szCs w:val="24"/>
        </w:rPr>
        <w:t>kin performs well against the target, meeting the 75% compliance target</w:t>
      </w:r>
      <w:r>
        <w:rPr>
          <w:rFonts w:ascii="Arial" w:hAnsi="Arial" w:cs="Arial"/>
          <w:color w:val="000000" w:themeColor="text1"/>
          <w:sz w:val="24"/>
          <w:szCs w:val="24"/>
        </w:rPr>
        <w:t>;</w:t>
      </w:r>
      <w:r w:rsidRPr="00970AB6">
        <w:rPr>
          <w:rFonts w:ascii="Arial" w:hAnsi="Arial" w:cs="Arial"/>
          <w:color w:val="000000" w:themeColor="text1"/>
          <w:sz w:val="24"/>
          <w:szCs w:val="24"/>
        </w:rPr>
        <w:t xml:space="preserve"> as a high</w:t>
      </w:r>
      <w:r w:rsidR="009719C7">
        <w:rPr>
          <w:rFonts w:ascii="Arial" w:hAnsi="Arial" w:cs="Arial"/>
          <w:color w:val="000000" w:themeColor="text1"/>
          <w:sz w:val="24"/>
          <w:szCs w:val="24"/>
        </w:rPr>
        <w:t>-</w:t>
      </w:r>
      <w:r w:rsidRPr="00970AB6">
        <w:rPr>
          <w:rFonts w:ascii="Arial" w:hAnsi="Arial" w:cs="Arial"/>
          <w:color w:val="000000" w:themeColor="text1"/>
          <w:sz w:val="24"/>
          <w:szCs w:val="24"/>
        </w:rPr>
        <w:t>volume tumour site</w:t>
      </w:r>
      <w:r w:rsidR="00306F8C">
        <w:rPr>
          <w:rFonts w:ascii="Arial" w:hAnsi="Arial" w:cs="Arial"/>
          <w:color w:val="000000" w:themeColor="text1"/>
          <w:sz w:val="24"/>
          <w:szCs w:val="24"/>
        </w:rPr>
        <w:t xml:space="preserve"> nay improvement or deterioration of the position will imp</w:t>
      </w:r>
      <w:r w:rsidR="00CA25C9">
        <w:rPr>
          <w:rFonts w:ascii="Arial" w:hAnsi="Arial" w:cs="Arial"/>
          <w:color w:val="000000" w:themeColor="text1"/>
          <w:sz w:val="24"/>
          <w:szCs w:val="24"/>
        </w:rPr>
        <w:t xml:space="preserve">act significantly on </w:t>
      </w:r>
      <w:r w:rsidRPr="00970AB6">
        <w:rPr>
          <w:rFonts w:ascii="Arial" w:hAnsi="Arial" w:cs="Arial"/>
          <w:color w:val="000000" w:themeColor="text1"/>
          <w:sz w:val="24"/>
          <w:szCs w:val="24"/>
        </w:rPr>
        <w:t xml:space="preserve">the HB’s performance.  </w:t>
      </w:r>
    </w:p>
    <w:p w14:paraId="20B8D2BC" w14:textId="4A939E27" w:rsidR="00095DB8" w:rsidRPr="00970AB6" w:rsidRDefault="00095DB8" w:rsidP="00095DB8">
      <w:pPr>
        <w:jc w:val="both"/>
        <w:rPr>
          <w:rFonts w:ascii="Arial" w:hAnsi="Arial" w:cs="Arial"/>
          <w:color w:val="000000" w:themeColor="text1"/>
          <w:sz w:val="24"/>
          <w:szCs w:val="24"/>
        </w:rPr>
      </w:pPr>
      <w:r>
        <w:rPr>
          <w:rFonts w:ascii="Arial" w:hAnsi="Arial" w:cs="Arial"/>
          <w:color w:val="000000" w:themeColor="text1"/>
          <w:sz w:val="24"/>
          <w:szCs w:val="24"/>
        </w:rPr>
        <w:t>In order to be de-escalated from TI, 60% of patients must be treated within 62 days for three consecutive months</w:t>
      </w:r>
      <w:r w:rsidR="00CA25C9">
        <w:rPr>
          <w:rFonts w:ascii="Arial" w:hAnsi="Arial" w:cs="Arial"/>
          <w:color w:val="000000" w:themeColor="text1"/>
          <w:sz w:val="24"/>
          <w:szCs w:val="24"/>
        </w:rPr>
        <w:t xml:space="preserve"> and a target </w:t>
      </w:r>
      <w:r w:rsidR="00C541CF">
        <w:rPr>
          <w:rFonts w:ascii="Arial" w:hAnsi="Arial" w:cs="Arial"/>
          <w:color w:val="000000" w:themeColor="text1"/>
          <w:sz w:val="24"/>
          <w:szCs w:val="24"/>
        </w:rPr>
        <w:t>of June 2024 has been set to achieve this target.</w:t>
      </w:r>
    </w:p>
    <w:p w14:paraId="22400CCD" w14:textId="77777777" w:rsidR="0019642E" w:rsidRPr="0019642E" w:rsidRDefault="0019642E" w:rsidP="0019642E">
      <w:pPr>
        <w:pStyle w:val="ListParagraph"/>
        <w:spacing w:after="0" w:line="240" w:lineRule="auto"/>
        <w:ind w:left="360"/>
        <w:jc w:val="both"/>
        <w:rPr>
          <w:rFonts w:ascii="Arial" w:hAnsi="Arial" w:cs="Arial"/>
          <w:b/>
          <w:sz w:val="24"/>
          <w:szCs w:val="24"/>
        </w:rPr>
      </w:pPr>
    </w:p>
    <w:p w14:paraId="19ACF9E9" w14:textId="2C4A64A2" w:rsidR="0019642E" w:rsidRPr="00C541CF" w:rsidRDefault="00653AEC" w:rsidP="00C541CF">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BACKGROUND</w:t>
      </w:r>
    </w:p>
    <w:p w14:paraId="6F618592" w14:textId="2D510EAE"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The HB monitors two primary metrics for the single cancer pathway:</w:t>
      </w:r>
    </w:p>
    <w:p w14:paraId="0B4E2881" w14:textId="77777777" w:rsidR="0019642E" w:rsidRDefault="0019642E" w:rsidP="0019642E">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 Performance within the 62-day target</w:t>
      </w:r>
    </w:p>
    <w:p w14:paraId="6D290420" w14:textId="18928118" w:rsidR="00653AEC" w:rsidRPr="0019642E" w:rsidRDefault="0019642E" w:rsidP="00653AEC">
      <w:pPr>
        <w:pStyle w:val="ListParagraph"/>
        <w:numPr>
          <w:ilvl w:val="0"/>
          <w:numId w:val="13"/>
        </w:numPr>
        <w:spacing w:after="0" w:line="240" w:lineRule="auto"/>
        <w:jc w:val="both"/>
        <w:rPr>
          <w:rFonts w:ascii="Arial" w:hAnsi="Arial" w:cs="Arial"/>
          <w:bCs/>
          <w:sz w:val="24"/>
          <w:szCs w:val="24"/>
        </w:rPr>
      </w:pPr>
      <w:r>
        <w:rPr>
          <w:rFonts w:ascii="Arial" w:hAnsi="Arial" w:cs="Arial"/>
          <w:bCs/>
          <w:sz w:val="24"/>
          <w:szCs w:val="24"/>
        </w:rPr>
        <w:t>Backlog volumes (patients waiting over 62 days)</w:t>
      </w:r>
    </w:p>
    <w:p w14:paraId="44048110" w14:textId="77777777" w:rsidR="00C541CF" w:rsidRDefault="00C541CF" w:rsidP="0019642E">
      <w:pPr>
        <w:spacing w:after="0" w:line="240" w:lineRule="auto"/>
        <w:jc w:val="both"/>
        <w:rPr>
          <w:rFonts w:ascii="Arial" w:hAnsi="Arial" w:cs="Arial"/>
          <w:b/>
          <w:sz w:val="24"/>
          <w:szCs w:val="24"/>
        </w:rPr>
      </w:pPr>
    </w:p>
    <w:p w14:paraId="697C0024" w14:textId="410FA507" w:rsidR="0019642E" w:rsidRPr="00856987" w:rsidRDefault="0019642E" w:rsidP="0019642E">
      <w:pPr>
        <w:spacing w:after="0" w:line="240" w:lineRule="auto"/>
        <w:jc w:val="both"/>
        <w:rPr>
          <w:rFonts w:ascii="Arial" w:hAnsi="Arial" w:cs="Arial"/>
          <w:b/>
          <w:sz w:val="24"/>
          <w:szCs w:val="24"/>
        </w:rPr>
      </w:pPr>
      <w:r w:rsidRPr="00856987">
        <w:rPr>
          <w:rFonts w:ascii="Arial" w:hAnsi="Arial" w:cs="Arial"/>
          <w:b/>
          <w:sz w:val="24"/>
          <w:szCs w:val="24"/>
        </w:rPr>
        <w:t>Performance 202</w:t>
      </w:r>
      <w:r>
        <w:rPr>
          <w:rFonts w:ascii="Arial" w:hAnsi="Arial" w:cs="Arial"/>
          <w:b/>
          <w:sz w:val="24"/>
          <w:szCs w:val="24"/>
        </w:rPr>
        <w:t>3/24</w:t>
      </w:r>
    </w:p>
    <w:p w14:paraId="551E4B48" w14:textId="52E82C57" w:rsidR="0019642E" w:rsidRDefault="0019642E" w:rsidP="0019642E">
      <w:pPr>
        <w:spacing w:after="0" w:line="240" w:lineRule="auto"/>
        <w:jc w:val="both"/>
        <w:rPr>
          <w:rFonts w:ascii="Arial" w:hAnsi="Arial" w:cs="Arial"/>
          <w:bCs/>
          <w:sz w:val="24"/>
          <w:szCs w:val="24"/>
        </w:rPr>
      </w:pPr>
      <w:r>
        <w:rPr>
          <w:noProof/>
        </w:rPr>
        <w:drawing>
          <wp:inline distT="0" distB="0" distL="0" distR="0" wp14:anchorId="2FF9D8B4" wp14:editId="4BCE9EDC">
            <wp:extent cx="5731510" cy="2358949"/>
            <wp:effectExtent l="0" t="0" r="2540" b="3810"/>
            <wp:docPr id="4" name="Chart 4">
              <a:extLst xmlns:a="http://schemas.openxmlformats.org/drawingml/2006/main">
                <a:ext uri="{FF2B5EF4-FFF2-40B4-BE49-F238E27FC236}">
                  <a16:creationId xmlns:a16="http://schemas.microsoft.com/office/drawing/2014/main" id="{AAD0ABED-38BA-4838-A5DB-2337ECB8904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63AD9B5" w14:textId="055DC08F" w:rsidR="0019642E" w:rsidRDefault="0019642E" w:rsidP="0019642E">
      <w:pPr>
        <w:spacing w:after="0" w:line="240" w:lineRule="auto"/>
        <w:jc w:val="right"/>
        <w:rPr>
          <w:rFonts w:ascii="Arial" w:hAnsi="Arial" w:cs="Arial"/>
          <w:bCs/>
          <w:sz w:val="16"/>
          <w:szCs w:val="16"/>
        </w:rPr>
      </w:pPr>
      <w:r>
        <w:rPr>
          <w:rFonts w:ascii="Arial" w:hAnsi="Arial" w:cs="Arial"/>
          <w:bCs/>
          <w:sz w:val="16"/>
          <w:szCs w:val="16"/>
        </w:rPr>
        <w:t>Graph 1 – SCP Performance 23-24</w:t>
      </w:r>
    </w:p>
    <w:p w14:paraId="1ABEB259" w14:textId="77777777" w:rsidR="0019642E" w:rsidRDefault="0019642E" w:rsidP="0019642E">
      <w:pPr>
        <w:spacing w:after="0" w:line="240" w:lineRule="auto"/>
        <w:jc w:val="both"/>
        <w:rPr>
          <w:rFonts w:ascii="Arial" w:hAnsi="Arial" w:cs="Arial"/>
          <w:bCs/>
          <w:sz w:val="24"/>
          <w:szCs w:val="24"/>
        </w:rPr>
      </w:pPr>
    </w:p>
    <w:p w14:paraId="03BF7A9B" w14:textId="77777777" w:rsidR="0019642E" w:rsidRPr="0036330B" w:rsidRDefault="0019642E" w:rsidP="0019642E">
      <w:pPr>
        <w:spacing w:after="0" w:line="240" w:lineRule="auto"/>
        <w:jc w:val="both"/>
        <w:rPr>
          <w:rFonts w:ascii="Arial" w:hAnsi="Arial" w:cs="Arial"/>
          <w:bCs/>
          <w:sz w:val="24"/>
          <w:szCs w:val="24"/>
        </w:rPr>
      </w:pPr>
    </w:p>
    <w:p w14:paraId="66BD6622" w14:textId="77777777" w:rsidR="0019642E" w:rsidRDefault="0019642E" w:rsidP="0019642E">
      <w:pPr>
        <w:spacing w:after="0" w:line="240" w:lineRule="auto"/>
        <w:jc w:val="both"/>
        <w:rPr>
          <w:rFonts w:ascii="Arial" w:hAnsi="Arial" w:cs="Arial"/>
          <w:bCs/>
          <w:sz w:val="24"/>
          <w:szCs w:val="24"/>
        </w:rPr>
      </w:pPr>
      <w:r w:rsidRPr="0036330B">
        <w:rPr>
          <w:rFonts w:ascii="Arial" w:hAnsi="Arial" w:cs="Arial"/>
          <w:bCs/>
          <w:sz w:val="24"/>
          <w:szCs w:val="24"/>
        </w:rPr>
        <w:t xml:space="preserve">The graph above shows the HB’s SCP performance over the last 13 months.  It represents the patients receiving first definitive treatment (FDT) within the 62-day target against the target of 75%.  </w:t>
      </w:r>
      <w:r>
        <w:rPr>
          <w:rFonts w:ascii="Arial" w:hAnsi="Arial" w:cs="Arial"/>
          <w:bCs/>
          <w:sz w:val="24"/>
          <w:szCs w:val="24"/>
        </w:rPr>
        <w:t>Performance was maintained at 56%; t</w:t>
      </w:r>
      <w:r w:rsidRPr="00F170D5">
        <w:rPr>
          <w:rFonts w:ascii="Arial" w:hAnsi="Arial" w:cs="Arial"/>
          <w:bCs/>
          <w:sz w:val="24"/>
          <w:szCs w:val="24"/>
        </w:rPr>
        <w:t xml:space="preserve">he volume of patients treated in month </w:t>
      </w:r>
      <w:r>
        <w:rPr>
          <w:rFonts w:ascii="Arial" w:hAnsi="Arial" w:cs="Arial"/>
          <w:bCs/>
          <w:sz w:val="24"/>
          <w:szCs w:val="24"/>
        </w:rPr>
        <w:t>was again below average, however comparable with April 2022 and 2023.  Fewer breaches were reported in April, the lowest since May 2023.</w:t>
      </w:r>
      <w:r w:rsidRPr="00F170D5">
        <w:rPr>
          <w:rFonts w:ascii="Arial" w:hAnsi="Arial" w:cs="Arial"/>
          <w:bCs/>
          <w:sz w:val="24"/>
          <w:szCs w:val="24"/>
        </w:rPr>
        <w:t xml:space="preserve">    </w:t>
      </w:r>
    </w:p>
    <w:p w14:paraId="7C97282C" w14:textId="320E1958" w:rsidR="0019642E" w:rsidRPr="0036330B" w:rsidRDefault="0019642E" w:rsidP="0019642E">
      <w:pPr>
        <w:spacing w:after="0" w:line="240" w:lineRule="auto"/>
        <w:jc w:val="both"/>
        <w:rPr>
          <w:rFonts w:ascii="Arial" w:hAnsi="Arial" w:cs="Arial"/>
          <w:bCs/>
          <w:sz w:val="24"/>
          <w:szCs w:val="24"/>
        </w:rPr>
      </w:pPr>
      <w:r w:rsidRPr="0036330B">
        <w:rPr>
          <w:rFonts w:ascii="Arial" w:hAnsi="Arial" w:cs="Arial"/>
          <w:bCs/>
          <w:sz w:val="24"/>
          <w:szCs w:val="24"/>
        </w:rPr>
        <w:t xml:space="preserve">. </w:t>
      </w:r>
      <w:r>
        <w:rPr>
          <w:rFonts w:ascii="Arial" w:hAnsi="Arial" w:cs="Arial"/>
          <w:bCs/>
          <w:sz w:val="24"/>
          <w:szCs w:val="24"/>
        </w:rPr>
        <w:tab/>
      </w:r>
    </w:p>
    <w:tbl>
      <w:tblPr>
        <w:tblW w:w="9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76"/>
        <w:gridCol w:w="983"/>
        <w:gridCol w:w="1205"/>
        <w:gridCol w:w="1047"/>
        <w:gridCol w:w="1595"/>
        <w:gridCol w:w="983"/>
        <w:gridCol w:w="983"/>
        <w:gridCol w:w="1047"/>
      </w:tblGrid>
      <w:tr w:rsidR="0019642E" w:rsidRPr="005F21C8" w14:paraId="66891B7F" w14:textId="77777777" w:rsidTr="005F5F0D">
        <w:trPr>
          <w:trHeight w:val="1125"/>
        </w:trPr>
        <w:tc>
          <w:tcPr>
            <w:tcW w:w="1776" w:type="dxa"/>
            <w:shd w:val="clear" w:color="000000" w:fill="808080"/>
            <w:hideMark/>
          </w:tcPr>
          <w:p w14:paraId="4C09C204"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Tumour Site</w:t>
            </w:r>
          </w:p>
        </w:tc>
        <w:tc>
          <w:tcPr>
            <w:tcW w:w="983" w:type="dxa"/>
            <w:shd w:val="clear" w:color="000000" w:fill="808080"/>
            <w:hideMark/>
          </w:tcPr>
          <w:p w14:paraId="2D64E43A"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Total No. of patients treated</w:t>
            </w:r>
          </w:p>
        </w:tc>
        <w:tc>
          <w:tcPr>
            <w:tcW w:w="1205" w:type="dxa"/>
            <w:shd w:val="clear" w:color="000000" w:fill="808080"/>
            <w:hideMark/>
          </w:tcPr>
          <w:p w14:paraId="12945792"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No. of patients treated within target</w:t>
            </w:r>
          </w:p>
        </w:tc>
        <w:tc>
          <w:tcPr>
            <w:tcW w:w="1047" w:type="dxa"/>
            <w:shd w:val="clear" w:color="000000" w:fill="808080"/>
            <w:hideMark/>
          </w:tcPr>
          <w:p w14:paraId="5FF02EFD"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w:t>
            </w:r>
          </w:p>
        </w:tc>
        <w:tc>
          <w:tcPr>
            <w:tcW w:w="1595" w:type="dxa"/>
            <w:shd w:val="clear" w:color="000000" w:fill="808080"/>
          </w:tcPr>
          <w:p w14:paraId="1C478D88"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Tumour Site</w:t>
            </w:r>
          </w:p>
        </w:tc>
        <w:tc>
          <w:tcPr>
            <w:tcW w:w="983" w:type="dxa"/>
            <w:shd w:val="clear" w:color="000000" w:fill="808080"/>
          </w:tcPr>
          <w:p w14:paraId="000D6A49"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Total No. of patients treated</w:t>
            </w:r>
          </w:p>
        </w:tc>
        <w:tc>
          <w:tcPr>
            <w:tcW w:w="983" w:type="dxa"/>
            <w:shd w:val="clear" w:color="000000" w:fill="808080"/>
          </w:tcPr>
          <w:p w14:paraId="1DB317C3"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No. of patients treated within target</w:t>
            </w:r>
          </w:p>
        </w:tc>
        <w:tc>
          <w:tcPr>
            <w:tcW w:w="1047" w:type="dxa"/>
            <w:shd w:val="clear" w:color="000000" w:fill="808080"/>
          </w:tcPr>
          <w:p w14:paraId="7AA351E1" w14:textId="77777777" w:rsidR="0019642E" w:rsidRPr="005F21C8" w:rsidRDefault="0019642E" w:rsidP="005F5F0D">
            <w:pPr>
              <w:spacing w:after="0" w:line="240" w:lineRule="auto"/>
              <w:jc w:val="right"/>
              <w:rPr>
                <w:rFonts w:ascii="Arial" w:eastAsia="Times New Roman" w:hAnsi="Arial" w:cs="Arial"/>
                <w:b/>
                <w:bCs/>
                <w:sz w:val="20"/>
                <w:szCs w:val="20"/>
                <w:lang w:eastAsia="en-GB"/>
              </w:rPr>
            </w:pPr>
            <w:r w:rsidRPr="005F21C8">
              <w:rPr>
                <w:rFonts w:ascii="Arial" w:eastAsia="Times New Roman" w:hAnsi="Arial" w:cs="Arial"/>
                <w:b/>
                <w:bCs/>
                <w:sz w:val="20"/>
                <w:szCs w:val="20"/>
                <w:lang w:eastAsia="en-GB"/>
              </w:rPr>
              <w:t>%</w:t>
            </w:r>
          </w:p>
        </w:tc>
      </w:tr>
      <w:tr w:rsidR="0019642E" w:rsidRPr="003F6738" w14:paraId="169A0874" w14:textId="77777777" w:rsidTr="005F5F0D">
        <w:trPr>
          <w:trHeight w:val="300"/>
        </w:trPr>
        <w:tc>
          <w:tcPr>
            <w:tcW w:w="1776" w:type="dxa"/>
            <w:shd w:val="clear" w:color="000000" w:fill="FFFFFF"/>
            <w:noWrap/>
            <w:hideMark/>
          </w:tcPr>
          <w:p w14:paraId="34F0D398" w14:textId="77777777" w:rsidR="0019642E" w:rsidRPr="00630FC6" w:rsidRDefault="0019642E" w:rsidP="005F5F0D">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Head and neck</w:t>
            </w:r>
          </w:p>
        </w:tc>
        <w:tc>
          <w:tcPr>
            <w:tcW w:w="983" w:type="dxa"/>
            <w:shd w:val="clear" w:color="auto" w:fill="auto"/>
            <w:noWrap/>
            <w:vAlign w:val="bottom"/>
            <w:hideMark/>
          </w:tcPr>
          <w:p w14:paraId="15F23CBF"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14</w:t>
            </w:r>
          </w:p>
        </w:tc>
        <w:tc>
          <w:tcPr>
            <w:tcW w:w="1205" w:type="dxa"/>
            <w:shd w:val="clear" w:color="000000" w:fill="FFFFFF"/>
            <w:noWrap/>
            <w:vAlign w:val="bottom"/>
            <w:hideMark/>
          </w:tcPr>
          <w:p w14:paraId="09112CA7"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7</w:t>
            </w:r>
          </w:p>
        </w:tc>
        <w:tc>
          <w:tcPr>
            <w:tcW w:w="1047" w:type="dxa"/>
            <w:shd w:val="clear" w:color="auto" w:fill="auto"/>
            <w:noWrap/>
            <w:vAlign w:val="bottom"/>
            <w:hideMark/>
          </w:tcPr>
          <w:p w14:paraId="72EABE29" w14:textId="77777777" w:rsidR="0019642E" w:rsidRPr="00630FC6" w:rsidRDefault="0019642E" w:rsidP="005F5F0D">
            <w:pPr>
              <w:spacing w:after="0" w:line="240" w:lineRule="auto"/>
              <w:ind w:firstLineChars="100" w:firstLine="200"/>
              <w:jc w:val="right"/>
              <w:rPr>
                <w:rFonts w:ascii="Arial" w:hAnsi="Arial" w:cs="Arial"/>
                <w:color w:val="FF0000"/>
                <w:sz w:val="20"/>
                <w:szCs w:val="20"/>
              </w:rPr>
            </w:pPr>
            <w:r w:rsidRPr="00630FC6">
              <w:rPr>
                <w:rFonts w:ascii="Arial" w:hAnsi="Arial" w:cs="Arial"/>
                <w:color w:val="FF0000"/>
                <w:sz w:val="20"/>
                <w:szCs w:val="20"/>
              </w:rPr>
              <w:t>50%</w:t>
            </w:r>
          </w:p>
        </w:tc>
        <w:tc>
          <w:tcPr>
            <w:tcW w:w="1595" w:type="dxa"/>
          </w:tcPr>
          <w:p w14:paraId="328E0D47" w14:textId="77777777" w:rsidR="0019642E" w:rsidRPr="00630FC6" w:rsidRDefault="0019642E" w:rsidP="005F5F0D">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Breast</w:t>
            </w:r>
          </w:p>
        </w:tc>
        <w:tc>
          <w:tcPr>
            <w:tcW w:w="983" w:type="dxa"/>
            <w:shd w:val="clear" w:color="auto" w:fill="auto"/>
            <w:vAlign w:val="bottom"/>
          </w:tcPr>
          <w:p w14:paraId="0EA0234E"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36</w:t>
            </w:r>
          </w:p>
        </w:tc>
        <w:tc>
          <w:tcPr>
            <w:tcW w:w="983" w:type="dxa"/>
            <w:shd w:val="clear" w:color="000000" w:fill="FFFFFF"/>
            <w:vAlign w:val="bottom"/>
          </w:tcPr>
          <w:p w14:paraId="307717E4"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14</w:t>
            </w:r>
          </w:p>
        </w:tc>
        <w:tc>
          <w:tcPr>
            <w:tcW w:w="1047" w:type="dxa"/>
            <w:shd w:val="clear" w:color="auto" w:fill="auto"/>
            <w:vAlign w:val="bottom"/>
          </w:tcPr>
          <w:p w14:paraId="63DC5447" w14:textId="77777777" w:rsidR="0019642E" w:rsidRPr="00630FC6" w:rsidRDefault="0019642E" w:rsidP="005F5F0D">
            <w:pPr>
              <w:spacing w:after="0" w:line="240" w:lineRule="auto"/>
              <w:ind w:firstLineChars="100" w:firstLine="200"/>
              <w:jc w:val="right"/>
              <w:rPr>
                <w:rFonts w:ascii="Arial" w:hAnsi="Arial" w:cs="Arial"/>
                <w:color w:val="FF0000"/>
                <w:sz w:val="20"/>
                <w:szCs w:val="20"/>
              </w:rPr>
            </w:pPr>
            <w:r w:rsidRPr="00630FC6">
              <w:rPr>
                <w:rFonts w:ascii="Arial" w:hAnsi="Arial" w:cs="Arial"/>
                <w:color w:val="FF0000"/>
                <w:sz w:val="20"/>
                <w:szCs w:val="20"/>
              </w:rPr>
              <w:t>39%</w:t>
            </w:r>
          </w:p>
        </w:tc>
      </w:tr>
      <w:tr w:rsidR="0019642E" w:rsidRPr="003F6738" w14:paraId="44E1000A" w14:textId="77777777" w:rsidTr="005F5F0D">
        <w:trPr>
          <w:trHeight w:val="300"/>
        </w:trPr>
        <w:tc>
          <w:tcPr>
            <w:tcW w:w="1776" w:type="dxa"/>
            <w:shd w:val="clear" w:color="000000" w:fill="FFFFFF"/>
            <w:noWrap/>
            <w:hideMark/>
          </w:tcPr>
          <w:p w14:paraId="2E4309C2" w14:textId="77777777" w:rsidR="0019642E" w:rsidRPr="00630FC6" w:rsidRDefault="0019642E" w:rsidP="005F5F0D">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Upper GI</w:t>
            </w:r>
          </w:p>
        </w:tc>
        <w:tc>
          <w:tcPr>
            <w:tcW w:w="983" w:type="dxa"/>
            <w:shd w:val="clear" w:color="auto" w:fill="auto"/>
            <w:noWrap/>
            <w:vAlign w:val="bottom"/>
            <w:hideMark/>
          </w:tcPr>
          <w:p w14:paraId="5CDA131E"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14</w:t>
            </w:r>
          </w:p>
        </w:tc>
        <w:tc>
          <w:tcPr>
            <w:tcW w:w="1205" w:type="dxa"/>
            <w:shd w:val="clear" w:color="000000" w:fill="FFFFFF"/>
            <w:noWrap/>
            <w:vAlign w:val="bottom"/>
            <w:hideMark/>
          </w:tcPr>
          <w:p w14:paraId="351C5638"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9</w:t>
            </w:r>
          </w:p>
        </w:tc>
        <w:tc>
          <w:tcPr>
            <w:tcW w:w="1047" w:type="dxa"/>
            <w:shd w:val="clear" w:color="auto" w:fill="auto"/>
            <w:noWrap/>
            <w:vAlign w:val="bottom"/>
            <w:hideMark/>
          </w:tcPr>
          <w:p w14:paraId="1B246089" w14:textId="77777777" w:rsidR="0019642E" w:rsidRPr="00630FC6" w:rsidRDefault="0019642E" w:rsidP="005F5F0D">
            <w:pPr>
              <w:spacing w:after="0" w:line="240" w:lineRule="auto"/>
              <w:ind w:firstLineChars="100" w:firstLine="200"/>
              <w:jc w:val="right"/>
              <w:rPr>
                <w:rFonts w:ascii="Arial" w:hAnsi="Arial" w:cs="Arial"/>
                <w:color w:val="FF0000"/>
                <w:sz w:val="20"/>
                <w:szCs w:val="20"/>
              </w:rPr>
            </w:pPr>
            <w:r w:rsidRPr="00630FC6">
              <w:rPr>
                <w:rFonts w:ascii="Arial" w:hAnsi="Arial" w:cs="Arial"/>
                <w:color w:val="FF0000"/>
                <w:sz w:val="20"/>
                <w:szCs w:val="20"/>
              </w:rPr>
              <w:t>64%</w:t>
            </w:r>
          </w:p>
        </w:tc>
        <w:tc>
          <w:tcPr>
            <w:tcW w:w="1595" w:type="dxa"/>
          </w:tcPr>
          <w:p w14:paraId="5D983877" w14:textId="77777777" w:rsidR="0019642E" w:rsidRPr="00630FC6" w:rsidRDefault="0019642E" w:rsidP="005F5F0D">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Gynaecological</w:t>
            </w:r>
          </w:p>
        </w:tc>
        <w:tc>
          <w:tcPr>
            <w:tcW w:w="983" w:type="dxa"/>
            <w:shd w:val="clear" w:color="auto" w:fill="auto"/>
            <w:vAlign w:val="bottom"/>
          </w:tcPr>
          <w:p w14:paraId="33BB1F1F"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8</w:t>
            </w:r>
          </w:p>
        </w:tc>
        <w:tc>
          <w:tcPr>
            <w:tcW w:w="983" w:type="dxa"/>
            <w:shd w:val="clear" w:color="000000" w:fill="FFFFFF"/>
            <w:vAlign w:val="bottom"/>
          </w:tcPr>
          <w:p w14:paraId="2CA5C5B3"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1</w:t>
            </w:r>
          </w:p>
        </w:tc>
        <w:tc>
          <w:tcPr>
            <w:tcW w:w="1047" w:type="dxa"/>
            <w:shd w:val="clear" w:color="auto" w:fill="auto"/>
            <w:vAlign w:val="bottom"/>
          </w:tcPr>
          <w:p w14:paraId="6E9E2AE8" w14:textId="77777777" w:rsidR="0019642E" w:rsidRPr="00630FC6" w:rsidRDefault="0019642E" w:rsidP="005F5F0D">
            <w:pPr>
              <w:spacing w:after="0" w:line="240" w:lineRule="auto"/>
              <w:ind w:firstLineChars="100" w:firstLine="200"/>
              <w:jc w:val="right"/>
              <w:rPr>
                <w:rFonts w:ascii="Arial" w:hAnsi="Arial" w:cs="Arial"/>
                <w:color w:val="FF0000"/>
                <w:sz w:val="20"/>
                <w:szCs w:val="20"/>
              </w:rPr>
            </w:pPr>
            <w:r w:rsidRPr="00630FC6">
              <w:rPr>
                <w:rFonts w:ascii="Arial" w:hAnsi="Arial" w:cs="Arial"/>
                <w:color w:val="FF0000"/>
                <w:sz w:val="20"/>
                <w:szCs w:val="20"/>
              </w:rPr>
              <w:t>13%</w:t>
            </w:r>
          </w:p>
        </w:tc>
      </w:tr>
      <w:tr w:rsidR="0019642E" w:rsidRPr="003F6738" w14:paraId="2280D6A8" w14:textId="77777777" w:rsidTr="005F5F0D">
        <w:trPr>
          <w:trHeight w:val="300"/>
        </w:trPr>
        <w:tc>
          <w:tcPr>
            <w:tcW w:w="1776" w:type="dxa"/>
            <w:shd w:val="clear" w:color="000000" w:fill="FFFFFF"/>
            <w:noWrap/>
            <w:hideMark/>
          </w:tcPr>
          <w:p w14:paraId="06CB5FEB" w14:textId="77777777" w:rsidR="0019642E" w:rsidRPr="00630FC6" w:rsidRDefault="0019642E" w:rsidP="005F5F0D">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Lower GI</w:t>
            </w:r>
          </w:p>
        </w:tc>
        <w:tc>
          <w:tcPr>
            <w:tcW w:w="983" w:type="dxa"/>
            <w:shd w:val="clear" w:color="auto" w:fill="auto"/>
            <w:noWrap/>
            <w:vAlign w:val="bottom"/>
            <w:hideMark/>
          </w:tcPr>
          <w:p w14:paraId="432B7D82"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26</w:t>
            </w:r>
          </w:p>
        </w:tc>
        <w:tc>
          <w:tcPr>
            <w:tcW w:w="1205" w:type="dxa"/>
            <w:shd w:val="clear" w:color="000000" w:fill="FFFFFF"/>
            <w:noWrap/>
            <w:vAlign w:val="bottom"/>
            <w:hideMark/>
          </w:tcPr>
          <w:p w14:paraId="767AB479"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5</w:t>
            </w:r>
          </w:p>
        </w:tc>
        <w:tc>
          <w:tcPr>
            <w:tcW w:w="1047" w:type="dxa"/>
            <w:shd w:val="clear" w:color="auto" w:fill="auto"/>
            <w:noWrap/>
            <w:vAlign w:val="bottom"/>
            <w:hideMark/>
          </w:tcPr>
          <w:p w14:paraId="5C6A7466" w14:textId="77777777" w:rsidR="0019642E" w:rsidRPr="00630FC6" w:rsidRDefault="0019642E" w:rsidP="005F5F0D">
            <w:pPr>
              <w:spacing w:after="0" w:line="240" w:lineRule="auto"/>
              <w:ind w:firstLineChars="100" w:firstLine="200"/>
              <w:jc w:val="right"/>
              <w:rPr>
                <w:rFonts w:ascii="Arial" w:hAnsi="Arial" w:cs="Arial"/>
                <w:color w:val="FF0000"/>
                <w:sz w:val="20"/>
                <w:szCs w:val="20"/>
              </w:rPr>
            </w:pPr>
            <w:r w:rsidRPr="00630FC6">
              <w:rPr>
                <w:rFonts w:ascii="Arial" w:hAnsi="Arial" w:cs="Arial"/>
                <w:color w:val="FF0000"/>
                <w:sz w:val="20"/>
                <w:szCs w:val="20"/>
              </w:rPr>
              <w:t>19%</w:t>
            </w:r>
          </w:p>
        </w:tc>
        <w:tc>
          <w:tcPr>
            <w:tcW w:w="1595" w:type="dxa"/>
          </w:tcPr>
          <w:p w14:paraId="7B00635D" w14:textId="77777777" w:rsidR="0019642E" w:rsidRPr="00630FC6" w:rsidRDefault="0019642E" w:rsidP="005F5F0D">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Urological</w:t>
            </w:r>
          </w:p>
        </w:tc>
        <w:tc>
          <w:tcPr>
            <w:tcW w:w="983" w:type="dxa"/>
            <w:shd w:val="clear" w:color="auto" w:fill="auto"/>
            <w:vAlign w:val="bottom"/>
          </w:tcPr>
          <w:p w14:paraId="58F0DFB8"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31</w:t>
            </w:r>
          </w:p>
        </w:tc>
        <w:tc>
          <w:tcPr>
            <w:tcW w:w="983" w:type="dxa"/>
            <w:shd w:val="clear" w:color="000000" w:fill="FFFFFF"/>
            <w:vAlign w:val="bottom"/>
          </w:tcPr>
          <w:p w14:paraId="2BC37647"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15</w:t>
            </w:r>
          </w:p>
        </w:tc>
        <w:tc>
          <w:tcPr>
            <w:tcW w:w="1047" w:type="dxa"/>
            <w:shd w:val="clear" w:color="auto" w:fill="auto"/>
            <w:vAlign w:val="bottom"/>
          </w:tcPr>
          <w:p w14:paraId="049D52DF" w14:textId="77777777" w:rsidR="0019642E" w:rsidRPr="00630FC6" w:rsidRDefault="0019642E" w:rsidP="005F5F0D">
            <w:pPr>
              <w:spacing w:after="0" w:line="240" w:lineRule="auto"/>
              <w:ind w:firstLineChars="100" w:firstLine="200"/>
              <w:jc w:val="right"/>
              <w:rPr>
                <w:rFonts w:ascii="Arial" w:hAnsi="Arial" w:cs="Arial"/>
                <w:color w:val="FF0000"/>
                <w:sz w:val="20"/>
                <w:szCs w:val="20"/>
              </w:rPr>
            </w:pPr>
            <w:r w:rsidRPr="00630FC6">
              <w:rPr>
                <w:rFonts w:ascii="Arial" w:hAnsi="Arial" w:cs="Arial"/>
                <w:color w:val="FF0000"/>
                <w:sz w:val="20"/>
                <w:szCs w:val="20"/>
              </w:rPr>
              <w:t>48%</w:t>
            </w:r>
          </w:p>
        </w:tc>
      </w:tr>
      <w:tr w:rsidR="0019642E" w:rsidRPr="003F6738" w14:paraId="69F3E844" w14:textId="77777777" w:rsidTr="005F5F0D">
        <w:trPr>
          <w:trHeight w:val="300"/>
        </w:trPr>
        <w:tc>
          <w:tcPr>
            <w:tcW w:w="1776" w:type="dxa"/>
            <w:shd w:val="clear" w:color="000000" w:fill="FFFFFF"/>
            <w:noWrap/>
            <w:hideMark/>
          </w:tcPr>
          <w:p w14:paraId="43B7B3DD" w14:textId="77777777" w:rsidR="0019642E" w:rsidRPr="00630FC6" w:rsidRDefault="0019642E" w:rsidP="005F5F0D">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Lung</w:t>
            </w:r>
          </w:p>
        </w:tc>
        <w:tc>
          <w:tcPr>
            <w:tcW w:w="983" w:type="dxa"/>
            <w:shd w:val="clear" w:color="auto" w:fill="auto"/>
            <w:noWrap/>
            <w:vAlign w:val="bottom"/>
            <w:hideMark/>
          </w:tcPr>
          <w:p w14:paraId="797BEE0A"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18</w:t>
            </w:r>
          </w:p>
        </w:tc>
        <w:tc>
          <w:tcPr>
            <w:tcW w:w="1205" w:type="dxa"/>
            <w:shd w:val="clear" w:color="000000" w:fill="FFFFFF"/>
            <w:noWrap/>
            <w:vAlign w:val="bottom"/>
            <w:hideMark/>
          </w:tcPr>
          <w:p w14:paraId="2267DDC9"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9</w:t>
            </w:r>
          </w:p>
        </w:tc>
        <w:tc>
          <w:tcPr>
            <w:tcW w:w="1047" w:type="dxa"/>
            <w:shd w:val="clear" w:color="auto" w:fill="auto"/>
            <w:noWrap/>
            <w:vAlign w:val="bottom"/>
            <w:hideMark/>
          </w:tcPr>
          <w:p w14:paraId="05B42E15" w14:textId="77777777" w:rsidR="0019642E" w:rsidRPr="00630FC6" w:rsidRDefault="0019642E" w:rsidP="005F5F0D">
            <w:pPr>
              <w:spacing w:after="0" w:line="240" w:lineRule="auto"/>
              <w:ind w:firstLineChars="100" w:firstLine="200"/>
              <w:jc w:val="right"/>
              <w:rPr>
                <w:rFonts w:ascii="Arial" w:hAnsi="Arial" w:cs="Arial"/>
                <w:color w:val="FF0000"/>
                <w:sz w:val="20"/>
                <w:szCs w:val="20"/>
              </w:rPr>
            </w:pPr>
            <w:r w:rsidRPr="00630FC6">
              <w:rPr>
                <w:rFonts w:ascii="Arial" w:hAnsi="Arial" w:cs="Arial"/>
                <w:color w:val="FF0000"/>
                <w:sz w:val="20"/>
                <w:szCs w:val="20"/>
              </w:rPr>
              <w:t>50%</w:t>
            </w:r>
          </w:p>
        </w:tc>
        <w:tc>
          <w:tcPr>
            <w:tcW w:w="1595" w:type="dxa"/>
          </w:tcPr>
          <w:p w14:paraId="6C5888BC" w14:textId="77777777" w:rsidR="0019642E" w:rsidRPr="00630FC6" w:rsidRDefault="0019642E" w:rsidP="005F5F0D">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Haematological</w:t>
            </w:r>
          </w:p>
        </w:tc>
        <w:tc>
          <w:tcPr>
            <w:tcW w:w="983" w:type="dxa"/>
            <w:shd w:val="clear" w:color="auto" w:fill="auto"/>
            <w:vAlign w:val="bottom"/>
          </w:tcPr>
          <w:p w14:paraId="1B827B7A"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6</w:t>
            </w:r>
          </w:p>
        </w:tc>
        <w:tc>
          <w:tcPr>
            <w:tcW w:w="983" w:type="dxa"/>
            <w:shd w:val="clear" w:color="000000" w:fill="FFFFFF"/>
            <w:vAlign w:val="bottom"/>
          </w:tcPr>
          <w:p w14:paraId="77C7AF70"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1</w:t>
            </w:r>
          </w:p>
        </w:tc>
        <w:tc>
          <w:tcPr>
            <w:tcW w:w="1047" w:type="dxa"/>
            <w:shd w:val="clear" w:color="auto" w:fill="auto"/>
            <w:vAlign w:val="bottom"/>
          </w:tcPr>
          <w:p w14:paraId="42A25DC3" w14:textId="77777777" w:rsidR="0019642E" w:rsidRPr="00630FC6" w:rsidRDefault="0019642E" w:rsidP="005F5F0D">
            <w:pPr>
              <w:spacing w:after="0" w:line="240" w:lineRule="auto"/>
              <w:ind w:firstLineChars="100" w:firstLine="200"/>
              <w:jc w:val="right"/>
              <w:rPr>
                <w:rFonts w:ascii="Arial" w:hAnsi="Arial" w:cs="Arial"/>
                <w:color w:val="FF0000"/>
                <w:sz w:val="20"/>
                <w:szCs w:val="20"/>
              </w:rPr>
            </w:pPr>
            <w:r w:rsidRPr="00630FC6">
              <w:rPr>
                <w:rFonts w:ascii="Arial" w:hAnsi="Arial" w:cs="Arial"/>
                <w:color w:val="FF0000"/>
                <w:sz w:val="20"/>
                <w:szCs w:val="20"/>
              </w:rPr>
              <w:t>17%</w:t>
            </w:r>
          </w:p>
        </w:tc>
      </w:tr>
      <w:tr w:rsidR="0019642E" w:rsidRPr="003F6738" w14:paraId="2DD81882" w14:textId="77777777" w:rsidTr="005F5F0D">
        <w:trPr>
          <w:trHeight w:val="300"/>
        </w:trPr>
        <w:tc>
          <w:tcPr>
            <w:tcW w:w="1776" w:type="dxa"/>
            <w:shd w:val="clear" w:color="000000" w:fill="FFFFFF"/>
            <w:noWrap/>
            <w:hideMark/>
          </w:tcPr>
          <w:p w14:paraId="4D225E28" w14:textId="77777777" w:rsidR="0019642E" w:rsidRPr="00630FC6" w:rsidRDefault="0019642E" w:rsidP="005F5F0D">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Sarcoma</w:t>
            </w:r>
          </w:p>
        </w:tc>
        <w:tc>
          <w:tcPr>
            <w:tcW w:w="983" w:type="dxa"/>
            <w:shd w:val="clear" w:color="auto" w:fill="auto"/>
            <w:noWrap/>
            <w:vAlign w:val="bottom"/>
            <w:hideMark/>
          </w:tcPr>
          <w:p w14:paraId="3A82FC20"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4</w:t>
            </w:r>
          </w:p>
        </w:tc>
        <w:tc>
          <w:tcPr>
            <w:tcW w:w="1205" w:type="dxa"/>
            <w:shd w:val="clear" w:color="000000" w:fill="FFFFFF"/>
            <w:noWrap/>
            <w:vAlign w:val="bottom"/>
            <w:hideMark/>
          </w:tcPr>
          <w:p w14:paraId="4E0F1810"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1</w:t>
            </w:r>
          </w:p>
        </w:tc>
        <w:tc>
          <w:tcPr>
            <w:tcW w:w="1047" w:type="dxa"/>
            <w:shd w:val="clear" w:color="auto" w:fill="auto"/>
            <w:noWrap/>
            <w:vAlign w:val="bottom"/>
            <w:hideMark/>
          </w:tcPr>
          <w:p w14:paraId="341AFFBF" w14:textId="77777777" w:rsidR="0019642E" w:rsidRPr="00630FC6" w:rsidRDefault="0019642E" w:rsidP="005F5F0D">
            <w:pPr>
              <w:spacing w:after="0" w:line="240" w:lineRule="auto"/>
              <w:ind w:firstLineChars="100" w:firstLine="200"/>
              <w:jc w:val="right"/>
              <w:rPr>
                <w:rFonts w:ascii="Arial" w:hAnsi="Arial" w:cs="Arial"/>
                <w:color w:val="00B050"/>
                <w:sz w:val="20"/>
                <w:szCs w:val="20"/>
              </w:rPr>
            </w:pPr>
            <w:r w:rsidRPr="00630FC6">
              <w:rPr>
                <w:rFonts w:ascii="Arial" w:hAnsi="Arial" w:cs="Arial"/>
                <w:color w:val="FF0000"/>
                <w:sz w:val="20"/>
                <w:szCs w:val="20"/>
              </w:rPr>
              <w:t>25%</w:t>
            </w:r>
          </w:p>
        </w:tc>
        <w:tc>
          <w:tcPr>
            <w:tcW w:w="1595" w:type="dxa"/>
          </w:tcPr>
          <w:p w14:paraId="0AD20560" w14:textId="77777777" w:rsidR="0019642E" w:rsidRPr="00630FC6" w:rsidRDefault="0019642E" w:rsidP="005F5F0D">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Acute Leuk.</w:t>
            </w:r>
          </w:p>
        </w:tc>
        <w:tc>
          <w:tcPr>
            <w:tcW w:w="983" w:type="dxa"/>
            <w:shd w:val="clear" w:color="auto" w:fill="auto"/>
            <w:vAlign w:val="bottom"/>
          </w:tcPr>
          <w:p w14:paraId="3624F630"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2</w:t>
            </w:r>
          </w:p>
        </w:tc>
        <w:tc>
          <w:tcPr>
            <w:tcW w:w="983" w:type="dxa"/>
            <w:shd w:val="clear" w:color="000000" w:fill="FFFFFF"/>
            <w:vAlign w:val="bottom"/>
          </w:tcPr>
          <w:p w14:paraId="43055FC3"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2</w:t>
            </w:r>
          </w:p>
        </w:tc>
        <w:tc>
          <w:tcPr>
            <w:tcW w:w="1047" w:type="dxa"/>
            <w:shd w:val="clear" w:color="auto" w:fill="auto"/>
            <w:vAlign w:val="bottom"/>
          </w:tcPr>
          <w:p w14:paraId="40378AE4" w14:textId="77777777" w:rsidR="0019642E" w:rsidRPr="00630FC6" w:rsidRDefault="0019642E" w:rsidP="005F5F0D">
            <w:pPr>
              <w:spacing w:after="0" w:line="240" w:lineRule="auto"/>
              <w:ind w:firstLineChars="100" w:firstLine="200"/>
              <w:jc w:val="right"/>
              <w:rPr>
                <w:rFonts w:ascii="Arial" w:hAnsi="Arial" w:cs="Arial"/>
                <w:color w:val="00B050"/>
                <w:sz w:val="20"/>
                <w:szCs w:val="20"/>
              </w:rPr>
            </w:pPr>
            <w:r w:rsidRPr="00630FC6">
              <w:rPr>
                <w:rFonts w:ascii="Arial" w:hAnsi="Arial" w:cs="Arial"/>
                <w:color w:val="00B050"/>
                <w:sz w:val="20"/>
                <w:szCs w:val="20"/>
              </w:rPr>
              <w:t>100%</w:t>
            </w:r>
          </w:p>
        </w:tc>
      </w:tr>
      <w:tr w:rsidR="0019642E" w:rsidRPr="003F6738" w14:paraId="2AF1C852" w14:textId="77777777" w:rsidTr="005F5F0D">
        <w:trPr>
          <w:trHeight w:val="300"/>
        </w:trPr>
        <w:tc>
          <w:tcPr>
            <w:tcW w:w="1776" w:type="dxa"/>
            <w:shd w:val="clear" w:color="000000" w:fill="FFFFFF"/>
            <w:noWrap/>
            <w:hideMark/>
          </w:tcPr>
          <w:p w14:paraId="5630F83C" w14:textId="77777777" w:rsidR="0019642E" w:rsidRPr="00630FC6" w:rsidRDefault="0019642E" w:rsidP="005F5F0D">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Skin(c)</w:t>
            </w:r>
          </w:p>
        </w:tc>
        <w:tc>
          <w:tcPr>
            <w:tcW w:w="983" w:type="dxa"/>
            <w:shd w:val="clear" w:color="auto" w:fill="auto"/>
            <w:noWrap/>
            <w:vAlign w:val="bottom"/>
            <w:hideMark/>
          </w:tcPr>
          <w:p w14:paraId="2FAFFACD"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71</w:t>
            </w:r>
          </w:p>
        </w:tc>
        <w:tc>
          <w:tcPr>
            <w:tcW w:w="1205" w:type="dxa"/>
            <w:shd w:val="clear" w:color="000000" w:fill="FFFFFF"/>
            <w:noWrap/>
            <w:vAlign w:val="bottom"/>
            <w:hideMark/>
          </w:tcPr>
          <w:p w14:paraId="0D355E9F"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65</w:t>
            </w:r>
          </w:p>
        </w:tc>
        <w:tc>
          <w:tcPr>
            <w:tcW w:w="1047" w:type="dxa"/>
            <w:shd w:val="clear" w:color="auto" w:fill="auto"/>
            <w:noWrap/>
            <w:vAlign w:val="bottom"/>
            <w:hideMark/>
          </w:tcPr>
          <w:p w14:paraId="537BAC90" w14:textId="77777777" w:rsidR="0019642E" w:rsidRPr="00630FC6" w:rsidRDefault="0019642E" w:rsidP="005F5F0D">
            <w:pPr>
              <w:spacing w:after="0" w:line="240" w:lineRule="auto"/>
              <w:ind w:firstLineChars="100" w:firstLine="200"/>
              <w:jc w:val="right"/>
              <w:rPr>
                <w:rFonts w:ascii="Arial" w:hAnsi="Arial" w:cs="Arial"/>
                <w:color w:val="00B050"/>
                <w:sz w:val="20"/>
                <w:szCs w:val="20"/>
              </w:rPr>
            </w:pPr>
            <w:r w:rsidRPr="00630FC6">
              <w:rPr>
                <w:rFonts w:ascii="Arial" w:hAnsi="Arial" w:cs="Arial"/>
                <w:color w:val="00B050"/>
                <w:sz w:val="20"/>
                <w:szCs w:val="20"/>
              </w:rPr>
              <w:t>92%</w:t>
            </w:r>
          </w:p>
        </w:tc>
        <w:tc>
          <w:tcPr>
            <w:tcW w:w="1595" w:type="dxa"/>
          </w:tcPr>
          <w:p w14:paraId="4A97EFFF" w14:textId="77777777" w:rsidR="0019642E" w:rsidRPr="00630FC6" w:rsidRDefault="0019642E" w:rsidP="005F5F0D">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 xml:space="preserve">Children's </w:t>
            </w:r>
          </w:p>
        </w:tc>
        <w:tc>
          <w:tcPr>
            <w:tcW w:w="983" w:type="dxa"/>
            <w:shd w:val="clear" w:color="auto" w:fill="auto"/>
            <w:vAlign w:val="bottom"/>
          </w:tcPr>
          <w:p w14:paraId="41DEE1C1"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1</w:t>
            </w:r>
          </w:p>
        </w:tc>
        <w:tc>
          <w:tcPr>
            <w:tcW w:w="983" w:type="dxa"/>
            <w:shd w:val="clear" w:color="000000" w:fill="FFFFFF"/>
            <w:vAlign w:val="bottom"/>
          </w:tcPr>
          <w:p w14:paraId="1E8773F8"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1</w:t>
            </w:r>
          </w:p>
        </w:tc>
        <w:tc>
          <w:tcPr>
            <w:tcW w:w="1047" w:type="dxa"/>
            <w:shd w:val="clear" w:color="auto" w:fill="auto"/>
            <w:vAlign w:val="bottom"/>
          </w:tcPr>
          <w:p w14:paraId="4D78B62D"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B050"/>
                <w:sz w:val="20"/>
                <w:szCs w:val="20"/>
              </w:rPr>
              <w:t>100%</w:t>
            </w:r>
          </w:p>
        </w:tc>
      </w:tr>
      <w:tr w:rsidR="0019642E" w:rsidRPr="003F6738" w14:paraId="38282C2B" w14:textId="77777777" w:rsidTr="005F5F0D">
        <w:trPr>
          <w:trHeight w:val="300"/>
        </w:trPr>
        <w:tc>
          <w:tcPr>
            <w:tcW w:w="1776" w:type="dxa"/>
            <w:shd w:val="clear" w:color="000000" w:fill="FFFFFF"/>
            <w:noWrap/>
            <w:hideMark/>
          </w:tcPr>
          <w:p w14:paraId="189EC1D1" w14:textId="77777777" w:rsidR="0019642E" w:rsidRPr="00630FC6" w:rsidRDefault="0019642E" w:rsidP="005F5F0D">
            <w:pPr>
              <w:spacing w:after="0" w:line="240" w:lineRule="auto"/>
              <w:ind w:firstLineChars="100" w:firstLine="200"/>
              <w:jc w:val="right"/>
              <w:rPr>
                <w:rFonts w:ascii="Arial" w:eastAsia="Times New Roman" w:hAnsi="Arial" w:cs="Arial"/>
                <w:color w:val="000000"/>
                <w:sz w:val="20"/>
                <w:szCs w:val="20"/>
                <w:lang w:eastAsia="en-GB"/>
              </w:rPr>
            </w:pPr>
            <w:r w:rsidRPr="00630FC6">
              <w:rPr>
                <w:rFonts w:ascii="Arial" w:eastAsia="Times New Roman" w:hAnsi="Arial" w:cs="Arial"/>
                <w:color w:val="000000"/>
                <w:sz w:val="20"/>
                <w:szCs w:val="20"/>
                <w:lang w:eastAsia="en-GB"/>
              </w:rPr>
              <w:t>Brain/CNS</w:t>
            </w:r>
          </w:p>
        </w:tc>
        <w:tc>
          <w:tcPr>
            <w:tcW w:w="983" w:type="dxa"/>
            <w:shd w:val="clear" w:color="auto" w:fill="auto"/>
            <w:noWrap/>
            <w:vAlign w:val="bottom"/>
            <w:hideMark/>
          </w:tcPr>
          <w:p w14:paraId="1D7E221B"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0</w:t>
            </w:r>
          </w:p>
        </w:tc>
        <w:tc>
          <w:tcPr>
            <w:tcW w:w="1205" w:type="dxa"/>
            <w:shd w:val="clear" w:color="000000" w:fill="FFFFFF"/>
            <w:noWrap/>
            <w:vAlign w:val="bottom"/>
            <w:hideMark/>
          </w:tcPr>
          <w:p w14:paraId="0AEF1B9C"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0</w:t>
            </w:r>
          </w:p>
        </w:tc>
        <w:tc>
          <w:tcPr>
            <w:tcW w:w="1047" w:type="dxa"/>
            <w:shd w:val="clear" w:color="auto" w:fill="auto"/>
            <w:noWrap/>
            <w:vAlign w:val="bottom"/>
            <w:hideMark/>
          </w:tcPr>
          <w:p w14:paraId="1202F32F" w14:textId="77777777" w:rsidR="0019642E" w:rsidRPr="00630FC6" w:rsidRDefault="0019642E" w:rsidP="005F5F0D">
            <w:pPr>
              <w:spacing w:after="0" w:line="240" w:lineRule="auto"/>
              <w:ind w:firstLineChars="100" w:firstLine="200"/>
              <w:jc w:val="right"/>
              <w:rPr>
                <w:rFonts w:ascii="Arial" w:hAnsi="Arial" w:cs="Arial"/>
                <w:sz w:val="20"/>
                <w:szCs w:val="20"/>
              </w:rPr>
            </w:pPr>
            <w:r>
              <w:rPr>
                <w:rFonts w:ascii="Arial" w:hAnsi="Arial" w:cs="Arial"/>
                <w:color w:val="000000"/>
                <w:sz w:val="20"/>
                <w:szCs w:val="20"/>
              </w:rPr>
              <w:t>N/A</w:t>
            </w:r>
          </w:p>
        </w:tc>
        <w:tc>
          <w:tcPr>
            <w:tcW w:w="1595" w:type="dxa"/>
          </w:tcPr>
          <w:p w14:paraId="16381ECE" w14:textId="77777777" w:rsidR="0019642E" w:rsidRPr="00630FC6" w:rsidRDefault="0019642E" w:rsidP="005F5F0D">
            <w:pPr>
              <w:spacing w:after="0" w:line="240" w:lineRule="auto"/>
              <w:jc w:val="right"/>
              <w:rPr>
                <w:rFonts w:ascii="Arial" w:eastAsia="Times New Roman" w:hAnsi="Arial" w:cs="Arial"/>
                <w:b/>
                <w:bCs/>
                <w:sz w:val="20"/>
                <w:szCs w:val="20"/>
                <w:lang w:eastAsia="en-GB"/>
              </w:rPr>
            </w:pPr>
            <w:r w:rsidRPr="00630FC6">
              <w:rPr>
                <w:rFonts w:ascii="Arial" w:eastAsia="Times New Roman" w:hAnsi="Arial" w:cs="Arial"/>
                <w:color w:val="000000"/>
                <w:sz w:val="20"/>
                <w:szCs w:val="20"/>
                <w:lang w:eastAsia="en-GB"/>
              </w:rPr>
              <w:t>Other</w:t>
            </w:r>
          </w:p>
        </w:tc>
        <w:tc>
          <w:tcPr>
            <w:tcW w:w="983" w:type="dxa"/>
            <w:shd w:val="clear" w:color="auto" w:fill="auto"/>
            <w:vAlign w:val="bottom"/>
          </w:tcPr>
          <w:p w14:paraId="02027851"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5</w:t>
            </w:r>
          </w:p>
        </w:tc>
        <w:tc>
          <w:tcPr>
            <w:tcW w:w="983" w:type="dxa"/>
            <w:shd w:val="clear" w:color="000000" w:fill="FFFFFF"/>
            <w:vAlign w:val="bottom"/>
          </w:tcPr>
          <w:p w14:paraId="33CE66BC" w14:textId="77777777" w:rsidR="0019642E" w:rsidRPr="00630FC6" w:rsidRDefault="0019642E" w:rsidP="005F5F0D">
            <w:pPr>
              <w:spacing w:after="0" w:line="240" w:lineRule="auto"/>
              <w:ind w:firstLineChars="100" w:firstLine="200"/>
              <w:jc w:val="right"/>
              <w:rPr>
                <w:rFonts w:ascii="Arial" w:hAnsi="Arial" w:cs="Arial"/>
                <w:color w:val="000000"/>
                <w:sz w:val="20"/>
                <w:szCs w:val="20"/>
              </w:rPr>
            </w:pPr>
            <w:r w:rsidRPr="00630FC6">
              <w:rPr>
                <w:rFonts w:ascii="Arial" w:hAnsi="Arial" w:cs="Arial"/>
                <w:color w:val="000000"/>
                <w:sz w:val="20"/>
                <w:szCs w:val="20"/>
              </w:rPr>
              <w:t>3</w:t>
            </w:r>
          </w:p>
        </w:tc>
        <w:tc>
          <w:tcPr>
            <w:tcW w:w="1047" w:type="dxa"/>
            <w:shd w:val="clear" w:color="auto" w:fill="auto"/>
            <w:vAlign w:val="bottom"/>
          </w:tcPr>
          <w:p w14:paraId="104813B1" w14:textId="77777777" w:rsidR="0019642E" w:rsidRPr="00630FC6" w:rsidRDefault="0019642E" w:rsidP="005F5F0D">
            <w:pPr>
              <w:spacing w:after="0" w:line="240" w:lineRule="auto"/>
              <w:ind w:firstLineChars="100" w:firstLine="200"/>
              <w:jc w:val="right"/>
              <w:rPr>
                <w:rFonts w:ascii="Arial" w:hAnsi="Arial" w:cs="Arial"/>
                <w:color w:val="00B050"/>
                <w:sz w:val="20"/>
                <w:szCs w:val="20"/>
              </w:rPr>
            </w:pPr>
            <w:r w:rsidRPr="00630FC6">
              <w:rPr>
                <w:rFonts w:ascii="Arial" w:hAnsi="Arial" w:cs="Arial"/>
                <w:color w:val="FF0000"/>
                <w:sz w:val="20"/>
                <w:szCs w:val="20"/>
              </w:rPr>
              <w:t>60%</w:t>
            </w:r>
          </w:p>
        </w:tc>
      </w:tr>
    </w:tbl>
    <w:p w14:paraId="3853D4AC" w14:textId="77777777" w:rsidR="0019642E" w:rsidRPr="0036330B" w:rsidRDefault="0019642E" w:rsidP="0019642E">
      <w:pPr>
        <w:spacing w:after="0" w:line="240" w:lineRule="auto"/>
        <w:jc w:val="both"/>
        <w:rPr>
          <w:rFonts w:ascii="Arial" w:hAnsi="Arial" w:cs="Arial"/>
          <w:bCs/>
          <w:sz w:val="24"/>
          <w:szCs w:val="24"/>
        </w:rPr>
      </w:pPr>
    </w:p>
    <w:p w14:paraId="169A02FA" w14:textId="3C27367C"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The backlog tr</w:t>
      </w:r>
      <w:r w:rsidRPr="00306AD2">
        <w:rPr>
          <w:rFonts w:ascii="Arial" w:hAnsi="Arial" w:cs="Arial"/>
          <w:bCs/>
          <w:sz w:val="24"/>
          <w:szCs w:val="24"/>
        </w:rPr>
        <w:t xml:space="preserve">ajectories </w:t>
      </w:r>
      <w:r>
        <w:rPr>
          <w:rFonts w:ascii="Arial" w:hAnsi="Arial" w:cs="Arial"/>
          <w:bCs/>
          <w:sz w:val="24"/>
          <w:szCs w:val="24"/>
        </w:rPr>
        <w:t xml:space="preserve">were </w:t>
      </w:r>
      <w:r w:rsidRPr="00306AD2">
        <w:rPr>
          <w:rFonts w:ascii="Arial" w:hAnsi="Arial" w:cs="Arial"/>
          <w:bCs/>
          <w:sz w:val="24"/>
          <w:szCs w:val="24"/>
        </w:rPr>
        <w:t>developed based on the anticipated improvement for i</w:t>
      </w:r>
      <w:r>
        <w:rPr>
          <w:rFonts w:ascii="Arial" w:hAnsi="Arial" w:cs="Arial"/>
          <w:bCs/>
          <w:sz w:val="24"/>
          <w:szCs w:val="24"/>
        </w:rPr>
        <w:t xml:space="preserve">ndividualised tumour site, whilst reflecting traditionally what happened for previous bank holidays and holiday period.  </w:t>
      </w:r>
      <w:r w:rsidRPr="002F64F5">
        <w:rPr>
          <w:rFonts w:ascii="Arial" w:hAnsi="Arial" w:cs="Arial"/>
          <w:bCs/>
          <w:sz w:val="24"/>
          <w:szCs w:val="24"/>
        </w:rPr>
        <w:t>Some tumour groups</w:t>
      </w:r>
      <w:r>
        <w:rPr>
          <w:rFonts w:ascii="Arial" w:hAnsi="Arial" w:cs="Arial"/>
          <w:bCs/>
          <w:sz w:val="24"/>
          <w:szCs w:val="24"/>
        </w:rPr>
        <w:t xml:space="preserve"> targets</w:t>
      </w:r>
      <w:r w:rsidRPr="002F64F5">
        <w:rPr>
          <w:rFonts w:ascii="Arial" w:hAnsi="Arial" w:cs="Arial"/>
          <w:bCs/>
          <w:sz w:val="24"/>
          <w:szCs w:val="24"/>
        </w:rPr>
        <w:t xml:space="preserve"> </w:t>
      </w:r>
      <w:r>
        <w:rPr>
          <w:rFonts w:ascii="Arial" w:hAnsi="Arial" w:cs="Arial"/>
          <w:bCs/>
          <w:sz w:val="24"/>
          <w:szCs w:val="24"/>
        </w:rPr>
        <w:t>were</w:t>
      </w:r>
      <w:r w:rsidRPr="002F64F5">
        <w:rPr>
          <w:rFonts w:ascii="Arial" w:hAnsi="Arial" w:cs="Arial"/>
          <w:bCs/>
          <w:sz w:val="24"/>
          <w:szCs w:val="24"/>
        </w:rPr>
        <w:t xml:space="preserve"> set at zero for backlog throughout the year</w:t>
      </w:r>
      <w:r>
        <w:rPr>
          <w:rFonts w:ascii="Arial" w:hAnsi="Arial" w:cs="Arial"/>
          <w:bCs/>
          <w:sz w:val="24"/>
          <w:szCs w:val="24"/>
        </w:rPr>
        <w:t xml:space="preserve">: </w:t>
      </w:r>
      <w:r w:rsidRPr="002F64F5">
        <w:rPr>
          <w:rFonts w:ascii="Arial" w:hAnsi="Arial" w:cs="Arial"/>
          <w:bCs/>
          <w:sz w:val="24"/>
          <w:szCs w:val="24"/>
        </w:rPr>
        <w:t xml:space="preserve">Children’s Cancer, Acute Leukaemia and Brain/CNS, the reason for this is that </w:t>
      </w:r>
      <w:r>
        <w:rPr>
          <w:rFonts w:ascii="Arial" w:hAnsi="Arial" w:cs="Arial"/>
          <w:bCs/>
          <w:sz w:val="24"/>
          <w:szCs w:val="24"/>
        </w:rPr>
        <w:t xml:space="preserve">referrals trigger </w:t>
      </w:r>
      <w:r w:rsidRPr="002F64F5">
        <w:rPr>
          <w:rFonts w:ascii="Arial" w:hAnsi="Arial" w:cs="Arial"/>
          <w:bCs/>
          <w:sz w:val="24"/>
          <w:szCs w:val="24"/>
        </w:rPr>
        <w:t>backlog infrequently and volumes do not impact on the overall position.</w:t>
      </w:r>
    </w:p>
    <w:p w14:paraId="47620BC3" w14:textId="77777777" w:rsidR="0019642E" w:rsidRDefault="0019642E" w:rsidP="0019642E">
      <w:pPr>
        <w:spacing w:after="0" w:line="240" w:lineRule="auto"/>
        <w:jc w:val="both"/>
        <w:rPr>
          <w:rFonts w:ascii="Arial" w:hAnsi="Arial" w:cs="Arial"/>
          <w:bCs/>
          <w:sz w:val="24"/>
          <w:szCs w:val="24"/>
        </w:rPr>
      </w:pPr>
    </w:p>
    <w:p w14:paraId="2D70FEF9" w14:textId="53705263" w:rsidR="0019642E" w:rsidRPr="002F64F5" w:rsidRDefault="0019642E" w:rsidP="0019642E">
      <w:pPr>
        <w:spacing w:after="0" w:line="240" w:lineRule="auto"/>
        <w:jc w:val="both"/>
        <w:rPr>
          <w:rFonts w:ascii="Arial" w:hAnsi="Arial" w:cs="Arial"/>
          <w:bCs/>
          <w:sz w:val="24"/>
          <w:szCs w:val="24"/>
        </w:rPr>
      </w:pPr>
      <w:r>
        <w:rPr>
          <w:noProof/>
          <w:lang w:eastAsia="en-GB"/>
        </w:rPr>
        <w:drawing>
          <wp:inline distT="0" distB="0" distL="0" distR="0" wp14:anchorId="17158605" wp14:editId="3AE656F5">
            <wp:extent cx="5715084" cy="2206606"/>
            <wp:effectExtent l="0" t="0" r="0" b="3810"/>
            <wp:docPr id="14" name="Chart 14">
              <a:extLst xmlns:a="http://schemas.openxmlformats.org/drawingml/2006/main">
                <a:ext uri="{FF2B5EF4-FFF2-40B4-BE49-F238E27FC236}">
                  <a16:creationId xmlns:a16="http://schemas.microsoft.com/office/drawing/2014/main" id="{00000000-0008-0000-04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C809945" w14:textId="77777777" w:rsidR="0019642E" w:rsidRDefault="0019642E" w:rsidP="0019642E">
      <w:pPr>
        <w:spacing w:after="0" w:line="240" w:lineRule="auto"/>
        <w:jc w:val="both"/>
        <w:rPr>
          <w:rFonts w:ascii="Arial" w:hAnsi="Arial" w:cs="Arial"/>
          <w:bCs/>
          <w:sz w:val="24"/>
          <w:szCs w:val="24"/>
        </w:rPr>
      </w:pPr>
    </w:p>
    <w:p w14:paraId="2C84C41C" w14:textId="174E3EAC"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The table below shows the detail of the most recently reported backlog position, which stands at 237 patients, this is a reduction of 15% since the last reported position to the Committee.  The highest percentage of patients are in Lower GI, Urological and Gynaecological.  The position demonstrates a gap to trajectory of 40 patients, 25 of which are Bowel Screening Wales referrals, where the pathway timelines are not aligned with the SCP.  This cohort aside, we remain 15 over trajectory with Skin and Gynaecological the main outliers.</w:t>
      </w:r>
    </w:p>
    <w:tbl>
      <w:tblPr>
        <w:tblpPr w:leftFromText="180" w:rightFromText="180" w:vertAnchor="text" w:horzAnchor="margin" w:tblpY="-70"/>
        <w:tblOverlap w:val="never"/>
        <w:tblW w:w="595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4A0" w:firstRow="1" w:lastRow="0" w:firstColumn="1" w:lastColumn="0" w:noHBand="0" w:noVBand="1"/>
      </w:tblPr>
      <w:tblGrid>
        <w:gridCol w:w="1413"/>
        <w:gridCol w:w="876"/>
        <w:gridCol w:w="992"/>
        <w:gridCol w:w="1111"/>
        <w:gridCol w:w="1559"/>
      </w:tblGrid>
      <w:tr w:rsidR="0019642E" w:rsidRPr="006F738B" w14:paraId="07FF1CFB" w14:textId="77777777" w:rsidTr="0019642E">
        <w:trPr>
          <w:trHeight w:val="450"/>
        </w:trPr>
        <w:tc>
          <w:tcPr>
            <w:tcW w:w="1413" w:type="dxa"/>
            <w:vMerge w:val="restart"/>
            <w:shd w:val="clear" w:color="auto" w:fill="BFBFBF" w:themeFill="background1" w:themeFillShade="BF"/>
            <w:noWrap/>
            <w:hideMark/>
          </w:tcPr>
          <w:p w14:paraId="5E76E3B6" w14:textId="77777777" w:rsidR="0019642E" w:rsidRPr="006F738B" w:rsidRDefault="0019642E" w:rsidP="005F5F0D">
            <w:pPr>
              <w:spacing w:after="0" w:line="240" w:lineRule="auto"/>
              <w:contextualSpacing/>
              <w:jc w:val="center"/>
              <w:rPr>
                <w:rFonts w:cstheme="minorHAnsi"/>
                <w:b/>
                <w:bCs/>
                <w:color w:val="000000"/>
                <w:sz w:val="18"/>
                <w:szCs w:val="18"/>
                <w:lang w:eastAsia="en-GB"/>
              </w:rPr>
            </w:pPr>
            <w:r w:rsidRPr="006F738B">
              <w:rPr>
                <w:rFonts w:cstheme="minorHAnsi"/>
                <w:b/>
                <w:bCs/>
                <w:color w:val="000000"/>
                <w:sz w:val="18"/>
                <w:szCs w:val="18"/>
                <w:lang w:eastAsia="en-GB"/>
              </w:rPr>
              <w:lastRenderedPageBreak/>
              <w:t>Tumour Site</w:t>
            </w:r>
          </w:p>
          <w:p w14:paraId="120AB5AE" w14:textId="77777777" w:rsidR="0019642E" w:rsidRPr="006F738B" w:rsidRDefault="0019642E" w:rsidP="005F5F0D">
            <w:pPr>
              <w:spacing w:after="0" w:line="240" w:lineRule="auto"/>
              <w:contextualSpacing/>
              <w:jc w:val="center"/>
              <w:rPr>
                <w:rFonts w:cstheme="minorHAnsi"/>
                <w:b/>
                <w:bCs/>
                <w:color w:val="000000"/>
                <w:sz w:val="18"/>
                <w:szCs w:val="18"/>
                <w:lang w:eastAsia="en-GB"/>
              </w:rPr>
            </w:pPr>
          </w:p>
        </w:tc>
        <w:tc>
          <w:tcPr>
            <w:tcW w:w="876" w:type="dxa"/>
            <w:vMerge w:val="restart"/>
            <w:shd w:val="clear" w:color="auto" w:fill="BFBFBF" w:themeFill="background1" w:themeFillShade="BF"/>
          </w:tcPr>
          <w:p w14:paraId="26790985" w14:textId="77777777" w:rsidR="0019642E" w:rsidRPr="006F738B" w:rsidRDefault="0019642E" w:rsidP="005F5F0D">
            <w:pPr>
              <w:spacing w:after="0" w:line="240" w:lineRule="auto"/>
              <w:contextualSpacing/>
              <w:jc w:val="center"/>
              <w:rPr>
                <w:rFonts w:eastAsia="Times New Roman" w:cstheme="minorHAnsi"/>
                <w:b/>
                <w:color w:val="000000"/>
                <w:sz w:val="18"/>
                <w:szCs w:val="18"/>
                <w:lang w:eastAsia="en-GB"/>
              </w:rPr>
            </w:pPr>
            <w:r w:rsidRPr="006F738B">
              <w:rPr>
                <w:rFonts w:eastAsia="Times New Roman" w:cstheme="minorHAnsi"/>
                <w:b/>
                <w:color w:val="000000"/>
                <w:sz w:val="18"/>
                <w:szCs w:val="18"/>
                <w:lang w:eastAsia="en-GB"/>
              </w:rPr>
              <w:t>Total Backlog</w:t>
            </w:r>
          </w:p>
        </w:tc>
        <w:tc>
          <w:tcPr>
            <w:tcW w:w="992" w:type="dxa"/>
            <w:vMerge w:val="restart"/>
            <w:shd w:val="clear" w:color="auto" w:fill="BFBFBF" w:themeFill="background1" w:themeFillShade="BF"/>
          </w:tcPr>
          <w:p w14:paraId="0C6F0D02" w14:textId="77777777" w:rsidR="0019642E" w:rsidRPr="006F738B" w:rsidRDefault="0019642E" w:rsidP="005F5F0D">
            <w:pPr>
              <w:spacing w:after="0" w:line="240" w:lineRule="auto"/>
              <w:contextualSpacing/>
              <w:jc w:val="center"/>
              <w:rPr>
                <w:rFonts w:eastAsia="Times New Roman" w:cstheme="minorHAnsi"/>
                <w:b/>
                <w:color w:val="000000"/>
                <w:sz w:val="18"/>
                <w:szCs w:val="18"/>
                <w:lang w:eastAsia="en-GB"/>
              </w:rPr>
            </w:pPr>
            <w:r w:rsidRPr="006F738B">
              <w:rPr>
                <w:rFonts w:eastAsia="Times New Roman" w:cstheme="minorHAnsi"/>
                <w:b/>
                <w:color w:val="000000"/>
                <w:sz w:val="16"/>
                <w:szCs w:val="18"/>
                <w:lang w:eastAsia="en-GB"/>
              </w:rPr>
              <w:t xml:space="preserve">Trajectory for w/e </w:t>
            </w:r>
            <w:r>
              <w:rPr>
                <w:rFonts w:eastAsia="Times New Roman" w:cstheme="minorHAnsi"/>
                <w:b/>
                <w:color w:val="000000"/>
                <w:sz w:val="16"/>
                <w:szCs w:val="18"/>
                <w:lang w:eastAsia="en-GB"/>
              </w:rPr>
              <w:t>02/06</w:t>
            </w:r>
            <w:r w:rsidRPr="006F738B">
              <w:rPr>
                <w:rFonts w:eastAsia="Times New Roman" w:cstheme="minorHAnsi"/>
                <w:b/>
                <w:color w:val="000000"/>
                <w:sz w:val="16"/>
                <w:szCs w:val="18"/>
                <w:lang w:eastAsia="en-GB"/>
              </w:rPr>
              <w:t>/2</w:t>
            </w:r>
            <w:r>
              <w:rPr>
                <w:rFonts w:eastAsia="Times New Roman" w:cstheme="minorHAnsi"/>
                <w:b/>
                <w:color w:val="000000"/>
                <w:sz w:val="16"/>
                <w:szCs w:val="18"/>
                <w:lang w:eastAsia="en-GB"/>
              </w:rPr>
              <w:t>4</w:t>
            </w:r>
          </w:p>
        </w:tc>
        <w:tc>
          <w:tcPr>
            <w:tcW w:w="1111" w:type="dxa"/>
            <w:vMerge w:val="restart"/>
            <w:shd w:val="clear" w:color="auto" w:fill="BFBFBF" w:themeFill="background1" w:themeFillShade="BF"/>
          </w:tcPr>
          <w:p w14:paraId="1B52C977" w14:textId="036623F9" w:rsidR="0019642E" w:rsidRPr="00B5694E" w:rsidRDefault="0019642E" w:rsidP="005F5F0D">
            <w:pPr>
              <w:spacing w:after="0" w:line="240" w:lineRule="auto"/>
              <w:contextualSpacing/>
              <w:jc w:val="center"/>
              <w:rPr>
                <w:rFonts w:eastAsia="Times New Roman" w:cstheme="minorHAnsi"/>
                <w:b/>
                <w:color w:val="000000"/>
                <w:sz w:val="16"/>
                <w:szCs w:val="16"/>
                <w:lang w:eastAsia="en-GB"/>
              </w:rPr>
            </w:pPr>
            <w:r w:rsidRPr="00B5694E">
              <w:rPr>
                <w:rFonts w:cstheme="minorHAnsi"/>
                <w:b/>
                <w:bCs/>
                <w:color w:val="000000"/>
                <w:sz w:val="16"/>
                <w:szCs w:val="16"/>
                <w:lang w:eastAsia="en-GB"/>
              </w:rPr>
              <w:t xml:space="preserve">Above or Below </w:t>
            </w:r>
            <w:r>
              <w:rPr>
                <w:rFonts w:cstheme="minorHAnsi"/>
                <w:b/>
                <w:bCs/>
                <w:color w:val="000000"/>
                <w:sz w:val="16"/>
                <w:szCs w:val="16"/>
                <w:lang w:eastAsia="en-GB"/>
              </w:rPr>
              <w:t>Trajectory</w:t>
            </w:r>
          </w:p>
        </w:tc>
        <w:tc>
          <w:tcPr>
            <w:tcW w:w="1559" w:type="dxa"/>
            <w:vMerge w:val="restart"/>
            <w:shd w:val="clear" w:color="auto" w:fill="BFBFBF" w:themeFill="background1" w:themeFillShade="BF"/>
          </w:tcPr>
          <w:p w14:paraId="5207957F" w14:textId="7A92A215" w:rsidR="0019642E" w:rsidRPr="00B5694E" w:rsidRDefault="0019642E" w:rsidP="005F5F0D">
            <w:pPr>
              <w:spacing w:after="0" w:line="240" w:lineRule="auto"/>
              <w:contextualSpacing/>
              <w:jc w:val="center"/>
              <w:rPr>
                <w:rFonts w:cstheme="minorHAnsi"/>
                <w:b/>
                <w:bCs/>
                <w:color w:val="000000"/>
                <w:sz w:val="16"/>
                <w:szCs w:val="16"/>
                <w:lang w:eastAsia="en-GB"/>
              </w:rPr>
            </w:pPr>
            <w:r>
              <w:rPr>
                <w:rFonts w:cstheme="minorHAnsi"/>
                <w:b/>
                <w:bCs/>
                <w:color w:val="000000"/>
                <w:sz w:val="16"/>
                <w:szCs w:val="16"/>
                <w:lang w:eastAsia="en-GB"/>
              </w:rPr>
              <w:t>Percentage of backlog</w:t>
            </w:r>
          </w:p>
        </w:tc>
      </w:tr>
      <w:tr w:rsidR="0019642E" w:rsidRPr="006F738B" w14:paraId="4C30169B" w14:textId="77777777" w:rsidTr="0019642E">
        <w:trPr>
          <w:trHeight w:val="497"/>
        </w:trPr>
        <w:tc>
          <w:tcPr>
            <w:tcW w:w="1413" w:type="dxa"/>
            <w:vMerge/>
            <w:shd w:val="clear" w:color="auto" w:fill="BFBFBF" w:themeFill="background1" w:themeFillShade="BF"/>
            <w:noWrap/>
            <w:hideMark/>
          </w:tcPr>
          <w:p w14:paraId="6107759D" w14:textId="77777777" w:rsidR="0019642E" w:rsidRPr="006F738B" w:rsidRDefault="0019642E" w:rsidP="005F5F0D">
            <w:pPr>
              <w:spacing w:after="0" w:line="240" w:lineRule="auto"/>
              <w:contextualSpacing/>
              <w:jc w:val="center"/>
              <w:rPr>
                <w:rFonts w:cstheme="minorHAnsi"/>
                <w:b/>
                <w:bCs/>
                <w:color w:val="000000"/>
                <w:sz w:val="18"/>
                <w:szCs w:val="18"/>
                <w:lang w:eastAsia="en-GB"/>
              </w:rPr>
            </w:pPr>
          </w:p>
        </w:tc>
        <w:tc>
          <w:tcPr>
            <w:tcW w:w="876" w:type="dxa"/>
            <w:vMerge/>
            <w:shd w:val="clear" w:color="auto" w:fill="BFBFBF" w:themeFill="background1" w:themeFillShade="BF"/>
          </w:tcPr>
          <w:p w14:paraId="2D6E5226" w14:textId="77777777" w:rsidR="0019642E" w:rsidRPr="006F738B" w:rsidRDefault="0019642E" w:rsidP="005F5F0D">
            <w:pPr>
              <w:spacing w:after="0" w:line="240" w:lineRule="auto"/>
              <w:contextualSpacing/>
              <w:jc w:val="center"/>
              <w:rPr>
                <w:rFonts w:cstheme="minorHAnsi"/>
                <w:b/>
                <w:bCs/>
                <w:color w:val="000000"/>
                <w:sz w:val="18"/>
                <w:szCs w:val="18"/>
                <w:lang w:eastAsia="en-GB"/>
              </w:rPr>
            </w:pPr>
          </w:p>
        </w:tc>
        <w:tc>
          <w:tcPr>
            <w:tcW w:w="992" w:type="dxa"/>
            <w:vMerge/>
            <w:shd w:val="clear" w:color="auto" w:fill="BFBFBF" w:themeFill="background1" w:themeFillShade="BF"/>
          </w:tcPr>
          <w:p w14:paraId="7C52466E" w14:textId="77777777" w:rsidR="0019642E" w:rsidRPr="006F738B" w:rsidRDefault="0019642E" w:rsidP="005F5F0D">
            <w:pPr>
              <w:spacing w:after="0" w:line="240" w:lineRule="auto"/>
              <w:contextualSpacing/>
              <w:jc w:val="center"/>
              <w:rPr>
                <w:rFonts w:cstheme="minorHAnsi"/>
                <w:b/>
                <w:bCs/>
                <w:color w:val="000000"/>
                <w:sz w:val="18"/>
                <w:szCs w:val="18"/>
                <w:lang w:eastAsia="en-GB"/>
              </w:rPr>
            </w:pPr>
          </w:p>
        </w:tc>
        <w:tc>
          <w:tcPr>
            <w:tcW w:w="1111" w:type="dxa"/>
            <w:vMerge/>
            <w:shd w:val="clear" w:color="auto" w:fill="BFBFBF" w:themeFill="background1" w:themeFillShade="BF"/>
          </w:tcPr>
          <w:p w14:paraId="7B64E6DD" w14:textId="77777777" w:rsidR="0019642E" w:rsidRPr="006F738B" w:rsidRDefault="0019642E" w:rsidP="005F5F0D">
            <w:pPr>
              <w:spacing w:after="0" w:line="240" w:lineRule="auto"/>
              <w:contextualSpacing/>
              <w:jc w:val="center"/>
              <w:rPr>
                <w:rFonts w:cstheme="minorHAnsi"/>
                <w:b/>
                <w:bCs/>
                <w:color w:val="000000"/>
                <w:sz w:val="18"/>
                <w:szCs w:val="18"/>
                <w:lang w:eastAsia="en-GB"/>
              </w:rPr>
            </w:pPr>
          </w:p>
        </w:tc>
        <w:tc>
          <w:tcPr>
            <w:tcW w:w="1559" w:type="dxa"/>
            <w:vMerge/>
            <w:shd w:val="clear" w:color="auto" w:fill="BFBFBF" w:themeFill="background1" w:themeFillShade="BF"/>
          </w:tcPr>
          <w:p w14:paraId="68F9A4B1" w14:textId="77777777" w:rsidR="0019642E" w:rsidRPr="006F738B" w:rsidRDefault="0019642E" w:rsidP="005F5F0D">
            <w:pPr>
              <w:spacing w:after="0" w:line="240" w:lineRule="auto"/>
              <w:contextualSpacing/>
              <w:jc w:val="center"/>
              <w:rPr>
                <w:rFonts w:cstheme="minorHAnsi"/>
                <w:b/>
                <w:bCs/>
                <w:color w:val="000000"/>
                <w:sz w:val="18"/>
                <w:szCs w:val="18"/>
                <w:lang w:eastAsia="en-GB"/>
              </w:rPr>
            </w:pPr>
          </w:p>
        </w:tc>
      </w:tr>
      <w:tr w:rsidR="0019642E" w:rsidRPr="006F738B" w14:paraId="14610CB9" w14:textId="77777777" w:rsidTr="0019642E">
        <w:trPr>
          <w:trHeight w:val="127"/>
        </w:trPr>
        <w:tc>
          <w:tcPr>
            <w:tcW w:w="1413" w:type="dxa"/>
            <w:shd w:val="clear" w:color="auto" w:fill="BFBFBF" w:themeFill="background1" w:themeFillShade="BF"/>
            <w:noWrap/>
          </w:tcPr>
          <w:p w14:paraId="6BE01F42"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Acute Leuk.</w:t>
            </w:r>
          </w:p>
        </w:tc>
        <w:tc>
          <w:tcPr>
            <w:tcW w:w="876" w:type="dxa"/>
            <w:shd w:val="clear" w:color="auto" w:fill="auto"/>
            <w:vAlign w:val="bottom"/>
          </w:tcPr>
          <w:p w14:paraId="4628B717"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0</w:t>
            </w:r>
          </w:p>
        </w:tc>
        <w:tc>
          <w:tcPr>
            <w:tcW w:w="992" w:type="dxa"/>
            <w:shd w:val="clear" w:color="auto" w:fill="auto"/>
            <w:vAlign w:val="bottom"/>
          </w:tcPr>
          <w:p w14:paraId="2304C03A"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0</w:t>
            </w:r>
          </w:p>
        </w:tc>
        <w:tc>
          <w:tcPr>
            <w:tcW w:w="1111" w:type="dxa"/>
            <w:shd w:val="clear" w:color="auto" w:fill="auto"/>
          </w:tcPr>
          <w:p w14:paraId="084F46DE" w14:textId="77777777" w:rsidR="0019642E" w:rsidRPr="00DE0935" w:rsidRDefault="0019642E" w:rsidP="005F5F0D">
            <w:pPr>
              <w:spacing w:after="0" w:line="240" w:lineRule="auto"/>
              <w:contextualSpacing/>
              <w:jc w:val="center"/>
              <w:rPr>
                <w:rFonts w:cstheme="minorHAnsi"/>
                <w:color w:val="000000"/>
                <w:sz w:val="18"/>
                <w:szCs w:val="16"/>
              </w:rPr>
            </w:pPr>
            <w:r>
              <w:rPr>
                <w:rFonts w:cstheme="minorHAnsi"/>
                <w:color w:val="000000"/>
                <w:sz w:val="18"/>
                <w:szCs w:val="16"/>
              </w:rPr>
              <w:t>0</w:t>
            </w:r>
          </w:p>
        </w:tc>
        <w:tc>
          <w:tcPr>
            <w:tcW w:w="1559" w:type="dxa"/>
            <w:shd w:val="clear" w:color="auto" w:fill="auto"/>
          </w:tcPr>
          <w:p w14:paraId="645E654C" w14:textId="77777777" w:rsidR="0019642E" w:rsidRPr="00BB6710" w:rsidRDefault="0019642E" w:rsidP="005F5F0D">
            <w:pPr>
              <w:spacing w:after="0" w:line="240" w:lineRule="auto"/>
              <w:contextualSpacing/>
              <w:jc w:val="center"/>
              <w:rPr>
                <w:sz w:val="18"/>
              </w:rPr>
            </w:pPr>
            <w:r>
              <w:rPr>
                <w:sz w:val="18"/>
              </w:rPr>
              <w:t>0</w:t>
            </w:r>
            <w:r w:rsidRPr="00BB6710">
              <w:rPr>
                <w:sz w:val="18"/>
              </w:rPr>
              <w:t>%</w:t>
            </w:r>
          </w:p>
        </w:tc>
      </w:tr>
      <w:tr w:rsidR="0019642E" w:rsidRPr="006F738B" w14:paraId="645907B0" w14:textId="77777777" w:rsidTr="0019642E">
        <w:trPr>
          <w:trHeight w:val="123"/>
        </w:trPr>
        <w:tc>
          <w:tcPr>
            <w:tcW w:w="1413" w:type="dxa"/>
            <w:shd w:val="clear" w:color="auto" w:fill="BFBFBF" w:themeFill="background1" w:themeFillShade="BF"/>
            <w:noWrap/>
          </w:tcPr>
          <w:p w14:paraId="6A31CF33"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Brain/CNS</w:t>
            </w:r>
          </w:p>
        </w:tc>
        <w:tc>
          <w:tcPr>
            <w:tcW w:w="876" w:type="dxa"/>
            <w:shd w:val="clear" w:color="auto" w:fill="auto"/>
            <w:vAlign w:val="bottom"/>
          </w:tcPr>
          <w:p w14:paraId="2D85FFE1"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0</w:t>
            </w:r>
          </w:p>
        </w:tc>
        <w:tc>
          <w:tcPr>
            <w:tcW w:w="992" w:type="dxa"/>
            <w:shd w:val="clear" w:color="auto" w:fill="auto"/>
            <w:vAlign w:val="bottom"/>
          </w:tcPr>
          <w:p w14:paraId="08B61EDA"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0</w:t>
            </w:r>
          </w:p>
        </w:tc>
        <w:tc>
          <w:tcPr>
            <w:tcW w:w="1111" w:type="dxa"/>
            <w:shd w:val="clear" w:color="auto" w:fill="auto"/>
          </w:tcPr>
          <w:p w14:paraId="4DCA48F1" w14:textId="77777777" w:rsidR="0019642E" w:rsidRPr="00DE0935" w:rsidRDefault="0019642E" w:rsidP="005F5F0D">
            <w:pPr>
              <w:spacing w:after="0" w:line="240" w:lineRule="auto"/>
              <w:contextualSpacing/>
              <w:jc w:val="center"/>
              <w:rPr>
                <w:rFonts w:cstheme="minorHAnsi"/>
                <w:color w:val="000000"/>
                <w:sz w:val="18"/>
                <w:szCs w:val="16"/>
              </w:rPr>
            </w:pPr>
            <w:r w:rsidRPr="00DE0935">
              <w:rPr>
                <w:rFonts w:cstheme="minorHAnsi"/>
                <w:color w:val="000000"/>
                <w:sz w:val="18"/>
                <w:szCs w:val="16"/>
              </w:rPr>
              <w:t>0</w:t>
            </w:r>
          </w:p>
        </w:tc>
        <w:tc>
          <w:tcPr>
            <w:tcW w:w="1559" w:type="dxa"/>
            <w:shd w:val="clear" w:color="auto" w:fill="auto"/>
          </w:tcPr>
          <w:p w14:paraId="645D24C8" w14:textId="77777777" w:rsidR="0019642E" w:rsidRPr="00BB6710" w:rsidRDefault="0019642E" w:rsidP="005F5F0D">
            <w:pPr>
              <w:spacing w:after="0" w:line="240" w:lineRule="auto"/>
              <w:contextualSpacing/>
              <w:jc w:val="center"/>
              <w:rPr>
                <w:sz w:val="18"/>
              </w:rPr>
            </w:pPr>
            <w:r>
              <w:rPr>
                <w:sz w:val="18"/>
              </w:rPr>
              <w:t>0</w:t>
            </w:r>
            <w:r w:rsidRPr="00BB6710">
              <w:rPr>
                <w:sz w:val="18"/>
              </w:rPr>
              <w:t>%</w:t>
            </w:r>
          </w:p>
        </w:tc>
      </w:tr>
      <w:tr w:rsidR="0019642E" w:rsidRPr="006F738B" w14:paraId="622D2763" w14:textId="77777777" w:rsidTr="0019642E">
        <w:trPr>
          <w:trHeight w:val="123"/>
        </w:trPr>
        <w:tc>
          <w:tcPr>
            <w:tcW w:w="1413" w:type="dxa"/>
            <w:shd w:val="clear" w:color="auto" w:fill="BFBFBF" w:themeFill="background1" w:themeFillShade="BF"/>
            <w:noWrap/>
            <w:hideMark/>
          </w:tcPr>
          <w:p w14:paraId="4688CE84"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Breast</w:t>
            </w:r>
          </w:p>
        </w:tc>
        <w:tc>
          <w:tcPr>
            <w:tcW w:w="876" w:type="dxa"/>
            <w:shd w:val="clear" w:color="auto" w:fill="auto"/>
            <w:vAlign w:val="bottom"/>
          </w:tcPr>
          <w:p w14:paraId="24AC3F13"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19</w:t>
            </w:r>
          </w:p>
        </w:tc>
        <w:tc>
          <w:tcPr>
            <w:tcW w:w="992" w:type="dxa"/>
            <w:shd w:val="clear" w:color="auto" w:fill="auto"/>
            <w:vAlign w:val="bottom"/>
          </w:tcPr>
          <w:p w14:paraId="7EFC83C1"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17</w:t>
            </w:r>
          </w:p>
        </w:tc>
        <w:tc>
          <w:tcPr>
            <w:tcW w:w="1111" w:type="dxa"/>
            <w:shd w:val="clear" w:color="auto" w:fill="FFFF00"/>
          </w:tcPr>
          <w:p w14:paraId="38578ABC" w14:textId="77777777" w:rsidR="0019642E" w:rsidRPr="00DE0935" w:rsidRDefault="0019642E" w:rsidP="005F5F0D">
            <w:pPr>
              <w:spacing w:after="0" w:line="240" w:lineRule="auto"/>
              <w:contextualSpacing/>
              <w:jc w:val="center"/>
              <w:rPr>
                <w:rFonts w:cstheme="minorHAnsi"/>
                <w:color w:val="000000"/>
                <w:sz w:val="18"/>
                <w:szCs w:val="16"/>
              </w:rPr>
            </w:pPr>
            <w:r>
              <w:rPr>
                <w:rFonts w:cstheme="minorHAnsi"/>
                <w:color w:val="000000"/>
                <w:sz w:val="18"/>
                <w:szCs w:val="16"/>
              </w:rPr>
              <w:t>2</w:t>
            </w:r>
          </w:p>
        </w:tc>
        <w:tc>
          <w:tcPr>
            <w:tcW w:w="1559" w:type="dxa"/>
            <w:shd w:val="clear" w:color="auto" w:fill="F7CAAC" w:themeFill="accent2" w:themeFillTint="66"/>
          </w:tcPr>
          <w:p w14:paraId="11721F73" w14:textId="77777777" w:rsidR="0019642E" w:rsidRPr="00BB6710" w:rsidRDefault="0019642E" w:rsidP="005F5F0D">
            <w:pPr>
              <w:spacing w:after="0" w:line="240" w:lineRule="auto"/>
              <w:contextualSpacing/>
              <w:jc w:val="center"/>
              <w:rPr>
                <w:sz w:val="18"/>
              </w:rPr>
            </w:pPr>
            <w:r>
              <w:rPr>
                <w:sz w:val="18"/>
              </w:rPr>
              <w:t>8</w:t>
            </w:r>
            <w:r w:rsidRPr="00BB6710">
              <w:rPr>
                <w:sz w:val="18"/>
              </w:rPr>
              <w:t>%</w:t>
            </w:r>
          </w:p>
        </w:tc>
      </w:tr>
      <w:tr w:rsidR="0019642E" w:rsidRPr="006F738B" w14:paraId="2163309C" w14:textId="77777777" w:rsidTr="0019642E">
        <w:trPr>
          <w:trHeight w:val="123"/>
        </w:trPr>
        <w:tc>
          <w:tcPr>
            <w:tcW w:w="1413" w:type="dxa"/>
            <w:shd w:val="clear" w:color="auto" w:fill="BFBFBF" w:themeFill="background1" w:themeFillShade="BF"/>
            <w:noWrap/>
          </w:tcPr>
          <w:p w14:paraId="794CEC09"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Children’s</w:t>
            </w:r>
          </w:p>
        </w:tc>
        <w:tc>
          <w:tcPr>
            <w:tcW w:w="876" w:type="dxa"/>
            <w:shd w:val="clear" w:color="auto" w:fill="auto"/>
            <w:vAlign w:val="bottom"/>
          </w:tcPr>
          <w:p w14:paraId="2C15EA33"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0</w:t>
            </w:r>
          </w:p>
        </w:tc>
        <w:tc>
          <w:tcPr>
            <w:tcW w:w="992" w:type="dxa"/>
            <w:shd w:val="clear" w:color="auto" w:fill="auto"/>
            <w:vAlign w:val="bottom"/>
          </w:tcPr>
          <w:p w14:paraId="5FC669E3"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0</w:t>
            </w:r>
          </w:p>
        </w:tc>
        <w:tc>
          <w:tcPr>
            <w:tcW w:w="1111" w:type="dxa"/>
            <w:shd w:val="clear" w:color="auto" w:fill="auto"/>
          </w:tcPr>
          <w:p w14:paraId="59D90E9E" w14:textId="77777777" w:rsidR="0019642E" w:rsidRPr="00DE0935" w:rsidRDefault="0019642E" w:rsidP="005F5F0D">
            <w:pPr>
              <w:spacing w:after="0" w:line="240" w:lineRule="auto"/>
              <w:contextualSpacing/>
              <w:jc w:val="center"/>
              <w:rPr>
                <w:rFonts w:cstheme="minorHAnsi"/>
                <w:color w:val="000000"/>
                <w:sz w:val="18"/>
                <w:szCs w:val="16"/>
              </w:rPr>
            </w:pPr>
            <w:r w:rsidRPr="00DE0935">
              <w:rPr>
                <w:rFonts w:cstheme="minorHAnsi"/>
                <w:color w:val="000000"/>
                <w:sz w:val="18"/>
                <w:szCs w:val="16"/>
              </w:rPr>
              <w:t>0</w:t>
            </w:r>
          </w:p>
        </w:tc>
        <w:tc>
          <w:tcPr>
            <w:tcW w:w="1559" w:type="dxa"/>
            <w:shd w:val="clear" w:color="auto" w:fill="auto"/>
          </w:tcPr>
          <w:p w14:paraId="7712A57A" w14:textId="77777777" w:rsidR="0019642E" w:rsidRPr="00BB6710" w:rsidRDefault="0019642E" w:rsidP="005F5F0D">
            <w:pPr>
              <w:spacing w:after="0" w:line="240" w:lineRule="auto"/>
              <w:contextualSpacing/>
              <w:jc w:val="center"/>
              <w:rPr>
                <w:sz w:val="18"/>
              </w:rPr>
            </w:pPr>
            <w:r w:rsidRPr="00BB6710">
              <w:rPr>
                <w:sz w:val="18"/>
              </w:rPr>
              <w:t>0%</w:t>
            </w:r>
          </w:p>
        </w:tc>
      </w:tr>
      <w:tr w:rsidR="0019642E" w:rsidRPr="006F738B" w14:paraId="0CC10EEB" w14:textId="77777777" w:rsidTr="0019642E">
        <w:trPr>
          <w:trHeight w:val="42"/>
        </w:trPr>
        <w:tc>
          <w:tcPr>
            <w:tcW w:w="1413" w:type="dxa"/>
            <w:shd w:val="clear" w:color="auto" w:fill="BFBFBF" w:themeFill="background1" w:themeFillShade="BF"/>
            <w:noWrap/>
            <w:hideMark/>
          </w:tcPr>
          <w:p w14:paraId="754C8ABD"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Gynaecological</w:t>
            </w:r>
          </w:p>
        </w:tc>
        <w:tc>
          <w:tcPr>
            <w:tcW w:w="876" w:type="dxa"/>
            <w:shd w:val="clear" w:color="auto" w:fill="auto"/>
            <w:vAlign w:val="bottom"/>
          </w:tcPr>
          <w:p w14:paraId="07D1D45C"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39</w:t>
            </w:r>
          </w:p>
        </w:tc>
        <w:tc>
          <w:tcPr>
            <w:tcW w:w="992" w:type="dxa"/>
            <w:shd w:val="clear" w:color="auto" w:fill="auto"/>
            <w:vAlign w:val="bottom"/>
          </w:tcPr>
          <w:p w14:paraId="17CC8C4A"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32</w:t>
            </w:r>
          </w:p>
        </w:tc>
        <w:tc>
          <w:tcPr>
            <w:tcW w:w="1111" w:type="dxa"/>
            <w:shd w:val="clear" w:color="auto" w:fill="FFFF00"/>
          </w:tcPr>
          <w:p w14:paraId="1D2EB592" w14:textId="77777777" w:rsidR="0019642E" w:rsidRPr="00DE0935" w:rsidRDefault="0019642E" w:rsidP="005F5F0D">
            <w:pPr>
              <w:spacing w:after="0" w:line="240" w:lineRule="auto"/>
              <w:contextualSpacing/>
              <w:jc w:val="center"/>
              <w:rPr>
                <w:rFonts w:cstheme="minorHAnsi"/>
                <w:color w:val="000000"/>
                <w:sz w:val="18"/>
                <w:szCs w:val="16"/>
              </w:rPr>
            </w:pPr>
            <w:r>
              <w:rPr>
                <w:rFonts w:cstheme="minorHAnsi"/>
                <w:color w:val="000000"/>
                <w:sz w:val="18"/>
                <w:szCs w:val="16"/>
              </w:rPr>
              <w:t>7</w:t>
            </w:r>
          </w:p>
        </w:tc>
        <w:tc>
          <w:tcPr>
            <w:tcW w:w="1559" w:type="dxa"/>
            <w:shd w:val="clear" w:color="auto" w:fill="ED7D31" w:themeFill="accent2"/>
          </w:tcPr>
          <w:p w14:paraId="23F86ED8" w14:textId="77777777" w:rsidR="0019642E" w:rsidRPr="00BB6710" w:rsidRDefault="0019642E" w:rsidP="005F5F0D">
            <w:pPr>
              <w:spacing w:after="0" w:line="240" w:lineRule="auto"/>
              <w:contextualSpacing/>
              <w:jc w:val="center"/>
              <w:rPr>
                <w:sz w:val="18"/>
              </w:rPr>
            </w:pPr>
            <w:r>
              <w:rPr>
                <w:sz w:val="18"/>
              </w:rPr>
              <w:t>16</w:t>
            </w:r>
            <w:r w:rsidRPr="00BB6710">
              <w:rPr>
                <w:sz w:val="18"/>
              </w:rPr>
              <w:t>%</w:t>
            </w:r>
          </w:p>
        </w:tc>
      </w:tr>
      <w:tr w:rsidR="0019642E" w:rsidRPr="006F738B" w14:paraId="33FAE26E" w14:textId="77777777" w:rsidTr="0019642E">
        <w:trPr>
          <w:trHeight w:val="210"/>
        </w:trPr>
        <w:tc>
          <w:tcPr>
            <w:tcW w:w="1413" w:type="dxa"/>
            <w:shd w:val="clear" w:color="auto" w:fill="BFBFBF" w:themeFill="background1" w:themeFillShade="BF"/>
            <w:noWrap/>
            <w:hideMark/>
          </w:tcPr>
          <w:p w14:paraId="6565F48E"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Haematological</w:t>
            </w:r>
          </w:p>
        </w:tc>
        <w:tc>
          <w:tcPr>
            <w:tcW w:w="876" w:type="dxa"/>
            <w:shd w:val="clear" w:color="auto" w:fill="auto"/>
            <w:vAlign w:val="bottom"/>
          </w:tcPr>
          <w:p w14:paraId="70653D3E"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7</w:t>
            </w:r>
          </w:p>
        </w:tc>
        <w:tc>
          <w:tcPr>
            <w:tcW w:w="992" w:type="dxa"/>
            <w:shd w:val="clear" w:color="auto" w:fill="auto"/>
            <w:vAlign w:val="bottom"/>
          </w:tcPr>
          <w:p w14:paraId="76EB541A"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7</w:t>
            </w:r>
          </w:p>
        </w:tc>
        <w:tc>
          <w:tcPr>
            <w:tcW w:w="1111" w:type="dxa"/>
            <w:shd w:val="clear" w:color="auto" w:fill="auto"/>
          </w:tcPr>
          <w:p w14:paraId="3D066EE5" w14:textId="77777777" w:rsidR="0019642E" w:rsidRPr="00DE0935" w:rsidRDefault="0019642E" w:rsidP="005F5F0D">
            <w:pPr>
              <w:spacing w:after="0" w:line="240" w:lineRule="auto"/>
              <w:contextualSpacing/>
              <w:jc w:val="center"/>
              <w:rPr>
                <w:rFonts w:cstheme="minorHAnsi"/>
                <w:color w:val="000000"/>
                <w:sz w:val="18"/>
                <w:szCs w:val="16"/>
              </w:rPr>
            </w:pPr>
            <w:r>
              <w:rPr>
                <w:rFonts w:cstheme="minorHAnsi"/>
                <w:color w:val="000000"/>
                <w:sz w:val="18"/>
                <w:szCs w:val="16"/>
              </w:rPr>
              <w:t>0</w:t>
            </w:r>
          </w:p>
        </w:tc>
        <w:tc>
          <w:tcPr>
            <w:tcW w:w="1559" w:type="dxa"/>
            <w:shd w:val="clear" w:color="auto" w:fill="FBE4D5" w:themeFill="accent2" w:themeFillTint="33"/>
          </w:tcPr>
          <w:p w14:paraId="3AD90E00" w14:textId="77777777" w:rsidR="0019642E" w:rsidRPr="00BB6710" w:rsidRDefault="0019642E" w:rsidP="005F5F0D">
            <w:pPr>
              <w:spacing w:after="0" w:line="240" w:lineRule="auto"/>
              <w:contextualSpacing/>
              <w:jc w:val="center"/>
              <w:rPr>
                <w:sz w:val="18"/>
              </w:rPr>
            </w:pPr>
            <w:r>
              <w:rPr>
                <w:sz w:val="18"/>
              </w:rPr>
              <w:t>3</w:t>
            </w:r>
            <w:r w:rsidRPr="00BB6710">
              <w:rPr>
                <w:sz w:val="18"/>
              </w:rPr>
              <w:t>%</w:t>
            </w:r>
          </w:p>
        </w:tc>
      </w:tr>
      <w:tr w:rsidR="0019642E" w:rsidRPr="006F738B" w14:paraId="679DF6BA" w14:textId="77777777" w:rsidTr="0019642E">
        <w:trPr>
          <w:trHeight w:val="133"/>
        </w:trPr>
        <w:tc>
          <w:tcPr>
            <w:tcW w:w="1413" w:type="dxa"/>
            <w:shd w:val="clear" w:color="auto" w:fill="BFBFBF" w:themeFill="background1" w:themeFillShade="BF"/>
            <w:noWrap/>
            <w:hideMark/>
          </w:tcPr>
          <w:p w14:paraId="3ACD53ED"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Head and Neck</w:t>
            </w:r>
          </w:p>
        </w:tc>
        <w:tc>
          <w:tcPr>
            <w:tcW w:w="876" w:type="dxa"/>
            <w:shd w:val="clear" w:color="auto" w:fill="auto"/>
            <w:vAlign w:val="bottom"/>
          </w:tcPr>
          <w:p w14:paraId="6FAA327B"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6</w:t>
            </w:r>
          </w:p>
        </w:tc>
        <w:tc>
          <w:tcPr>
            <w:tcW w:w="992" w:type="dxa"/>
            <w:shd w:val="clear" w:color="auto" w:fill="auto"/>
            <w:vAlign w:val="bottom"/>
          </w:tcPr>
          <w:p w14:paraId="6F5F9A02"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9</w:t>
            </w:r>
          </w:p>
        </w:tc>
        <w:tc>
          <w:tcPr>
            <w:tcW w:w="1111" w:type="dxa"/>
            <w:shd w:val="clear" w:color="auto" w:fill="auto"/>
          </w:tcPr>
          <w:p w14:paraId="41A42C59" w14:textId="77777777" w:rsidR="0019642E" w:rsidRPr="00DE0935" w:rsidRDefault="0019642E" w:rsidP="005F5F0D">
            <w:pPr>
              <w:spacing w:after="0" w:line="240" w:lineRule="auto"/>
              <w:contextualSpacing/>
              <w:jc w:val="center"/>
              <w:rPr>
                <w:rFonts w:cstheme="minorHAnsi"/>
                <w:color w:val="000000"/>
                <w:sz w:val="18"/>
                <w:szCs w:val="16"/>
              </w:rPr>
            </w:pPr>
            <w:r>
              <w:rPr>
                <w:rFonts w:cstheme="minorHAnsi"/>
                <w:color w:val="000000"/>
                <w:sz w:val="18"/>
                <w:szCs w:val="16"/>
              </w:rPr>
              <w:t>-3</w:t>
            </w:r>
          </w:p>
        </w:tc>
        <w:tc>
          <w:tcPr>
            <w:tcW w:w="1559" w:type="dxa"/>
            <w:shd w:val="clear" w:color="auto" w:fill="FBE4D5" w:themeFill="accent2" w:themeFillTint="33"/>
          </w:tcPr>
          <w:p w14:paraId="52462248" w14:textId="77777777" w:rsidR="0019642E" w:rsidRPr="00BB6710" w:rsidRDefault="0019642E" w:rsidP="005F5F0D">
            <w:pPr>
              <w:spacing w:after="0" w:line="240" w:lineRule="auto"/>
              <w:contextualSpacing/>
              <w:jc w:val="center"/>
              <w:rPr>
                <w:sz w:val="18"/>
              </w:rPr>
            </w:pPr>
            <w:r>
              <w:rPr>
                <w:sz w:val="18"/>
              </w:rPr>
              <w:t>3</w:t>
            </w:r>
            <w:r w:rsidRPr="00BB6710">
              <w:rPr>
                <w:sz w:val="18"/>
              </w:rPr>
              <w:t>%</w:t>
            </w:r>
          </w:p>
        </w:tc>
      </w:tr>
      <w:tr w:rsidR="0019642E" w:rsidRPr="006F738B" w14:paraId="191DAEAB" w14:textId="77777777" w:rsidTr="0019642E">
        <w:trPr>
          <w:trHeight w:val="186"/>
        </w:trPr>
        <w:tc>
          <w:tcPr>
            <w:tcW w:w="1413" w:type="dxa"/>
            <w:shd w:val="clear" w:color="auto" w:fill="BFBFBF" w:themeFill="background1" w:themeFillShade="BF"/>
            <w:noWrap/>
            <w:hideMark/>
          </w:tcPr>
          <w:p w14:paraId="320F1DDB"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Lower GI</w:t>
            </w:r>
            <w:r>
              <w:rPr>
                <w:rFonts w:cstheme="minorHAnsi"/>
                <w:color w:val="000000"/>
                <w:sz w:val="18"/>
                <w:szCs w:val="18"/>
                <w:lang w:eastAsia="en-GB"/>
              </w:rPr>
              <w:t xml:space="preserve"> </w:t>
            </w:r>
            <w:r w:rsidRPr="007A7A63">
              <w:rPr>
                <w:rFonts w:cstheme="minorHAnsi"/>
                <w:color w:val="000000"/>
                <w:sz w:val="10"/>
                <w:szCs w:val="10"/>
                <w:lang w:eastAsia="en-GB"/>
              </w:rPr>
              <w:t>(Excl. BSW)</w:t>
            </w:r>
          </w:p>
        </w:tc>
        <w:tc>
          <w:tcPr>
            <w:tcW w:w="876" w:type="dxa"/>
            <w:shd w:val="clear" w:color="auto" w:fill="auto"/>
            <w:vAlign w:val="bottom"/>
          </w:tcPr>
          <w:p w14:paraId="2F3E373E"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34</w:t>
            </w:r>
          </w:p>
        </w:tc>
        <w:tc>
          <w:tcPr>
            <w:tcW w:w="992" w:type="dxa"/>
            <w:tcBorders>
              <w:bottom w:val="single" w:sz="2" w:space="0" w:color="auto"/>
            </w:tcBorders>
            <w:shd w:val="clear" w:color="auto" w:fill="auto"/>
          </w:tcPr>
          <w:p w14:paraId="00DA0EA8" w14:textId="77777777" w:rsidR="0019642E" w:rsidRPr="00140C02" w:rsidRDefault="0019642E" w:rsidP="005F5F0D">
            <w:pPr>
              <w:spacing w:after="0" w:line="240" w:lineRule="auto"/>
              <w:jc w:val="center"/>
              <w:rPr>
                <w:rFonts w:cstheme="minorHAnsi"/>
                <w:color w:val="000000"/>
                <w:sz w:val="18"/>
                <w:szCs w:val="18"/>
              </w:rPr>
            </w:pPr>
            <w:r w:rsidRPr="00140C02">
              <w:rPr>
                <w:rFonts w:cstheme="minorHAnsi"/>
                <w:color w:val="000000"/>
                <w:sz w:val="18"/>
                <w:szCs w:val="18"/>
              </w:rPr>
              <w:t>38</w:t>
            </w:r>
          </w:p>
        </w:tc>
        <w:tc>
          <w:tcPr>
            <w:tcW w:w="1111" w:type="dxa"/>
            <w:shd w:val="clear" w:color="auto" w:fill="auto"/>
          </w:tcPr>
          <w:p w14:paraId="4871014C" w14:textId="77777777" w:rsidR="0019642E" w:rsidRPr="00DE0935" w:rsidRDefault="0019642E" w:rsidP="005F5F0D">
            <w:pPr>
              <w:spacing w:after="0" w:line="240" w:lineRule="auto"/>
              <w:contextualSpacing/>
              <w:jc w:val="center"/>
              <w:rPr>
                <w:rFonts w:cstheme="minorHAnsi"/>
                <w:color w:val="000000"/>
                <w:sz w:val="18"/>
                <w:szCs w:val="16"/>
              </w:rPr>
            </w:pPr>
            <w:r>
              <w:rPr>
                <w:rFonts w:cstheme="minorHAnsi"/>
                <w:color w:val="000000"/>
                <w:sz w:val="18"/>
                <w:szCs w:val="16"/>
              </w:rPr>
              <w:t>-4</w:t>
            </w:r>
          </w:p>
        </w:tc>
        <w:tc>
          <w:tcPr>
            <w:tcW w:w="1559" w:type="dxa"/>
            <w:shd w:val="clear" w:color="auto" w:fill="ED7D31" w:themeFill="accent2"/>
          </w:tcPr>
          <w:p w14:paraId="324B9847" w14:textId="77777777" w:rsidR="0019642E" w:rsidRPr="00BB6710" w:rsidRDefault="0019642E" w:rsidP="005F5F0D">
            <w:pPr>
              <w:spacing w:after="0" w:line="240" w:lineRule="auto"/>
              <w:contextualSpacing/>
              <w:jc w:val="center"/>
              <w:rPr>
                <w:sz w:val="18"/>
              </w:rPr>
            </w:pPr>
            <w:r>
              <w:rPr>
                <w:sz w:val="18"/>
              </w:rPr>
              <w:t>25</w:t>
            </w:r>
            <w:r w:rsidRPr="00BB6710">
              <w:rPr>
                <w:sz w:val="18"/>
              </w:rPr>
              <w:t>%</w:t>
            </w:r>
          </w:p>
        </w:tc>
      </w:tr>
      <w:tr w:rsidR="0019642E" w:rsidRPr="006F738B" w14:paraId="4936B302" w14:textId="77777777" w:rsidTr="0019642E">
        <w:trPr>
          <w:trHeight w:val="186"/>
        </w:trPr>
        <w:tc>
          <w:tcPr>
            <w:tcW w:w="1413" w:type="dxa"/>
            <w:shd w:val="clear" w:color="auto" w:fill="BFBFBF" w:themeFill="background1" w:themeFillShade="BF"/>
            <w:noWrap/>
          </w:tcPr>
          <w:p w14:paraId="22C2858E" w14:textId="77777777" w:rsidR="0019642E" w:rsidRPr="0019642E" w:rsidRDefault="0019642E" w:rsidP="005F5F0D">
            <w:pPr>
              <w:spacing w:after="0" w:line="240" w:lineRule="auto"/>
              <w:contextualSpacing/>
              <w:jc w:val="right"/>
              <w:rPr>
                <w:rFonts w:cstheme="minorHAnsi"/>
                <w:color w:val="000000"/>
                <w:sz w:val="18"/>
                <w:szCs w:val="18"/>
                <w:lang w:eastAsia="en-GB"/>
              </w:rPr>
            </w:pPr>
            <w:r w:rsidRPr="0019642E">
              <w:rPr>
                <w:rFonts w:cstheme="minorHAnsi"/>
                <w:color w:val="000000"/>
                <w:sz w:val="18"/>
                <w:szCs w:val="18"/>
                <w:lang w:eastAsia="en-GB"/>
              </w:rPr>
              <w:t>BSW</w:t>
            </w:r>
          </w:p>
        </w:tc>
        <w:tc>
          <w:tcPr>
            <w:tcW w:w="876" w:type="dxa"/>
            <w:shd w:val="clear" w:color="auto" w:fill="auto"/>
            <w:vAlign w:val="bottom"/>
          </w:tcPr>
          <w:p w14:paraId="01ED96B5" w14:textId="77777777" w:rsidR="0019642E" w:rsidRPr="0019642E" w:rsidRDefault="0019642E" w:rsidP="005F5F0D">
            <w:pPr>
              <w:spacing w:after="0" w:line="240" w:lineRule="auto"/>
              <w:jc w:val="center"/>
              <w:rPr>
                <w:rFonts w:cstheme="minorHAnsi"/>
                <w:color w:val="000000"/>
                <w:sz w:val="18"/>
                <w:szCs w:val="18"/>
              </w:rPr>
            </w:pPr>
            <w:r w:rsidRPr="0019642E">
              <w:rPr>
                <w:rFonts w:cs="Calibri"/>
                <w:color w:val="000000"/>
                <w:sz w:val="18"/>
                <w:szCs w:val="18"/>
              </w:rPr>
              <w:t>25</w:t>
            </w:r>
          </w:p>
        </w:tc>
        <w:tc>
          <w:tcPr>
            <w:tcW w:w="992" w:type="dxa"/>
            <w:tcBorders>
              <w:bottom w:val="single" w:sz="2" w:space="0" w:color="auto"/>
            </w:tcBorders>
            <w:shd w:val="clear" w:color="auto" w:fill="auto"/>
          </w:tcPr>
          <w:p w14:paraId="12BB3FD9" w14:textId="77777777" w:rsidR="0019642E" w:rsidRPr="0019642E" w:rsidRDefault="0019642E" w:rsidP="005F5F0D">
            <w:pPr>
              <w:spacing w:after="0" w:line="240" w:lineRule="auto"/>
              <w:jc w:val="center"/>
              <w:rPr>
                <w:rFonts w:cstheme="minorHAnsi"/>
                <w:color w:val="000000"/>
                <w:sz w:val="18"/>
                <w:szCs w:val="18"/>
              </w:rPr>
            </w:pPr>
            <w:r w:rsidRPr="0019642E">
              <w:rPr>
                <w:rFonts w:cstheme="minorHAnsi"/>
                <w:color w:val="000000"/>
                <w:sz w:val="18"/>
                <w:szCs w:val="18"/>
              </w:rPr>
              <w:t>-</w:t>
            </w:r>
          </w:p>
        </w:tc>
        <w:tc>
          <w:tcPr>
            <w:tcW w:w="1111" w:type="dxa"/>
            <w:shd w:val="clear" w:color="auto" w:fill="auto"/>
          </w:tcPr>
          <w:p w14:paraId="348D341D" w14:textId="77777777" w:rsidR="0019642E" w:rsidRPr="0019642E" w:rsidRDefault="0019642E" w:rsidP="005F5F0D">
            <w:pPr>
              <w:spacing w:after="0" w:line="240" w:lineRule="auto"/>
              <w:contextualSpacing/>
              <w:jc w:val="center"/>
              <w:rPr>
                <w:rFonts w:cstheme="minorHAnsi"/>
                <w:color w:val="000000"/>
                <w:sz w:val="18"/>
                <w:szCs w:val="16"/>
              </w:rPr>
            </w:pPr>
            <w:r w:rsidRPr="0019642E">
              <w:rPr>
                <w:rFonts w:cstheme="minorHAnsi"/>
                <w:color w:val="000000"/>
                <w:sz w:val="18"/>
                <w:szCs w:val="16"/>
              </w:rPr>
              <w:t>-</w:t>
            </w:r>
          </w:p>
        </w:tc>
        <w:tc>
          <w:tcPr>
            <w:tcW w:w="1559" w:type="dxa"/>
            <w:shd w:val="clear" w:color="auto" w:fill="auto"/>
          </w:tcPr>
          <w:p w14:paraId="28150392" w14:textId="77777777" w:rsidR="0019642E" w:rsidRPr="0019642E" w:rsidRDefault="0019642E" w:rsidP="005F5F0D">
            <w:pPr>
              <w:spacing w:after="0" w:line="240" w:lineRule="auto"/>
              <w:contextualSpacing/>
              <w:jc w:val="center"/>
              <w:rPr>
                <w:sz w:val="18"/>
              </w:rPr>
            </w:pPr>
            <w:r w:rsidRPr="0019642E">
              <w:rPr>
                <w:sz w:val="18"/>
              </w:rPr>
              <w:t>-</w:t>
            </w:r>
          </w:p>
        </w:tc>
      </w:tr>
      <w:tr w:rsidR="0019642E" w:rsidRPr="006F738B" w14:paraId="4B4F9476" w14:textId="77777777" w:rsidTr="0019642E">
        <w:trPr>
          <w:trHeight w:val="42"/>
        </w:trPr>
        <w:tc>
          <w:tcPr>
            <w:tcW w:w="1413" w:type="dxa"/>
            <w:shd w:val="clear" w:color="auto" w:fill="BFBFBF" w:themeFill="background1" w:themeFillShade="BF"/>
            <w:noWrap/>
            <w:hideMark/>
          </w:tcPr>
          <w:p w14:paraId="527E2BB1"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Lung</w:t>
            </w:r>
          </w:p>
        </w:tc>
        <w:tc>
          <w:tcPr>
            <w:tcW w:w="876" w:type="dxa"/>
            <w:shd w:val="clear" w:color="auto" w:fill="auto"/>
            <w:vAlign w:val="bottom"/>
          </w:tcPr>
          <w:p w14:paraId="1D341796"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18</w:t>
            </w:r>
          </w:p>
        </w:tc>
        <w:tc>
          <w:tcPr>
            <w:tcW w:w="992" w:type="dxa"/>
            <w:shd w:val="clear" w:color="auto" w:fill="auto"/>
            <w:vAlign w:val="bottom"/>
          </w:tcPr>
          <w:p w14:paraId="7279878B"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19</w:t>
            </w:r>
          </w:p>
        </w:tc>
        <w:tc>
          <w:tcPr>
            <w:tcW w:w="1111" w:type="dxa"/>
            <w:shd w:val="clear" w:color="auto" w:fill="auto"/>
          </w:tcPr>
          <w:p w14:paraId="3B51C639" w14:textId="77777777" w:rsidR="0019642E" w:rsidRPr="00DE0935" w:rsidRDefault="0019642E" w:rsidP="005F5F0D">
            <w:pPr>
              <w:spacing w:after="0" w:line="240" w:lineRule="auto"/>
              <w:contextualSpacing/>
              <w:jc w:val="center"/>
              <w:rPr>
                <w:rFonts w:cstheme="minorHAnsi"/>
                <w:color w:val="000000"/>
                <w:sz w:val="18"/>
                <w:szCs w:val="16"/>
              </w:rPr>
            </w:pPr>
            <w:r>
              <w:rPr>
                <w:rFonts w:cstheme="minorHAnsi"/>
                <w:color w:val="000000"/>
                <w:sz w:val="18"/>
                <w:szCs w:val="16"/>
              </w:rPr>
              <w:t>-1</w:t>
            </w:r>
          </w:p>
        </w:tc>
        <w:tc>
          <w:tcPr>
            <w:tcW w:w="1559" w:type="dxa"/>
            <w:shd w:val="clear" w:color="auto" w:fill="F7CAAC" w:themeFill="accent2" w:themeFillTint="66"/>
          </w:tcPr>
          <w:p w14:paraId="4B2E53BF" w14:textId="77777777" w:rsidR="0019642E" w:rsidRPr="00BB6710" w:rsidRDefault="0019642E" w:rsidP="005F5F0D">
            <w:pPr>
              <w:spacing w:after="0" w:line="240" w:lineRule="auto"/>
              <w:contextualSpacing/>
              <w:jc w:val="center"/>
              <w:rPr>
                <w:sz w:val="18"/>
              </w:rPr>
            </w:pPr>
            <w:r>
              <w:rPr>
                <w:sz w:val="18"/>
              </w:rPr>
              <w:t>8</w:t>
            </w:r>
            <w:r w:rsidRPr="00BB6710">
              <w:rPr>
                <w:sz w:val="18"/>
              </w:rPr>
              <w:t>%</w:t>
            </w:r>
          </w:p>
        </w:tc>
      </w:tr>
      <w:tr w:rsidR="0019642E" w:rsidRPr="006F738B" w14:paraId="635B3A67" w14:textId="77777777" w:rsidTr="0019642E">
        <w:trPr>
          <w:trHeight w:val="42"/>
        </w:trPr>
        <w:tc>
          <w:tcPr>
            <w:tcW w:w="1413" w:type="dxa"/>
            <w:shd w:val="clear" w:color="auto" w:fill="BFBFBF" w:themeFill="background1" w:themeFillShade="BF"/>
            <w:noWrap/>
            <w:hideMark/>
          </w:tcPr>
          <w:p w14:paraId="46FF570C"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Other</w:t>
            </w:r>
          </w:p>
        </w:tc>
        <w:tc>
          <w:tcPr>
            <w:tcW w:w="876" w:type="dxa"/>
            <w:shd w:val="clear" w:color="auto" w:fill="auto"/>
            <w:vAlign w:val="bottom"/>
          </w:tcPr>
          <w:p w14:paraId="3330F5A9"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4</w:t>
            </w:r>
          </w:p>
        </w:tc>
        <w:tc>
          <w:tcPr>
            <w:tcW w:w="992" w:type="dxa"/>
            <w:shd w:val="clear" w:color="auto" w:fill="auto"/>
            <w:vAlign w:val="bottom"/>
          </w:tcPr>
          <w:p w14:paraId="784D2B3C"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0</w:t>
            </w:r>
          </w:p>
        </w:tc>
        <w:tc>
          <w:tcPr>
            <w:tcW w:w="1111" w:type="dxa"/>
            <w:shd w:val="clear" w:color="auto" w:fill="FFFF00"/>
          </w:tcPr>
          <w:p w14:paraId="43808AA4" w14:textId="77777777" w:rsidR="0019642E" w:rsidRPr="00DE0935" w:rsidRDefault="0019642E" w:rsidP="005F5F0D">
            <w:pPr>
              <w:spacing w:after="0" w:line="240" w:lineRule="auto"/>
              <w:contextualSpacing/>
              <w:jc w:val="center"/>
              <w:rPr>
                <w:rFonts w:cstheme="minorHAnsi"/>
                <w:color w:val="000000"/>
                <w:sz w:val="18"/>
                <w:szCs w:val="16"/>
              </w:rPr>
            </w:pPr>
            <w:r>
              <w:rPr>
                <w:rFonts w:cstheme="minorHAnsi"/>
                <w:color w:val="000000"/>
                <w:sz w:val="18"/>
                <w:szCs w:val="16"/>
              </w:rPr>
              <w:t>4</w:t>
            </w:r>
          </w:p>
        </w:tc>
        <w:tc>
          <w:tcPr>
            <w:tcW w:w="1559" w:type="dxa"/>
            <w:shd w:val="clear" w:color="auto" w:fill="FBE4D5" w:themeFill="accent2" w:themeFillTint="33"/>
          </w:tcPr>
          <w:p w14:paraId="35539A82" w14:textId="77777777" w:rsidR="0019642E" w:rsidRPr="00BB6710" w:rsidRDefault="0019642E" w:rsidP="005F5F0D">
            <w:pPr>
              <w:spacing w:after="0" w:line="240" w:lineRule="auto"/>
              <w:contextualSpacing/>
              <w:jc w:val="center"/>
              <w:rPr>
                <w:sz w:val="18"/>
              </w:rPr>
            </w:pPr>
            <w:r>
              <w:rPr>
                <w:sz w:val="18"/>
              </w:rPr>
              <w:t>2</w:t>
            </w:r>
            <w:r w:rsidRPr="00BB6710">
              <w:rPr>
                <w:sz w:val="18"/>
              </w:rPr>
              <w:t>%</w:t>
            </w:r>
          </w:p>
        </w:tc>
      </w:tr>
      <w:tr w:rsidR="0019642E" w:rsidRPr="006F738B" w14:paraId="39BAD1C6" w14:textId="77777777" w:rsidTr="0019642E">
        <w:trPr>
          <w:trHeight w:val="42"/>
        </w:trPr>
        <w:tc>
          <w:tcPr>
            <w:tcW w:w="1413" w:type="dxa"/>
            <w:shd w:val="clear" w:color="auto" w:fill="BFBFBF" w:themeFill="background1" w:themeFillShade="BF"/>
            <w:noWrap/>
          </w:tcPr>
          <w:p w14:paraId="3DDC5EB4"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Sarcoma</w:t>
            </w:r>
          </w:p>
        </w:tc>
        <w:tc>
          <w:tcPr>
            <w:tcW w:w="876" w:type="dxa"/>
            <w:shd w:val="clear" w:color="auto" w:fill="auto"/>
            <w:vAlign w:val="bottom"/>
          </w:tcPr>
          <w:p w14:paraId="409CEECE"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4</w:t>
            </w:r>
          </w:p>
        </w:tc>
        <w:tc>
          <w:tcPr>
            <w:tcW w:w="992" w:type="dxa"/>
            <w:shd w:val="clear" w:color="auto" w:fill="auto"/>
            <w:vAlign w:val="bottom"/>
          </w:tcPr>
          <w:p w14:paraId="5F8218CB"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3</w:t>
            </w:r>
          </w:p>
        </w:tc>
        <w:tc>
          <w:tcPr>
            <w:tcW w:w="1111" w:type="dxa"/>
            <w:shd w:val="clear" w:color="auto" w:fill="FFFF00"/>
          </w:tcPr>
          <w:p w14:paraId="1CFE1A49" w14:textId="77777777" w:rsidR="0019642E" w:rsidRPr="00DE0935" w:rsidRDefault="0019642E" w:rsidP="005F5F0D">
            <w:pPr>
              <w:spacing w:after="0" w:line="240" w:lineRule="auto"/>
              <w:contextualSpacing/>
              <w:jc w:val="center"/>
              <w:rPr>
                <w:rFonts w:cstheme="minorHAnsi"/>
                <w:color w:val="000000"/>
                <w:sz w:val="18"/>
                <w:szCs w:val="16"/>
              </w:rPr>
            </w:pPr>
            <w:r>
              <w:rPr>
                <w:rFonts w:cstheme="minorHAnsi"/>
                <w:color w:val="000000"/>
                <w:sz w:val="18"/>
                <w:szCs w:val="16"/>
              </w:rPr>
              <w:t>1</w:t>
            </w:r>
          </w:p>
        </w:tc>
        <w:tc>
          <w:tcPr>
            <w:tcW w:w="1559" w:type="dxa"/>
            <w:shd w:val="clear" w:color="auto" w:fill="FBE4D5" w:themeFill="accent2" w:themeFillTint="33"/>
          </w:tcPr>
          <w:p w14:paraId="5B4323A2" w14:textId="77777777" w:rsidR="0019642E" w:rsidRPr="00BB6710" w:rsidRDefault="0019642E" w:rsidP="005F5F0D">
            <w:pPr>
              <w:spacing w:after="0" w:line="240" w:lineRule="auto"/>
              <w:contextualSpacing/>
              <w:jc w:val="center"/>
              <w:rPr>
                <w:sz w:val="18"/>
              </w:rPr>
            </w:pPr>
            <w:r>
              <w:rPr>
                <w:sz w:val="18"/>
              </w:rPr>
              <w:t>2</w:t>
            </w:r>
            <w:r w:rsidRPr="00BB6710">
              <w:rPr>
                <w:sz w:val="18"/>
              </w:rPr>
              <w:t>%</w:t>
            </w:r>
          </w:p>
        </w:tc>
      </w:tr>
      <w:tr w:rsidR="0019642E" w:rsidRPr="006F738B" w14:paraId="27BD5103" w14:textId="77777777" w:rsidTr="0019642E">
        <w:trPr>
          <w:trHeight w:val="49"/>
        </w:trPr>
        <w:tc>
          <w:tcPr>
            <w:tcW w:w="1413" w:type="dxa"/>
            <w:shd w:val="clear" w:color="auto" w:fill="BFBFBF" w:themeFill="background1" w:themeFillShade="BF"/>
            <w:noWrap/>
            <w:hideMark/>
          </w:tcPr>
          <w:p w14:paraId="4F0E5D30"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Skin</w:t>
            </w:r>
          </w:p>
        </w:tc>
        <w:tc>
          <w:tcPr>
            <w:tcW w:w="876" w:type="dxa"/>
            <w:shd w:val="clear" w:color="auto" w:fill="auto"/>
            <w:vAlign w:val="bottom"/>
          </w:tcPr>
          <w:p w14:paraId="2C28E617"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21</w:t>
            </w:r>
          </w:p>
        </w:tc>
        <w:tc>
          <w:tcPr>
            <w:tcW w:w="992" w:type="dxa"/>
            <w:tcBorders>
              <w:bottom w:val="single" w:sz="4" w:space="0" w:color="auto"/>
            </w:tcBorders>
            <w:shd w:val="clear" w:color="auto" w:fill="auto"/>
            <w:vAlign w:val="bottom"/>
          </w:tcPr>
          <w:p w14:paraId="380FDB18"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14</w:t>
            </w:r>
          </w:p>
        </w:tc>
        <w:tc>
          <w:tcPr>
            <w:tcW w:w="1111" w:type="dxa"/>
            <w:shd w:val="clear" w:color="auto" w:fill="FFFF00"/>
          </w:tcPr>
          <w:p w14:paraId="53550048" w14:textId="77777777" w:rsidR="0019642E" w:rsidRPr="00DE0935" w:rsidRDefault="0019642E" w:rsidP="005F5F0D">
            <w:pPr>
              <w:spacing w:after="0" w:line="240" w:lineRule="auto"/>
              <w:contextualSpacing/>
              <w:jc w:val="center"/>
              <w:rPr>
                <w:rFonts w:cstheme="minorHAnsi"/>
                <w:color w:val="000000"/>
                <w:sz w:val="18"/>
                <w:szCs w:val="16"/>
              </w:rPr>
            </w:pPr>
            <w:r>
              <w:rPr>
                <w:rFonts w:cstheme="minorHAnsi"/>
                <w:color w:val="000000"/>
                <w:sz w:val="18"/>
                <w:szCs w:val="16"/>
              </w:rPr>
              <w:t>7</w:t>
            </w:r>
          </w:p>
        </w:tc>
        <w:tc>
          <w:tcPr>
            <w:tcW w:w="1559" w:type="dxa"/>
            <w:shd w:val="clear" w:color="auto" w:fill="F7CAAC" w:themeFill="accent2" w:themeFillTint="66"/>
          </w:tcPr>
          <w:p w14:paraId="7EF8BED1" w14:textId="77777777" w:rsidR="0019642E" w:rsidRPr="00BB6710" w:rsidRDefault="0019642E" w:rsidP="005F5F0D">
            <w:pPr>
              <w:spacing w:after="0" w:line="240" w:lineRule="auto"/>
              <w:contextualSpacing/>
              <w:jc w:val="center"/>
              <w:rPr>
                <w:sz w:val="18"/>
              </w:rPr>
            </w:pPr>
            <w:r>
              <w:rPr>
                <w:sz w:val="18"/>
              </w:rPr>
              <w:t>9</w:t>
            </w:r>
            <w:r w:rsidRPr="00BB6710">
              <w:rPr>
                <w:sz w:val="18"/>
              </w:rPr>
              <w:t>%</w:t>
            </w:r>
          </w:p>
        </w:tc>
      </w:tr>
      <w:tr w:rsidR="0019642E" w:rsidRPr="006F738B" w14:paraId="491E9328" w14:textId="77777777" w:rsidTr="0019642E">
        <w:trPr>
          <w:trHeight w:val="42"/>
        </w:trPr>
        <w:tc>
          <w:tcPr>
            <w:tcW w:w="1413" w:type="dxa"/>
            <w:shd w:val="clear" w:color="auto" w:fill="BFBFBF" w:themeFill="background1" w:themeFillShade="BF"/>
            <w:noWrap/>
            <w:hideMark/>
          </w:tcPr>
          <w:p w14:paraId="24D9A7F3"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Upper GI</w:t>
            </w:r>
          </w:p>
        </w:tc>
        <w:tc>
          <w:tcPr>
            <w:tcW w:w="876" w:type="dxa"/>
            <w:shd w:val="clear" w:color="auto" w:fill="auto"/>
            <w:vAlign w:val="bottom"/>
          </w:tcPr>
          <w:p w14:paraId="4D5D24DF"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17</w:t>
            </w:r>
          </w:p>
        </w:tc>
        <w:tc>
          <w:tcPr>
            <w:tcW w:w="992" w:type="dxa"/>
            <w:tcBorders>
              <w:top w:val="single" w:sz="4" w:space="0" w:color="auto"/>
            </w:tcBorders>
            <w:shd w:val="clear" w:color="auto" w:fill="auto"/>
            <w:vAlign w:val="bottom"/>
          </w:tcPr>
          <w:p w14:paraId="095C4B4B"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18</w:t>
            </w:r>
          </w:p>
        </w:tc>
        <w:tc>
          <w:tcPr>
            <w:tcW w:w="1111" w:type="dxa"/>
            <w:shd w:val="clear" w:color="auto" w:fill="auto"/>
          </w:tcPr>
          <w:p w14:paraId="34C12C47" w14:textId="77777777" w:rsidR="0019642E" w:rsidRPr="00DE0935" w:rsidRDefault="0019642E" w:rsidP="005F5F0D">
            <w:pPr>
              <w:spacing w:after="0" w:line="240" w:lineRule="auto"/>
              <w:contextualSpacing/>
              <w:jc w:val="center"/>
              <w:rPr>
                <w:rFonts w:cstheme="minorHAnsi"/>
                <w:color w:val="000000"/>
                <w:sz w:val="18"/>
                <w:szCs w:val="16"/>
              </w:rPr>
            </w:pPr>
            <w:r>
              <w:rPr>
                <w:rFonts w:cstheme="minorHAnsi"/>
                <w:color w:val="000000"/>
                <w:sz w:val="18"/>
                <w:szCs w:val="16"/>
              </w:rPr>
              <w:t>-1</w:t>
            </w:r>
          </w:p>
        </w:tc>
        <w:tc>
          <w:tcPr>
            <w:tcW w:w="1559" w:type="dxa"/>
            <w:shd w:val="clear" w:color="auto" w:fill="F7CAAC" w:themeFill="accent2" w:themeFillTint="66"/>
          </w:tcPr>
          <w:p w14:paraId="71CC63D3" w14:textId="77777777" w:rsidR="0019642E" w:rsidRPr="00BB6710" w:rsidRDefault="0019642E" w:rsidP="005F5F0D">
            <w:pPr>
              <w:spacing w:after="0" w:line="240" w:lineRule="auto"/>
              <w:contextualSpacing/>
              <w:jc w:val="center"/>
              <w:rPr>
                <w:sz w:val="18"/>
              </w:rPr>
            </w:pPr>
            <w:r>
              <w:rPr>
                <w:sz w:val="18"/>
              </w:rPr>
              <w:t>7</w:t>
            </w:r>
            <w:r w:rsidRPr="00BB6710">
              <w:rPr>
                <w:sz w:val="18"/>
              </w:rPr>
              <w:t>%</w:t>
            </w:r>
          </w:p>
        </w:tc>
      </w:tr>
      <w:tr w:rsidR="0019642E" w:rsidRPr="005913EF" w14:paraId="0D8B6337" w14:textId="77777777" w:rsidTr="0019642E">
        <w:trPr>
          <w:trHeight w:val="204"/>
        </w:trPr>
        <w:tc>
          <w:tcPr>
            <w:tcW w:w="1413" w:type="dxa"/>
            <w:shd w:val="clear" w:color="auto" w:fill="BFBFBF" w:themeFill="background1" w:themeFillShade="BF"/>
            <w:noWrap/>
            <w:hideMark/>
          </w:tcPr>
          <w:p w14:paraId="350048F6" w14:textId="77777777" w:rsidR="0019642E" w:rsidRPr="006F738B" w:rsidRDefault="0019642E" w:rsidP="005F5F0D">
            <w:pPr>
              <w:spacing w:after="0" w:line="240" w:lineRule="auto"/>
              <w:contextualSpacing/>
              <w:jc w:val="right"/>
              <w:rPr>
                <w:rFonts w:cstheme="minorHAnsi"/>
                <w:color w:val="000000"/>
                <w:sz w:val="18"/>
                <w:szCs w:val="18"/>
                <w:lang w:eastAsia="en-GB"/>
              </w:rPr>
            </w:pPr>
            <w:r w:rsidRPr="006F738B">
              <w:rPr>
                <w:rFonts w:cstheme="minorHAnsi"/>
                <w:color w:val="000000"/>
                <w:sz w:val="18"/>
                <w:szCs w:val="18"/>
                <w:lang w:eastAsia="en-GB"/>
              </w:rPr>
              <w:t>Urological</w:t>
            </w:r>
          </w:p>
        </w:tc>
        <w:tc>
          <w:tcPr>
            <w:tcW w:w="876" w:type="dxa"/>
            <w:shd w:val="clear" w:color="auto" w:fill="auto"/>
            <w:vAlign w:val="bottom"/>
          </w:tcPr>
          <w:p w14:paraId="01D3D7FB"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43</w:t>
            </w:r>
          </w:p>
        </w:tc>
        <w:tc>
          <w:tcPr>
            <w:tcW w:w="992" w:type="dxa"/>
            <w:shd w:val="clear" w:color="auto" w:fill="auto"/>
            <w:vAlign w:val="bottom"/>
          </w:tcPr>
          <w:p w14:paraId="37117C4B" w14:textId="77777777" w:rsidR="0019642E" w:rsidRPr="00140C02" w:rsidRDefault="0019642E" w:rsidP="005F5F0D">
            <w:pPr>
              <w:spacing w:after="0" w:line="240" w:lineRule="auto"/>
              <w:jc w:val="center"/>
              <w:rPr>
                <w:rFonts w:cstheme="minorHAnsi"/>
                <w:color w:val="000000"/>
                <w:sz w:val="18"/>
                <w:szCs w:val="18"/>
              </w:rPr>
            </w:pPr>
            <w:r>
              <w:rPr>
                <w:rFonts w:cs="Calibri"/>
                <w:color w:val="000000"/>
                <w:sz w:val="18"/>
                <w:szCs w:val="18"/>
              </w:rPr>
              <w:t>41</w:t>
            </w:r>
          </w:p>
        </w:tc>
        <w:tc>
          <w:tcPr>
            <w:tcW w:w="1111" w:type="dxa"/>
            <w:shd w:val="clear" w:color="auto" w:fill="FFFF00"/>
          </w:tcPr>
          <w:p w14:paraId="34DA275C" w14:textId="77777777" w:rsidR="0019642E" w:rsidRPr="00DE0935" w:rsidRDefault="0019642E" w:rsidP="005F5F0D">
            <w:pPr>
              <w:spacing w:after="0" w:line="240" w:lineRule="auto"/>
              <w:contextualSpacing/>
              <w:jc w:val="center"/>
              <w:rPr>
                <w:rFonts w:cstheme="minorHAnsi"/>
                <w:color w:val="000000"/>
                <w:sz w:val="18"/>
                <w:szCs w:val="16"/>
                <w:highlight w:val="yellow"/>
              </w:rPr>
            </w:pPr>
            <w:r>
              <w:rPr>
                <w:rFonts w:cstheme="minorHAnsi"/>
                <w:color w:val="000000"/>
                <w:sz w:val="18"/>
                <w:szCs w:val="16"/>
              </w:rPr>
              <w:t>2</w:t>
            </w:r>
          </w:p>
        </w:tc>
        <w:tc>
          <w:tcPr>
            <w:tcW w:w="1559" w:type="dxa"/>
            <w:shd w:val="clear" w:color="auto" w:fill="ED7D31" w:themeFill="accent2"/>
          </w:tcPr>
          <w:p w14:paraId="3024C44C" w14:textId="77777777" w:rsidR="0019642E" w:rsidRPr="00BB6710" w:rsidRDefault="0019642E" w:rsidP="005F5F0D">
            <w:pPr>
              <w:spacing w:after="0" w:line="240" w:lineRule="auto"/>
              <w:contextualSpacing/>
              <w:jc w:val="center"/>
              <w:rPr>
                <w:sz w:val="18"/>
              </w:rPr>
            </w:pPr>
            <w:r>
              <w:rPr>
                <w:sz w:val="18"/>
              </w:rPr>
              <w:t>18</w:t>
            </w:r>
            <w:r w:rsidRPr="00BB6710">
              <w:rPr>
                <w:sz w:val="18"/>
              </w:rPr>
              <w:t>%</w:t>
            </w:r>
          </w:p>
        </w:tc>
      </w:tr>
      <w:tr w:rsidR="0019642E" w:rsidRPr="006F738B" w14:paraId="7F40B020" w14:textId="77777777" w:rsidTr="0019642E">
        <w:trPr>
          <w:trHeight w:val="140"/>
        </w:trPr>
        <w:tc>
          <w:tcPr>
            <w:tcW w:w="1413" w:type="dxa"/>
            <w:shd w:val="clear" w:color="auto" w:fill="BFBFBF" w:themeFill="background1" w:themeFillShade="BF"/>
            <w:noWrap/>
            <w:vAlign w:val="bottom"/>
            <w:hideMark/>
          </w:tcPr>
          <w:p w14:paraId="3769F306" w14:textId="77777777" w:rsidR="0019642E" w:rsidRPr="00986202" w:rsidRDefault="0019642E" w:rsidP="005F5F0D">
            <w:pPr>
              <w:spacing w:after="0" w:line="240" w:lineRule="auto"/>
              <w:contextualSpacing/>
              <w:jc w:val="center"/>
              <w:rPr>
                <w:rFonts w:cstheme="minorHAnsi"/>
                <w:b/>
                <w:color w:val="000000"/>
                <w:sz w:val="18"/>
                <w:szCs w:val="18"/>
              </w:rPr>
            </w:pPr>
            <w:r w:rsidRPr="00986202">
              <w:rPr>
                <w:rFonts w:cstheme="minorHAnsi"/>
                <w:b/>
                <w:color w:val="000000"/>
                <w:sz w:val="18"/>
                <w:szCs w:val="18"/>
              </w:rPr>
              <w:t>Grand Total</w:t>
            </w:r>
          </w:p>
        </w:tc>
        <w:tc>
          <w:tcPr>
            <w:tcW w:w="876" w:type="dxa"/>
            <w:shd w:val="clear" w:color="auto" w:fill="auto"/>
            <w:vAlign w:val="bottom"/>
          </w:tcPr>
          <w:p w14:paraId="6286A2C8" w14:textId="77777777" w:rsidR="0019642E" w:rsidRPr="0021459F" w:rsidRDefault="0019642E" w:rsidP="005F5F0D">
            <w:pPr>
              <w:spacing w:after="0" w:line="240" w:lineRule="auto"/>
              <w:jc w:val="center"/>
              <w:rPr>
                <w:rFonts w:cstheme="minorHAnsi"/>
                <w:b/>
                <w:color w:val="000000"/>
                <w:sz w:val="18"/>
                <w:szCs w:val="16"/>
              </w:rPr>
            </w:pPr>
            <w:r w:rsidRPr="0021459F">
              <w:rPr>
                <w:rFonts w:cs="Calibri"/>
                <w:b/>
                <w:color w:val="000000"/>
                <w:sz w:val="18"/>
                <w:szCs w:val="16"/>
              </w:rPr>
              <w:t>237</w:t>
            </w:r>
          </w:p>
        </w:tc>
        <w:tc>
          <w:tcPr>
            <w:tcW w:w="992" w:type="dxa"/>
            <w:shd w:val="clear" w:color="auto" w:fill="auto"/>
            <w:vAlign w:val="bottom"/>
          </w:tcPr>
          <w:p w14:paraId="621FABBF" w14:textId="77777777" w:rsidR="0019642E" w:rsidRPr="0021459F" w:rsidRDefault="0019642E" w:rsidP="005F5F0D">
            <w:pPr>
              <w:spacing w:after="0" w:line="240" w:lineRule="auto"/>
              <w:jc w:val="center"/>
              <w:rPr>
                <w:rFonts w:cstheme="minorHAnsi"/>
                <w:b/>
                <w:color w:val="000000"/>
                <w:sz w:val="18"/>
                <w:szCs w:val="16"/>
              </w:rPr>
            </w:pPr>
            <w:r w:rsidRPr="0021459F">
              <w:rPr>
                <w:rFonts w:cstheme="minorHAnsi"/>
                <w:b/>
                <w:bCs/>
                <w:sz w:val="18"/>
                <w:szCs w:val="16"/>
              </w:rPr>
              <w:t>197</w:t>
            </w:r>
          </w:p>
        </w:tc>
        <w:tc>
          <w:tcPr>
            <w:tcW w:w="1111" w:type="dxa"/>
            <w:shd w:val="clear" w:color="auto" w:fill="auto"/>
            <w:vAlign w:val="bottom"/>
          </w:tcPr>
          <w:p w14:paraId="740C9719" w14:textId="77777777" w:rsidR="0019642E" w:rsidRPr="0021459F" w:rsidRDefault="0019642E" w:rsidP="005F5F0D">
            <w:pPr>
              <w:spacing w:after="0" w:line="240" w:lineRule="auto"/>
              <w:contextualSpacing/>
              <w:jc w:val="center"/>
              <w:rPr>
                <w:rFonts w:cstheme="minorHAnsi"/>
                <w:b/>
                <w:color w:val="000000"/>
                <w:sz w:val="18"/>
                <w:szCs w:val="16"/>
              </w:rPr>
            </w:pPr>
            <w:r>
              <w:rPr>
                <w:rFonts w:cstheme="minorHAnsi"/>
                <w:b/>
                <w:color w:val="000000"/>
                <w:sz w:val="18"/>
                <w:szCs w:val="16"/>
              </w:rPr>
              <w:t>40</w:t>
            </w:r>
          </w:p>
        </w:tc>
        <w:tc>
          <w:tcPr>
            <w:tcW w:w="1559" w:type="dxa"/>
            <w:vAlign w:val="bottom"/>
          </w:tcPr>
          <w:p w14:paraId="220D9CAF" w14:textId="77777777" w:rsidR="0019642E" w:rsidRPr="00337B09" w:rsidRDefault="0019642E" w:rsidP="005F5F0D">
            <w:pPr>
              <w:spacing w:after="0" w:line="240" w:lineRule="auto"/>
              <w:contextualSpacing/>
              <w:jc w:val="center"/>
              <w:rPr>
                <w:rFonts w:cs="Calibri"/>
                <w:b/>
                <w:color w:val="000000"/>
                <w:sz w:val="18"/>
                <w:szCs w:val="18"/>
              </w:rPr>
            </w:pPr>
          </w:p>
        </w:tc>
      </w:tr>
    </w:tbl>
    <w:p w14:paraId="530769E9" w14:textId="77777777" w:rsidR="0019642E" w:rsidRDefault="0019642E" w:rsidP="0019642E">
      <w:pPr>
        <w:spacing w:after="0" w:line="240" w:lineRule="auto"/>
        <w:jc w:val="both"/>
        <w:rPr>
          <w:rFonts w:ascii="Arial" w:hAnsi="Arial" w:cs="Arial"/>
          <w:bCs/>
          <w:sz w:val="24"/>
          <w:szCs w:val="24"/>
        </w:rPr>
      </w:pPr>
    </w:p>
    <w:p w14:paraId="597E1E06" w14:textId="42752045" w:rsidR="0019642E" w:rsidRDefault="0019642E" w:rsidP="0019642E">
      <w:pPr>
        <w:spacing w:after="0" w:line="240" w:lineRule="auto"/>
        <w:jc w:val="both"/>
        <w:rPr>
          <w:rFonts w:ascii="Arial" w:hAnsi="Arial" w:cs="Arial"/>
          <w:bCs/>
          <w:sz w:val="24"/>
          <w:szCs w:val="24"/>
        </w:rPr>
      </w:pPr>
    </w:p>
    <w:p w14:paraId="7B305216" w14:textId="77777777" w:rsidR="0019642E" w:rsidRPr="000726E2" w:rsidRDefault="0019642E" w:rsidP="0019642E">
      <w:pPr>
        <w:spacing w:after="0" w:line="240" w:lineRule="auto"/>
        <w:jc w:val="both"/>
        <w:rPr>
          <w:rFonts w:ascii="Arial" w:hAnsi="Arial" w:cs="Arial"/>
          <w:bCs/>
          <w:sz w:val="24"/>
          <w:szCs w:val="24"/>
        </w:rPr>
      </w:pPr>
    </w:p>
    <w:p w14:paraId="07CA1500" w14:textId="77777777" w:rsidR="0019642E" w:rsidRDefault="0019642E" w:rsidP="0019642E">
      <w:pPr>
        <w:spacing w:after="0" w:line="240" w:lineRule="auto"/>
        <w:jc w:val="both"/>
        <w:rPr>
          <w:rFonts w:ascii="Arial" w:hAnsi="Arial" w:cs="Arial"/>
          <w:bCs/>
          <w:sz w:val="16"/>
          <w:szCs w:val="16"/>
        </w:rPr>
      </w:pPr>
    </w:p>
    <w:p w14:paraId="68807AE7" w14:textId="77777777" w:rsidR="0019642E" w:rsidRDefault="0019642E" w:rsidP="0019642E">
      <w:pPr>
        <w:spacing w:after="0" w:line="240" w:lineRule="auto"/>
        <w:rPr>
          <w:rFonts w:ascii="Arial" w:hAnsi="Arial" w:cs="Arial"/>
          <w:sz w:val="24"/>
          <w:szCs w:val="24"/>
        </w:rPr>
      </w:pPr>
    </w:p>
    <w:p w14:paraId="7642CF48" w14:textId="77777777" w:rsidR="0019642E" w:rsidRDefault="0019642E" w:rsidP="0019642E">
      <w:pPr>
        <w:spacing w:after="0" w:line="240" w:lineRule="auto"/>
        <w:rPr>
          <w:rFonts w:ascii="Arial" w:hAnsi="Arial" w:cs="Arial"/>
          <w:sz w:val="24"/>
          <w:szCs w:val="24"/>
        </w:rPr>
      </w:pPr>
    </w:p>
    <w:p w14:paraId="16286505" w14:textId="77777777" w:rsidR="0019642E" w:rsidRDefault="0019642E" w:rsidP="0019642E">
      <w:pPr>
        <w:spacing w:after="0" w:line="240" w:lineRule="auto"/>
        <w:rPr>
          <w:rFonts w:ascii="Arial" w:hAnsi="Arial" w:cs="Arial"/>
          <w:sz w:val="24"/>
          <w:szCs w:val="24"/>
        </w:rPr>
      </w:pPr>
    </w:p>
    <w:p w14:paraId="03F5C4A9" w14:textId="77777777" w:rsidR="0019642E" w:rsidRDefault="0019642E" w:rsidP="0019642E">
      <w:pPr>
        <w:spacing w:after="0" w:line="240" w:lineRule="auto"/>
        <w:rPr>
          <w:rFonts w:ascii="Arial" w:hAnsi="Arial" w:cs="Arial"/>
          <w:sz w:val="24"/>
          <w:szCs w:val="24"/>
        </w:rPr>
      </w:pPr>
    </w:p>
    <w:p w14:paraId="65B2D883" w14:textId="77777777" w:rsidR="0019642E" w:rsidRDefault="0019642E" w:rsidP="0019642E">
      <w:pPr>
        <w:spacing w:after="0" w:line="240" w:lineRule="auto"/>
        <w:rPr>
          <w:rFonts w:ascii="Arial" w:hAnsi="Arial" w:cs="Arial"/>
          <w:sz w:val="24"/>
          <w:szCs w:val="24"/>
        </w:rPr>
      </w:pPr>
    </w:p>
    <w:p w14:paraId="53EFCA8B" w14:textId="77777777" w:rsidR="0019642E" w:rsidRDefault="0019642E" w:rsidP="0019642E">
      <w:pPr>
        <w:spacing w:after="0" w:line="240" w:lineRule="auto"/>
        <w:rPr>
          <w:rFonts w:ascii="Arial" w:hAnsi="Arial" w:cs="Arial"/>
          <w:sz w:val="24"/>
          <w:szCs w:val="24"/>
        </w:rPr>
      </w:pPr>
    </w:p>
    <w:p w14:paraId="1F125C91" w14:textId="77777777" w:rsidR="0019642E" w:rsidRDefault="0019642E" w:rsidP="0019642E">
      <w:pPr>
        <w:spacing w:after="0" w:line="240" w:lineRule="auto"/>
        <w:rPr>
          <w:rFonts w:ascii="Arial" w:hAnsi="Arial" w:cs="Arial"/>
          <w:sz w:val="24"/>
          <w:szCs w:val="24"/>
        </w:rPr>
      </w:pPr>
    </w:p>
    <w:p w14:paraId="2CF67C8B" w14:textId="77777777" w:rsidR="0019642E" w:rsidRDefault="0019642E" w:rsidP="0019642E">
      <w:pPr>
        <w:spacing w:after="0" w:line="240" w:lineRule="auto"/>
        <w:rPr>
          <w:rFonts w:ascii="Arial" w:hAnsi="Arial" w:cs="Arial"/>
          <w:sz w:val="24"/>
          <w:szCs w:val="24"/>
        </w:rPr>
      </w:pPr>
    </w:p>
    <w:p w14:paraId="4131C76E" w14:textId="77777777" w:rsidR="0019642E" w:rsidRDefault="0019642E" w:rsidP="0019642E">
      <w:pPr>
        <w:spacing w:after="0" w:line="240" w:lineRule="auto"/>
        <w:rPr>
          <w:rFonts w:ascii="Arial" w:hAnsi="Arial" w:cs="Arial"/>
          <w:sz w:val="24"/>
          <w:szCs w:val="24"/>
        </w:rPr>
      </w:pPr>
    </w:p>
    <w:p w14:paraId="3AD8CE78" w14:textId="77777777" w:rsidR="0019642E" w:rsidRDefault="0019642E" w:rsidP="0019642E">
      <w:pPr>
        <w:spacing w:after="0" w:line="240" w:lineRule="auto"/>
        <w:rPr>
          <w:rFonts w:ascii="Arial" w:hAnsi="Arial" w:cs="Arial"/>
          <w:sz w:val="24"/>
          <w:szCs w:val="24"/>
        </w:rPr>
      </w:pPr>
    </w:p>
    <w:p w14:paraId="7F3E92FE" w14:textId="77777777" w:rsidR="0019642E" w:rsidRDefault="0019642E" w:rsidP="0019642E">
      <w:pPr>
        <w:spacing w:after="0" w:line="240" w:lineRule="auto"/>
        <w:rPr>
          <w:rFonts w:ascii="Arial" w:hAnsi="Arial" w:cs="Arial"/>
          <w:sz w:val="24"/>
          <w:szCs w:val="24"/>
        </w:rPr>
      </w:pPr>
    </w:p>
    <w:p w14:paraId="18E54CD9" w14:textId="77777777" w:rsidR="0019642E" w:rsidRDefault="0019642E" w:rsidP="0019642E">
      <w:pPr>
        <w:spacing w:after="0" w:line="240" w:lineRule="auto"/>
        <w:rPr>
          <w:rFonts w:ascii="Arial" w:hAnsi="Arial" w:cs="Arial"/>
          <w:sz w:val="24"/>
          <w:szCs w:val="24"/>
        </w:rPr>
      </w:pPr>
    </w:p>
    <w:p w14:paraId="38E998A8" w14:textId="77777777" w:rsidR="0019642E" w:rsidRDefault="0019642E" w:rsidP="0019642E">
      <w:pPr>
        <w:spacing w:after="0" w:line="240" w:lineRule="auto"/>
        <w:rPr>
          <w:rFonts w:ascii="Arial" w:hAnsi="Arial" w:cs="Arial"/>
          <w:sz w:val="24"/>
          <w:szCs w:val="24"/>
        </w:rPr>
      </w:pPr>
    </w:p>
    <w:p w14:paraId="2A9F55E2" w14:textId="77777777" w:rsidR="0019642E" w:rsidRDefault="0019642E" w:rsidP="0019642E">
      <w:pPr>
        <w:spacing w:after="0" w:line="240" w:lineRule="auto"/>
        <w:rPr>
          <w:rFonts w:ascii="Arial" w:hAnsi="Arial" w:cs="Arial"/>
          <w:sz w:val="24"/>
          <w:szCs w:val="24"/>
        </w:rPr>
      </w:pPr>
    </w:p>
    <w:p w14:paraId="6CBF82B9" w14:textId="5881D056"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 xml:space="preserve">Whilst there has been a reduction in the overall numbers of patients waiting over 62 days, this has not </w:t>
      </w:r>
      <w:r w:rsidR="00CA08EB">
        <w:rPr>
          <w:rFonts w:ascii="Arial" w:hAnsi="Arial" w:cs="Arial"/>
          <w:bCs/>
          <w:sz w:val="24"/>
          <w:szCs w:val="24"/>
        </w:rPr>
        <w:t>resulted in significant</w:t>
      </w:r>
      <w:r>
        <w:rPr>
          <w:rFonts w:ascii="Arial" w:hAnsi="Arial" w:cs="Arial"/>
          <w:bCs/>
          <w:sz w:val="24"/>
          <w:szCs w:val="24"/>
        </w:rPr>
        <w:t xml:space="preserve"> improve</w:t>
      </w:r>
      <w:r w:rsidR="00A93153">
        <w:rPr>
          <w:rFonts w:ascii="Arial" w:hAnsi="Arial" w:cs="Arial"/>
          <w:bCs/>
          <w:sz w:val="24"/>
          <w:szCs w:val="24"/>
        </w:rPr>
        <w:t>ment in the</w:t>
      </w:r>
      <w:r>
        <w:rPr>
          <w:rFonts w:ascii="Arial" w:hAnsi="Arial" w:cs="Arial"/>
          <w:bCs/>
          <w:sz w:val="24"/>
          <w:szCs w:val="24"/>
        </w:rPr>
        <w:t xml:space="preserve"> performance against the SCP target. This is due to the backlog number consisting of patients with a cancer diagnosis and those who do not yet have a clear diagnosis; only confirmed new diagnoses of cancer contribute to the overall SCP target.</w:t>
      </w:r>
    </w:p>
    <w:p w14:paraId="0A06EA0C" w14:textId="77777777" w:rsidR="0019642E" w:rsidRDefault="0019642E" w:rsidP="0019642E">
      <w:pPr>
        <w:spacing w:after="0" w:line="240" w:lineRule="auto"/>
        <w:jc w:val="both"/>
        <w:rPr>
          <w:rFonts w:ascii="Arial" w:hAnsi="Arial" w:cs="Arial"/>
          <w:bCs/>
          <w:sz w:val="24"/>
          <w:szCs w:val="24"/>
        </w:rPr>
      </w:pPr>
    </w:p>
    <w:p w14:paraId="66CC8B3B" w14:textId="77777777"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In response to the performance escalation to Targeted Intervention (TI), the Health Board continues weekly TI meetings with both clinical and service leads, chaired by the Deputy Chief Operating Officer, attended by the Medical Director and supported by the Cancer Performance and Information Manager.  The agenda for these meetings include:</w:t>
      </w:r>
    </w:p>
    <w:p w14:paraId="500635F7" w14:textId="77777777" w:rsidR="0019642E" w:rsidRDefault="0019642E" w:rsidP="0019642E">
      <w:pPr>
        <w:pStyle w:val="ListParagraph"/>
        <w:numPr>
          <w:ilvl w:val="0"/>
          <w:numId w:val="19"/>
        </w:numPr>
        <w:spacing w:after="0" w:line="240" w:lineRule="auto"/>
        <w:jc w:val="both"/>
        <w:rPr>
          <w:rFonts w:ascii="Arial" w:hAnsi="Arial" w:cs="Arial"/>
          <w:bCs/>
          <w:sz w:val="24"/>
          <w:szCs w:val="24"/>
        </w:rPr>
      </w:pPr>
      <w:r>
        <w:rPr>
          <w:rFonts w:ascii="Arial" w:hAnsi="Arial" w:cs="Arial"/>
          <w:bCs/>
          <w:sz w:val="24"/>
          <w:szCs w:val="24"/>
        </w:rPr>
        <w:t xml:space="preserve">Discussion of </w:t>
      </w:r>
      <w:r w:rsidRPr="0092124E">
        <w:rPr>
          <w:rFonts w:ascii="Arial" w:hAnsi="Arial" w:cs="Arial"/>
          <w:bCs/>
          <w:sz w:val="24"/>
          <w:szCs w:val="24"/>
        </w:rPr>
        <w:t>tumour site or service action plans</w:t>
      </w:r>
    </w:p>
    <w:p w14:paraId="19513547" w14:textId="77777777" w:rsidR="0019642E" w:rsidRDefault="0019642E" w:rsidP="0019642E">
      <w:pPr>
        <w:pStyle w:val="ListParagraph"/>
        <w:numPr>
          <w:ilvl w:val="0"/>
          <w:numId w:val="19"/>
        </w:numPr>
        <w:spacing w:after="0" w:line="240" w:lineRule="auto"/>
        <w:jc w:val="both"/>
        <w:rPr>
          <w:rFonts w:ascii="Arial" w:hAnsi="Arial" w:cs="Arial"/>
          <w:bCs/>
          <w:sz w:val="24"/>
          <w:szCs w:val="24"/>
        </w:rPr>
      </w:pPr>
      <w:r>
        <w:rPr>
          <w:rFonts w:ascii="Arial" w:hAnsi="Arial" w:cs="Arial"/>
          <w:bCs/>
          <w:sz w:val="24"/>
          <w:szCs w:val="24"/>
        </w:rPr>
        <w:t>A review of performance against first outpatient waits and diagnostic turnaround times</w:t>
      </w:r>
    </w:p>
    <w:p w14:paraId="5B759186" w14:textId="77777777" w:rsidR="0019642E" w:rsidRDefault="0019642E" w:rsidP="0019642E">
      <w:pPr>
        <w:pStyle w:val="ListParagraph"/>
        <w:numPr>
          <w:ilvl w:val="0"/>
          <w:numId w:val="19"/>
        </w:numPr>
        <w:spacing w:after="0" w:line="240" w:lineRule="auto"/>
        <w:jc w:val="both"/>
        <w:rPr>
          <w:rFonts w:ascii="Arial" w:hAnsi="Arial" w:cs="Arial"/>
          <w:bCs/>
          <w:sz w:val="24"/>
          <w:szCs w:val="24"/>
        </w:rPr>
      </w:pPr>
      <w:r>
        <w:rPr>
          <w:rFonts w:ascii="Arial" w:hAnsi="Arial" w:cs="Arial"/>
          <w:bCs/>
          <w:sz w:val="24"/>
          <w:szCs w:val="24"/>
        </w:rPr>
        <w:t xml:space="preserve">A review of the last 10 breaches to identify themes and trends for a summarised visual presentation.  </w:t>
      </w:r>
    </w:p>
    <w:p w14:paraId="485CAC61" w14:textId="77777777" w:rsidR="0019642E" w:rsidRDefault="0019642E" w:rsidP="0019642E">
      <w:pPr>
        <w:pStyle w:val="ListParagraph"/>
        <w:spacing w:after="0" w:line="240" w:lineRule="auto"/>
        <w:jc w:val="both"/>
        <w:rPr>
          <w:rFonts w:ascii="Arial" w:hAnsi="Arial" w:cs="Arial"/>
          <w:bCs/>
          <w:sz w:val="24"/>
          <w:szCs w:val="24"/>
        </w:rPr>
      </w:pPr>
    </w:p>
    <w:p w14:paraId="264DD1E4" w14:textId="77777777"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The Health Board continues to focus efforts on the front end of pathway.  Three pathway milestones previously identified by the Chief Operating Officer to further improve the SCP performance that we are monitoring are:</w:t>
      </w:r>
    </w:p>
    <w:p w14:paraId="1279EAB4" w14:textId="77777777" w:rsidR="0019642E" w:rsidRDefault="0019642E" w:rsidP="0019642E">
      <w:pPr>
        <w:spacing w:after="0" w:line="240" w:lineRule="auto"/>
        <w:jc w:val="both"/>
        <w:rPr>
          <w:rFonts w:ascii="Arial" w:hAnsi="Arial" w:cs="Arial"/>
          <w:bCs/>
          <w:sz w:val="24"/>
          <w:szCs w:val="24"/>
        </w:rPr>
      </w:pPr>
    </w:p>
    <w:p w14:paraId="6A2DAAD1" w14:textId="77777777" w:rsidR="0019642E" w:rsidRPr="00D97BE5" w:rsidRDefault="0019642E" w:rsidP="0019642E">
      <w:pPr>
        <w:pStyle w:val="ListParagraph"/>
        <w:numPr>
          <w:ilvl w:val="0"/>
          <w:numId w:val="15"/>
        </w:numPr>
        <w:spacing w:after="0" w:line="240" w:lineRule="auto"/>
        <w:jc w:val="both"/>
        <w:rPr>
          <w:rFonts w:ascii="Arial" w:hAnsi="Arial" w:cs="Arial"/>
          <w:b/>
          <w:sz w:val="24"/>
          <w:szCs w:val="24"/>
        </w:rPr>
      </w:pPr>
      <w:r w:rsidRPr="00D97BE5">
        <w:rPr>
          <w:rFonts w:ascii="Arial" w:hAnsi="Arial" w:cs="Arial"/>
          <w:b/>
          <w:sz w:val="24"/>
          <w:szCs w:val="24"/>
        </w:rPr>
        <w:t xml:space="preserve">First outpatient attendance must be within two weeks of receipt of referral.  </w:t>
      </w:r>
    </w:p>
    <w:p w14:paraId="74FF134D" w14:textId="77777777" w:rsidR="0019642E" w:rsidRDefault="0019642E" w:rsidP="0019642E">
      <w:pPr>
        <w:pStyle w:val="ListParagraph"/>
        <w:spacing w:after="0" w:line="240" w:lineRule="auto"/>
        <w:jc w:val="both"/>
        <w:rPr>
          <w:rFonts w:ascii="Arial" w:hAnsi="Arial" w:cs="Arial"/>
          <w:bCs/>
          <w:sz w:val="24"/>
          <w:szCs w:val="24"/>
        </w:rPr>
      </w:pPr>
    </w:p>
    <w:p w14:paraId="78946914" w14:textId="15C86144" w:rsidR="0019642E" w:rsidRDefault="0019642E" w:rsidP="0019642E">
      <w:pPr>
        <w:pStyle w:val="ListParagraph"/>
        <w:spacing w:after="0" w:line="240" w:lineRule="auto"/>
        <w:ind w:left="0"/>
        <w:jc w:val="both"/>
        <w:rPr>
          <w:rFonts w:ascii="Arial" w:hAnsi="Arial" w:cs="Arial"/>
          <w:bCs/>
          <w:sz w:val="24"/>
          <w:szCs w:val="24"/>
        </w:rPr>
      </w:pPr>
      <w:r>
        <w:rPr>
          <w:rFonts w:ascii="Arial" w:hAnsi="Arial" w:cs="Arial"/>
          <w:bCs/>
          <w:sz w:val="24"/>
          <w:szCs w:val="24"/>
        </w:rPr>
        <w:t>The Planned Care Vitals Dashboard is used to report the waits based on activity within any month; this does not reflect patient choice/unavailability.  Additional monitoring arrangements and scrutiny is in place via tracking data and weekly review meetings with the services.  A small decline in performance against this metric has been observed in a few services however the</w:t>
      </w:r>
      <w:r w:rsidR="00A93153">
        <w:rPr>
          <w:rFonts w:ascii="Arial" w:hAnsi="Arial" w:cs="Arial"/>
          <w:bCs/>
          <w:sz w:val="24"/>
          <w:szCs w:val="24"/>
        </w:rPr>
        <w:t>re</w:t>
      </w:r>
      <w:r w:rsidR="004B04A5">
        <w:rPr>
          <w:rFonts w:ascii="Arial" w:hAnsi="Arial" w:cs="Arial"/>
          <w:bCs/>
          <w:sz w:val="24"/>
          <w:szCs w:val="24"/>
        </w:rPr>
        <w:t xml:space="preserve"> has been</w:t>
      </w:r>
      <w:r>
        <w:rPr>
          <w:rFonts w:ascii="Arial" w:hAnsi="Arial" w:cs="Arial"/>
          <w:bCs/>
          <w:sz w:val="24"/>
          <w:szCs w:val="24"/>
        </w:rPr>
        <w:t xml:space="preserve"> a reduction in median wait in some of these areas.</w:t>
      </w:r>
    </w:p>
    <w:p w14:paraId="70902B0F" w14:textId="77777777" w:rsidR="0019642E" w:rsidRPr="0098386B" w:rsidRDefault="0019642E" w:rsidP="0019642E">
      <w:pPr>
        <w:spacing w:after="0" w:line="240" w:lineRule="auto"/>
        <w:jc w:val="both"/>
        <w:rPr>
          <w:rFonts w:ascii="Arial" w:hAnsi="Arial" w:cs="Arial"/>
          <w:bCs/>
          <w:sz w:val="24"/>
          <w:szCs w:val="24"/>
        </w:rPr>
      </w:pPr>
    </w:p>
    <w:p w14:paraId="65D0D5F5" w14:textId="77777777" w:rsidR="0019642E" w:rsidRDefault="0019642E" w:rsidP="0019642E">
      <w:pPr>
        <w:pStyle w:val="ListParagraph"/>
        <w:spacing w:after="0" w:line="240" w:lineRule="auto"/>
        <w:ind w:left="0"/>
        <w:jc w:val="both"/>
        <w:rPr>
          <w:rFonts w:ascii="Arial" w:hAnsi="Arial" w:cs="Arial"/>
          <w:bCs/>
          <w:sz w:val="24"/>
          <w:szCs w:val="24"/>
        </w:rPr>
      </w:pPr>
      <w:r w:rsidRPr="000E6F5B">
        <w:rPr>
          <w:rFonts w:ascii="Arial" w:hAnsi="Arial" w:cs="Arial"/>
          <w:bCs/>
          <w:noProof/>
          <w:sz w:val="24"/>
          <w:szCs w:val="24"/>
        </w:rPr>
        <w:lastRenderedPageBreak/>
        <w:drawing>
          <wp:inline distT="0" distB="0" distL="0" distR="0" wp14:anchorId="2EFB5A68" wp14:editId="7BC8133B">
            <wp:extent cx="4457929" cy="2921150"/>
            <wp:effectExtent l="19050" t="19050" r="19050" b="1270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457929" cy="2921150"/>
                    </a:xfrm>
                    <a:prstGeom prst="rect">
                      <a:avLst/>
                    </a:prstGeom>
                    <a:ln>
                      <a:solidFill>
                        <a:schemeClr val="tx1"/>
                      </a:solidFill>
                    </a:ln>
                  </pic:spPr>
                </pic:pic>
              </a:graphicData>
            </a:graphic>
          </wp:inline>
        </w:drawing>
      </w:r>
    </w:p>
    <w:p w14:paraId="17AD0D6B" w14:textId="77777777" w:rsidR="0019642E" w:rsidRDefault="0019642E" w:rsidP="0019642E">
      <w:pPr>
        <w:pStyle w:val="ListParagraph"/>
        <w:spacing w:after="0" w:line="240" w:lineRule="auto"/>
        <w:ind w:left="142"/>
        <w:jc w:val="center"/>
        <w:rPr>
          <w:rFonts w:ascii="Arial" w:hAnsi="Arial" w:cs="Arial"/>
          <w:bCs/>
          <w:sz w:val="24"/>
          <w:szCs w:val="24"/>
        </w:rPr>
      </w:pPr>
    </w:p>
    <w:p w14:paraId="64E88D8C" w14:textId="77777777" w:rsidR="0019642E" w:rsidRDefault="0019642E" w:rsidP="0019642E">
      <w:pPr>
        <w:pStyle w:val="ListParagraph"/>
        <w:spacing w:after="0" w:line="240" w:lineRule="auto"/>
        <w:jc w:val="both"/>
        <w:rPr>
          <w:rFonts w:ascii="Arial" w:hAnsi="Arial" w:cs="Arial"/>
          <w:bCs/>
          <w:sz w:val="24"/>
          <w:szCs w:val="24"/>
        </w:rPr>
      </w:pPr>
    </w:p>
    <w:p w14:paraId="488B1F3B" w14:textId="05167C05" w:rsidR="0019642E" w:rsidRDefault="0047792B" w:rsidP="0019642E">
      <w:pPr>
        <w:spacing w:after="0" w:line="240" w:lineRule="auto"/>
        <w:jc w:val="both"/>
        <w:rPr>
          <w:rFonts w:ascii="Arial" w:hAnsi="Arial" w:cs="Arial"/>
          <w:bCs/>
          <w:sz w:val="24"/>
          <w:szCs w:val="24"/>
        </w:rPr>
      </w:pPr>
      <w:r>
        <w:rPr>
          <w:rFonts w:ascii="Arial" w:hAnsi="Arial" w:cs="Arial"/>
          <w:bCs/>
          <w:sz w:val="24"/>
          <w:szCs w:val="24"/>
        </w:rPr>
        <w:t>The i</w:t>
      </w:r>
      <w:r w:rsidR="0019642E">
        <w:rPr>
          <w:rFonts w:ascii="Arial" w:hAnsi="Arial" w:cs="Arial"/>
          <w:bCs/>
          <w:sz w:val="24"/>
          <w:szCs w:val="24"/>
        </w:rPr>
        <w:t>nability to contact patients to agree appointments is often area affecting waiting times, despite efforts to direct book, utilising text messaging etc. the balance is thereafter to allow enough time for an appointment letter to reach the patient, who then may inform us at short notice they cannot attend.  This is an area we are targeting, reviewing processes to ensure all necessary steps are taken to successfully make contact with patients and agree appointments.</w:t>
      </w:r>
    </w:p>
    <w:p w14:paraId="1C39FF70" w14:textId="77777777" w:rsidR="0019642E" w:rsidRDefault="0019642E" w:rsidP="0019642E">
      <w:pPr>
        <w:spacing w:after="0" w:line="240" w:lineRule="auto"/>
        <w:jc w:val="both"/>
        <w:rPr>
          <w:rFonts w:ascii="Arial" w:hAnsi="Arial" w:cs="Arial"/>
          <w:bCs/>
          <w:sz w:val="24"/>
          <w:szCs w:val="24"/>
        </w:rPr>
      </w:pPr>
    </w:p>
    <w:p w14:paraId="78093FD4" w14:textId="619256DF"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Patient deferment is another area the HB is working to target for improvement.  A short narrative has been developed for booking staff</w:t>
      </w:r>
      <w:r w:rsidR="00CE6FB5">
        <w:rPr>
          <w:rFonts w:ascii="Arial" w:hAnsi="Arial" w:cs="Arial"/>
          <w:bCs/>
          <w:sz w:val="24"/>
          <w:szCs w:val="24"/>
        </w:rPr>
        <w:t xml:space="preserve"> (both outpatient and diagnostics)</w:t>
      </w:r>
      <w:r>
        <w:rPr>
          <w:rFonts w:ascii="Arial" w:hAnsi="Arial" w:cs="Arial"/>
          <w:bCs/>
          <w:sz w:val="24"/>
          <w:szCs w:val="24"/>
        </w:rPr>
        <w:t xml:space="preserve"> to use when attempting to </w:t>
      </w:r>
      <w:r w:rsidR="00CE6FB5">
        <w:rPr>
          <w:rFonts w:ascii="Arial" w:hAnsi="Arial" w:cs="Arial"/>
          <w:bCs/>
          <w:sz w:val="24"/>
          <w:szCs w:val="24"/>
        </w:rPr>
        <w:t xml:space="preserve">arrange </w:t>
      </w:r>
      <w:r>
        <w:rPr>
          <w:rFonts w:ascii="Arial" w:hAnsi="Arial" w:cs="Arial"/>
          <w:bCs/>
          <w:sz w:val="24"/>
          <w:szCs w:val="24"/>
        </w:rPr>
        <w:t xml:space="preserve">appointments, ensuring patients are aware that they are on a SCP and the importance to engage with the pathway.  This </w:t>
      </w:r>
      <w:r w:rsidR="00CE6FB5">
        <w:rPr>
          <w:rFonts w:ascii="Arial" w:hAnsi="Arial" w:cs="Arial"/>
          <w:bCs/>
          <w:sz w:val="24"/>
          <w:szCs w:val="24"/>
        </w:rPr>
        <w:t>was</w:t>
      </w:r>
      <w:r>
        <w:rPr>
          <w:rFonts w:ascii="Arial" w:hAnsi="Arial" w:cs="Arial"/>
          <w:bCs/>
          <w:sz w:val="24"/>
          <w:szCs w:val="24"/>
        </w:rPr>
        <w:t xml:space="preserve"> </w:t>
      </w:r>
      <w:r w:rsidR="00CE6FB5">
        <w:rPr>
          <w:rFonts w:ascii="Arial" w:hAnsi="Arial" w:cs="Arial"/>
          <w:bCs/>
          <w:sz w:val="24"/>
          <w:szCs w:val="24"/>
        </w:rPr>
        <w:t>agreed</w:t>
      </w:r>
      <w:r>
        <w:rPr>
          <w:rFonts w:ascii="Arial" w:hAnsi="Arial" w:cs="Arial"/>
          <w:bCs/>
          <w:sz w:val="24"/>
          <w:szCs w:val="24"/>
        </w:rPr>
        <w:t xml:space="preserve"> at </w:t>
      </w:r>
      <w:r w:rsidR="00CE6FB5">
        <w:rPr>
          <w:rFonts w:ascii="Arial" w:hAnsi="Arial" w:cs="Arial"/>
          <w:bCs/>
          <w:sz w:val="24"/>
          <w:szCs w:val="24"/>
        </w:rPr>
        <w:t xml:space="preserve">the </w:t>
      </w:r>
      <w:r>
        <w:rPr>
          <w:rFonts w:ascii="Arial" w:hAnsi="Arial" w:cs="Arial"/>
          <w:bCs/>
          <w:sz w:val="24"/>
          <w:szCs w:val="24"/>
        </w:rPr>
        <w:t xml:space="preserve">Cancer Performance &amp; Improvement Group, and endorsed by the </w:t>
      </w:r>
      <w:r w:rsidR="00CE6FB5">
        <w:rPr>
          <w:rFonts w:ascii="Arial" w:hAnsi="Arial" w:cs="Arial"/>
          <w:bCs/>
          <w:sz w:val="24"/>
          <w:szCs w:val="24"/>
        </w:rPr>
        <w:t xml:space="preserve">Morgannwg </w:t>
      </w:r>
      <w:r>
        <w:rPr>
          <w:rFonts w:ascii="Arial" w:hAnsi="Arial" w:cs="Arial"/>
          <w:bCs/>
          <w:sz w:val="24"/>
          <w:szCs w:val="24"/>
        </w:rPr>
        <w:t>LMC for roll out, week commencing 3</w:t>
      </w:r>
      <w:r w:rsidRPr="000E6F5B">
        <w:rPr>
          <w:rFonts w:ascii="Arial" w:hAnsi="Arial" w:cs="Arial"/>
          <w:bCs/>
          <w:sz w:val="24"/>
          <w:szCs w:val="24"/>
          <w:vertAlign w:val="superscript"/>
        </w:rPr>
        <w:t>rd</w:t>
      </w:r>
      <w:r>
        <w:rPr>
          <w:rFonts w:ascii="Arial" w:hAnsi="Arial" w:cs="Arial"/>
          <w:bCs/>
          <w:sz w:val="24"/>
          <w:szCs w:val="24"/>
        </w:rPr>
        <w:t xml:space="preserve"> June 2024.</w:t>
      </w:r>
    </w:p>
    <w:p w14:paraId="15E2A78C" w14:textId="77777777" w:rsidR="0019642E" w:rsidRDefault="0019642E" w:rsidP="0019642E">
      <w:pPr>
        <w:spacing w:after="0" w:line="240" w:lineRule="auto"/>
        <w:jc w:val="both"/>
        <w:rPr>
          <w:rFonts w:ascii="Arial" w:hAnsi="Arial" w:cs="Arial"/>
          <w:bCs/>
          <w:sz w:val="24"/>
          <w:szCs w:val="24"/>
        </w:rPr>
      </w:pPr>
    </w:p>
    <w:p w14:paraId="33425F55" w14:textId="3543E99E"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 xml:space="preserve">Following discussions with colleagues at Cardiff &amp; Vale UHB regarding their processes around cancer performance, we are </w:t>
      </w:r>
      <w:r w:rsidR="00CE6FB5">
        <w:rPr>
          <w:rFonts w:ascii="Arial" w:hAnsi="Arial" w:cs="Arial"/>
          <w:bCs/>
          <w:sz w:val="24"/>
          <w:szCs w:val="24"/>
        </w:rPr>
        <w:t xml:space="preserve">also </w:t>
      </w:r>
      <w:r>
        <w:rPr>
          <w:rFonts w:ascii="Arial" w:hAnsi="Arial" w:cs="Arial"/>
          <w:bCs/>
          <w:sz w:val="24"/>
          <w:szCs w:val="24"/>
        </w:rPr>
        <w:t>trialling daily huddles with Breast &amp; Gynaecology services.  This short meeting is focused on:</w:t>
      </w:r>
    </w:p>
    <w:p w14:paraId="144FFF92" w14:textId="77777777" w:rsidR="0019642E" w:rsidRPr="00F4794B" w:rsidRDefault="0019642E" w:rsidP="0019642E">
      <w:pPr>
        <w:pStyle w:val="ListParagraph"/>
        <w:numPr>
          <w:ilvl w:val="0"/>
          <w:numId w:val="20"/>
        </w:numPr>
        <w:rPr>
          <w:rFonts w:ascii="Arial" w:hAnsi="Arial" w:cs="Arial"/>
          <w:sz w:val="24"/>
          <w:szCs w:val="24"/>
        </w:rPr>
      </w:pPr>
      <w:r w:rsidRPr="00F4794B">
        <w:rPr>
          <w:rFonts w:ascii="Arial" w:hAnsi="Arial" w:cs="Arial"/>
          <w:sz w:val="24"/>
          <w:szCs w:val="24"/>
        </w:rPr>
        <w:t>Referrals received in the previous working day (or Friday for the Monday Meeting)</w:t>
      </w:r>
    </w:p>
    <w:p w14:paraId="5C0C46A6" w14:textId="77777777" w:rsidR="0019642E" w:rsidRPr="00F4794B" w:rsidRDefault="0019642E" w:rsidP="0019642E">
      <w:pPr>
        <w:pStyle w:val="ListParagraph"/>
        <w:numPr>
          <w:ilvl w:val="0"/>
          <w:numId w:val="20"/>
        </w:numPr>
        <w:rPr>
          <w:rFonts w:ascii="Arial" w:hAnsi="Arial" w:cs="Arial"/>
          <w:sz w:val="24"/>
          <w:szCs w:val="24"/>
        </w:rPr>
      </w:pPr>
      <w:r w:rsidRPr="00F4794B">
        <w:rPr>
          <w:rFonts w:ascii="Arial" w:hAnsi="Arial" w:cs="Arial"/>
          <w:sz w:val="24"/>
          <w:szCs w:val="24"/>
        </w:rPr>
        <w:t>Volume of unvetted USC referrals</w:t>
      </w:r>
    </w:p>
    <w:p w14:paraId="5DFF3A80" w14:textId="77777777" w:rsidR="0019642E" w:rsidRPr="00F4794B" w:rsidRDefault="0019642E" w:rsidP="0019642E">
      <w:pPr>
        <w:pStyle w:val="ListParagraph"/>
        <w:numPr>
          <w:ilvl w:val="0"/>
          <w:numId w:val="20"/>
        </w:numPr>
        <w:rPr>
          <w:rFonts w:ascii="Arial" w:hAnsi="Arial" w:cs="Arial"/>
          <w:sz w:val="24"/>
          <w:szCs w:val="24"/>
        </w:rPr>
      </w:pPr>
      <w:r w:rsidRPr="00F4794B">
        <w:rPr>
          <w:rFonts w:ascii="Arial" w:hAnsi="Arial" w:cs="Arial"/>
          <w:sz w:val="24"/>
          <w:szCs w:val="24"/>
        </w:rPr>
        <w:t xml:space="preserve">Volume of </w:t>
      </w:r>
      <w:proofErr w:type="spellStart"/>
      <w:r w:rsidRPr="00F4794B">
        <w:rPr>
          <w:rFonts w:ascii="Arial" w:hAnsi="Arial" w:cs="Arial"/>
          <w:sz w:val="24"/>
          <w:szCs w:val="24"/>
        </w:rPr>
        <w:t>unbooked</w:t>
      </w:r>
      <w:proofErr w:type="spellEnd"/>
      <w:r w:rsidRPr="00F4794B">
        <w:rPr>
          <w:rFonts w:ascii="Arial" w:hAnsi="Arial" w:cs="Arial"/>
          <w:sz w:val="24"/>
          <w:szCs w:val="24"/>
        </w:rPr>
        <w:t xml:space="preserve"> USC patients over 7 days from the point of suspicion</w:t>
      </w:r>
    </w:p>
    <w:p w14:paraId="2374256E" w14:textId="77777777" w:rsidR="0019642E" w:rsidRPr="00F4794B" w:rsidRDefault="0019642E" w:rsidP="0019642E">
      <w:pPr>
        <w:pStyle w:val="ListParagraph"/>
        <w:numPr>
          <w:ilvl w:val="0"/>
          <w:numId w:val="20"/>
        </w:numPr>
        <w:rPr>
          <w:rFonts w:ascii="Arial" w:hAnsi="Arial" w:cs="Arial"/>
          <w:sz w:val="24"/>
          <w:szCs w:val="24"/>
        </w:rPr>
      </w:pPr>
      <w:r w:rsidRPr="00F4794B">
        <w:rPr>
          <w:rFonts w:ascii="Arial" w:hAnsi="Arial" w:cs="Arial"/>
          <w:sz w:val="24"/>
          <w:szCs w:val="24"/>
        </w:rPr>
        <w:t xml:space="preserve">Volume of </w:t>
      </w:r>
      <w:proofErr w:type="spellStart"/>
      <w:r w:rsidRPr="00F4794B">
        <w:rPr>
          <w:rFonts w:ascii="Arial" w:hAnsi="Arial" w:cs="Arial"/>
          <w:sz w:val="24"/>
          <w:szCs w:val="24"/>
        </w:rPr>
        <w:t>unbooked</w:t>
      </w:r>
      <w:proofErr w:type="spellEnd"/>
      <w:r w:rsidRPr="00F4794B">
        <w:rPr>
          <w:rFonts w:ascii="Arial" w:hAnsi="Arial" w:cs="Arial"/>
          <w:sz w:val="24"/>
          <w:szCs w:val="24"/>
        </w:rPr>
        <w:t xml:space="preserve"> patients over 14 days from the point of suspicion</w:t>
      </w:r>
    </w:p>
    <w:p w14:paraId="39CCBA23" w14:textId="77777777" w:rsidR="0019642E" w:rsidRPr="00F4794B" w:rsidRDefault="0019642E" w:rsidP="0019642E">
      <w:pPr>
        <w:pStyle w:val="ListParagraph"/>
        <w:numPr>
          <w:ilvl w:val="0"/>
          <w:numId w:val="20"/>
        </w:numPr>
        <w:rPr>
          <w:rFonts w:ascii="Arial" w:hAnsi="Arial" w:cs="Arial"/>
          <w:sz w:val="24"/>
          <w:szCs w:val="24"/>
        </w:rPr>
      </w:pPr>
      <w:r w:rsidRPr="00F4794B">
        <w:rPr>
          <w:rFonts w:ascii="Arial" w:hAnsi="Arial" w:cs="Arial"/>
          <w:sz w:val="24"/>
          <w:szCs w:val="24"/>
        </w:rPr>
        <w:t>Volume of patients booked over 14 days from point of suspicion the previous working day</w:t>
      </w:r>
    </w:p>
    <w:p w14:paraId="7E0DADFF" w14:textId="77777777"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This daily meeting commenced 3</w:t>
      </w:r>
      <w:r w:rsidRPr="000E6F5B">
        <w:rPr>
          <w:rFonts w:ascii="Arial" w:hAnsi="Arial" w:cs="Arial"/>
          <w:bCs/>
          <w:sz w:val="24"/>
          <w:szCs w:val="24"/>
          <w:vertAlign w:val="superscript"/>
        </w:rPr>
        <w:t>rd</w:t>
      </w:r>
      <w:r>
        <w:rPr>
          <w:rFonts w:ascii="Arial" w:hAnsi="Arial" w:cs="Arial"/>
          <w:bCs/>
          <w:sz w:val="24"/>
          <w:szCs w:val="24"/>
        </w:rPr>
        <w:t xml:space="preserve"> June 2024, initial feedback has been positive, highlighting process issues around pre-registration and booking processes that are being worked through.  We will access the success of this initiative and roll out to other services accordingly.</w:t>
      </w:r>
    </w:p>
    <w:p w14:paraId="6DD9154E" w14:textId="77777777" w:rsidR="0019642E" w:rsidRPr="009356EE" w:rsidRDefault="0019642E" w:rsidP="0019642E">
      <w:pPr>
        <w:spacing w:after="0" w:line="240" w:lineRule="auto"/>
        <w:jc w:val="both"/>
        <w:rPr>
          <w:rFonts w:ascii="Arial" w:hAnsi="Arial" w:cs="Arial"/>
          <w:bCs/>
          <w:sz w:val="24"/>
          <w:szCs w:val="24"/>
        </w:rPr>
      </w:pPr>
    </w:p>
    <w:p w14:paraId="3C135356" w14:textId="77777777" w:rsidR="0019642E" w:rsidRDefault="0019642E" w:rsidP="0019642E">
      <w:pPr>
        <w:spacing w:after="0" w:line="240" w:lineRule="auto"/>
        <w:jc w:val="both"/>
        <w:rPr>
          <w:rFonts w:ascii="Arial" w:hAnsi="Arial" w:cs="Arial"/>
          <w:bCs/>
          <w:sz w:val="24"/>
          <w:szCs w:val="24"/>
        </w:rPr>
      </w:pPr>
    </w:p>
    <w:p w14:paraId="4C70E9C6" w14:textId="77777777" w:rsidR="0019642E" w:rsidRDefault="0019642E" w:rsidP="0019642E">
      <w:pPr>
        <w:pStyle w:val="ListParagraph"/>
        <w:numPr>
          <w:ilvl w:val="0"/>
          <w:numId w:val="15"/>
        </w:numPr>
        <w:spacing w:after="0" w:line="240" w:lineRule="auto"/>
        <w:jc w:val="both"/>
        <w:rPr>
          <w:rFonts w:ascii="Arial" w:hAnsi="Arial" w:cs="Arial"/>
          <w:b/>
          <w:sz w:val="24"/>
          <w:szCs w:val="24"/>
        </w:rPr>
      </w:pPr>
      <w:r w:rsidRPr="00A02FF7">
        <w:rPr>
          <w:rFonts w:ascii="Arial" w:hAnsi="Arial" w:cs="Arial"/>
          <w:b/>
          <w:sz w:val="24"/>
          <w:szCs w:val="24"/>
        </w:rPr>
        <w:lastRenderedPageBreak/>
        <w:t>That decision to treat must be attained by day 31 of pathway</w:t>
      </w:r>
      <w:r>
        <w:rPr>
          <w:rFonts w:ascii="Arial" w:hAnsi="Arial" w:cs="Arial"/>
          <w:b/>
          <w:sz w:val="24"/>
          <w:szCs w:val="24"/>
        </w:rPr>
        <w:t xml:space="preserve"> </w:t>
      </w:r>
    </w:p>
    <w:p w14:paraId="22C54179" w14:textId="77777777" w:rsidR="0019642E" w:rsidRPr="00A02FF7" w:rsidRDefault="0019642E" w:rsidP="0019642E">
      <w:pPr>
        <w:pStyle w:val="ListParagraph"/>
        <w:spacing w:after="0" w:line="240" w:lineRule="auto"/>
        <w:jc w:val="both"/>
        <w:rPr>
          <w:rFonts w:ascii="Arial" w:hAnsi="Arial" w:cs="Arial"/>
          <w:b/>
          <w:sz w:val="24"/>
          <w:szCs w:val="24"/>
        </w:rPr>
      </w:pPr>
    </w:p>
    <w:p w14:paraId="046D920E" w14:textId="77777777" w:rsidR="0019642E" w:rsidRPr="009356EE" w:rsidRDefault="0019642E" w:rsidP="0019642E">
      <w:pPr>
        <w:spacing w:after="0" w:line="240" w:lineRule="auto"/>
        <w:jc w:val="both"/>
        <w:rPr>
          <w:rFonts w:ascii="Arial" w:hAnsi="Arial" w:cs="Arial"/>
          <w:bCs/>
          <w:sz w:val="24"/>
          <w:szCs w:val="24"/>
        </w:rPr>
      </w:pPr>
      <w:r w:rsidRPr="009356EE">
        <w:rPr>
          <w:rFonts w:ascii="Arial" w:hAnsi="Arial" w:cs="Arial"/>
          <w:bCs/>
          <w:sz w:val="24"/>
          <w:szCs w:val="24"/>
        </w:rPr>
        <w:t xml:space="preserve">The </w:t>
      </w:r>
      <w:r>
        <w:rPr>
          <w:rFonts w:ascii="Arial" w:hAnsi="Arial" w:cs="Arial"/>
          <w:bCs/>
          <w:sz w:val="24"/>
          <w:szCs w:val="24"/>
        </w:rPr>
        <w:t>chart</w:t>
      </w:r>
      <w:r w:rsidRPr="009356EE">
        <w:rPr>
          <w:rFonts w:ascii="Arial" w:hAnsi="Arial" w:cs="Arial"/>
          <w:bCs/>
          <w:sz w:val="24"/>
          <w:szCs w:val="24"/>
        </w:rPr>
        <w:t xml:space="preserve"> below demonstrates the median wait days from suspicion to decision to treat from September</w:t>
      </w:r>
      <w:r>
        <w:rPr>
          <w:rFonts w:ascii="Arial" w:hAnsi="Arial" w:cs="Arial"/>
          <w:bCs/>
          <w:sz w:val="24"/>
          <w:szCs w:val="24"/>
        </w:rPr>
        <w:t xml:space="preserve"> 2023 </w:t>
      </w:r>
      <w:r w:rsidRPr="009356EE">
        <w:rPr>
          <w:rFonts w:ascii="Arial" w:hAnsi="Arial" w:cs="Arial"/>
          <w:bCs/>
          <w:sz w:val="24"/>
          <w:szCs w:val="24"/>
        </w:rPr>
        <w:t xml:space="preserve">to </w:t>
      </w:r>
      <w:r>
        <w:rPr>
          <w:rFonts w:ascii="Arial" w:hAnsi="Arial" w:cs="Arial"/>
          <w:bCs/>
          <w:sz w:val="24"/>
          <w:szCs w:val="24"/>
        </w:rPr>
        <w:t>April</w:t>
      </w:r>
      <w:r w:rsidRPr="009356EE">
        <w:rPr>
          <w:rFonts w:ascii="Arial" w:hAnsi="Arial" w:cs="Arial"/>
          <w:bCs/>
          <w:sz w:val="24"/>
          <w:szCs w:val="24"/>
        </w:rPr>
        <w:t xml:space="preserve"> 202</w:t>
      </w:r>
      <w:r>
        <w:rPr>
          <w:rFonts w:ascii="Arial" w:hAnsi="Arial" w:cs="Arial"/>
          <w:bCs/>
          <w:sz w:val="24"/>
          <w:szCs w:val="24"/>
        </w:rPr>
        <w:t>4 for closed (treated) pathways and percentage meeting 31 days</w:t>
      </w:r>
      <w:r w:rsidRPr="009356EE">
        <w:rPr>
          <w:rFonts w:ascii="Arial" w:hAnsi="Arial" w:cs="Arial"/>
          <w:bCs/>
          <w:sz w:val="24"/>
          <w:szCs w:val="24"/>
        </w:rPr>
        <w:t xml:space="preserve">.  </w:t>
      </w:r>
    </w:p>
    <w:p w14:paraId="7A88E76B" w14:textId="77777777" w:rsidR="0019642E" w:rsidRDefault="0019642E" w:rsidP="0019642E">
      <w:pPr>
        <w:pStyle w:val="ListParagraph"/>
        <w:spacing w:after="0" w:line="240" w:lineRule="auto"/>
        <w:ind w:left="0"/>
        <w:jc w:val="both"/>
        <w:rPr>
          <w:rFonts w:ascii="Arial" w:hAnsi="Arial" w:cs="Arial"/>
          <w:bCs/>
          <w:sz w:val="24"/>
          <w:szCs w:val="24"/>
        </w:rPr>
      </w:pPr>
      <w:r>
        <w:rPr>
          <w:noProof/>
        </w:rPr>
        <w:drawing>
          <wp:inline distT="0" distB="0" distL="0" distR="0" wp14:anchorId="4596BB44" wp14:editId="429AEADB">
            <wp:extent cx="5911850" cy="2476500"/>
            <wp:effectExtent l="0" t="0" r="12700" b="0"/>
            <wp:docPr id="7" name="Chart 7">
              <a:extLst xmlns:a="http://schemas.openxmlformats.org/drawingml/2006/main">
                <a:ext uri="{FF2B5EF4-FFF2-40B4-BE49-F238E27FC236}">
                  <a16:creationId xmlns:a16="http://schemas.microsoft.com/office/drawing/2014/main"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122E6E2" w14:textId="77777777" w:rsidR="0019642E" w:rsidRDefault="0019642E" w:rsidP="0019642E">
      <w:pPr>
        <w:spacing w:after="0" w:line="240" w:lineRule="auto"/>
        <w:jc w:val="both"/>
        <w:rPr>
          <w:rFonts w:ascii="Arial" w:hAnsi="Arial" w:cs="Arial"/>
          <w:bCs/>
          <w:sz w:val="24"/>
          <w:szCs w:val="24"/>
        </w:rPr>
      </w:pPr>
    </w:p>
    <w:p w14:paraId="63006569" w14:textId="7C381E2F" w:rsidR="0019642E" w:rsidRPr="00F170D5" w:rsidRDefault="0019642E" w:rsidP="0019642E">
      <w:pPr>
        <w:spacing w:after="0" w:line="240" w:lineRule="auto"/>
        <w:jc w:val="both"/>
        <w:rPr>
          <w:rFonts w:ascii="Arial" w:hAnsi="Arial" w:cs="Arial"/>
          <w:bCs/>
          <w:sz w:val="24"/>
          <w:szCs w:val="24"/>
        </w:rPr>
      </w:pPr>
      <w:r w:rsidRPr="00F170D5">
        <w:rPr>
          <w:rFonts w:ascii="Arial" w:hAnsi="Arial" w:cs="Arial"/>
          <w:bCs/>
          <w:sz w:val="24"/>
          <w:szCs w:val="24"/>
        </w:rPr>
        <w:t>Overall, the median wait days and percentage attained is improving, however this varies greatly between tumour sites</w:t>
      </w:r>
      <w:r>
        <w:rPr>
          <w:rFonts w:ascii="Arial" w:hAnsi="Arial" w:cs="Arial"/>
          <w:bCs/>
          <w:sz w:val="24"/>
          <w:szCs w:val="24"/>
        </w:rPr>
        <w:t>, with Skin and Breast performing best</w:t>
      </w:r>
      <w:r w:rsidR="00CD0AFB">
        <w:rPr>
          <w:rFonts w:ascii="Arial" w:hAnsi="Arial" w:cs="Arial"/>
          <w:bCs/>
          <w:sz w:val="24"/>
          <w:szCs w:val="24"/>
        </w:rPr>
        <w:t>;</w:t>
      </w:r>
      <w:r>
        <w:rPr>
          <w:rFonts w:ascii="Arial" w:hAnsi="Arial" w:cs="Arial"/>
          <w:bCs/>
          <w:sz w:val="24"/>
          <w:szCs w:val="24"/>
        </w:rPr>
        <w:t xml:space="preserve"> improvement this month </w:t>
      </w:r>
      <w:r w:rsidR="00CD0AFB">
        <w:rPr>
          <w:rFonts w:ascii="Arial" w:hAnsi="Arial" w:cs="Arial"/>
          <w:bCs/>
          <w:sz w:val="24"/>
          <w:szCs w:val="24"/>
        </w:rPr>
        <w:t xml:space="preserve">has also been seen </w:t>
      </w:r>
      <w:r>
        <w:rPr>
          <w:rFonts w:ascii="Arial" w:hAnsi="Arial" w:cs="Arial"/>
          <w:bCs/>
          <w:sz w:val="24"/>
          <w:szCs w:val="24"/>
        </w:rPr>
        <w:t xml:space="preserve">in Urology &amp; Upper GI. </w:t>
      </w:r>
    </w:p>
    <w:p w14:paraId="213F49FC" w14:textId="77777777" w:rsidR="0019642E" w:rsidRDefault="0019642E" w:rsidP="0019642E">
      <w:pPr>
        <w:spacing w:after="0" w:line="240" w:lineRule="auto"/>
        <w:jc w:val="both"/>
        <w:rPr>
          <w:rFonts w:ascii="Arial" w:hAnsi="Arial" w:cs="Arial"/>
          <w:bCs/>
          <w:sz w:val="24"/>
          <w:szCs w:val="24"/>
        </w:rPr>
      </w:pPr>
    </w:p>
    <w:p w14:paraId="1405FE0C" w14:textId="77777777" w:rsidR="0019642E" w:rsidRPr="006376E3" w:rsidRDefault="0019642E" w:rsidP="0019642E">
      <w:pPr>
        <w:spacing w:after="0" w:line="240" w:lineRule="auto"/>
        <w:jc w:val="both"/>
        <w:rPr>
          <w:rFonts w:ascii="Arial" w:hAnsi="Arial" w:cs="Arial"/>
          <w:bCs/>
          <w:sz w:val="24"/>
          <w:szCs w:val="24"/>
        </w:rPr>
      </w:pPr>
    </w:p>
    <w:p w14:paraId="44EFE05C" w14:textId="77777777" w:rsidR="0019642E" w:rsidRDefault="0019642E" w:rsidP="0019642E">
      <w:pPr>
        <w:pStyle w:val="ListParagraph"/>
        <w:numPr>
          <w:ilvl w:val="0"/>
          <w:numId w:val="15"/>
        </w:numPr>
        <w:spacing w:after="0" w:line="240" w:lineRule="auto"/>
        <w:jc w:val="both"/>
        <w:rPr>
          <w:rFonts w:ascii="Arial" w:hAnsi="Arial" w:cs="Arial"/>
          <w:b/>
          <w:bCs/>
          <w:sz w:val="24"/>
          <w:szCs w:val="24"/>
        </w:rPr>
      </w:pPr>
      <w:r>
        <w:rPr>
          <w:rFonts w:ascii="Arial" w:hAnsi="Arial" w:cs="Arial"/>
          <w:b/>
          <w:bCs/>
          <w:sz w:val="24"/>
          <w:szCs w:val="24"/>
        </w:rPr>
        <w:t>That cellular pathology reports will be available within 5 days</w:t>
      </w:r>
    </w:p>
    <w:p w14:paraId="417F06A2" w14:textId="77777777" w:rsidR="0019642E" w:rsidRDefault="0019642E" w:rsidP="0019642E">
      <w:pPr>
        <w:spacing w:after="0" w:line="240" w:lineRule="auto"/>
        <w:jc w:val="both"/>
        <w:rPr>
          <w:rFonts w:ascii="Arial" w:hAnsi="Arial" w:cs="Arial"/>
          <w:b/>
          <w:bCs/>
          <w:sz w:val="24"/>
          <w:szCs w:val="24"/>
        </w:rPr>
      </w:pPr>
    </w:p>
    <w:p w14:paraId="412E4D31" w14:textId="77777777" w:rsidR="0019642E" w:rsidRDefault="0019642E" w:rsidP="0019642E">
      <w:pPr>
        <w:spacing w:after="0" w:line="240" w:lineRule="auto"/>
        <w:jc w:val="both"/>
        <w:rPr>
          <w:rFonts w:ascii="Arial" w:hAnsi="Arial" w:cs="Arial"/>
          <w:sz w:val="24"/>
          <w:szCs w:val="24"/>
        </w:rPr>
      </w:pPr>
      <w:r w:rsidRPr="00107DDC">
        <w:rPr>
          <w:rFonts w:ascii="Arial" w:hAnsi="Arial" w:cs="Arial"/>
          <w:sz w:val="24"/>
          <w:szCs w:val="24"/>
        </w:rPr>
        <w:t xml:space="preserve">The cellular pathology service remains under extreme pressure and whilst there has been </w:t>
      </w:r>
      <w:r>
        <w:rPr>
          <w:rFonts w:ascii="Arial" w:hAnsi="Arial" w:cs="Arial"/>
          <w:sz w:val="24"/>
          <w:szCs w:val="24"/>
        </w:rPr>
        <w:t>some</w:t>
      </w:r>
      <w:r w:rsidRPr="00107DDC">
        <w:rPr>
          <w:rFonts w:ascii="Arial" w:hAnsi="Arial" w:cs="Arial"/>
          <w:sz w:val="24"/>
          <w:szCs w:val="24"/>
        </w:rPr>
        <w:t xml:space="preserve"> improvement in reporting USC cases</w:t>
      </w:r>
      <w:r>
        <w:rPr>
          <w:rFonts w:ascii="Arial" w:hAnsi="Arial" w:cs="Arial"/>
          <w:sz w:val="24"/>
          <w:szCs w:val="24"/>
        </w:rPr>
        <w:t>,</w:t>
      </w:r>
      <w:r w:rsidRPr="00107DDC">
        <w:rPr>
          <w:rFonts w:ascii="Arial" w:hAnsi="Arial" w:cs="Arial"/>
          <w:sz w:val="24"/>
          <w:szCs w:val="24"/>
        </w:rPr>
        <w:t xml:space="preserve"> there is </w:t>
      </w:r>
      <w:r>
        <w:rPr>
          <w:rFonts w:ascii="Arial" w:hAnsi="Arial" w:cs="Arial"/>
          <w:sz w:val="24"/>
          <w:szCs w:val="24"/>
        </w:rPr>
        <w:t xml:space="preserve">very much a need for improvement.  </w:t>
      </w:r>
    </w:p>
    <w:p w14:paraId="28543090" w14:textId="77777777" w:rsidR="0019642E" w:rsidRDefault="0019642E" w:rsidP="0019642E">
      <w:pPr>
        <w:spacing w:after="0" w:line="240" w:lineRule="auto"/>
        <w:jc w:val="both"/>
        <w:rPr>
          <w:rFonts w:ascii="Arial" w:hAnsi="Arial" w:cs="Arial"/>
          <w:sz w:val="24"/>
          <w:szCs w:val="24"/>
        </w:rPr>
      </w:pPr>
    </w:p>
    <w:p w14:paraId="180CC1A8" w14:textId="77777777" w:rsidR="0019642E" w:rsidRDefault="0019642E" w:rsidP="0019642E">
      <w:pPr>
        <w:spacing w:after="0" w:line="240" w:lineRule="auto"/>
        <w:jc w:val="both"/>
        <w:rPr>
          <w:rFonts w:ascii="Arial" w:hAnsi="Arial" w:cs="Arial"/>
          <w:sz w:val="24"/>
          <w:szCs w:val="24"/>
        </w:rPr>
      </w:pPr>
      <w:r>
        <w:rPr>
          <w:rFonts w:ascii="Arial" w:hAnsi="Arial" w:cs="Arial"/>
          <w:sz w:val="24"/>
          <w:szCs w:val="24"/>
        </w:rPr>
        <w:t xml:space="preserve">The chart below demonstrates the specimen turnaround times within cellular pathology for those labelled ‘USC’. </w:t>
      </w:r>
    </w:p>
    <w:p w14:paraId="40D7BD09" w14:textId="05974A5F" w:rsidR="0019642E" w:rsidRDefault="0019642E" w:rsidP="0019642E">
      <w:pPr>
        <w:spacing w:after="0" w:line="240" w:lineRule="auto"/>
        <w:jc w:val="both"/>
        <w:rPr>
          <w:rFonts w:ascii="Arial" w:hAnsi="Arial" w:cs="Arial"/>
          <w:sz w:val="24"/>
          <w:szCs w:val="24"/>
        </w:rPr>
      </w:pPr>
      <w:r>
        <w:rPr>
          <w:rFonts w:ascii="Arial" w:hAnsi="Arial" w:cs="Arial"/>
          <w:sz w:val="24"/>
          <w:szCs w:val="24"/>
        </w:rPr>
        <w:t xml:space="preserve"> </w:t>
      </w:r>
    </w:p>
    <w:p w14:paraId="2F7BC901" w14:textId="77777777" w:rsidR="0019642E" w:rsidRDefault="0019642E" w:rsidP="0019642E">
      <w:pPr>
        <w:spacing w:after="0" w:line="240" w:lineRule="auto"/>
        <w:jc w:val="both"/>
        <w:rPr>
          <w:rFonts w:ascii="Arial" w:hAnsi="Arial" w:cs="Arial"/>
          <w:sz w:val="24"/>
          <w:szCs w:val="24"/>
        </w:rPr>
      </w:pPr>
      <w:r w:rsidRPr="000E6F5B">
        <w:rPr>
          <w:rFonts w:ascii="Arial" w:hAnsi="Arial" w:cs="Arial"/>
          <w:noProof/>
          <w:sz w:val="24"/>
          <w:szCs w:val="24"/>
        </w:rPr>
        <w:drawing>
          <wp:inline distT="0" distB="0" distL="0" distR="0" wp14:anchorId="4C30B484" wp14:editId="038A0772">
            <wp:extent cx="6070600" cy="2559050"/>
            <wp:effectExtent l="0" t="0" r="6350" b="12700"/>
            <wp:docPr id="12" name="Chart 12">
              <a:extLst xmlns:a="http://schemas.openxmlformats.org/drawingml/2006/main">
                <a:ext uri="{FF2B5EF4-FFF2-40B4-BE49-F238E27FC236}">
                  <a16:creationId xmlns:a16="http://schemas.microsoft.com/office/drawing/2014/main" id="{3D53B1B3-1869-4BD4-B30E-BC3B89F03B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ADAF0D3" w14:textId="77777777" w:rsidR="0019642E" w:rsidRDefault="0019642E" w:rsidP="0019642E">
      <w:pPr>
        <w:spacing w:after="0" w:line="240" w:lineRule="auto"/>
        <w:jc w:val="both"/>
        <w:rPr>
          <w:rFonts w:ascii="Arial" w:hAnsi="Arial" w:cs="Arial"/>
          <w:sz w:val="24"/>
          <w:szCs w:val="24"/>
        </w:rPr>
      </w:pPr>
    </w:p>
    <w:p w14:paraId="7C5590BC" w14:textId="77777777" w:rsidR="0019642E" w:rsidRPr="00107DDC" w:rsidRDefault="0019642E" w:rsidP="0019642E">
      <w:pPr>
        <w:spacing w:after="0" w:line="240" w:lineRule="auto"/>
        <w:jc w:val="both"/>
        <w:rPr>
          <w:rFonts w:ascii="Arial" w:hAnsi="Arial" w:cs="Arial"/>
          <w:bCs/>
          <w:sz w:val="24"/>
          <w:szCs w:val="24"/>
        </w:rPr>
      </w:pPr>
    </w:p>
    <w:p w14:paraId="799E8470" w14:textId="77777777" w:rsidR="0019642E" w:rsidRDefault="0019642E" w:rsidP="0019642E">
      <w:pPr>
        <w:jc w:val="both"/>
        <w:rPr>
          <w:rFonts w:ascii="Arial" w:hAnsi="Arial" w:cs="Arial"/>
          <w:sz w:val="24"/>
          <w:szCs w:val="24"/>
        </w:rPr>
      </w:pPr>
      <w:r>
        <w:rPr>
          <w:rFonts w:ascii="Arial" w:hAnsi="Arial" w:cs="Arial"/>
          <w:sz w:val="24"/>
          <w:szCs w:val="24"/>
        </w:rPr>
        <w:t>Daily comparison between SCP tracker and pathology waiting list continues to escalate specimens for reporting.</w:t>
      </w:r>
    </w:p>
    <w:p w14:paraId="514BBE8A" w14:textId="77777777" w:rsidR="0019642E" w:rsidRDefault="0019642E" w:rsidP="0019642E">
      <w:pPr>
        <w:jc w:val="both"/>
        <w:rPr>
          <w:rFonts w:ascii="Arial" w:hAnsi="Arial" w:cs="Arial"/>
          <w:sz w:val="24"/>
          <w:szCs w:val="24"/>
        </w:rPr>
      </w:pPr>
      <w:r>
        <w:rPr>
          <w:rFonts w:ascii="Arial" w:hAnsi="Arial" w:cs="Arial"/>
          <w:sz w:val="24"/>
          <w:szCs w:val="24"/>
        </w:rPr>
        <w:t>We are re-enforcing requirements in relation to the completion of specimen request forms, stressing importance of correct labelling of USC specimens and advocating use of the required by date field on forms to support prioritisation within the laboratory.</w:t>
      </w:r>
    </w:p>
    <w:p w14:paraId="61D985BA" w14:textId="77777777" w:rsidR="0019642E" w:rsidRDefault="0019642E" w:rsidP="0019642E">
      <w:pPr>
        <w:jc w:val="both"/>
        <w:rPr>
          <w:rFonts w:ascii="Arial" w:hAnsi="Arial" w:cs="Arial"/>
          <w:sz w:val="24"/>
          <w:szCs w:val="24"/>
        </w:rPr>
      </w:pPr>
      <w:r>
        <w:rPr>
          <w:rFonts w:ascii="Arial" w:hAnsi="Arial" w:cs="Arial"/>
          <w:sz w:val="24"/>
          <w:szCs w:val="24"/>
        </w:rPr>
        <w:t>The HB recognises current systems in relation to data processes within the service are heavily dependent one individual, as such a digital solution for information sharing and wider ownership of turnaround times are in discussions currently.</w:t>
      </w:r>
    </w:p>
    <w:p w14:paraId="70EC295A" w14:textId="77777777" w:rsidR="0019642E" w:rsidRDefault="0019642E" w:rsidP="0019642E">
      <w:pPr>
        <w:jc w:val="both"/>
        <w:rPr>
          <w:rFonts w:ascii="Arial" w:hAnsi="Arial" w:cs="Arial"/>
          <w:sz w:val="24"/>
          <w:szCs w:val="24"/>
        </w:rPr>
      </w:pPr>
      <w:r>
        <w:rPr>
          <w:rFonts w:ascii="Arial" w:hAnsi="Arial" w:cs="Arial"/>
          <w:sz w:val="24"/>
          <w:szCs w:val="24"/>
        </w:rPr>
        <w:t xml:space="preserve">There is variation in turnaround times per tumour site, owing to complexity and sub-specialism. In an effort to address waits within some of the more complex tumour groups, a weekly meeting is in place from May 2024 for Sarcoma to review the progress of specimens awaiting reporting; this meeting includes representation from the </w:t>
      </w:r>
      <w:proofErr w:type="gramStart"/>
      <w:r>
        <w:rPr>
          <w:rFonts w:ascii="Arial" w:hAnsi="Arial" w:cs="Arial"/>
          <w:sz w:val="24"/>
          <w:szCs w:val="24"/>
        </w:rPr>
        <w:t>All Wales</w:t>
      </w:r>
      <w:proofErr w:type="gramEnd"/>
      <w:r>
        <w:rPr>
          <w:rFonts w:ascii="Arial" w:hAnsi="Arial" w:cs="Arial"/>
          <w:sz w:val="24"/>
          <w:szCs w:val="24"/>
        </w:rPr>
        <w:t xml:space="preserve"> Genomics Service and although in its infancy, has helped address the longest waiting cohort.  As such, we are initiating a similar approach for AWLP/Bone Marrow specimens of our SCP patients.</w:t>
      </w:r>
    </w:p>
    <w:p w14:paraId="35C0FEF0" w14:textId="77777777" w:rsidR="0019642E" w:rsidRPr="0019642E" w:rsidRDefault="0019642E" w:rsidP="0019642E">
      <w:pPr>
        <w:spacing w:after="0" w:line="240" w:lineRule="auto"/>
        <w:rPr>
          <w:rFonts w:ascii="Arial" w:hAnsi="Arial" w:cs="Arial"/>
          <w:b/>
          <w:sz w:val="24"/>
          <w:szCs w:val="24"/>
        </w:rPr>
      </w:pPr>
    </w:p>
    <w:p w14:paraId="6D290422"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GOVERNANCE AND RISK ISSUES</w:t>
      </w:r>
    </w:p>
    <w:p w14:paraId="7B0E2231" w14:textId="77777777" w:rsidR="0019642E" w:rsidRDefault="0019642E" w:rsidP="00653AEC">
      <w:pPr>
        <w:spacing w:after="0" w:line="240" w:lineRule="auto"/>
        <w:rPr>
          <w:rFonts w:ascii="Arial" w:hAnsi="Arial" w:cs="Arial"/>
          <w:color w:val="FF0000"/>
          <w:sz w:val="24"/>
          <w:szCs w:val="24"/>
        </w:rPr>
      </w:pPr>
    </w:p>
    <w:p w14:paraId="67F8FA05" w14:textId="77777777"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 xml:space="preserve">Improvement action plans have been developed across a number of tumour sites and diagnostic specialties; the key actions related to these are outlined below.  </w:t>
      </w:r>
    </w:p>
    <w:p w14:paraId="700F02E3" w14:textId="77777777" w:rsidR="0019642E" w:rsidRDefault="0019642E" w:rsidP="0019642E">
      <w:pPr>
        <w:spacing w:after="0" w:line="240" w:lineRule="auto"/>
        <w:jc w:val="both"/>
        <w:rPr>
          <w:rFonts w:ascii="Arial" w:hAnsi="Arial" w:cs="Arial"/>
          <w:bCs/>
          <w:sz w:val="24"/>
          <w:szCs w:val="24"/>
        </w:rPr>
      </w:pPr>
    </w:p>
    <w:p w14:paraId="3B4EA084" w14:textId="77777777" w:rsidR="0019642E" w:rsidRDefault="0019642E" w:rsidP="0019642E">
      <w:pPr>
        <w:spacing w:after="0" w:line="240" w:lineRule="auto"/>
        <w:jc w:val="both"/>
        <w:rPr>
          <w:rFonts w:ascii="Arial" w:hAnsi="Arial" w:cs="Arial"/>
          <w:b/>
          <w:sz w:val="24"/>
          <w:szCs w:val="24"/>
        </w:rPr>
      </w:pPr>
      <w:r w:rsidRPr="00AC6162">
        <w:rPr>
          <w:rFonts w:ascii="Arial" w:hAnsi="Arial" w:cs="Arial"/>
          <w:b/>
          <w:sz w:val="24"/>
          <w:szCs w:val="24"/>
        </w:rPr>
        <w:t>Breast</w:t>
      </w:r>
      <w:r>
        <w:rPr>
          <w:rFonts w:ascii="Arial" w:hAnsi="Arial" w:cs="Arial"/>
          <w:b/>
          <w:sz w:val="24"/>
          <w:szCs w:val="24"/>
        </w:rPr>
        <w:t xml:space="preserve"> </w:t>
      </w:r>
    </w:p>
    <w:p w14:paraId="5270C623"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D&amp;C undertaken for new demand, generally waits are within 2 weeks however the percentage of patients meeting this metric can be improved and daily huddle meetings are being trialled from 3</w:t>
      </w:r>
      <w:r w:rsidRPr="000E6F5B">
        <w:rPr>
          <w:rFonts w:ascii="Arial" w:hAnsi="Arial" w:cs="Arial"/>
          <w:sz w:val="24"/>
          <w:szCs w:val="24"/>
          <w:vertAlign w:val="superscript"/>
        </w:rPr>
        <w:t>rd</w:t>
      </w:r>
      <w:r>
        <w:rPr>
          <w:rFonts w:ascii="Arial" w:hAnsi="Arial" w:cs="Arial"/>
          <w:sz w:val="24"/>
          <w:szCs w:val="24"/>
        </w:rPr>
        <w:t xml:space="preserve"> June 2024.</w:t>
      </w:r>
    </w:p>
    <w:p w14:paraId="4B6E12EB" w14:textId="77777777" w:rsidR="0019642E" w:rsidRPr="00B2297A" w:rsidRDefault="0019642E" w:rsidP="00B2297A">
      <w:pPr>
        <w:pStyle w:val="ListParagraph"/>
        <w:numPr>
          <w:ilvl w:val="0"/>
          <w:numId w:val="21"/>
        </w:numPr>
        <w:spacing w:after="0" w:line="240" w:lineRule="auto"/>
        <w:jc w:val="both"/>
        <w:rPr>
          <w:rFonts w:ascii="Arial" w:hAnsi="Arial" w:cs="Arial"/>
          <w:sz w:val="24"/>
          <w:szCs w:val="24"/>
        </w:rPr>
      </w:pPr>
      <w:r w:rsidRPr="00B2297A">
        <w:rPr>
          <w:rFonts w:ascii="Arial" w:hAnsi="Arial" w:cs="Arial"/>
          <w:sz w:val="24"/>
          <w:szCs w:val="24"/>
        </w:rPr>
        <w:t>A paper outlining options and costed investment required to improve sustainability of the breast service (including expansion radiographer/radiologist support) and requirement for breast CNS to manage breast pain referrals, has been presented  to CPIG that has endorsed its progress to the Planned Care  and BCAG groups for approval.</w:t>
      </w:r>
    </w:p>
    <w:p w14:paraId="58D891EB"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Continues improvement in the above will help increase the percentage of patients meeting DTT by day 31</w:t>
      </w:r>
    </w:p>
    <w:p w14:paraId="0762C854" w14:textId="77777777" w:rsidR="0019642E" w:rsidRPr="000E6F5B"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Improvement around MDM decision making – </w:t>
      </w:r>
      <w:r w:rsidRPr="00AD76B2">
        <w:rPr>
          <w:rFonts w:ascii="Arial" w:hAnsi="Arial" w:cs="Arial"/>
          <w:sz w:val="24"/>
          <w:szCs w:val="24"/>
        </w:rPr>
        <w:t>There is evidence from the analysis of the breach report that a delay in decision making due to additional opinions or additional investigation requests is contributing to extending pathways.</w:t>
      </w:r>
    </w:p>
    <w:p w14:paraId="73ABFDD4"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Enhance surgical capacity to reduce waiting times for treatment.  Additional theatre capacity is available to the service following disaggregation however this change also brings increased surgical demand on the service; this is another area identified through breach analysis to be contributing to delays, as such additional capacity is required.  Discussions are ongoing currently regarding Monday theatre capacity with lists taking place on two sites, we are heavily impacted due to bank holidays, seeking to move the list to an alternative day.</w:t>
      </w:r>
    </w:p>
    <w:p w14:paraId="28359A83" w14:textId="77777777" w:rsidR="0019642E" w:rsidRPr="00AD76B2"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lastRenderedPageBreak/>
        <w:t>We are now fully staffed from a consultant surgeon perspective with our last appointment re-joining the team 20</w:t>
      </w:r>
      <w:r w:rsidRPr="000E6F5B">
        <w:rPr>
          <w:rFonts w:ascii="Arial" w:hAnsi="Arial" w:cs="Arial"/>
          <w:sz w:val="24"/>
          <w:szCs w:val="24"/>
          <w:vertAlign w:val="superscript"/>
        </w:rPr>
        <w:t>th</w:t>
      </w:r>
      <w:r>
        <w:rPr>
          <w:rFonts w:ascii="Arial" w:hAnsi="Arial" w:cs="Arial"/>
          <w:sz w:val="24"/>
          <w:szCs w:val="24"/>
        </w:rPr>
        <w:t xml:space="preserve"> May 2024.</w:t>
      </w:r>
    </w:p>
    <w:p w14:paraId="68B53A79" w14:textId="77777777" w:rsidR="0019642E" w:rsidRPr="007564A9" w:rsidRDefault="0019642E" w:rsidP="0019642E">
      <w:pPr>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19642E" w:rsidRPr="00457970" w14:paraId="58FB803C" w14:textId="77777777" w:rsidTr="005F5F0D">
        <w:tc>
          <w:tcPr>
            <w:tcW w:w="3005" w:type="dxa"/>
            <w:shd w:val="clear" w:color="auto" w:fill="DEEAF6" w:themeFill="accent1" w:themeFillTint="33"/>
          </w:tcPr>
          <w:p w14:paraId="0B911F68"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596E9E63"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03BF325B"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Backlog Volume / %</w:t>
            </w:r>
          </w:p>
        </w:tc>
      </w:tr>
      <w:tr w:rsidR="0019642E" w:rsidRPr="00457970" w14:paraId="097C0013" w14:textId="77777777" w:rsidTr="005F5F0D">
        <w:tc>
          <w:tcPr>
            <w:tcW w:w="3005" w:type="dxa"/>
          </w:tcPr>
          <w:p w14:paraId="437359F5"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3B4EF5E1" w14:textId="77777777" w:rsidR="0019642E" w:rsidRPr="00457970" w:rsidRDefault="0019642E" w:rsidP="005F5F0D">
            <w:pPr>
              <w:jc w:val="both"/>
              <w:rPr>
                <w:rFonts w:ascii="Arial" w:hAnsi="Arial" w:cs="Arial"/>
                <w:bCs/>
                <w:sz w:val="24"/>
                <w:szCs w:val="24"/>
              </w:rPr>
            </w:pPr>
            <w:r>
              <w:rPr>
                <w:rFonts w:ascii="Arial" w:hAnsi="Arial" w:cs="Arial"/>
                <w:bCs/>
                <w:sz w:val="24"/>
                <w:szCs w:val="24"/>
              </w:rPr>
              <w:t>161</w:t>
            </w:r>
          </w:p>
        </w:tc>
        <w:tc>
          <w:tcPr>
            <w:tcW w:w="3006" w:type="dxa"/>
          </w:tcPr>
          <w:p w14:paraId="5F3B8577" w14:textId="77777777" w:rsidR="0019642E" w:rsidRPr="00457970" w:rsidRDefault="0019642E" w:rsidP="005F5F0D">
            <w:pPr>
              <w:jc w:val="both"/>
              <w:rPr>
                <w:rFonts w:ascii="Arial" w:hAnsi="Arial" w:cs="Arial"/>
                <w:bCs/>
                <w:sz w:val="24"/>
                <w:szCs w:val="24"/>
              </w:rPr>
            </w:pPr>
            <w:r>
              <w:rPr>
                <w:rFonts w:ascii="Arial" w:hAnsi="Arial" w:cs="Arial"/>
                <w:bCs/>
                <w:sz w:val="24"/>
                <w:szCs w:val="24"/>
              </w:rPr>
              <w:t>29</w:t>
            </w:r>
            <w:r w:rsidRPr="00457970">
              <w:rPr>
                <w:rFonts w:ascii="Arial" w:hAnsi="Arial" w:cs="Arial"/>
                <w:bCs/>
                <w:sz w:val="24"/>
                <w:szCs w:val="24"/>
              </w:rPr>
              <w:t xml:space="preserve"> (</w:t>
            </w:r>
            <w:r>
              <w:rPr>
                <w:rFonts w:ascii="Arial" w:hAnsi="Arial" w:cs="Arial"/>
                <w:bCs/>
                <w:sz w:val="24"/>
                <w:szCs w:val="24"/>
              </w:rPr>
              <w:t>18</w:t>
            </w:r>
            <w:r w:rsidRPr="00457970">
              <w:rPr>
                <w:rFonts w:ascii="Arial" w:hAnsi="Arial" w:cs="Arial"/>
                <w:bCs/>
                <w:sz w:val="24"/>
                <w:szCs w:val="24"/>
              </w:rPr>
              <w:t>%)</w:t>
            </w:r>
          </w:p>
        </w:tc>
      </w:tr>
      <w:tr w:rsidR="0019642E" w:rsidRPr="00457970" w14:paraId="7DDA7B43" w14:textId="77777777" w:rsidTr="005F5F0D">
        <w:tc>
          <w:tcPr>
            <w:tcW w:w="3005" w:type="dxa"/>
          </w:tcPr>
          <w:p w14:paraId="751B8435"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3BABE502" w14:textId="77777777" w:rsidR="0019642E" w:rsidRPr="00457970" w:rsidRDefault="0019642E" w:rsidP="005F5F0D">
            <w:pPr>
              <w:jc w:val="both"/>
              <w:rPr>
                <w:rFonts w:ascii="Arial" w:hAnsi="Arial" w:cs="Arial"/>
                <w:bCs/>
                <w:sz w:val="24"/>
                <w:szCs w:val="24"/>
              </w:rPr>
            </w:pPr>
            <w:r>
              <w:rPr>
                <w:rFonts w:ascii="Arial" w:hAnsi="Arial" w:cs="Arial"/>
                <w:bCs/>
                <w:sz w:val="24"/>
                <w:szCs w:val="24"/>
              </w:rPr>
              <w:t>138</w:t>
            </w:r>
          </w:p>
        </w:tc>
        <w:tc>
          <w:tcPr>
            <w:tcW w:w="3006" w:type="dxa"/>
          </w:tcPr>
          <w:p w14:paraId="4C7D4C07" w14:textId="77777777" w:rsidR="0019642E" w:rsidRPr="00457970" w:rsidRDefault="0019642E" w:rsidP="005F5F0D">
            <w:pPr>
              <w:jc w:val="both"/>
              <w:rPr>
                <w:rFonts w:ascii="Arial" w:hAnsi="Arial" w:cs="Arial"/>
                <w:bCs/>
                <w:sz w:val="24"/>
                <w:szCs w:val="24"/>
              </w:rPr>
            </w:pPr>
            <w:r>
              <w:rPr>
                <w:rFonts w:ascii="Arial" w:hAnsi="Arial" w:cs="Arial"/>
                <w:bCs/>
                <w:sz w:val="24"/>
                <w:szCs w:val="24"/>
              </w:rPr>
              <w:t>11</w:t>
            </w:r>
            <w:r w:rsidRPr="00457970">
              <w:rPr>
                <w:rFonts w:ascii="Arial" w:hAnsi="Arial" w:cs="Arial"/>
                <w:bCs/>
                <w:sz w:val="24"/>
                <w:szCs w:val="24"/>
              </w:rPr>
              <w:t xml:space="preserve"> (</w:t>
            </w:r>
            <w:r>
              <w:rPr>
                <w:rFonts w:ascii="Arial" w:hAnsi="Arial" w:cs="Arial"/>
                <w:bCs/>
                <w:sz w:val="24"/>
                <w:szCs w:val="24"/>
              </w:rPr>
              <w:t>8</w:t>
            </w:r>
            <w:r w:rsidRPr="00457970">
              <w:rPr>
                <w:rFonts w:ascii="Arial" w:hAnsi="Arial" w:cs="Arial"/>
                <w:bCs/>
                <w:sz w:val="24"/>
                <w:szCs w:val="24"/>
              </w:rPr>
              <w:t>%)</w:t>
            </w:r>
          </w:p>
        </w:tc>
      </w:tr>
      <w:tr w:rsidR="0019642E" w:rsidRPr="00457970" w14:paraId="7004AC8A" w14:textId="77777777" w:rsidTr="005F5F0D">
        <w:tc>
          <w:tcPr>
            <w:tcW w:w="3005" w:type="dxa"/>
          </w:tcPr>
          <w:p w14:paraId="41B7A78F" w14:textId="77777777" w:rsidR="0019642E" w:rsidRPr="00457970" w:rsidRDefault="0019642E" w:rsidP="005F5F0D">
            <w:pPr>
              <w:jc w:val="both"/>
              <w:rPr>
                <w:rFonts w:ascii="Arial" w:hAnsi="Arial" w:cs="Arial"/>
                <w:bCs/>
                <w:sz w:val="24"/>
                <w:szCs w:val="24"/>
              </w:rPr>
            </w:pPr>
            <w:r>
              <w:rPr>
                <w:rFonts w:ascii="Arial" w:hAnsi="Arial" w:cs="Arial"/>
                <w:bCs/>
                <w:sz w:val="24"/>
                <w:szCs w:val="24"/>
              </w:rPr>
              <w:t>Jun-23</w:t>
            </w:r>
          </w:p>
        </w:tc>
        <w:tc>
          <w:tcPr>
            <w:tcW w:w="3005" w:type="dxa"/>
          </w:tcPr>
          <w:p w14:paraId="3DA3FA48" w14:textId="77777777" w:rsidR="0019642E" w:rsidRDefault="0019642E" w:rsidP="005F5F0D">
            <w:pPr>
              <w:jc w:val="both"/>
              <w:rPr>
                <w:rFonts w:ascii="Arial" w:hAnsi="Arial" w:cs="Arial"/>
                <w:bCs/>
                <w:sz w:val="24"/>
                <w:szCs w:val="24"/>
              </w:rPr>
            </w:pPr>
            <w:r>
              <w:rPr>
                <w:rFonts w:ascii="Arial" w:hAnsi="Arial" w:cs="Arial"/>
                <w:bCs/>
                <w:sz w:val="24"/>
                <w:szCs w:val="24"/>
              </w:rPr>
              <w:t>212</w:t>
            </w:r>
          </w:p>
        </w:tc>
        <w:tc>
          <w:tcPr>
            <w:tcW w:w="3006" w:type="dxa"/>
          </w:tcPr>
          <w:p w14:paraId="56C5741F" w14:textId="77777777" w:rsidR="0019642E" w:rsidRDefault="0019642E" w:rsidP="005F5F0D">
            <w:pPr>
              <w:jc w:val="both"/>
              <w:rPr>
                <w:rFonts w:ascii="Arial" w:hAnsi="Arial" w:cs="Arial"/>
                <w:bCs/>
                <w:sz w:val="24"/>
                <w:szCs w:val="24"/>
              </w:rPr>
            </w:pPr>
            <w:r>
              <w:rPr>
                <w:rFonts w:ascii="Arial" w:hAnsi="Arial" w:cs="Arial"/>
                <w:bCs/>
                <w:sz w:val="24"/>
                <w:szCs w:val="24"/>
              </w:rPr>
              <w:t>13 (6%)</w:t>
            </w:r>
          </w:p>
        </w:tc>
      </w:tr>
      <w:tr w:rsidR="0019642E" w:rsidRPr="00457970" w14:paraId="1529CD4B" w14:textId="77777777" w:rsidTr="005F5F0D">
        <w:tc>
          <w:tcPr>
            <w:tcW w:w="3005" w:type="dxa"/>
          </w:tcPr>
          <w:p w14:paraId="7E5C1DD2"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2EF0EC83" w14:textId="77777777" w:rsidR="0019642E" w:rsidRDefault="0019642E" w:rsidP="005F5F0D">
            <w:pPr>
              <w:jc w:val="both"/>
              <w:rPr>
                <w:rFonts w:ascii="Arial" w:hAnsi="Arial" w:cs="Arial"/>
                <w:bCs/>
                <w:sz w:val="24"/>
                <w:szCs w:val="24"/>
              </w:rPr>
            </w:pPr>
            <w:r>
              <w:rPr>
                <w:rFonts w:ascii="Arial" w:hAnsi="Arial" w:cs="Arial"/>
                <w:bCs/>
                <w:sz w:val="24"/>
                <w:szCs w:val="24"/>
              </w:rPr>
              <w:t>223</w:t>
            </w:r>
          </w:p>
        </w:tc>
        <w:tc>
          <w:tcPr>
            <w:tcW w:w="3006" w:type="dxa"/>
          </w:tcPr>
          <w:p w14:paraId="6BAE34BB" w14:textId="77777777" w:rsidR="0019642E" w:rsidRDefault="0019642E" w:rsidP="005F5F0D">
            <w:pPr>
              <w:jc w:val="both"/>
              <w:rPr>
                <w:rFonts w:ascii="Arial" w:hAnsi="Arial" w:cs="Arial"/>
                <w:bCs/>
                <w:sz w:val="24"/>
                <w:szCs w:val="24"/>
              </w:rPr>
            </w:pPr>
            <w:r>
              <w:rPr>
                <w:rFonts w:ascii="Arial" w:hAnsi="Arial" w:cs="Arial"/>
                <w:bCs/>
                <w:sz w:val="24"/>
                <w:szCs w:val="24"/>
              </w:rPr>
              <w:t>16 (7%)</w:t>
            </w:r>
          </w:p>
        </w:tc>
      </w:tr>
      <w:tr w:rsidR="0019642E" w:rsidRPr="00457970" w14:paraId="715B056E" w14:textId="77777777" w:rsidTr="005F5F0D">
        <w:tc>
          <w:tcPr>
            <w:tcW w:w="3005" w:type="dxa"/>
          </w:tcPr>
          <w:p w14:paraId="7FB56453"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6CD6B930" w14:textId="77777777" w:rsidR="0019642E" w:rsidRDefault="0019642E" w:rsidP="005F5F0D">
            <w:pPr>
              <w:jc w:val="both"/>
              <w:rPr>
                <w:rFonts w:ascii="Arial" w:hAnsi="Arial" w:cs="Arial"/>
                <w:bCs/>
                <w:sz w:val="24"/>
                <w:szCs w:val="24"/>
              </w:rPr>
            </w:pPr>
            <w:r>
              <w:rPr>
                <w:rFonts w:ascii="Arial" w:hAnsi="Arial" w:cs="Arial"/>
                <w:bCs/>
                <w:sz w:val="24"/>
                <w:szCs w:val="24"/>
              </w:rPr>
              <w:t>125</w:t>
            </w:r>
          </w:p>
        </w:tc>
        <w:tc>
          <w:tcPr>
            <w:tcW w:w="3006" w:type="dxa"/>
          </w:tcPr>
          <w:p w14:paraId="048B5C27" w14:textId="77777777" w:rsidR="0019642E" w:rsidRDefault="0019642E" w:rsidP="005F5F0D">
            <w:pPr>
              <w:jc w:val="both"/>
              <w:rPr>
                <w:rFonts w:ascii="Arial" w:hAnsi="Arial" w:cs="Arial"/>
                <w:bCs/>
                <w:sz w:val="24"/>
                <w:szCs w:val="24"/>
              </w:rPr>
            </w:pPr>
            <w:r>
              <w:rPr>
                <w:rFonts w:ascii="Arial" w:hAnsi="Arial" w:cs="Arial"/>
                <w:bCs/>
                <w:sz w:val="24"/>
                <w:szCs w:val="24"/>
              </w:rPr>
              <w:t>18 (14%)</w:t>
            </w:r>
          </w:p>
        </w:tc>
      </w:tr>
      <w:tr w:rsidR="0019642E" w:rsidRPr="00457970" w14:paraId="24837F15" w14:textId="77777777" w:rsidTr="005F5F0D">
        <w:tc>
          <w:tcPr>
            <w:tcW w:w="3005" w:type="dxa"/>
          </w:tcPr>
          <w:p w14:paraId="4BEC2ED1" w14:textId="77777777"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3ECCEA75" w14:textId="77777777" w:rsidR="0019642E" w:rsidRDefault="0019642E" w:rsidP="005F5F0D">
            <w:pPr>
              <w:jc w:val="both"/>
              <w:rPr>
                <w:rFonts w:ascii="Arial" w:hAnsi="Arial" w:cs="Arial"/>
                <w:bCs/>
                <w:sz w:val="24"/>
                <w:szCs w:val="24"/>
              </w:rPr>
            </w:pPr>
            <w:r>
              <w:rPr>
                <w:rFonts w:ascii="Arial" w:hAnsi="Arial" w:cs="Arial"/>
                <w:bCs/>
                <w:sz w:val="24"/>
                <w:szCs w:val="24"/>
              </w:rPr>
              <w:t>105</w:t>
            </w:r>
          </w:p>
        </w:tc>
        <w:tc>
          <w:tcPr>
            <w:tcW w:w="3006" w:type="dxa"/>
          </w:tcPr>
          <w:p w14:paraId="564B5EDF" w14:textId="77777777" w:rsidR="0019642E" w:rsidRDefault="0019642E" w:rsidP="005F5F0D">
            <w:pPr>
              <w:jc w:val="both"/>
              <w:rPr>
                <w:rFonts w:ascii="Arial" w:hAnsi="Arial" w:cs="Arial"/>
                <w:bCs/>
                <w:sz w:val="24"/>
                <w:szCs w:val="24"/>
              </w:rPr>
            </w:pPr>
            <w:r>
              <w:rPr>
                <w:rFonts w:ascii="Arial" w:hAnsi="Arial" w:cs="Arial"/>
                <w:bCs/>
                <w:sz w:val="24"/>
                <w:szCs w:val="24"/>
              </w:rPr>
              <w:t>24 (23%)</w:t>
            </w:r>
          </w:p>
        </w:tc>
      </w:tr>
      <w:tr w:rsidR="0019642E" w:rsidRPr="00457970" w14:paraId="460A5810" w14:textId="77777777" w:rsidTr="005F5F0D">
        <w:tc>
          <w:tcPr>
            <w:tcW w:w="3005" w:type="dxa"/>
          </w:tcPr>
          <w:p w14:paraId="47999133" w14:textId="419A2666"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69643B8C" w14:textId="4A164359" w:rsidR="0019642E" w:rsidRDefault="0019642E" w:rsidP="005F5F0D">
            <w:pPr>
              <w:jc w:val="both"/>
              <w:rPr>
                <w:rFonts w:ascii="Arial" w:hAnsi="Arial" w:cs="Arial"/>
                <w:bCs/>
                <w:sz w:val="24"/>
                <w:szCs w:val="24"/>
              </w:rPr>
            </w:pPr>
            <w:r>
              <w:rPr>
                <w:rFonts w:ascii="Arial" w:hAnsi="Arial" w:cs="Arial"/>
                <w:bCs/>
                <w:sz w:val="24"/>
                <w:szCs w:val="24"/>
              </w:rPr>
              <w:t>269</w:t>
            </w:r>
          </w:p>
        </w:tc>
        <w:tc>
          <w:tcPr>
            <w:tcW w:w="3006" w:type="dxa"/>
          </w:tcPr>
          <w:p w14:paraId="454D6AE3" w14:textId="47FE82A4" w:rsidR="0019642E" w:rsidRDefault="0019642E" w:rsidP="005F5F0D">
            <w:pPr>
              <w:jc w:val="both"/>
              <w:rPr>
                <w:rFonts w:ascii="Arial" w:hAnsi="Arial" w:cs="Arial"/>
                <w:bCs/>
                <w:sz w:val="24"/>
                <w:szCs w:val="24"/>
              </w:rPr>
            </w:pPr>
            <w:r>
              <w:rPr>
                <w:rFonts w:ascii="Arial" w:hAnsi="Arial" w:cs="Arial"/>
                <w:bCs/>
                <w:sz w:val="24"/>
                <w:szCs w:val="24"/>
              </w:rPr>
              <w:t>19 (7%)</w:t>
            </w:r>
          </w:p>
        </w:tc>
      </w:tr>
    </w:tbl>
    <w:p w14:paraId="63AF1BF3" w14:textId="77777777" w:rsidR="0019642E" w:rsidRPr="00AC6162" w:rsidRDefault="0019642E" w:rsidP="0019642E">
      <w:pPr>
        <w:spacing w:after="0" w:line="240" w:lineRule="auto"/>
        <w:ind w:left="360"/>
        <w:rPr>
          <w:rFonts w:ascii="Arial" w:hAnsi="Arial" w:cs="Arial"/>
          <w:sz w:val="24"/>
          <w:szCs w:val="24"/>
        </w:rPr>
      </w:pPr>
    </w:p>
    <w:p w14:paraId="4FD01284" w14:textId="77777777" w:rsidR="0019642E" w:rsidRPr="00AC6162" w:rsidRDefault="0019642E" w:rsidP="0019642E">
      <w:pPr>
        <w:pStyle w:val="ListParagraph"/>
        <w:spacing w:after="0" w:line="240" w:lineRule="auto"/>
        <w:ind w:left="360"/>
        <w:jc w:val="both"/>
        <w:rPr>
          <w:rFonts w:ascii="Arial" w:hAnsi="Arial" w:cs="Arial"/>
          <w:sz w:val="24"/>
          <w:szCs w:val="24"/>
        </w:rPr>
      </w:pPr>
    </w:p>
    <w:p w14:paraId="5CE4AA23" w14:textId="77777777" w:rsidR="0019642E" w:rsidRDefault="0019642E" w:rsidP="0019642E">
      <w:pPr>
        <w:spacing w:after="0" w:line="240" w:lineRule="auto"/>
        <w:jc w:val="both"/>
        <w:rPr>
          <w:rFonts w:ascii="Arial" w:hAnsi="Arial" w:cs="Arial"/>
          <w:b/>
          <w:sz w:val="24"/>
          <w:szCs w:val="24"/>
        </w:rPr>
      </w:pPr>
      <w:r w:rsidRPr="00AC6162">
        <w:rPr>
          <w:rFonts w:ascii="Arial" w:hAnsi="Arial" w:cs="Arial"/>
          <w:b/>
          <w:sz w:val="24"/>
          <w:szCs w:val="24"/>
        </w:rPr>
        <w:t>Gynaecology</w:t>
      </w:r>
    </w:p>
    <w:p w14:paraId="4B5FE438" w14:textId="77777777" w:rsidR="0019642E" w:rsidRDefault="0019642E" w:rsidP="0019642E">
      <w:pPr>
        <w:spacing w:after="0" w:line="240" w:lineRule="auto"/>
        <w:jc w:val="both"/>
        <w:rPr>
          <w:rFonts w:ascii="Arial" w:hAnsi="Arial" w:cs="Arial"/>
          <w:bCs/>
          <w:sz w:val="24"/>
          <w:szCs w:val="24"/>
        </w:rPr>
      </w:pPr>
      <w:r>
        <w:rPr>
          <w:rFonts w:ascii="Arial" w:hAnsi="Arial" w:cs="Arial"/>
          <w:bCs/>
          <w:sz w:val="24"/>
          <w:szCs w:val="24"/>
        </w:rPr>
        <w:t>Gynaecology remains under enhanced monitoring arrangements locally.</w:t>
      </w:r>
    </w:p>
    <w:p w14:paraId="38C31A93"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sidRPr="000E6F5B">
        <w:rPr>
          <w:rFonts w:ascii="Arial" w:hAnsi="Arial" w:cs="Arial"/>
          <w:sz w:val="24"/>
          <w:szCs w:val="24"/>
        </w:rPr>
        <w:t>D&amp;C undertaken for new demand, generally waits are within 2 weeks however some subspecialist areas such as vulva and gynae-oncology are areas with some difficulty</w:t>
      </w:r>
      <w:r>
        <w:rPr>
          <w:rFonts w:ascii="Arial" w:hAnsi="Arial" w:cs="Arial"/>
          <w:sz w:val="24"/>
          <w:szCs w:val="24"/>
        </w:rPr>
        <w:t>, daily huddle meetings are being trialled from 3</w:t>
      </w:r>
      <w:r w:rsidRPr="000E6F5B">
        <w:rPr>
          <w:rFonts w:ascii="Arial" w:hAnsi="Arial" w:cs="Arial"/>
          <w:sz w:val="24"/>
          <w:szCs w:val="24"/>
          <w:vertAlign w:val="superscript"/>
        </w:rPr>
        <w:t>rd</w:t>
      </w:r>
      <w:r>
        <w:rPr>
          <w:rFonts w:ascii="Arial" w:hAnsi="Arial" w:cs="Arial"/>
          <w:sz w:val="24"/>
          <w:szCs w:val="24"/>
        </w:rPr>
        <w:t xml:space="preserve"> June 2024.</w:t>
      </w:r>
    </w:p>
    <w:p w14:paraId="2FDF5843" w14:textId="77777777" w:rsidR="0019642E" w:rsidRPr="000E6F5B" w:rsidRDefault="0019642E" w:rsidP="0019642E">
      <w:pPr>
        <w:pStyle w:val="ListParagraph"/>
        <w:numPr>
          <w:ilvl w:val="1"/>
          <w:numId w:val="21"/>
        </w:numPr>
        <w:rPr>
          <w:rFonts w:ascii="Arial" w:hAnsi="Arial" w:cs="Arial"/>
          <w:sz w:val="24"/>
          <w:szCs w:val="24"/>
        </w:rPr>
      </w:pPr>
      <w:r w:rsidRPr="000E6F5B">
        <w:rPr>
          <w:rFonts w:ascii="Arial" w:hAnsi="Arial" w:cs="Arial"/>
          <w:sz w:val="24"/>
          <w:szCs w:val="24"/>
        </w:rPr>
        <w:t xml:space="preserve">General Gynae Slots to be increased from </w:t>
      </w:r>
      <w:r>
        <w:rPr>
          <w:rFonts w:ascii="Arial" w:hAnsi="Arial" w:cs="Arial"/>
          <w:sz w:val="24"/>
          <w:szCs w:val="24"/>
        </w:rPr>
        <w:t>3</w:t>
      </w:r>
      <w:r w:rsidRPr="000E6F5B">
        <w:rPr>
          <w:rFonts w:ascii="Arial" w:hAnsi="Arial" w:cs="Arial"/>
          <w:sz w:val="24"/>
          <w:szCs w:val="24"/>
          <w:vertAlign w:val="superscript"/>
        </w:rPr>
        <w:t>rd</w:t>
      </w:r>
      <w:r>
        <w:rPr>
          <w:rFonts w:ascii="Arial" w:hAnsi="Arial" w:cs="Arial"/>
          <w:sz w:val="24"/>
          <w:szCs w:val="24"/>
        </w:rPr>
        <w:t xml:space="preserve"> June 2024</w:t>
      </w:r>
      <w:r w:rsidRPr="000E6F5B">
        <w:rPr>
          <w:rFonts w:ascii="Arial" w:hAnsi="Arial" w:cs="Arial"/>
          <w:sz w:val="24"/>
          <w:szCs w:val="24"/>
        </w:rPr>
        <w:t xml:space="preserve"> – an increase of 15 slots per month</w:t>
      </w:r>
      <w:r>
        <w:rPr>
          <w:rFonts w:ascii="Arial" w:hAnsi="Arial" w:cs="Arial"/>
          <w:sz w:val="24"/>
          <w:szCs w:val="24"/>
        </w:rPr>
        <w:t xml:space="preserve"> for new patients and </w:t>
      </w:r>
      <w:r w:rsidRPr="000E6F5B">
        <w:rPr>
          <w:rFonts w:ascii="Arial" w:hAnsi="Arial" w:cs="Arial"/>
          <w:sz w:val="24"/>
          <w:szCs w:val="24"/>
        </w:rPr>
        <w:t>follow up slots will be increased by 17 per month</w:t>
      </w:r>
    </w:p>
    <w:p w14:paraId="2649DA88" w14:textId="77777777" w:rsidR="0019642E" w:rsidRDefault="0019642E" w:rsidP="0019642E">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Additional evening and/or weekend outpatient activity for Gynae-oncology to reduce waiting lists and waiting times</w:t>
      </w:r>
    </w:p>
    <w:p w14:paraId="7A51653A"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sidRPr="000E6F5B">
        <w:rPr>
          <w:rFonts w:ascii="Arial" w:hAnsi="Arial" w:cs="Arial"/>
          <w:sz w:val="24"/>
          <w:szCs w:val="24"/>
        </w:rPr>
        <w:t>PMB demand and capacity continues to be out of balance with waits in the region of 5</w:t>
      </w:r>
      <w:r>
        <w:rPr>
          <w:rFonts w:ascii="Arial" w:hAnsi="Arial" w:cs="Arial"/>
          <w:sz w:val="24"/>
          <w:szCs w:val="24"/>
        </w:rPr>
        <w:t xml:space="preserve"> </w:t>
      </w:r>
      <w:r w:rsidRPr="000E6F5B">
        <w:rPr>
          <w:rFonts w:ascii="Arial" w:hAnsi="Arial" w:cs="Arial"/>
          <w:sz w:val="24"/>
          <w:szCs w:val="24"/>
        </w:rPr>
        <w:t>weeks currently</w:t>
      </w:r>
      <w:r>
        <w:rPr>
          <w:rFonts w:ascii="Arial" w:hAnsi="Arial" w:cs="Arial"/>
          <w:sz w:val="24"/>
          <w:szCs w:val="24"/>
        </w:rPr>
        <w:t>, in 2019 the weekly demand was 36, it is now 53.  Core activity is 34 per week</w:t>
      </w:r>
      <w:r w:rsidRPr="000E6F5B">
        <w:rPr>
          <w:rFonts w:ascii="Arial" w:hAnsi="Arial" w:cs="Arial"/>
          <w:sz w:val="24"/>
          <w:szCs w:val="24"/>
        </w:rPr>
        <w:t xml:space="preserve">. </w:t>
      </w:r>
      <w:r>
        <w:rPr>
          <w:rFonts w:ascii="Arial" w:hAnsi="Arial" w:cs="Arial"/>
          <w:sz w:val="24"/>
          <w:szCs w:val="24"/>
        </w:rPr>
        <w:t xml:space="preserve">  </w:t>
      </w:r>
    </w:p>
    <w:p w14:paraId="1FA54966" w14:textId="77777777" w:rsidR="0019642E" w:rsidRDefault="0019642E" w:rsidP="0019642E">
      <w:pPr>
        <w:pStyle w:val="ListParagraph"/>
        <w:numPr>
          <w:ilvl w:val="1"/>
          <w:numId w:val="21"/>
        </w:numPr>
        <w:spacing w:after="0" w:line="240" w:lineRule="auto"/>
        <w:jc w:val="both"/>
        <w:rPr>
          <w:rFonts w:ascii="Arial" w:hAnsi="Arial" w:cs="Arial"/>
          <w:sz w:val="24"/>
          <w:szCs w:val="24"/>
        </w:rPr>
      </w:pPr>
      <w:r w:rsidRPr="000E6F5B">
        <w:rPr>
          <w:rFonts w:ascii="Arial" w:hAnsi="Arial" w:cs="Arial"/>
          <w:sz w:val="24"/>
          <w:szCs w:val="24"/>
        </w:rPr>
        <w:t>Plans for improvement must be robustly developed to ensure sufficient capacity</w:t>
      </w:r>
    </w:p>
    <w:p w14:paraId="22FD941D" w14:textId="77777777" w:rsidR="0019642E" w:rsidRDefault="0019642E" w:rsidP="0019642E">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Saturday PMB activity taking place however x2 clinics have not been held due to nursing staff needing a break</w:t>
      </w:r>
    </w:p>
    <w:p w14:paraId="7527F001" w14:textId="77777777" w:rsidR="0019642E" w:rsidRDefault="0019642E" w:rsidP="0019642E">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 xml:space="preserve">20 scan only clinics to support with backlog have been agreed with radiology to start imminently. </w:t>
      </w:r>
    </w:p>
    <w:p w14:paraId="182F3D8B" w14:textId="77777777" w:rsidR="0019642E" w:rsidRDefault="0019642E" w:rsidP="0019642E">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 xml:space="preserve">Long term plan to </w:t>
      </w:r>
      <w:r w:rsidRPr="000E6F5B">
        <w:rPr>
          <w:rFonts w:ascii="Arial" w:hAnsi="Arial" w:cs="Arial"/>
          <w:sz w:val="24"/>
          <w:szCs w:val="24"/>
        </w:rPr>
        <w:t>train</w:t>
      </w:r>
      <w:r>
        <w:rPr>
          <w:rFonts w:ascii="Arial" w:hAnsi="Arial" w:cs="Arial"/>
          <w:sz w:val="24"/>
          <w:szCs w:val="24"/>
        </w:rPr>
        <w:t xml:space="preserve"> 2x </w:t>
      </w:r>
      <w:r w:rsidRPr="000E6F5B">
        <w:rPr>
          <w:rFonts w:ascii="Arial" w:hAnsi="Arial" w:cs="Arial"/>
          <w:sz w:val="24"/>
          <w:szCs w:val="24"/>
        </w:rPr>
        <w:t xml:space="preserve">additional Nurse </w:t>
      </w:r>
      <w:proofErr w:type="spellStart"/>
      <w:r w:rsidRPr="000E6F5B">
        <w:rPr>
          <w:rFonts w:ascii="Arial" w:hAnsi="Arial" w:cs="Arial"/>
          <w:sz w:val="24"/>
          <w:szCs w:val="24"/>
        </w:rPr>
        <w:t>Hysteroscopists</w:t>
      </w:r>
      <w:proofErr w:type="spellEnd"/>
      <w:r w:rsidRPr="000E6F5B">
        <w:rPr>
          <w:rFonts w:ascii="Arial" w:hAnsi="Arial" w:cs="Arial"/>
          <w:sz w:val="24"/>
          <w:szCs w:val="24"/>
        </w:rPr>
        <w:t>.</w:t>
      </w:r>
      <w:r>
        <w:rPr>
          <w:rFonts w:ascii="Arial" w:hAnsi="Arial" w:cs="Arial"/>
          <w:sz w:val="24"/>
          <w:szCs w:val="24"/>
        </w:rPr>
        <w:t xml:space="preserve">  Next course intake commences September 2024.</w:t>
      </w:r>
    </w:p>
    <w:p w14:paraId="6758B59E" w14:textId="77777777" w:rsidR="0019642E" w:rsidRDefault="0019642E" w:rsidP="0019642E">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Discussion with CTMUHB (POW) management to convert a weekly hysteroscopy clinic to PMB to create 2 additional weekly slots.</w:t>
      </w:r>
    </w:p>
    <w:p w14:paraId="513C4A1C" w14:textId="77777777" w:rsidR="0019642E" w:rsidRDefault="0019642E" w:rsidP="0019642E">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 xml:space="preserve">Discussion to be held early June </w:t>
      </w:r>
      <w:r w:rsidRPr="000E6F5B">
        <w:rPr>
          <w:rFonts w:ascii="Arial" w:hAnsi="Arial" w:cs="Arial"/>
          <w:sz w:val="24"/>
          <w:szCs w:val="24"/>
        </w:rPr>
        <w:t>with Health Pathways to support with the implementation of</w:t>
      </w:r>
      <w:r>
        <w:rPr>
          <w:rFonts w:ascii="Arial" w:hAnsi="Arial" w:cs="Arial"/>
          <w:sz w:val="24"/>
          <w:szCs w:val="24"/>
        </w:rPr>
        <w:t xml:space="preserve"> </w:t>
      </w:r>
      <w:proofErr w:type="spellStart"/>
      <w:r>
        <w:rPr>
          <w:rFonts w:ascii="Arial" w:hAnsi="Arial" w:cs="Arial"/>
          <w:sz w:val="24"/>
          <w:szCs w:val="24"/>
        </w:rPr>
        <w:t>Uncheduled</w:t>
      </w:r>
      <w:proofErr w:type="spellEnd"/>
      <w:r>
        <w:rPr>
          <w:rFonts w:ascii="Arial" w:hAnsi="Arial" w:cs="Arial"/>
          <w:sz w:val="24"/>
          <w:szCs w:val="24"/>
        </w:rPr>
        <w:t xml:space="preserve"> bleeding </w:t>
      </w:r>
      <w:r w:rsidRPr="000E6F5B">
        <w:rPr>
          <w:rFonts w:ascii="Arial" w:hAnsi="Arial" w:cs="Arial"/>
          <w:sz w:val="24"/>
          <w:szCs w:val="24"/>
        </w:rPr>
        <w:t>on HRT Pathway</w:t>
      </w:r>
      <w:r>
        <w:rPr>
          <w:rFonts w:ascii="Arial" w:hAnsi="Arial" w:cs="Arial"/>
          <w:sz w:val="24"/>
          <w:szCs w:val="24"/>
        </w:rPr>
        <w:t xml:space="preserve"> with a c</w:t>
      </w:r>
      <w:r w:rsidRPr="000E6F5B">
        <w:rPr>
          <w:rFonts w:ascii="Arial" w:hAnsi="Arial" w:cs="Arial"/>
          <w:sz w:val="24"/>
          <w:szCs w:val="24"/>
        </w:rPr>
        <w:t xml:space="preserve">linical meeting to be held on implementing policy </w:t>
      </w:r>
      <w:r>
        <w:rPr>
          <w:rFonts w:ascii="Arial" w:hAnsi="Arial" w:cs="Arial"/>
          <w:sz w:val="24"/>
          <w:szCs w:val="24"/>
        </w:rPr>
        <w:t xml:space="preserve">to be arranged. </w:t>
      </w:r>
    </w:p>
    <w:p w14:paraId="10F3FA9A" w14:textId="77777777" w:rsidR="0019642E" w:rsidRDefault="0019642E" w:rsidP="0019642E">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Pathway guidance to support referral and management of asymptomatic patients with an incidental finding of endometrial thickening</w:t>
      </w:r>
    </w:p>
    <w:p w14:paraId="7AE1A508" w14:textId="77777777" w:rsidR="0019642E" w:rsidRPr="000E6F5B" w:rsidRDefault="0019642E" w:rsidP="0019642E">
      <w:pPr>
        <w:pStyle w:val="ListParagraph"/>
        <w:numPr>
          <w:ilvl w:val="1"/>
          <w:numId w:val="21"/>
        </w:numPr>
        <w:spacing w:after="0" w:line="240" w:lineRule="auto"/>
        <w:jc w:val="both"/>
        <w:rPr>
          <w:rFonts w:ascii="Arial" w:hAnsi="Arial" w:cs="Arial"/>
          <w:sz w:val="24"/>
          <w:szCs w:val="24"/>
        </w:rPr>
      </w:pPr>
      <w:r w:rsidRPr="000E6F5B">
        <w:rPr>
          <w:rFonts w:ascii="Arial" w:hAnsi="Arial" w:cs="Arial"/>
          <w:sz w:val="24"/>
          <w:szCs w:val="24"/>
        </w:rPr>
        <w:t>Discussing feasibility of transfer of grading/triage of PMB referrals from CTM UHB to the PMB service at SBUHB in order to provide consistency and ensure appropriateness of referrals to the service</w:t>
      </w:r>
    </w:p>
    <w:p w14:paraId="3D8521DC"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Development of the ‘Unit Lead’ role to facilitate appropriate referral to the inhouse specialist MDT and management of appropriate case mix from MDT.</w:t>
      </w:r>
    </w:p>
    <w:p w14:paraId="3770DBCD"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Enhance surgical capacity to reduce waiting times for treatment.  Additional weekend lists demonstrated a reduction of the waiting list and waiting times, </w:t>
      </w:r>
      <w:r>
        <w:rPr>
          <w:rFonts w:ascii="Arial" w:hAnsi="Arial" w:cs="Arial"/>
          <w:sz w:val="24"/>
          <w:szCs w:val="24"/>
        </w:rPr>
        <w:lastRenderedPageBreak/>
        <w:t xml:space="preserve">however further lists have not taken place due to PAAR payment decision and staff unwilling to work at the current payment rate.   </w:t>
      </w:r>
    </w:p>
    <w:p w14:paraId="7FAD0A01" w14:textId="77777777" w:rsidR="0019642E" w:rsidRDefault="0019642E" w:rsidP="0019642E">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Gynae-oncology are utilising third session lists on Thursdays in June to increase activity.  Provided a successful appointment of a locum Gynaecologist, Monday theatre sessions can be utilised.</w:t>
      </w:r>
    </w:p>
    <w:p w14:paraId="2C65D3F5" w14:textId="77777777" w:rsidR="0019642E" w:rsidRPr="000E6F5B" w:rsidRDefault="0019642E" w:rsidP="0019642E">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Additional sessions at NPTH have been allocated to reduce GA hysteroscopy waits.</w:t>
      </w:r>
    </w:p>
    <w:p w14:paraId="598120C4"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Interview of a Locum </w:t>
      </w:r>
      <w:proofErr w:type="spellStart"/>
      <w:r>
        <w:rPr>
          <w:rFonts w:ascii="Arial" w:hAnsi="Arial" w:cs="Arial"/>
          <w:sz w:val="24"/>
          <w:szCs w:val="24"/>
        </w:rPr>
        <w:t>GynaeOncologist</w:t>
      </w:r>
      <w:proofErr w:type="spellEnd"/>
      <w:r>
        <w:rPr>
          <w:rFonts w:ascii="Arial" w:hAnsi="Arial" w:cs="Arial"/>
          <w:sz w:val="24"/>
          <w:szCs w:val="24"/>
        </w:rPr>
        <w:t xml:space="preserve"> scheduled 7</w:t>
      </w:r>
      <w:r w:rsidRPr="000E6F5B">
        <w:rPr>
          <w:rFonts w:ascii="Arial" w:hAnsi="Arial" w:cs="Arial"/>
          <w:sz w:val="24"/>
          <w:szCs w:val="24"/>
          <w:vertAlign w:val="superscript"/>
        </w:rPr>
        <w:t>th</w:t>
      </w:r>
      <w:r>
        <w:rPr>
          <w:rFonts w:ascii="Arial" w:hAnsi="Arial" w:cs="Arial"/>
          <w:sz w:val="24"/>
          <w:szCs w:val="24"/>
        </w:rPr>
        <w:t xml:space="preserve"> June 2024</w:t>
      </w:r>
    </w:p>
    <w:p w14:paraId="49D2D2F9"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Appointment of a Clinical Nurse Specialist for Gynae-oncology, to start in post in June 2024.  This role will increase clinical (outpatient) activity, ensuring continuity of service during leave.</w:t>
      </w:r>
    </w:p>
    <w:p w14:paraId="69162BD1" w14:textId="77777777" w:rsidR="0019642E" w:rsidRPr="00AC6162" w:rsidRDefault="0019642E" w:rsidP="0019642E">
      <w:pPr>
        <w:spacing w:after="0" w:line="240" w:lineRule="auto"/>
        <w:ind w:left="299"/>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19642E" w:rsidRPr="00856987" w14:paraId="33D520EA" w14:textId="77777777" w:rsidTr="005F5F0D">
        <w:tc>
          <w:tcPr>
            <w:tcW w:w="3005" w:type="dxa"/>
            <w:shd w:val="clear" w:color="auto" w:fill="DEEAF6" w:themeFill="accent1" w:themeFillTint="33"/>
          </w:tcPr>
          <w:p w14:paraId="129BD076" w14:textId="77777777" w:rsidR="0019642E" w:rsidRPr="00856987" w:rsidRDefault="0019642E" w:rsidP="005F5F0D">
            <w:pPr>
              <w:jc w:val="both"/>
              <w:rPr>
                <w:rFonts w:ascii="Arial" w:hAnsi="Arial" w:cs="Arial"/>
                <w:b/>
                <w:sz w:val="24"/>
                <w:szCs w:val="24"/>
              </w:rPr>
            </w:pPr>
            <w:r w:rsidRPr="00856987">
              <w:rPr>
                <w:rFonts w:ascii="Arial" w:hAnsi="Arial" w:cs="Arial"/>
                <w:b/>
                <w:sz w:val="24"/>
                <w:szCs w:val="24"/>
              </w:rPr>
              <w:t>Date</w:t>
            </w:r>
          </w:p>
        </w:tc>
        <w:tc>
          <w:tcPr>
            <w:tcW w:w="3005" w:type="dxa"/>
            <w:shd w:val="clear" w:color="auto" w:fill="DEEAF6" w:themeFill="accent1" w:themeFillTint="33"/>
          </w:tcPr>
          <w:p w14:paraId="7E99090B" w14:textId="77777777" w:rsidR="0019642E" w:rsidRPr="00856987" w:rsidRDefault="0019642E" w:rsidP="005F5F0D">
            <w:pPr>
              <w:jc w:val="both"/>
              <w:rPr>
                <w:rFonts w:ascii="Arial" w:hAnsi="Arial" w:cs="Arial"/>
                <w:b/>
                <w:sz w:val="24"/>
                <w:szCs w:val="24"/>
              </w:rPr>
            </w:pPr>
            <w:r w:rsidRPr="00856987">
              <w:rPr>
                <w:rFonts w:ascii="Arial" w:hAnsi="Arial" w:cs="Arial"/>
                <w:b/>
                <w:sz w:val="24"/>
                <w:szCs w:val="24"/>
              </w:rPr>
              <w:t>PTL Volume</w:t>
            </w:r>
          </w:p>
        </w:tc>
        <w:tc>
          <w:tcPr>
            <w:tcW w:w="3006" w:type="dxa"/>
            <w:shd w:val="clear" w:color="auto" w:fill="DEEAF6" w:themeFill="accent1" w:themeFillTint="33"/>
          </w:tcPr>
          <w:p w14:paraId="4FFCE474" w14:textId="77777777" w:rsidR="0019642E" w:rsidRPr="00856987" w:rsidRDefault="0019642E" w:rsidP="005F5F0D">
            <w:pPr>
              <w:jc w:val="both"/>
              <w:rPr>
                <w:rFonts w:ascii="Arial" w:hAnsi="Arial" w:cs="Arial"/>
                <w:b/>
                <w:sz w:val="24"/>
                <w:szCs w:val="24"/>
              </w:rPr>
            </w:pPr>
            <w:r w:rsidRPr="00856987">
              <w:rPr>
                <w:rFonts w:ascii="Arial" w:hAnsi="Arial" w:cs="Arial"/>
                <w:b/>
                <w:sz w:val="24"/>
                <w:szCs w:val="24"/>
              </w:rPr>
              <w:t>Backlog Volume / %</w:t>
            </w:r>
          </w:p>
        </w:tc>
      </w:tr>
      <w:tr w:rsidR="0019642E" w:rsidRPr="00457970" w14:paraId="09927904" w14:textId="77777777" w:rsidTr="005F5F0D">
        <w:tc>
          <w:tcPr>
            <w:tcW w:w="3005" w:type="dxa"/>
          </w:tcPr>
          <w:p w14:paraId="125C84A2"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0258E33E"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435</w:t>
            </w:r>
          </w:p>
        </w:tc>
        <w:tc>
          <w:tcPr>
            <w:tcW w:w="3006" w:type="dxa"/>
          </w:tcPr>
          <w:p w14:paraId="27127154"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91 (21%)</w:t>
            </w:r>
          </w:p>
        </w:tc>
      </w:tr>
      <w:tr w:rsidR="0019642E" w:rsidRPr="00457970" w14:paraId="364FA5D7" w14:textId="77777777" w:rsidTr="005F5F0D">
        <w:tc>
          <w:tcPr>
            <w:tcW w:w="3005" w:type="dxa"/>
          </w:tcPr>
          <w:p w14:paraId="53393C3C"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55C8A2F6"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484</w:t>
            </w:r>
          </w:p>
        </w:tc>
        <w:tc>
          <w:tcPr>
            <w:tcW w:w="3006" w:type="dxa"/>
          </w:tcPr>
          <w:p w14:paraId="0D20970E"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160 (33%)</w:t>
            </w:r>
          </w:p>
        </w:tc>
      </w:tr>
      <w:tr w:rsidR="0019642E" w:rsidRPr="00457970" w14:paraId="2553B1C6" w14:textId="77777777" w:rsidTr="005F5F0D">
        <w:tc>
          <w:tcPr>
            <w:tcW w:w="3005" w:type="dxa"/>
          </w:tcPr>
          <w:p w14:paraId="2899F3F6" w14:textId="77777777" w:rsidR="0019642E" w:rsidRPr="00457970" w:rsidRDefault="0019642E" w:rsidP="005F5F0D">
            <w:pPr>
              <w:jc w:val="both"/>
              <w:rPr>
                <w:rFonts w:ascii="Arial" w:hAnsi="Arial" w:cs="Arial"/>
                <w:bCs/>
                <w:sz w:val="24"/>
                <w:szCs w:val="24"/>
              </w:rPr>
            </w:pPr>
            <w:r>
              <w:rPr>
                <w:rFonts w:ascii="Arial" w:hAnsi="Arial" w:cs="Arial"/>
                <w:bCs/>
                <w:sz w:val="24"/>
                <w:szCs w:val="24"/>
              </w:rPr>
              <w:t>Jun-23</w:t>
            </w:r>
          </w:p>
        </w:tc>
        <w:tc>
          <w:tcPr>
            <w:tcW w:w="3005" w:type="dxa"/>
          </w:tcPr>
          <w:p w14:paraId="3530E974" w14:textId="77777777" w:rsidR="0019642E" w:rsidRPr="00457970" w:rsidRDefault="0019642E" w:rsidP="005F5F0D">
            <w:pPr>
              <w:jc w:val="both"/>
              <w:rPr>
                <w:rFonts w:ascii="Arial" w:hAnsi="Arial" w:cs="Arial"/>
                <w:bCs/>
                <w:sz w:val="24"/>
                <w:szCs w:val="24"/>
              </w:rPr>
            </w:pPr>
            <w:r>
              <w:rPr>
                <w:rFonts w:ascii="Arial" w:hAnsi="Arial" w:cs="Arial"/>
                <w:bCs/>
                <w:sz w:val="24"/>
                <w:szCs w:val="24"/>
              </w:rPr>
              <w:t>426</w:t>
            </w:r>
          </w:p>
        </w:tc>
        <w:tc>
          <w:tcPr>
            <w:tcW w:w="3006" w:type="dxa"/>
          </w:tcPr>
          <w:p w14:paraId="3078CCC0" w14:textId="77777777" w:rsidR="0019642E" w:rsidRPr="00457970" w:rsidRDefault="0019642E" w:rsidP="005F5F0D">
            <w:pPr>
              <w:jc w:val="both"/>
              <w:rPr>
                <w:rFonts w:ascii="Arial" w:hAnsi="Arial" w:cs="Arial"/>
                <w:bCs/>
                <w:sz w:val="24"/>
                <w:szCs w:val="24"/>
              </w:rPr>
            </w:pPr>
            <w:r>
              <w:rPr>
                <w:rFonts w:ascii="Arial" w:hAnsi="Arial" w:cs="Arial"/>
                <w:bCs/>
                <w:sz w:val="24"/>
                <w:szCs w:val="24"/>
              </w:rPr>
              <w:t>93 (22%)</w:t>
            </w:r>
          </w:p>
        </w:tc>
      </w:tr>
      <w:tr w:rsidR="0019642E" w:rsidRPr="00457970" w14:paraId="4C3C00B6" w14:textId="77777777" w:rsidTr="005F5F0D">
        <w:tc>
          <w:tcPr>
            <w:tcW w:w="3005" w:type="dxa"/>
          </w:tcPr>
          <w:p w14:paraId="16D7D279"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70B221C1" w14:textId="77777777" w:rsidR="0019642E" w:rsidRDefault="0019642E" w:rsidP="005F5F0D">
            <w:pPr>
              <w:jc w:val="both"/>
              <w:rPr>
                <w:rFonts w:ascii="Arial" w:hAnsi="Arial" w:cs="Arial"/>
                <w:bCs/>
                <w:sz w:val="24"/>
                <w:szCs w:val="24"/>
              </w:rPr>
            </w:pPr>
            <w:r>
              <w:rPr>
                <w:rFonts w:ascii="Arial" w:hAnsi="Arial" w:cs="Arial"/>
                <w:bCs/>
                <w:sz w:val="24"/>
                <w:szCs w:val="24"/>
              </w:rPr>
              <w:t>331</w:t>
            </w:r>
          </w:p>
        </w:tc>
        <w:tc>
          <w:tcPr>
            <w:tcW w:w="3006" w:type="dxa"/>
          </w:tcPr>
          <w:p w14:paraId="7CC5D2FC" w14:textId="77777777" w:rsidR="0019642E" w:rsidRDefault="0019642E" w:rsidP="005F5F0D">
            <w:pPr>
              <w:jc w:val="both"/>
              <w:rPr>
                <w:rFonts w:ascii="Arial" w:hAnsi="Arial" w:cs="Arial"/>
                <w:bCs/>
                <w:sz w:val="24"/>
                <w:szCs w:val="24"/>
              </w:rPr>
            </w:pPr>
            <w:r>
              <w:rPr>
                <w:rFonts w:ascii="Arial" w:hAnsi="Arial" w:cs="Arial"/>
                <w:bCs/>
                <w:sz w:val="24"/>
                <w:szCs w:val="24"/>
              </w:rPr>
              <w:t>64 (19%)</w:t>
            </w:r>
          </w:p>
        </w:tc>
      </w:tr>
      <w:tr w:rsidR="0019642E" w:rsidRPr="00457970" w14:paraId="20DDB673" w14:textId="77777777" w:rsidTr="005F5F0D">
        <w:tc>
          <w:tcPr>
            <w:tcW w:w="3005" w:type="dxa"/>
          </w:tcPr>
          <w:p w14:paraId="34F42700"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1588FF86" w14:textId="77777777" w:rsidR="0019642E" w:rsidRDefault="0019642E" w:rsidP="005F5F0D">
            <w:pPr>
              <w:jc w:val="both"/>
              <w:rPr>
                <w:rFonts w:ascii="Arial" w:hAnsi="Arial" w:cs="Arial"/>
                <w:bCs/>
                <w:sz w:val="24"/>
                <w:szCs w:val="24"/>
              </w:rPr>
            </w:pPr>
            <w:r>
              <w:rPr>
                <w:rFonts w:ascii="Arial" w:hAnsi="Arial" w:cs="Arial"/>
                <w:bCs/>
                <w:sz w:val="24"/>
                <w:szCs w:val="24"/>
              </w:rPr>
              <w:t>268</w:t>
            </w:r>
          </w:p>
        </w:tc>
        <w:tc>
          <w:tcPr>
            <w:tcW w:w="3006" w:type="dxa"/>
          </w:tcPr>
          <w:p w14:paraId="43BF66F6" w14:textId="77777777" w:rsidR="0019642E" w:rsidRDefault="0019642E" w:rsidP="005F5F0D">
            <w:pPr>
              <w:jc w:val="both"/>
              <w:rPr>
                <w:rFonts w:ascii="Arial" w:hAnsi="Arial" w:cs="Arial"/>
                <w:bCs/>
                <w:sz w:val="24"/>
                <w:szCs w:val="24"/>
              </w:rPr>
            </w:pPr>
            <w:r>
              <w:rPr>
                <w:rFonts w:ascii="Arial" w:hAnsi="Arial" w:cs="Arial"/>
                <w:bCs/>
                <w:sz w:val="24"/>
                <w:szCs w:val="24"/>
              </w:rPr>
              <w:t>60 (22%)</w:t>
            </w:r>
          </w:p>
        </w:tc>
      </w:tr>
      <w:tr w:rsidR="0019642E" w:rsidRPr="00457970" w14:paraId="4F14E646" w14:textId="77777777" w:rsidTr="005F5F0D">
        <w:tc>
          <w:tcPr>
            <w:tcW w:w="3005" w:type="dxa"/>
          </w:tcPr>
          <w:p w14:paraId="74AD0D66" w14:textId="77777777"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2DE80807" w14:textId="77777777" w:rsidR="0019642E" w:rsidRDefault="0019642E" w:rsidP="005F5F0D">
            <w:pPr>
              <w:jc w:val="both"/>
              <w:rPr>
                <w:rFonts w:ascii="Arial" w:hAnsi="Arial" w:cs="Arial"/>
                <w:bCs/>
                <w:sz w:val="24"/>
                <w:szCs w:val="24"/>
              </w:rPr>
            </w:pPr>
            <w:r>
              <w:rPr>
                <w:rFonts w:ascii="Arial" w:hAnsi="Arial" w:cs="Arial"/>
                <w:bCs/>
                <w:sz w:val="24"/>
                <w:szCs w:val="24"/>
              </w:rPr>
              <w:t>275</w:t>
            </w:r>
          </w:p>
        </w:tc>
        <w:tc>
          <w:tcPr>
            <w:tcW w:w="3006" w:type="dxa"/>
          </w:tcPr>
          <w:p w14:paraId="3988C5B1" w14:textId="77777777" w:rsidR="0019642E" w:rsidRDefault="0019642E" w:rsidP="005F5F0D">
            <w:pPr>
              <w:jc w:val="both"/>
              <w:rPr>
                <w:rFonts w:ascii="Arial" w:hAnsi="Arial" w:cs="Arial"/>
                <w:bCs/>
                <w:sz w:val="24"/>
                <w:szCs w:val="24"/>
              </w:rPr>
            </w:pPr>
            <w:r>
              <w:rPr>
                <w:rFonts w:ascii="Arial" w:hAnsi="Arial" w:cs="Arial"/>
                <w:bCs/>
                <w:sz w:val="24"/>
                <w:szCs w:val="24"/>
              </w:rPr>
              <w:t>41 (15%)</w:t>
            </w:r>
          </w:p>
        </w:tc>
      </w:tr>
      <w:tr w:rsidR="0019642E" w:rsidRPr="00457970" w14:paraId="54838DCD" w14:textId="77777777" w:rsidTr="005F5F0D">
        <w:tc>
          <w:tcPr>
            <w:tcW w:w="3005" w:type="dxa"/>
          </w:tcPr>
          <w:p w14:paraId="349D7931" w14:textId="392E103F"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183F1615" w14:textId="21F78E54" w:rsidR="0019642E" w:rsidRDefault="0019642E" w:rsidP="005F5F0D">
            <w:pPr>
              <w:jc w:val="both"/>
              <w:rPr>
                <w:rFonts w:ascii="Arial" w:hAnsi="Arial" w:cs="Arial"/>
                <w:bCs/>
                <w:sz w:val="24"/>
                <w:szCs w:val="24"/>
              </w:rPr>
            </w:pPr>
            <w:r>
              <w:rPr>
                <w:rFonts w:ascii="Arial" w:hAnsi="Arial" w:cs="Arial"/>
                <w:bCs/>
                <w:sz w:val="24"/>
                <w:szCs w:val="24"/>
              </w:rPr>
              <w:t>275</w:t>
            </w:r>
          </w:p>
        </w:tc>
        <w:tc>
          <w:tcPr>
            <w:tcW w:w="3006" w:type="dxa"/>
          </w:tcPr>
          <w:p w14:paraId="473EEFD5" w14:textId="617018B3" w:rsidR="0019642E" w:rsidRDefault="0019642E" w:rsidP="005F5F0D">
            <w:pPr>
              <w:jc w:val="both"/>
              <w:rPr>
                <w:rFonts w:ascii="Arial" w:hAnsi="Arial" w:cs="Arial"/>
                <w:bCs/>
                <w:sz w:val="24"/>
                <w:szCs w:val="24"/>
              </w:rPr>
            </w:pPr>
            <w:r>
              <w:rPr>
                <w:rFonts w:ascii="Arial" w:hAnsi="Arial" w:cs="Arial"/>
                <w:bCs/>
                <w:sz w:val="24"/>
                <w:szCs w:val="24"/>
              </w:rPr>
              <w:t>39 (13%)</w:t>
            </w:r>
          </w:p>
        </w:tc>
      </w:tr>
    </w:tbl>
    <w:p w14:paraId="6FD2F680" w14:textId="77777777" w:rsidR="0019642E" w:rsidRPr="00AC6162" w:rsidRDefault="0019642E" w:rsidP="0019642E">
      <w:pPr>
        <w:spacing w:after="0" w:line="240" w:lineRule="auto"/>
        <w:jc w:val="both"/>
        <w:rPr>
          <w:rFonts w:ascii="Arial" w:hAnsi="Arial" w:cs="Arial"/>
          <w:b/>
          <w:sz w:val="24"/>
          <w:szCs w:val="24"/>
        </w:rPr>
      </w:pPr>
    </w:p>
    <w:p w14:paraId="0B477BFF" w14:textId="77777777" w:rsidR="0019642E" w:rsidRPr="00AC6162" w:rsidRDefault="0019642E" w:rsidP="0019642E">
      <w:pPr>
        <w:spacing w:after="0" w:line="240" w:lineRule="auto"/>
        <w:jc w:val="both"/>
        <w:rPr>
          <w:rFonts w:ascii="Arial" w:hAnsi="Arial" w:cs="Arial"/>
          <w:b/>
          <w:sz w:val="24"/>
          <w:szCs w:val="24"/>
        </w:rPr>
      </w:pPr>
      <w:r w:rsidRPr="00AC6162">
        <w:rPr>
          <w:rFonts w:ascii="Arial" w:hAnsi="Arial" w:cs="Arial"/>
          <w:b/>
          <w:sz w:val="24"/>
          <w:szCs w:val="24"/>
        </w:rPr>
        <w:t>Urology</w:t>
      </w:r>
    </w:p>
    <w:p w14:paraId="1CBE8A8B" w14:textId="77777777" w:rsidR="0019642E" w:rsidRPr="00AD76B2" w:rsidRDefault="0019642E" w:rsidP="0019642E">
      <w:pPr>
        <w:pStyle w:val="ListParagraph"/>
        <w:numPr>
          <w:ilvl w:val="0"/>
          <w:numId w:val="21"/>
        </w:numPr>
        <w:spacing w:after="0" w:line="240" w:lineRule="auto"/>
        <w:jc w:val="both"/>
        <w:rPr>
          <w:rFonts w:ascii="Arial" w:hAnsi="Arial" w:cs="Arial"/>
          <w:sz w:val="24"/>
          <w:szCs w:val="24"/>
        </w:rPr>
      </w:pPr>
      <w:r w:rsidRPr="00AD76B2">
        <w:rPr>
          <w:rFonts w:ascii="Arial" w:hAnsi="Arial" w:cs="Arial"/>
          <w:sz w:val="24"/>
          <w:szCs w:val="24"/>
        </w:rPr>
        <w:t xml:space="preserve">D&amp;C undertaken for new outpatient demand, generally waits are a </w:t>
      </w:r>
      <w:r>
        <w:rPr>
          <w:rFonts w:ascii="Arial" w:hAnsi="Arial" w:cs="Arial"/>
          <w:sz w:val="24"/>
          <w:szCs w:val="24"/>
        </w:rPr>
        <w:t>1</w:t>
      </w:r>
      <w:r w:rsidRPr="00AD76B2">
        <w:rPr>
          <w:rFonts w:ascii="Arial" w:hAnsi="Arial" w:cs="Arial"/>
          <w:sz w:val="24"/>
          <w:szCs w:val="24"/>
        </w:rPr>
        <w:t xml:space="preserve"> week.  However, waits for the diagnostic Haematuria clinic are </w:t>
      </w:r>
      <w:r>
        <w:rPr>
          <w:rFonts w:ascii="Arial" w:hAnsi="Arial" w:cs="Arial"/>
          <w:sz w:val="24"/>
          <w:szCs w:val="24"/>
        </w:rPr>
        <w:t>almost</w:t>
      </w:r>
      <w:r w:rsidRPr="00AD76B2">
        <w:rPr>
          <w:rFonts w:ascii="Arial" w:hAnsi="Arial" w:cs="Arial"/>
          <w:sz w:val="24"/>
          <w:szCs w:val="24"/>
        </w:rPr>
        <w:t xml:space="preserve"> 3 weeks. Additional short term </w:t>
      </w:r>
      <w:r>
        <w:rPr>
          <w:rFonts w:ascii="Arial" w:hAnsi="Arial" w:cs="Arial"/>
          <w:sz w:val="24"/>
          <w:szCs w:val="24"/>
        </w:rPr>
        <w:t>WLI capacity for Haematuria over two weekends was undertaken in May, with current patients now booked closer to two weeks.  The service has now offered out to the clinical team additional dates for June and July.</w:t>
      </w:r>
    </w:p>
    <w:p w14:paraId="54D5C04D"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Improvement of pathology turnaround times is a key factor for a high volume of patients in this tumour group.</w:t>
      </w:r>
    </w:p>
    <w:p w14:paraId="273F2097"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sidRPr="00AD76B2">
        <w:rPr>
          <w:rFonts w:ascii="Arial" w:hAnsi="Arial" w:cs="Arial"/>
          <w:sz w:val="24"/>
          <w:szCs w:val="24"/>
        </w:rPr>
        <w:t xml:space="preserve">Enhanced surgical capacity to reduce waiting times for treatment.  </w:t>
      </w:r>
    </w:p>
    <w:p w14:paraId="3BD219CC" w14:textId="77777777" w:rsidR="0019642E" w:rsidRDefault="0019642E" w:rsidP="0019642E">
      <w:pPr>
        <w:pStyle w:val="ListParagraph"/>
        <w:numPr>
          <w:ilvl w:val="1"/>
          <w:numId w:val="21"/>
        </w:numPr>
        <w:spacing w:after="0" w:line="240" w:lineRule="auto"/>
        <w:jc w:val="both"/>
        <w:rPr>
          <w:rFonts w:ascii="Arial" w:hAnsi="Arial" w:cs="Arial"/>
          <w:sz w:val="24"/>
          <w:szCs w:val="24"/>
        </w:rPr>
      </w:pPr>
      <w:r>
        <w:rPr>
          <w:rFonts w:ascii="Arial" w:hAnsi="Arial" w:cs="Arial"/>
          <w:sz w:val="24"/>
          <w:szCs w:val="24"/>
        </w:rPr>
        <w:t>Robotic capacity online from May 8</w:t>
      </w:r>
      <w:r w:rsidRPr="00AD76B2">
        <w:rPr>
          <w:rFonts w:ascii="Arial" w:hAnsi="Arial" w:cs="Arial"/>
          <w:sz w:val="24"/>
          <w:szCs w:val="24"/>
          <w:vertAlign w:val="superscript"/>
        </w:rPr>
        <w:t>th</w:t>
      </w:r>
      <w:r>
        <w:rPr>
          <w:rFonts w:ascii="Arial" w:hAnsi="Arial" w:cs="Arial"/>
          <w:sz w:val="24"/>
          <w:szCs w:val="24"/>
        </w:rPr>
        <w:t>, doubling weekly capacity from that allocated at C&amp;VUHB.  We anticipate that this is likely to result in a small deterioration of performance as a consequence which may also impact Hywel Dda &amp; CTM (POW) as we provide access to this treatment modality for this region.</w:t>
      </w:r>
    </w:p>
    <w:p w14:paraId="063471E4" w14:textId="77777777" w:rsidR="0019642E" w:rsidRPr="001B6443" w:rsidRDefault="0019642E" w:rsidP="0019642E">
      <w:pPr>
        <w:pStyle w:val="ListParagraph"/>
        <w:numPr>
          <w:ilvl w:val="1"/>
          <w:numId w:val="21"/>
        </w:numPr>
        <w:spacing w:after="0" w:line="240" w:lineRule="auto"/>
        <w:jc w:val="both"/>
        <w:rPr>
          <w:rFonts w:ascii="Arial" w:hAnsi="Arial" w:cs="Arial"/>
          <w:sz w:val="24"/>
          <w:szCs w:val="24"/>
        </w:rPr>
      </w:pPr>
      <w:r w:rsidRPr="001B6443">
        <w:rPr>
          <w:rFonts w:ascii="Arial" w:hAnsi="Arial" w:cs="Arial"/>
          <w:sz w:val="24"/>
          <w:szCs w:val="24"/>
        </w:rPr>
        <w:t>Development of a business case end of Q3, to support service expansion to include additional CNS, administrative support and a 2</w:t>
      </w:r>
      <w:r w:rsidRPr="001B6443">
        <w:rPr>
          <w:rFonts w:ascii="Arial" w:hAnsi="Arial" w:cs="Arial"/>
          <w:sz w:val="24"/>
          <w:szCs w:val="24"/>
          <w:vertAlign w:val="superscript"/>
        </w:rPr>
        <w:t>nd</w:t>
      </w:r>
      <w:r w:rsidRPr="001B6443">
        <w:rPr>
          <w:rFonts w:ascii="Arial" w:hAnsi="Arial" w:cs="Arial"/>
          <w:sz w:val="24"/>
          <w:szCs w:val="24"/>
        </w:rPr>
        <w:t xml:space="preserve"> Surgical Care Pract</w:t>
      </w:r>
      <w:r>
        <w:rPr>
          <w:rFonts w:ascii="Arial" w:hAnsi="Arial" w:cs="Arial"/>
          <w:sz w:val="24"/>
          <w:szCs w:val="24"/>
        </w:rPr>
        <w:t>it</w:t>
      </w:r>
      <w:r w:rsidRPr="001B6443">
        <w:rPr>
          <w:rFonts w:ascii="Arial" w:hAnsi="Arial" w:cs="Arial"/>
          <w:sz w:val="24"/>
          <w:szCs w:val="24"/>
        </w:rPr>
        <w:t>ioner.</w:t>
      </w:r>
    </w:p>
    <w:p w14:paraId="2501F5F2" w14:textId="77777777" w:rsidR="0019642E" w:rsidRPr="001B6443" w:rsidRDefault="0019642E" w:rsidP="0019642E">
      <w:pPr>
        <w:pStyle w:val="ListParagraph"/>
        <w:numPr>
          <w:ilvl w:val="1"/>
          <w:numId w:val="21"/>
        </w:numPr>
        <w:spacing w:after="0" w:line="240" w:lineRule="auto"/>
        <w:jc w:val="both"/>
        <w:rPr>
          <w:rFonts w:ascii="Arial" w:hAnsi="Arial" w:cs="Arial"/>
          <w:sz w:val="24"/>
          <w:szCs w:val="24"/>
        </w:rPr>
      </w:pPr>
      <w:r w:rsidRPr="001B6443">
        <w:rPr>
          <w:rFonts w:ascii="Arial" w:hAnsi="Arial" w:cs="Arial"/>
          <w:sz w:val="24"/>
          <w:szCs w:val="24"/>
        </w:rPr>
        <w:t>Development of a high care unit (2 beds) for Urology at NPTH, increasing acuity of patients able to be operated on at NPTH and increasing capacity at Morriston.  Has gone through BCAG, and going to Management Board 19</w:t>
      </w:r>
      <w:r w:rsidRPr="001B6443">
        <w:rPr>
          <w:rFonts w:ascii="Arial" w:hAnsi="Arial" w:cs="Arial"/>
          <w:sz w:val="24"/>
          <w:szCs w:val="24"/>
          <w:vertAlign w:val="superscript"/>
        </w:rPr>
        <w:t>th</w:t>
      </w:r>
      <w:r w:rsidRPr="001B6443">
        <w:rPr>
          <w:rFonts w:ascii="Arial" w:hAnsi="Arial" w:cs="Arial"/>
          <w:sz w:val="24"/>
          <w:szCs w:val="24"/>
        </w:rPr>
        <w:t xml:space="preserve"> June 2024, which will then go to P&amp;F Committee in July.</w:t>
      </w:r>
    </w:p>
    <w:p w14:paraId="57450EA4" w14:textId="77777777" w:rsidR="0019642E" w:rsidRDefault="0019642E" w:rsidP="0019642E">
      <w:pPr>
        <w:spacing w:after="0" w:line="240" w:lineRule="auto"/>
        <w:ind w:left="360"/>
        <w:jc w:val="both"/>
        <w:rPr>
          <w:rFonts w:ascii="Arial" w:hAnsi="Arial" w:cs="Arial"/>
          <w:sz w:val="24"/>
          <w:szCs w:val="24"/>
        </w:rPr>
      </w:pPr>
    </w:p>
    <w:p w14:paraId="18255C6A" w14:textId="77777777" w:rsidR="0019642E" w:rsidRDefault="0019642E" w:rsidP="0019642E">
      <w:pPr>
        <w:pStyle w:val="ListParagraph"/>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19642E" w:rsidRPr="00457970" w14:paraId="65C5FC90" w14:textId="77777777" w:rsidTr="005F5F0D">
        <w:tc>
          <w:tcPr>
            <w:tcW w:w="3005" w:type="dxa"/>
            <w:shd w:val="clear" w:color="auto" w:fill="DEEAF6" w:themeFill="accent1" w:themeFillTint="33"/>
          </w:tcPr>
          <w:p w14:paraId="6C571C48"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64E4E4D3"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3C2B576E"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Backlog Volume / %</w:t>
            </w:r>
          </w:p>
        </w:tc>
      </w:tr>
      <w:tr w:rsidR="0019642E" w:rsidRPr="00457970" w14:paraId="239A35BD" w14:textId="77777777" w:rsidTr="005F5F0D">
        <w:tc>
          <w:tcPr>
            <w:tcW w:w="3005" w:type="dxa"/>
          </w:tcPr>
          <w:p w14:paraId="777705D6"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2C27E7AB" w14:textId="77777777" w:rsidR="0019642E" w:rsidRPr="00457970" w:rsidRDefault="0019642E" w:rsidP="005F5F0D">
            <w:pPr>
              <w:jc w:val="both"/>
              <w:rPr>
                <w:rFonts w:ascii="Arial" w:hAnsi="Arial" w:cs="Arial"/>
                <w:bCs/>
                <w:sz w:val="24"/>
                <w:szCs w:val="24"/>
              </w:rPr>
            </w:pPr>
            <w:r>
              <w:rPr>
                <w:rFonts w:ascii="Arial" w:hAnsi="Arial" w:cs="Arial"/>
                <w:bCs/>
                <w:sz w:val="24"/>
                <w:szCs w:val="24"/>
              </w:rPr>
              <w:t>289</w:t>
            </w:r>
          </w:p>
        </w:tc>
        <w:tc>
          <w:tcPr>
            <w:tcW w:w="3006" w:type="dxa"/>
          </w:tcPr>
          <w:p w14:paraId="11EF4797" w14:textId="77777777" w:rsidR="0019642E" w:rsidRPr="00457970" w:rsidRDefault="0019642E" w:rsidP="005F5F0D">
            <w:pPr>
              <w:jc w:val="both"/>
              <w:rPr>
                <w:rFonts w:ascii="Arial" w:hAnsi="Arial" w:cs="Arial"/>
                <w:bCs/>
                <w:sz w:val="24"/>
                <w:szCs w:val="24"/>
              </w:rPr>
            </w:pPr>
            <w:r>
              <w:rPr>
                <w:rFonts w:ascii="Arial" w:hAnsi="Arial" w:cs="Arial"/>
                <w:bCs/>
                <w:sz w:val="24"/>
                <w:szCs w:val="24"/>
              </w:rPr>
              <w:t>127</w:t>
            </w:r>
            <w:r w:rsidRPr="00457970">
              <w:rPr>
                <w:rFonts w:ascii="Arial" w:hAnsi="Arial" w:cs="Arial"/>
                <w:bCs/>
                <w:sz w:val="24"/>
                <w:szCs w:val="24"/>
              </w:rPr>
              <w:t xml:space="preserve"> (</w:t>
            </w:r>
            <w:r>
              <w:rPr>
                <w:rFonts w:ascii="Arial" w:hAnsi="Arial" w:cs="Arial"/>
                <w:bCs/>
                <w:sz w:val="24"/>
                <w:szCs w:val="24"/>
              </w:rPr>
              <w:t>44</w:t>
            </w:r>
            <w:r w:rsidRPr="00457970">
              <w:rPr>
                <w:rFonts w:ascii="Arial" w:hAnsi="Arial" w:cs="Arial"/>
                <w:bCs/>
                <w:sz w:val="24"/>
                <w:szCs w:val="24"/>
              </w:rPr>
              <w:t>%)</w:t>
            </w:r>
          </w:p>
        </w:tc>
      </w:tr>
      <w:tr w:rsidR="0019642E" w:rsidRPr="00457970" w14:paraId="7EBEA16B" w14:textId="77777777" w:rsidTr="005F5F0D">
        <w:tc>
          <w:tcPr>
            <w:tcW w:w="3005" w:type="dxa"/>
          </w:tcPr>
          <w:p w14:paraId="6E0C4AE1"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68A194EB" w14:textId="77777777" w:rsidR="0019642E" w:rsidRPr="00457970" w:rsidRDefault="0019642E" w:rsidP="005F5F0D">
            <w:pPr>
              <w:jc w:val="both"/>
              <w:rPr>
                <w:rFonts w:ascii="Arial" w:hAnsi="Arial" w:cs="Arial"/>
                <w:bCs/>
                <w:sz w:val="24"/>
                <w:szCs w:val="24"/>
              </w:rPr>
            </w:pPr>
            <w:r>
              <w:rPr>
                <w:rFonts w:ascii="Arial" w:hAnsi="Arial" w:cs="Arial"/>
                <w:bCs/>
                <w:sz w:val="24"/>
                <w:szCs w:val="24"/>
              </w:rPr>
              <w:t>237</w:t>
            </w:r>
          </w:p>
        </w:tc>
        <w:tc>
          <w:tcPr>
            <w:tcW w:w="3006" w:type="dxa"/>
          </w:tcPr>
          <w:p w14:paraId="19DAECE4" w14:textId="77777777" w:rsidR="0019642E" w:rsidRPr="00457970" w:rsidRDefault="0019642E" w:rsidP="005F5F0D">
            <w:pPr>
              <w:jc w:val="both"/>
              <w:rPr>
                <w:rFonts w:ascii="Arial" w:hAnsi="Arial" w:cs="Arial"/>
                <w:bCs/>
                <w:sz w:val="24"/>
                <w:szCs w:val="24"/>
              </w:rPr>
            </w:pPr>
            <w:r>
              <w:rPr>
                <w:rFonts w:ascii="Arial" w:hAnsi="Arial" w:cs="Arial"/>
                <w:bCs/>
                <w:sz w:val="24"/>
                <w:szCs w:val="24"/>
              </w:rPr>
              <w:t>64</w:t>
            </w:r>
            <w:r w:rsidRPr="00457970">
              <w:rPr>
                <w:rFonts w:ascii="Arial" w:hAnsi="Arial" w:cs="Arial"/>
                <w:bCs/>
                <w:sz w:val="24"/>
                <w:szCs w:val="24"/>
              </w:rPr>
              <w:t xml:space="preserve"> (</w:t>
            </w:r>
            <w:r>
              <w:rPr>
                <w:rFonts w:ascii="Arial" w:hAnsi="Arial" w:cs="Arial"/>
                <w:bCs/>
                <w:sz w:val="24"/>
                <w:szCs w:val="24"/>
              </w:rPr>
              <w:t>27</w:t>
            </w:r>
            <w:r w:rsidRPr="00457970">
              <w:rPr>
                <w:rFonts w:ascii="Arial" w:hAnsi="Arial" w:cs="Arial"/>
                <w:bCs/>
                <w:sz w:val="24"/>
                <w:szCs w:val="24"/>
              </w:rPr>
              <w:t>%)</w:t>
            </w:r>
          </w:p>
        </w:tc>
      </w:tr>
      <w:tr w:rsidR="0019642E" w:rsidRPr="00457970" w14:paraId="6EBEE031" w14:textId="77777777" w:rsidTr="005F5F0D">
        <w:tc>
          <w:tcPr>
            <w:tcW w:w="3005" w:type="dxa"/>
          </w:tcPr>
          <w:p w14:paraId="724387B8" w14:textId="77777777" w:rsidR="0019642E" w:rsidRPr="00457970" w:rsidRDefault="0019642E" w:rsidP="005F5F0D">
            <w:pPr>
              <w:jc w:val="both"/>
              <w:rPr>
                <w:rFonts w:ascii="Arial" w:hAnsi="Arial" w:cs="Arial"/>
                <w:bCs/>
                <w:sz w:val="24"/>
                <w:szCs w:val="24"/>
              </w:rPr>
            </w:pPr>
            <w:r>
              <w:rPr>
                <w:rFonts w:ascii="Arial" w:hAnsi="Arial" w:cs="Arial"/>
                <w:bCs/>
                <w:sz w:val="24"/>
                <w:szCs w:val="24"/>
              </w:rPr>
              <w:lastRenderedPageBreak/>
              <w:t>Jun-23</w:t>
            </w:r>
          </w:p>
        </w:tc>
        <w:tc>
          <w:tcPr>
            <w:tcW w:w="3005" w:type="dxa"/>
          </w:tcPr>
          <w:p w14:paraId="23BA95CE" w14:textId="77777777" w:rsidR="0019642E" w:rsidRDefault="0019642E" w:rsidP="005F5F0D">
            <w:pPr>
              <w:jc w:val="both"/>
              <w:rPr>
                <w:rFonts w:ascii="Arial" w:hAnsi="Arial" w:cs="Arial"/>
                <w:bCs/>
                <w:sz w:val="24"/>
                <w:szCs w:val="24"/>
              </w:rPr>
            </w:pPr>
            <w:r>
              <w:rPr>
                <w:rFonts w:ascii="Arial" w:hAnsi="Arial" w:cs="Arial"/>
                <w:bCs/>
                <w:sz w:val="24"/>
                <w:szCs w:val="24"/>
              </w:rPr>
              <w:t>222</w:t>
            </w:r>
          </w:p>
        </w:tc>
        <w:tc>
          <w:tcPr>
            <w:tcW w:w="3006" w:type="dxa"/>
          </w:tcPr>
          <w:p w14:paraId="4811D255" w14:textId="77777777" w:rsidR="0019642E" w:rsidRDefault="0019642E" w:rsidP="005F5F0D">
            <w:pPr>
              <w:jc w:val="both"/>
              <w:rPr>
                <w:rFonts w:ascii="Arial" w:hAnsi="Arial" w:cs="Arial"/>
                <w:bCs/>
                <w:sz w:val="24"/>
                <w:szCs w:val="24"/>
              </w:rPr>
            </w:pPr>
            <w:r>
              <w:rPr>
                <w:rFonts w:ascii="Arial" w:hAnsi="Arial" w:cs="Arial"/>
                <w:bCs/>
                <w:sz w:val="24"/>
                <w:szCs w:val="24"/>
              </w:rPr>
              <w:t>45 (20%)</w:t>
            </w:r>
          </w:p>
        </w:tc>
      </w:tr>
      <w:tr w:rsidR="0019642E" w:rsidRPr="00457970" w14:paraId="49745360" w14:textId="77777777" w:rsidTr="005F5F0D">
        <w:tc>
          <w:tcPr>
            <w:tcW w:w="3005" w:type="dxa"/>
          </w:tcPr>
          <w:p w14:paraId="2BABA56C"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72F5F02E" w14:textId="77777777" w:rsidR="0019642E" w:rsidRDefault="0019642E" w:rsidP="005F5F0D">
            <w:pPr>
              <w:jc w:val="both"/>
              <w:rPr>
                <w:rFonts w:ascii="Arial" w:hAnsi="Arial" w:cs="Arial"/>
                <w:bCs/>
                <w:sz w:val="24"/>
                <w:szCs w:val="24"/>
              </w:rPr>
            </w:pPr>
            <w:r>
              <w:rPr>
                <w:rFonts w:ascii="Arial" w:hAnsi="Arial" w:cs="Arial"/>
                <w:bCs/>
                <w:sz w:val="24"/>
                <w:szCs w:val="24"/>
              </w:rPr>
              <w:t>226</w:t>
            </w:r>
          </w:p>
        </w:tc>
        <w:tc>
          <w:tcPr>
            <w:tcW w:w="3006" w:type="dxa"/>
          </w:tcPr>
          <w:p w14:paraId="600C0DA5" w14:textId="77777777" w:rsidR="0019642E" w:rsidRDefault="0019642E" w:rsidP="005F5F0D">
            <w:pPr>
              <w:jc w:val="both"/>
              <w:rPr>
                <w:rFonts w:ascii="Arial" w:hAnsi="Arial" w:cs="Arial"/>
                <w:bCs/>
                <w:sz w:val="24"/>
                <w:szCs w:val="24"/>
              </w:rPr>
            </w:pPr>
            <w:r>
              <w:rPr>
                <w:rFonts w:ascii="Arial" w:hAnsi="Arial" w:cs="Arial"/>
                <w:bCs/>
                <w:sz w:val="24"/>
                <w:szCs w:val="24"/>
              </w:rPr>
              <w:t>53 (23%)</w:t>
            </w:r>
          </w:p>
        </w:tc>
      </w:tr>
      <w:tr w:rsidR="0019642E" w:rsidRPr="00457970" w14:paraId="67757E73" w14:textId="77777777" w:rsidTr="005F5F0D">
        <w:tc>
          <w:tcPr>
            <w:tcW w:w="3005" w:type="dxa"/>
          </w:tcPr>
          <w:p w14:paraId="0EAF5AF3"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7840E448" w14:textId="77777777" w:rsidR="0019642E" w:rsidRDefault="0019642E" w:rsidP="005F5F0D">
            <w:pPr>
              <w:jc w:val="both"/>
              <w:rPr>
                <w:rFonts w:ascii="Arial" w:hAnsi="Arial" w:cs="Arial"/>
                <w:bCs/>
                <w:sz w:val="24"/>
                <w:szCs w:val="24"/>
              </w:rPr>
            </w:pPr>
            <w:r>
              <w:rPr>
                <w:rFonts w:ascii="Arial" w:hAnsi="Arial" w:cs="Arial"/>
                <w:bCs/>
                <w:sz w:val="24"/>
                <w:szCs w:val="24"/>
              </w:rPr>
              <w:t>234</w:t>
            </w:r>
          </w:p>
        </w:tc>
        <w:tc>
          <w:tcPr>
            <w:tcW w:w="3006" w:type="dxa"/>
          </w:tcPr>
          <w:p w14:paraId="6C828D59" w14:textId="77777777" w:rsidR="0019642E" w:rsidRDefault="0019642E" w:rsidP="005F5F0D">
            <w:pPr>
              <w:jc w:val="both"/>
              <w:rPr>
                <w:rFonts w:ascii="Arial" w:hAnsi="Arial" w:cs="Arial"/>
                <w:bCs/>
                <w:sz w:val="24"/>
                <w:szCs w:val="24"/>
              </w:rPr>
            </w:pPr>
            <w:r>
              <w:rPr>
                <w:rFonts w:ascii="Arial" w:hAnsi="Arial" w:cs="Arial"/>
                <w:bCs/>
                <w:sz w:val="24"/>
                <w:szCs w:val="24"/>
              </w:rPr>
              <w:t>56 (24%)</w:t>
            </w:r>
          </w:p>
        </w:tc>
      </w:tr>
      <w:tr w:rsidR="0019642E" w:rsidRPr="00457970" w14:paraId="0DBB1C9F" w14:textId="77777777" w:rsidTr="005F5F0D">
        <w:tc>
          <w:tcPr>
            <w:tcW w:w="3005" w:type="dxa"/>
          </w:tcPr>
          <w:p w14:paraId="2180EA01" w14:textId="77777777"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699DF53D" w14:textId="77777777" w:rsidR="0019642E" w:rsidRDefault="0019642E" w:rsidP="005F5F0D">
            <w:pPr>
              <w:jc w:val="both"/>
              <w:rPr>
                <w:rFonts w:ascii="Arial" w:hAnsi="Arial" w:cs="Arial"/>
                <w:bCs/>
                <w:sz w:val="24"/>
                <w:szCs w:val="24"/>
              </w:rPr>
            </w:pPr>
            <w:r>
              <w:rPr>
                <w:rFonts w:ascii="Arial" w:hAnsi="Arial" w:cs="Arial"/>
                <w:bCs/>
                <w:sz w:val="24"/>
                <w:szCs w:val="24"/>
              </w:rPr>
              <w:t>233</w:t>
            </w:r>
          </w:p>
        </w:tc>
        <w:tc>
          <w:tcPr>
            <w:tcW w:w="3006" w:type="dxa"/>
          </w:tcPr>
          <w:p w14:paraId="6BD60CEF" w14:textId="77777777" w:rsidR="0019642E" w:rsidRDefault="0019642E" w:rsidP="005F5F0D">
            <w:pPr>
              <w:jc w:val="both"/>
              <w:rPr>
                <w:rFonts w:ascii="Arial" w:hAnsi="Arial" w:cs="Arial"/>
                <w:bCs/>
                <w:sz w:val="24"/>
                <w:szCs w:val="24"/>
              </w:rPr>
            </w:pPr>
            <w:r>
              <w:rPr>
                <w:rFonts w:ascii="Arial" w:hAnsi="Arial" w:cs="Arial"/>
                <w:bCs/>
                <w:sz w:val="24"/>
                <w:szCs w:val="24"/>
              </w:rPr>
              <w:t>60 (26%)</w:t>
            </w:r>
          </w:p>
        </w:tc>
      </w:tr>
      <w:tr w:rsidR="0019642E" w:rsidRPr="00457970" w14:paraId="42D8BC64" w14:textId="77777777" w:rsidTr="005F5F0D">
        <w:tc>
          <w:tcPr>
            <w:tcW w:w="3005" w:type="dxa"/>
          </w:tcPr>
          <w:p w14:paraId="52BF3295" w14:textId="6936DB04"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0C045D97" w14:textId="0EC1CE9D" w:rsidR="0019642E" w:rsidRDefault="0019642E" w:rsidP="005F5F0D">
            <w:pPr>
              <w:jc w:val="both"/>
              <w:rPr>
                <w:rFonts w:ascii="Arial" w:hAnsi="Arial" w:cs="Arial"/>
                <w:bCs/>
                <w:sz w:val="24"/>
                <w:szCs w:val="24"/>
              </w:rPr>
            </w:pPr>
            <w:r>
              <w:rPr>
                <w:rFonts w:ascii="Arial" w:hAnsi="Arial" w:cs="Arial"/>
                <w:bCs/>
                <w:sz w:val="24"/>
                <w:szCs w:val="24"/>
              </w:rPr>
              <w:t>219</w:t>
            </w:r>
          </w:p>
        </w:tc>
        <w:tc>
          <w:tcPr>
            <w:tcW w:w="3006" w:type="dxa"/>
          </w:tcPr>
          <w:p w14:paraId="1E872D12" w14:textId="3075EFD8" w:rsidR="0019642E" w:rsidRDefault="0019642E" w:rsidP="005F5F0D">
            <w:pPr>
              <w:jc w:val="both"/>
              <w:rPr>
                <w:rFonts w:ascii="Arial" w:hAnsi="Arial" w:cs="Arial"/>
                <w:bCs/>
                <w:sz w:val="24"/>
                <w:szCs w:val="24"/>
              </w:rPr>
            </w:pPr>
            <w:r>
              <w:rPr>
                <w:rFonts w:ascii="Arial" w:hAnsi="Arial" w:cs="Arial"/>
                <w:bCs/>
                <w:sz w:val="24"/>
                <w:szCs w:val="24"/>
              </w:rPr>
              <w:t>43 (20%)</w:t>
            </w:r>
          </w:p>
        </w:tc>
      </w:tr>
    </w:tbl>
    <w:p w14:paraId="5E45B389" w14:textId="77777777" w:rsidR="0019642E" w:rsidRPr="00AC6162" w:rsidRDefault="0019642E" w:rsidP="0019642E">
      <w:pPr>
        <w:spacing w:after="0" w:line="240" w:lineRule="auto"/>
        <w:jc w:val="both"/>
        <w:rPr>
          <w:rFonts w:ascii="Arial" w:hAnsi="Arial" w:cs="Arial"/>
          <w:sz w:val="24"/>
          <w:szCs w:val="24"/>
          <w:highlight w:val="yellow"/>
        </w:rPr>
      </w:pPr>
    </w:p>
    <w:p w14:paraId="33057C51" w14:textId="77777777" w:rsidR="0019642E" w:rsidRPr="00AC6162" w:rsidRDefault="0019642E" w:rsidP="0019642E">
      <w:pPr>
        <w:spacing w:after="0" w:line="240" w:lineRule="auto"/>
        <w:jc w:val="both"/>
        <w:rPr>
          <w:rFonts w:ascii="Arial" w:hAnsi="Arial" w:cs="Arial"/>
          <w:b/>
          <w:sz w:val="24"/>
          <w:szCs w:val="24"/>
        </w:rPr>
      </w:pPr>
      <w:r w:rsidRPr="00AC6162">
        <w:rPr>
          <w:rFonts w:ascii="Arial" w:hAnsi="Arial" w:cs="Arial"/>
          <w:b/>
          <w:sz w:val="24"/>
          <w:szCs w:val="24"/>
        </w:rPr>
        <w:t xml:space="preserve">Lower GI </w:t>
      </w:r>
    </w:p>
    <w:p w14:paraId="021AECA4"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D&amp;C undertaken for new outpatient demand, generally waits are within 1 week for both gastroenterology and general surgery and 80%+ seen within 2 weeks.</w:t>
      </w:r>
    </w:p>
    <w:p w14:paraId="5DF4F963"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 xml:space="preserve">Endoscopy waits are 2 weeks or less for the majority of patients, with patient unavailability or inability to contact patients the primary reason where waiting times exceed 2 weeks (for USC).  </w:t>
      </w:r>
    </w:p>
    <w:p w14:paraId="1A103272" w14:textId="77777777" w:rsidR="0019642E" w:rsidRPr="0019642E" w:rsidRDefault="0019642E" w:rsidP="0019642E">
      <w:pPr>
        <w:pStyle w:val="ListParagraph"/>
        <w:numPr>
          <w:ilvl w:val="1"/>
          <w:numId w:val="21"/>
        </w:numPr>
        <w:spacing w:after="0" w:line="240" w:lineRule="auto"/>
        <w:jc w:val="both"/>
        <w:rPr>
          <w:rFonts w:ascii="Arial" w:hAnsi="Arial" w:cs="Arial"/>
          <w:sz w:val="24"/>
          <w:szCs w:val="24"/>
        </w:rPr>
      </w:pPr>
      <w:r w:rsidRPr="0019642E">
        <w:rPr>
          <w:rFonts w:ascii="Arial" w:hAnsi="Arial" w:cs="Arial"/>
          <w:sz w:val="24"/>
          <w:szCs w:val="24"/>
        </w:rPr>
        <w:t>Endoscopy Business case to be developed and presented to Management Board</w:t>
      </w:r>
    </w:p>
    <w:p w14:paraId="7A6C03F8"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Enhance surgical capacity at Singleton and Morriston to reduce waiting times for treatment.  Access to beds at Morriston can be a limiting factor.</w:t>
      </w:r>
    </w:p>
    <w:p w14:paraId="1CE14904"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To evaluate the accelerated diagnostic pathway, data from radiology and pathology has been gathered and the evaluation now in progress.</w:t>
      </w:r>
    </w:p>
    <w:p w14:paraId="4592BC1A" w14:textId="77777777" w:rsidR="0019642E" w:rsidRPr="006376E3" w:rsidRDefault="0019642E" w:rsidP="0019642E">
      <w:pPr>
        <w:pStyle w:val="ListParagraph"/>
        <w:spacing w:after="0" w:line="240" w:lineRule="auto"/>
        <w:ind w:left="360"/>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19642E" w:rsidRPr="00457970" w14:paraId="64F9E3C4" w14:textId="77777777" w:rsidTr="005F5F0D">
        <w:tc>
          <w:tcPr>
            <w:tcW w:w="3005" w:type="dxa"/>
            <w:shd w:val="clear" w:color="auto" w:fill="DEEAF6" w:themeFill="accent1" w:themeFillTint="33"/>
          </w:tcPr>
          <w:p w14:paraId="294719F9"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27BC27D8"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785160C2"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Backlog Volume / %</w:t>
            </w:r>
          </w:p>
        </w:tc>
      </w:tr>
      <w:tr w:rsidR="0019642E" w:rsidRPr="00457970" w14:paraId="76C00652" w14:textId="77777777" w:rsidTr="005F5F0D">
        <w:tc>
          <w:tcPr>
            <w:tcW w:w="3005" w:type="dxa"/>
          </w:tcPr>
          <w:p w14:paraId="61A3C89E"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63543D3F" w14:textId="77777777" w:rsidR="0019642E" w:rsidRPr="00457970" w:rsidRDefault="0019642E" w:rsidP="005F5F0D">
            <w:pPr>
              <w:jc w:val="both"/>
              <w:rPr>
                <w:rFonts w:ascii="Arial" w:hAnsi="Arial" w:cs="Arial"/>
                <w:bCs/>
                <w:sz w:val="24"/>
                <w:szCs w:val="24"/>
              </w:rPr>
            </w:pPr>
            <w:r>
              <w:rPr>
                <w:rFonts w:ascii="Arial" w:hAnsi="Arial" w:cs="Arial"/>
                <w:bCs/>
                <w:sz w:val="24"/>
                <w:szCs w:val="24"/>
              </w:rPr>
              <w:t>890</w:t>
            </w:r>
          </w:p>
        </w:tc>
        <w:tc>
          <w:tcPr>
            <w:tcW w:w="3006" w:type="dxa"/>
          </w:tcPr>
          <w:p w14:paraId="31BE90A6" w14:textId="77777777" w:rsidR="0019642E" w:rsidRPr="00457970" w:rsidRDefault="0019642E" w:rsidP="005F5F0D">
            <w:pPr>
              <w:jc w:val="both"/>
              <w:rPr>
                <w:rFonts w:ascii="Arial" w:hAnsi="Arial" w:cs="Arial"/>
                <w:bCs/>
                <w:sz w:val="24"/>
                <w:szCs w:val="24"/>
              </w:rPr>
            </w:pPr>
            <w:r>
              <w:rPr>
                <w:rFonts w:ascii="Arial" w:hAnsi="Arial" w:cs="Arial"/>
                <w:bCs/>
                <w:sz w:val="24"/>
                <w:szCs w:val="24"/>
              </w:rPr>
              <w:t>258</w:t>
            </w:r>
            <w:r w:rsidRPr="00457970">
              <w:rPr>
                <w:rFonts w:ascii="Arial" w:hAnsi="Arial" w:cs="Arial"/>
                <w:bCs/>
                <w:sz w:val="24"/>
                <w:szCs w:val="24"/>
              </w:rPr>
              <w:t xml:space="preserve"> (2</w:t>
            </w:r>
            <w:r>
              <w:rPr>
                <w:rFonts w:ascii="Arial" w:hAnsi="Arial" w:cs="Arial"/>
                <w:bCs/>
                <w:sz w:val="24"/>
                <w:szCs w:val="24"/>
              </w:rPr>
              <w:t>9</w:t>
            </w:r>
            <w:r w:rsidRPr="00457970">
              <w:rPr>
                <w:rFonts w:ascii="Arial" w:hAnsi="Arial" w:cs="Arial"/>
                <w:bCs/>
                <w:sz w:val="24"/>
                <w:szCs w:val="24"/>
              </w:rPr>
              <w:t>%)</w:t>
            </w:r>
          </w:p>
        </w:tc>
      </w:tr>
      <w:tr w:rsidR="0019642E" w:rsidRPr="00457970" w14:paraId="428CFBFA" w14:textId="77777777" w:rsidTr="005F5F0D">
        <w:tc>
          <w:tcPr>
            <w:tcW w:w="3005" w:type="dxa"/>
          </w:tcPr>
          <w:p w14:paraId="3FBF65B6"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2CADBC94" w14:textId="77777777" w:rsidR="0019642E" w:rsidRPr="00457970" w:rsidRDefault="0019642E" w:rsidP="005F5F0D">
            <w:pPr>
              <w:jc w:val="both"/>
              <w:rPr>
                <w:rFonts w:ascii="Arial" w:hAnsi="Arial" w:cs="Arial"/>
                <w:bCs/>
                <w:sz w:val="24"/>
                <w:szCs w:val="24"/>
              </w:rPr>
            </w:pPr>
            <w:r>
              <w:rPr>
                <w:rFonts w:ascii="Arial" w:hAnsi="Arial" w:cs="Arial"/>
                <w:bCs/>
                <w:sz w:val="24"/>
                <w:szCs w:val="24"/>
              </w:rPr>
              <w:t>493</w:t>
            </w:r>
          </w:p>
        </w:tc>
        <w:tc>
          <w:tcPr>
            <w:tcW w:w="3006" w:type="dxa"/>
          </w:tcPr>
          <w:p w14:paraId="20283BDB"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1</w:t>
            </w:r>
            <w:r>
              <w:rPr>
                <w:rFonts w:ascii="Arial" w:hAnsi="Arial" w:cs="Arial"/>
                <w:bCs/>
                <w:sz w:val="24"/>
                <w:szCs w:val="24"/>
              </w:rPr>
              <w:t>02</w:t>
            </w:r>
            <w:r w:rsidRPr="00457970">
              <w:rPr>
                <w:rFonts w:ascii="Arial" w:hAnsi="Arial" w:cs="Arial"/>
                <w:bCs/>
                <w:sz w:val="24"/>
                <w:szCs w:val="24"/>
              </w:rPr>
              <w:t xml:space="preserve"> (</w:t>
            </w:r>
            <w:r>
              <w:rPr>
                <w:rFonts w:ascii="Arial" w:hAnsi="Arial" w:cs="Arial"/>
                <w:bCs/>
                <w:sz w:val="24"/>
                <w:szCs w:val="24"/>
              </w:rPr>
              <w:t>21</w:t>
            </w:r>
            <w:r w:rsidRPr="00457970">
              <w:rPr>
                <w:rFonts w:ascii="Arial" w:hAnsi="Arial" w:cs="Arial"/>
                <w:bCs/>
                <w:sz w:val="24"/>
                <w:szCs w:val="24"/>
              </w:rPr>
              <w:t>%)</w:t>
            </w:r>
          </w:p>
        </w:tc>
      </w:tr>
      <w:tr w:rsidR="0019642E" w:rsidRPr="00457970" w14:paraId="47D05629" w14:textId="77777777" w:rsidTr="005F5F0D">
        <w:tc>
          <w:tcPr>
            <w:tcW w:w="3005" w:type="dxa"/>
          </w:tcPr>
          <w:p w14:paraId="35AB813C" w14:textId="77777777" w:rsidR="0019642E" w:rsidRPr="00457970" w:rsidRDefault="0019642E" w:rsidP="005F5F0D">
            <w:pPr>
              <w:jc w:val="both"/>
              <w:rPr>
                <w:rFonts w:ascii="Arial" w:hAnsi="Arial" w:cs="Arial"/>
                <w:bCs/>
                <w:sz w:val="24"/>
                <w:szCs w:val="24"/>
              </w:rPr>
            </w:pPr>
            <w:r>
              <w:rPr>
                <w:rFonts w:ascii="Arial" w:hAnsi="Arial" w:cs="Arial"/>
                <w:bCs/>
                <w:sz w:val="24"/>
                <w:szCs w:val="24"/>
              </w:rPr>
              <w:t>Jun-23</w:t>
            </w:r>
          </w:p>
        </w:tc>
        <w:tc>
          <w:tcPr>
            <w:tcW w:w="3005" w:type="dxa"/>
          </w:tcPr>
          <w:p w14:paraId="0F89A55B" w14:textId="77777777" w:rsidR="0019642E" w:rsidRDefault="0019642E" w:rsidP="005F5F0D">
            <w:pPr>
              <w:jc w:val="both"/>
              <w:rPr>
                <w:rFonts w:ascii="Arial" w:hAnsi="Arial" w:cs="Arial"/>
                <w:bCs/>
                <w:sz w:val="24"/>
                <w:szCs w:val="24"/>
              </w:rPr>
            </w:pPr>
            <w:r>
              <w:rPr>
                <w:rFonts w:ascii="Arial" w:hAnsi="Arial" w:cs="Arial"/>
                <w:bCs/>
                <w:sz w:val="24"/>
                <w:szCs w:val="24"/>
              </w:rPr>
              <w:t>336</w:t>
            </w:r>
          </w:p>
        </w:tc>
        <w:tc>
          <w:tcPr>
            <w:tcW w:w="3006" w:type="dxa"/>
          </w:tcPr>
          <w:p w14:paraId="2E993D45" w14:textId="77777777" w:rsidR="0019642E" w:rsidRPr="00457970" w:rsidRDefault="0019642E" w:rsidP="005F5F0D">
            <w:pPr>
              <w:jc w:val="both"/>
              <w:rPr>
                <w:rFonts w:ascii="Arial" w:hAnsi="Arial" w:cs="Arial"/>
                <w:bCs/>
                <w:sz w:val="24"/>
                <w:szCs w:val="24"/>
              </w:rPr>
            </w:pPr>
            <w:r>
              <w:rPr>
                <w:rFonts w:ascii="Arial" w:hAnsi="Arial" w:cs="Arial"/>
                <w:bCs/>
                <w:sz w:val="24"/>
                <w:szCs w:val="24"/>
              </w:rPr>
              <w:t>36 (11%)</w:t>
            </w:r>
          </w:p>
        </w:tc>
      </w:tr>
      <w:tr w:rsidR="0019642E" w:rsidRPr="00457970" w14:paraId="3B2FFCA8" w14:textId="77777777" w:rsidTr="005F5F0D">
        <w:tc>
          <w:tcPr>
            <w:tcW w:w="3005" w:type="dxa"/>
          </w:tcPr>
          <w:p w14:paraId="1E86316C"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1D22BD80" w14:textId="77777777" w:rsidR="0019642E" w:rsidRDefault="0019642E" w:rsidP="005F5F0D">
            <w:pPr>
              <w:jc w:val="both"/>
              <w:rPr>
                <w:rFonts w:ascii="Arial" w:hAnsi="Arial" w:cs="Arial"/>
                <w:bCs/>
                <w:sz w:val="24"/>
                <w:szCs w:val="24"/>
              </w:rPr>
            </w:pPr>
            <w:r>
              <w:rPr>
                <w:rFonts w:ascii="Arial" w:hAnsi="Arial" w:cs="Arial"/>
                <w:bCs/>
                <w:sz w:val="24"/>
                <w:szCs w:val="24"/>
              </w:rPr>
              <w:t>366</w:t>
            </w:r>
          </w:p>
        </w:tc>
        <w:tc>
          <w:tcPr>
            <w:tcW w:w="3006" w:type="dxa"/>
          </w:tcPr>
          <w:p w14:paraId="58CC92FE" w14:textId="77777777" w:rsidR="0019642E" w:rsidRDefault="0019642E" w:rsidP="005F5F0D">
            <w:pPr>
              <w:jc w:val="both"/>
              <w:rPr>
                <w:rFonts w:ascii="Arial" w:hAnsi="Arial" w:cs="Arial"/>
                <w:bCs/>
                <w:sz w:val="24"/>
                <w:szCs w:val="24"/>
              </w:rPr>
            </w:pPr>
            <w:r>
              <w:rPr>
                <w:rFonts w:ascii="Arial" w:hAnsi="Arial" w:cs="Arial"/>
                <w:bCs/>
                <w:sz w:val="24"/>
                <w:szCs w:val="24"/>
              </w:rPr>
              <w:t>60 (16%)</w:t>
            </w:r>
          </w:p>
        </w:tc>
      </w:tr>
      <w:tr w:rsidR="0019642E" w:rsidRPr="00457970" w14:paraId="7B722D70" w14:textId="77777777" w:rsidTr="005F5F0D">
        <w:tc>
          <w:tcPr>
            <w:tcW w:w="3005" w:type="dxa"/>
          </w:tcPr>
          <w:p w14:paraId="3AFC7F77"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03B2C82F" w14:textId="77777777" w:rsidR="0019642E" w:rsidRDefault="0019642E" w:rsidP="005F5F0D">
            <w:pPr>
              <w:jc w:val="both"/>
              <w:rPr>
                <w:rFonts w:ascii="Arial" w:hAnsi="Arial" w:cs="Arial"/>
                <w:bCs/>
                <w:sz w:val="24"/>
                <w:szCs w:val="24"/>
              </w:rPr>
            </w:pPr>
            <w:r>
              <w:rPr>
                <w:rFonts w:ascii="Arial" w:hAnsi="Arial" w:cs="Arial"/>
                <w:bCs/>
                <w:sz w:val="24"/>
                <w:szCs w:val="24"/>
              </w:rPr>
              <w:t>311</w:t>
            </w:r>
          </w:p>
        </w:tc>
        <w:tc>
          <w:tcPr>
            <w:tcW w:w="3006" w:type="dxa"/>
          </w:tcPr>
          <w:p w14:paraId="7CB65F47" w14:textId="77777777" w:rsidR="0019642E" w:rsidRDefault="0019642E" w:rsidP="005F5F0D">
            <w:pPr>
              <w:jc w:val="both"/>
              <w:rPr>
                <w:rFonts w:ascii="Arial" w:hAnsi="Arial" w:cs="Arial"/>
                <w:bCs/>
                <w:sz w:val="24"/>
                <w:szCs w:val="24"/>
              </w:rPr>
            </w:pPr>
            <w:r>
              <w:rPr>
                <w:rFonts w:ascii="Arial" w:hAnsi="Arial" w:cs="Arial"/>
                <w:bCs/>
                <w:sz w:val="24"/>
                <w:szCs w:val="24"/>
              </w:rPr>
              <w:t>52 (17%)</w:t>
            </w:r>
          </w:p>
        </w:tc>
      </w:tr>
      <w:tr w:rsidR="0019642E" w:rsidRPr="00457970" w14:paraId="4931D1B5" w14:textId="77777777" w:rsidTr="005F5F0D">
        <w:tc>
          <w:tcPr>
            <w:tcW w:w="3005" w:type="dxa"/>
          </w:tcPr>
          <w:p w14:paraId="66460B42" w14:textId="31369CCA"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282AE0A2" w14:textId="77777777" w:rsidR="0019642E" w:rsidRDefault="0019642E" w:rsidP="005F5F0D">
            <w:pPr>
              <w:jc w:val="both"/>
              <w:rPr>
                <w:rFonts w:ascii="Arial" w:hAnsi="Arial" w:cs="Arial"/>
                <w:bCs/>
                <w:sz w:val="24"/>
                <w:szCs w:val="24"/>
              </w:rPr>
            </w:pPr>
            <w:r>
              <w:rPr>
                <w:rFonts w:ascii="Arial" w:hAnsi="Arial" w:cs="Arial"/>
                <w:bCs/>
                <w:sz w:val="24"/>
                <w:szCs w:val="24"/>
              </w:rPr>
              <w:t>305</w:t>
            </w:r>
          </w:p>
        </w:tc>
        <w:tc>
          <w:tcPr>
            <w:tcW w:w="3006" w:type="dxa"/>
          </w:tcPr>
          <w:p w14:paraId="0FF871C8" w14:textId="77777777" w:rsidR="0019642E" w:rsidRDefault="0019642E" w:rsidP="005F5F0D">
            <w:pPr>
              <w:jc w:val="both"/>
              <w:rPr>
                <w:rFonts w:ascii="Arial" w:hAnsi="Arial" w:cs="Arial"/>
                <w:bCs/>
                <w:sz w:val="24"/>
                <w:szCs w:val="24"/>
              </w:rPr>
            </w:pPr>
            <w:r>
              <w:rPr>
                <w:rFonts w:ascii="Arial" w:hAnsi="Arial" w:cs="Arial"/>
                <w:bCs/>
                <w:sz w:val="24"/>
                <w:szCs w:val="24"/>
              </w:rPr>
              <w:t>52 (17%)</w:t>
            </w:r>
          </w:p>
        </w:tc>
      </w:tr>
      <w:tr w:rsidR="0019642E" w:rsidRPr="00457970" w14:paraId="5F7D511B" w14:textId="77777777" w:rsidTr="005F5F0D">
        <w:tc>
          <w:tcPr>
            <w:tcW w:w="3005" w:type="dxa"/>
          </w:tcPr>
          <w:p w14:paraId="0B0769B7" w14:textId="252DF05B"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366F3AC4" w14:textId="01ED8FDA" w:rsidR="0019642E" w:rsidRDefault="0019642E" w:rsidP="005F5F0D">
            <w:pPr>
              <w:jc w:val="both"/>
              <w:rPr>
                <w:rFonts w:ascii="Arial" w:hAnsi="Arial" w:cs="Arial"/>
                <w:bCs/>
                <w:sz w:val="24"/>
                <w:szCs w:val="24"/>
              </w:rPr>
            </w:pPr>
            <w:r>
              <w:rPr>
                <w:rFonts w:ascii="Arial" w:hAnsi="Arial" w:cs="Arial"/>
                <w:bCs/>
                <w:sz w:val="24"/>
                <w:szCs w:val="24"/>
              </w:rPr>
              <w:t>412</w:t>
            </w:r>
          </w:p>
        </w:tc>
        <w:tc>
          <w:tcPr>
            <w:tcW w:w="3006" w:type="dxa"/>
          </w:tcPr>
          <w:p w14:paraId="642E4E43" w14:textId="587BEC88" w:rsidR="0019642E" w:rsidRDefault="0019642E" w:rsidP="005F5F0D">
            <w:pPr>
              <w:jc w:val="both"/>
              <w:rPr>
                <w:rFonts w:ascii="Arial" w:hAnsi="Arial" w:cs="Arial"/>
                <w:bCs/>
                <w:sz w:val="24"/>
                <w:szCs w:val="24"/>
              </w:rPr>
            </w:pPr>
            <w:r>
              <w:rPr>
                <w:rFonts w:ascii="Arial" w:hAnsi="Arial" w:cs="Arial"/>
                <w:bCs/>
                <w:sz w:val="24"/>
                <w:szCs w:val="24"/>
              </w:rPr>
              <w:t>59 (14%)</w:t>
            </w:r>
          </w:p>
        </w:tc>
      </w:tr>
    </w:tbl>
    <w:p w14:paraId="4EC2814E" w14:textId="0015D879" w:rsidR="0019642E" w:rsidRPr="0019642E" w:rsidRDefault="0019642E" w:rsidP="0019642E">
      <w:pPr>
        <w:spacing w:after="0" w:line="240" w:lineRule="auto"/>
        <w:jc w:val="both"/>
        <w:rPr>
          <w:rFonts w:ascii="Arial" w:hAnsi="Arial" w:cs="Arial"/>
          <w:i/>
          <w:iCs/>
          <w:highlight w:val="yellow"/>
        </w:rPr>
      </w:pPr>
      <w:r w:rsidRPr="0019642E">
        <w:rPr>
          <w:rFonts w:ascii="Arial" w:hAnsi="Arial" w:cs="Arial"/>
          <w:i/>
          <w:iCs/>
        </w:rPr>
        <w:t>*All new Bowel Screening Wales cohorts included in PTL for first time in May 2024</w:t>
      </w:r>
      <w:r w:rsidRPr="0019642E">
        <w:rPr>
          <w:rFonts w:ascii="Arial" w:hAnsi="Arial" w:cs="Arial"/>
          <w:i/>
          <w:iCs/>
          <w:highlight w:val="yellow"/>
        </w:rPr>
        <w:t xml:space="preserve"> </w:t>
      </w:r>
    </w:p>
    <w:p w14:paraId="63E09DBC" w14:textId="77777777" w:rsidR="0019642E" w:rsidRDefault="0019642E" w:rsidP="0019642E">
      <w:pPr>
        <w:spacing w:after="0" w:line="240" w:lineRule="auto"/>
        <w:jc w:val="both"/>
        <w:rPr>
          <w:rFonts w:ascii="Arial" w:hAnsi="Arial" w:cs="Arial"/>
          <w:b/>
          <w:sz w:val="24"/>
          <w:szCs w:val="24"/>
        </w:rPr>
      </w:pPr>
    </w:p>
    <w:p w14:paraId="75773D41" w14:textId="611E5646" w:rsidR="0019642E" w:rsidRDefault="0019642E" w:rsidP="0019642E">
      <w:pPr>
        <w:spacing w:after="0" w:line="240" w:lineRule="auto"/>
        <w:jc w:val="both"/>
        <w:rPr>
          <w:rFonts w:ascii="Arial" w:hAnsi="Arial" w:cs="Arial"/>
          <w:b/>
          <w:sz w:val="24"/>
          <w:szCs w:val="24"/>
        </w:rPr>
      </w:pPr>
      <w:r>
        <w:rPr>
          <w:rFonts w:ascii="Arial" w:hAnsi="Arial" w:cs="Arial"/>
          <w:b/>
          <w:sz w:val="24"/>
          <w:szCs w:val="24"/>
        </w:rPr>
        <w:t>Upper</w:t>
      </w:r>
      <w:r w:rsidRPr="00AC6162">
        <w:rPr>
          <w:rFonts w:ascii="Arial" w:hAnsi="Arial" w:cs="Arial"/>
          <w:b/>
          <w:sz w:val="24"/>
          <w:szCs w:val="24"/>
        </w:rPr>
        <w:t xml:space="preserve"> GI </w:t>
      </w:r>
    </w:p>
    <w:p w14:paraId="7A75E0D1" w14:textId="77777777"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To evaluate the accelerated diagnostic pathway, data from radiology and pathology has been gathered and the evaluation now in progress.</w:t>
      </w:r>
    </w:p>
    <w:p w14:paraId="173EBC05" w14:textId="2EF879A4" w:rsidR="0019642E" w:rsidRDefault="0019642E" w:rsidP="0019642E">
      <w:pPr>
        <w:pStyle w:val="ListParagraph"/>
        <w:numPr>
          <w:ilvl w:val="0"/>
          <w:numId w:val="21"/>
        </w:numPr>
        <w:spacing w:after="0" w:line="240" w:lineRule="auto"/>
        <w:jc w:val="both"/>
        <w:rPr>
          <w:rFonts w:ascii="Arial" w:hAnsi="Arial" w:cs="Arial"/>
          <w:sz w:val="24"/>
          <w:szCs w:val="24"/>
        </w:rPr>
      </w:pPr>
      <w:r>
        <w:rPr>
          <w:rFonts w:ascii="Arial" w:hAnsi="Arial" w:cs="Arial"/>
          <w:sz w:val="24"/>
          <w:szCs w:val="24"/>
        </w:rPr>
        <w:t>A review of the HPB MDT process to ensure timely discussion and decision making will be undertaken.</w:t>
      </w:r>
    </w:p>
    <w:p w14:paraId="0D5F4F3D" w14:textId="77777777" w:rsidR="0019642E" w:rsidRDefault="0019642E" w:rsidP="0019642E">
      <w:pPr>
        <w:pStyle w:val="ListParagraph"/>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3005"/>
        <w:gridCol w:w="3005"/>
        <w:gridCol w:w="3006"/>
      </w:tblGrid>
      <w:tr w:rsidR="0019642E" w:rsidRPr="00457970" w14:paraId="682B889B" w14:textId="77777777" w:rsidTr="005F5F0D">
        <w:tc>
          <w:tcPr>
            <w:tcW w:w="3005" w:type="dxa"/>
            <w:shd w:val="clear" w:color="auto" w:fill="DEEAF6" w:themeFill="accent1" w:themeFillTint="33"/>
          </w:tcPr>
          <w:p w14:paraId="1A678781"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Date</w:t>
            </w:r>
          </w:p>
        </w:tc>
        <w:tc>
          <w:tcPr>
            <w:tcW w:w="3005" w:type="dxa"/>
            <w:shd w:val="clear" w:color="auto" w:fill="DEEAF6" w:themeFill="accent1" w:themeFillTint="33"/>
          </w:tcPr>
          <w:p w14:paraId="10C61BF5"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1B2B5368"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Backlog Volume / %</w:t>
            </w:r>
          </w:p>
        </w:tc>
      </w:tr>
      <w:tr w:rsidR="0019642E" w:rsidRPr="00457970" w14:paraId="6966ED81" w14:textId="77777777" w:rsidTr="005F5F0D">
        <w:tc>
          <w:tcPr>
            <w:tcW w:w="3005" w:type="dxa"/>
          </w:tcPr>
          <w:p w14:paraId="69249B9E"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3C72D929" w14:textId="4F03FDE3" w:rsidR="0019642E" w:rsidRPr="00457970" w:rsidRDefault="0019642E" w:rsidP="005F5F0D">
            <w:pPr>
              <w:jc w:val="both"/>
              <w:rPr>
                <w:rFonts w:ascii="Arial" w:hAnsi="Arial" w:cs="Arial"/>
                <w:bCs/>
                <w:sz w:val="24"/>
                <w:szCs w:val="24"/>
              </w:rPr>
            </w:pPr>
            <w:r>
              <w:rPr>
                <w:rFonts w:ascii="Arial" w:hAnsi="Arial" w:cs="Arial"/>
                <w:bCs/>
                <w:sz w:val="24"/>
                <w:szCs w:val="24"/>
              </w:rPr>
              <w:t>421</w:t>
            </w:r>
          </w:p>
        </w:tc>
        <w:tc>
          <w:tcPr>
            <w:tcW w:w="3006" w:type="dxa"/>
          </w:tcPr>
          <w:p w14:paraId="1D01CECA" w14:textId="1B14874E" w:rsidR="0019642E" w:rsidRPr="00457970" w:rsidRDefault="0019642E" w:rsidP="005F5F0D">
            <w:pPr>
              <w:jc w:val="both"/>
              <w:rPr>
                <w:rFonts w:ascii="Arial" w:hAnsi="Arial" w:cs="Arial"/>
                <w:bCs/>
                <w:sz w:val="24"/>
                <w:szCs w:val="24"/>
              </w:rPr>
            </w:pPr>
            <w:r>
              <w:rPr>
                <w:rFonts w:ascii="Arial" w:hAnsi="Arial" w:cs="Arial"/>
                <w:bCs/>
                <w:sz w:val="24"/>
                <w:szCs w:val="24"/>
              </w:rPr>
              <w:t>85 (20%)</w:t>
            </w:r>
          </w:p>
        </w:tc>
      </w:tr>
      <w:tr w:rsidR="0019642E" w:rsidRPr="00457970" w14:paraId="0AF5CA3B" w14:textId="77777777" w:rsidTr="005F5F0D">
        <w:tc>
          <w:tcPr>
            <w:tcW w:w="3005" w:type="dxa"/>
          </w:tcPr>
          <w:p w14:paraId="2CB24AB3"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4EE890E4" w14:textId="10D0450F" w:rsidR="0019642E" w:rsidRPr="00457970" w:rsidRDefault="0019642E" w:rsidP="005F5F0D">
            <w:pPr>
              <w:jc w:val="both"/>
              <w:rPr>
                <w:rFonts w:ascii="Arial" w:hAnsi="Arial" w:cs="Arial"/>
                <w:bCs/>
                <w:sz w:val="24"/>
                <w:szCs w:val="24"/>
              </w:rPr>
            </w:pPr>
            <w:r>
              <w:rPr>
                <w:rFonts w:ascii="Arial" w:hAnsi="Arial" w:cs="Arial"/>
                <w:bCs/>
                <w:sz w:val="24"/>
                <w:szCs w:val="24"/>
              </w:rPr>
              <w:t>271</w:t>
            </w:r>
          </w:p>
        </w:tc>
        <w:tc>
          <w:tcPr>
            <w:tcW w:w="3006" w:type="dxa"/>
          </w:tcPr>
          <w:p w14:paraId="4B0B48D4" w14:textId="07C89F64" w:rsidR="0019642E" w:rsidRPr="00457970" w:rsidRDefault="0019642E" w:rsidP="005F5F0D">
            <w:pPr>
              <w:jc w:val="both"/>
              <w:rPr>
                <w:rFonts w:ascii="Arial" w:hAnsi="Arial" w:cs="Arial"/>
                <w:bCs/>
                <w:sz w:val="24"/>
                <w:szCs w:val="24"/>
              </w:rPr>
            </w:pPr>
            <w:r>
              <w:rPr>
                <w:rFonts w:ascii="Arial" w:hAnsi="Arial" w:cs="Arial"/>
                <w:bCs/>
                <w:sz w:val="24"/>
                <w:szCs w:val="24"/>
              </w:rPr>
              <w:t>31 (11%)</w:t>
            </w:r>
          </w:p>
        </w:tc>
      </w:tr>
      <w:tr w:rsidR="0019642E" w:rsidRPr="00457970" w14:paraId="7123A02B" w14:textId="77777777" w:rsidTr="005F5F0D">
        <w:tc>
          <w:tcPr>
            <w:tcW w:w="3005" w:type="dxa"/>
          </w:tcPr>
          <w:p w14:paraId="125BEB6A" w14:textId="77777777" w:rsidR="0019642E" w:rsidRPr="00457970" w:rsidRDefault="0019642E" w:rsidP="005F5F0D">
            <w:pPr>
              <w:jc w:val="both"/>
              <w:rPr>
                <w:rFonts w:ascii="Arial" w:hAnsi="Arial" w:cs="Arial"/>
                <w:bCs/>
                <w:sz w:val="24"/>
                <w:szCs w:val="24"/>
              </w:rPr>
            </w:pPr>
            <w:r>
              <w:rPr>
                <w:rFonts w:ascii="Arial" w:hAnsi="Arial" w:cs="Arial"/>
                <w:bCs/>
                <w:sz w:val="24"/>
                <w:szCs w:val="24"/>
              </w:rPr>
              <w:t>Jun-23</w:t>
            </w:r>
          </w:p>
        </w:tc>
        <w:tc>
          <w:tcPr>
            <w:tcW w:w="3005" w:type="dxa"/>
          </w:tcPr>
          <w:p w14:paraId="6B62FAE7" w14:textId="0171FA0F" w:rsidR="0019642E" w:rsidRDefault="0019642E" w:rsidP="005F5F0D">
            <w:pPr>
              <w:jc w:val="both"/>
              <w:rPr>
                <w:rFonts w:ascii="Arial" w:hAnsi="Arial" w:cs="Arial"/>
                <w:bCs/>
                <w:sz w:val="24"/>
                <w:szCs w:val="24"/>
              </w:rPr>
            </w:pPr>
            <w:r>
              <w:rPr>
                <w:rFonts w:ascii="Arial" w:hAnsi="Arial" w:cs="Arial"/>
                <w:bCs/>
                <w:sz w:val="24"/>
                <w:szCs w:val="24"/>
              </w:rPr>
              <w:t>237</w:t>
            </w:r>
          </w:p>
        </w:tc>
        <w:tc>
          <w:tcPr>
            <w:tcW w:w="3006" w:type="dxa"/>
          </w:tcPr>
          <w:p w14:paraId="4F404F00" w14:textId="073BC068" w:rsidR="0019642E" w:rsidRPr="00457970" w:rsidRDefault="0019642E" w:rsidP="005F5F0D">
            <w:pPr>
              <w:jc w:val="both"/>
              <w:rPr>
                <w:rFonts w:ascii="Arial" w:hAnsi="Arial" w:cs="Arial"/>
                <w:bCs/>
                <w:sz w:val="24"/>
                <w:szCs w:val="24"/>
              </w:rPr>
            </w:pPr>
            <w:r>
              <w:rPr>
                <w:rFonts w:ascii="Arial" w:hAnsi="Arial" w:cs="Arial"/>
                <w:bCs/>
                <w:sz w:val="24"/>
                <w:szCs w:val="24"/>
              </w:rPr>
              <w:t>37 (16%)</w:t>
            </w:r>
          </w:p>
        </w:tc>
      </w:tr>
      <w:tr w:rsidR="0019642E" w:rsidRPr="00457970" w14:paraId="2880B84C" w14:textId="77777777" w:rsidTr="005F5F0D">
        <w:tc>
          <w:tcPr>
            <w:tcW w:w="3005" w:type="dxa"/>
          </w:tcPr>
          <w:p w14:paraId="7EC48468"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54189479" w14:textId="4A6A5142" w:rsidR="0019642E" w:rsidRDefault="0019642E" w:rsidP="005F5F0D">
            <w:pPr>
              <w:jc w:val="both"/>
              <w:rPr>
                <w:rFonts w:ascii="Arial" w:hAnsi="Arial" w:cs="Arial"/>
                <w:bCs/>
                <w:sz w:val="24"/>
                <w:szCs w:val="24"/>
              </w:rPr>
            </w:pPr>
            <w:r>
              <w:rPr>
                <w:rFonts w:ascii="Arial" w:hAnsi="Arial" w:cs="Arial"/>
                <w:bCs/>
                <w:sz w:val="24"/>
                <w:szCs w:val="24"/>
              </w:rPr>
              <w:t>184</w:t>
            </w:r>
          </w:p>
        </w:tc>
        <w:tc>
          <w:tcPr>
            <w:tcW w:w="3006" w:type="dxa"/>
          </w:tcPr>
          <w:p w14:paraId="4E04C830" w14:textId="1FF4819B" w:rsidR="0019642E" w:rsidRDefault="0019642E" w:rsidP="005F5F0D">
            <w:pPr>
              <w:jc w:val="both"/>
              <w:rPr>
                <w:rFonts w:ascii="Arial" w:hAnsi="Arial" w:cs="Arial"/>
                <w:bCs/>
                <w:sz w:val="24"/>
                <w:szCs w:val="24"/>
              </w:rPr>
            </w:pPr>
            <w:r>
              <w:rPr>
                <w:rFonts w:ascii="Arial" w:hAnsi="Arial" w:cs="Arial"/>
                <w:bCs/>
                <w:sz w:val="24"/>
                <w:szCs w:val="24"/>
              </w:rPr>
              <w:t>43 (23%)</w:t>
            </w:r>
          </w:p>
        </w:tc>
      </w:tr>
      <w:tr w:rsidR="0019642E" w:rsidRPr="00457970" w14:paraId="6A009A62" w14:textId="77777777" w:rsidTr="005F5F0D">
        <w:tc>
          <w:tcPr>
            <w:tcW w:w="3005" w:type="dxa"/>
          </w:tcPr>
          <w:p w14:paraId="6D2B13CC"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28A3714C" w14:textId="2FF0176E" w:rsidR="0019642E" w:rsidRDefault="0019642E" w:rsidP="005F5F0D">
            <w:pPr>
              <w:jc w:val="both"/>
              <w:rPr>
                <w:rFonts w:ascii="Arial" w:hAnsi="Arial" w:cs="Arial"/>
                <w:bCs/>
                <w:sz w:val="24"/>
                <w:szCs w:val="24"/>
              </w:rPr>
            </w:pPr>
            <w:r>
              <w:rPr>
                <w:rFonts w:ascii="Arial" w:hAnsi="Arial" w:cs="Arial"/>
                <w:bCs/>
                <w:sz w:val="24"/>
                <w:szCs w:val="24"/>
              </w:rPr>
              <w:t>178</w:t>
            </w:r>
          </w:p>
        </w:tc>
        <w:tc>
          <w:tcPr>
            <w:tcW w:w="3006" w:type="dxa"/>
          </w:tcPr>
          <w:p w14:paraId="213E3193" w14:textId="53D63B08" w:rsidR="0019642E" w:rsidRDefault="0019642E" w:rsidP="005F5F0D">
            <w:pPr>
              <w:jc w:val="both"/>
              <w:rPr>
                <w:rFonts w:ascii="Arial" w:hAnsi="Arial" w:cs="Arial"/>
                <w:bCs/>
                <w:sz w:val="24"/>
                <w:szCs w:val="24"/>
              </w:rPr>
            </w:pPr>
            <w:r>
              <w:rPr>
                <w:rFonts w:ascii="Arial" w:hAnsi="Arial" w:cs="Arial"/>
                <w:bCs/>
                <w:sz w:val="24"/>
                <w:szCs w:val="24"/>
              </w:rPr>
              <w:t>36 (20%)</w:t>
            </w:r>
          </w:p>
        </w:tc>
      </w:tr>
      <w:tr w:rsidR="0019642E" w:rsidRPr="00457970" w14:paraId="4B3E9088" w14:textId="77777777" w:rsidTr="005F5F0D">
        <w:tc>
          <w:tcPr>
            <w:tcW w:w="3005" w:type="dxa"/>
          </w:tcPr>
          <w:p w14:paraId="342F9478" w14:textId="77777777"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205F8488" w14:textId="65421388" w:rsidR="0019642E" w:rsidRDefault="0019642E" w:rsidP="005F5F0D">
            <w:pPr>
              <w:jc w:val="both"/>
              <w:rPr>
                <w:rFonts w:ascii="Arial" w:hAnsi="Arial" w:cs="Arial"/>
                <w:bCs/>
                <w:sz w:val="24"/>
                <w:szCs w:val="24"/>
              </w:rPr>
            </w:pPr>
            <w:r>
              <w:rPr>
                <w:rFonts w:ascii="Arial" w:hAnsi="Arial" w:cs="Arial"/>
                <w:bCs/>
                <w:sz w:val="24"/>
                <w:szCs w:val="24"/>
              </w:rPr>
              <w:t>154</w:t>
            </w:r>
          </w:p>
        </w:tc>
        <w:tc>
          <w:tcPr>
            <w:tcW w:w="3006" w:type="dxa"/>
          </w:tcPr>
          <w:p w14:paraId="0B6C0D15" w14:textId="0AC5BA20" w:rsidR="0019642E" w:rsidRDefault="0019642E" w:rsidP="005F5F0D">
            <w:pPr>
              <w:jc w:val="both"/>
              <w:rPr>
                <w:rFonts w:ascii="Arial" w:hAnsi="Arial" w:cs="Arial"/>
                <w:bCs/>
                <w:sz w:val="24"/>
                <w:szCs w:val="24"/>
              </w:rPr>
            </w:pPr>
            <w:r>
              <w:rPr>
                <w:rFonts w:ascii="Arial" w:hAnsi="Arial" w:cs="Arial"/>
                <w:bCs/>
                <w:sz w:val="24"/>
                <w:szCs w:val="24"/>
              </w:rPr>
              <w:t>32 (21%)</w:t>
            </w:r>
          </w:p>
        </w:tc>
      </w:tr>
      <w:tr w:rsidR="0019642E" w:rsidRPr="00457970" w14:paraId="08E0C8FF" w14:textId="77777777" w:rsidTr="005F5F0D">
        <w:tc>
          <w:tcPr>
            <w:tcW w:w="3005" w:type="dxa"/>
          </w:tcPr>
          <w:p w14:paraId="3A3B8A32" w14:textId="1C6F95A7"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1931835F" w14:textId="366E468C" w:rsidR="0019642E" w:rsidRDefault="0019642E" w:rsidP="005F5F0D">
            <w:pPr>
              <w:jc w:val="both"/>
              <w:rPr>
                <w:rFonts w:ascii="Arial" w:hAnsi="Arial" w:cs="Arial"/>
                <w:bCs/>
                <w:sz w:val="24"/>
                <w:szCs w:val="24"/>
              </w:rPr>
            </w:pPr>
            <w:r>
              <w:rPr>
                <w:rFonts w:ascii="Arial" w:hAnsi="Arial" w:cs="Arial"/>
                <w:bCs/>
                <w:sz w:val="24"/>
                <w:szCs w:val="24"/>
              </w:rPr>
              <w:t>205</w:t>
            </w:r>
          </w:p>
        </w:tc>
        <w:tc>
          <w:tcPr>
            <w:tcW w:w="3006" w:type="dxa"/>
          </w:tcPr>
          <w:p w14:paraId="1B8999DF" w14:textId="6B4751C5" w:rsidR="0019642E" w:rsidRDefault="0019642E" w:rsidP="005F5F0D">
            <w:pPr>
              <w:jc w:val="both"/>
              <w:rPr>
                <w:rFonts w:ascii="Arial" w:hAnsi="Arial" w:cs="Arial"/>
                <w:bCs/>
                <w:sz w:val="24"/>
                <w:szCs w:val="24"/>
              </w:rPr>
            </w:pPr>
            <w:r>
              <w:rPr>
                <w:rFonts w:ascii="Arial" w:hAnsi="Arial" w:cs="Arial"/>
                <w:bCs/>
                <w:sz w:val="24"/>
                <w:szCs w:val="24"/>
              </w:rPr>
              <w:t>17 (8%)</w:t>
            </w:r>
          </w:p>
        </w:tc>
      </w:tr>
    </w:tbl>
    <w:p w14:paraId="6D6FCF79" w14:textId="77777777" w:rsidR="0019642E" w:rsidRPr="0019642E" w:rsidRDefault="0019642E" w:rsidP="0019642E">
      <w:pPr>
        <w:spacing w:after="0" w:line="240" w:lineRule="auto"/>
        <w:jc w:val="both"/>
        <w:rPr>
          <w:rFonts w:ascii="Arial" w:hAnsi="Arial" w:cs="Arial"/>
          <w:highlight w:val="yellow"/>
        </w:rPr>
      </w:pPr>
    </w:p>
    <w:p w14:paraId="5DBEC668" w14:textId="3B53B531" w:rsidR="0019642E" w:rsidRPr="0019642E" w:rsidRDefault="0019642E" w:rsidP="0019642E">
      <w:pPr>
        <w:spacing w:after="0" w:line="240" w:lineRule="auto"/>
        <w:jc w:val="both"/>
        <w:rPr>
          <w:rFonts w:ascii="Arial" w:hAnsi="Arial" w:cs="Arial"/>
          <w:b/>
          <w:sz w:val="24"/>
          <w:szCs w:val="24"/>
        </w:rPr>
      </w:pPr>
      <w:r w:rsidRPr="007B1FDF">
        <w:rPr>
          <w:rFonts w:ascii="Arial" w:hAnsi="Arial" w:cs="Arial"/>
          <w:b/>
          <w:sz w:val="24"/>
          <w:szCs w:val="24"/>
        </w:rPr>
        <w:t>Lung</w:t>
      </w:r>
    </w:p>
    <w:p w14:paraId="7ACE63D6" w14:textId="77777777" w:rsidR="0019642E" w:rsidRPr="00AD76B2" w:rsidRDefault="0019642E" w:rsidP="0019642E">
      <w:pPr>
        <w:numPr>
          <w:ilvl w:val="0"/>
          <w:numId w:val="17"/>
        </w:numPr>
        <w:spacing w:after="0" w:line="240" w:lineRule="auto"/>
        <w:ind w:left="299" w:hanging="299"/>
        <w:jc w:val="both"/>
        <w:rPr>
          <w:rFonts w:ascii="Arial" w:hAnsi="Arial" w:cs="Arial"/>
          <w:sz w:val="24"/>
          <w:szCs w:val="24"/>
        </w:rPr>
      </w:pPr>
      <w:r w:rsidRPr="00AD76B2">
        <w:rPr>
          <w:rFonts w:ascii="Arial" w:hAnsi="Arial" w:cs="Arial"/>
          <w:sz w:val="24"/>
          <w:szCs w:val="24"/>
        </w:rPr>
        <w:t xml:space="preserve">D&amp;C undertaken for new outpatient demand, generally waits are within 1 week </w:t>
      </w:r>
      <w:r>
        <w:rPr>
          <w:rFonts w:ascii="Arial" w:hAnsi="Arial" w:cs="Arial"/>
          <w:sz w:val="24"/>
          <w:szCs w:val="24"/>
        </w:rPr>
        <w:t>for thoracic medicine, however around 3 weeks for thoracic surgery</w:t>
      </w:r>
      <w:r w:rsidRPr="00AD76B2">
        <w:rPr>
          <w:rFonts w:ascii="Arial" w:hAnsi="Arial" w:cs="Arial"/>
          <w:sz w:val="24"/>
          <w:szCs w:val="24"/>
        </w:rPr>
        <w:t>.</w:t>
      </w:r>
    </w:p>
    <w:p w14:paraId="5AD903B3" w14:textId="77777777" w:rsidR="0019642E" w:rsidRPr="000E3650" w:rsidRDefault="0019642E" w:rsidP="0019642E">
      <w:pPr>
        <w:numPr>
          <w:ilvl w:val="0"/>
          <w:numId w:val="17"/>
        </w:numPr>
        <w:spacing w:after="0" w:line="240" w:lineRule="auto"/>
        <w:ind w:left="299" w:hanging="299"/>
        <w:jc w:val="both"/>
        <w:rPr>
          <w:rFonts w:ascii="Arial" w:hAnsi="Arial" w:cs="Arial"/>
          <w:sz w:val="24"/>
          <w:szCs w:val="24"/>
        </w:rPr>
      </w:pPr>
      <w:r w:rsidRPr="000E3650">
        <w:rPr>
          <w:rFonts w:ascii="Arial" w:hAnsi="Arial" w:cs="Arial"/>
          <w:sz w:val="24"/>
          <w:szCs w:val="24"/>
        </w:rPr>
        <w:t xml:space="preserve">Radiology </w:t>
      </w:r>
      <w:proofErr w:type="gramStart"/>
      <w:r w:rsidRPr="000E3650">
        <w:rPr>
          <w:rFonts w:ascii="Arial" w:hAnsi="Arial" w:cs="Arial"/>
          <w:sz w:val="24"/>
          <w:szCs w:val="24"/>
        </w:rPr>
        <w:t>are</w:t>
      </w:r>
      <w:proofErr w:type="gramEnd"/>
      <w:r w:rsidRPr="000E3650">
        <w:rPr>
          <w:rFonts w:ascii="Arial" w:hAnsi="Arial" w:cs="Arial"/>
          <w:sz w:val="24"/>
          <w:szCs w:val="24"/>
        </w:rPr>
        <w:t xml:space="preserve"> progressing developments for dedicated radiology space to accommodate patients requiring CT guided biopsy currently requiring admission to </w:t>
      </w:r>
      <w:r w:rsidRPr="000E3650">
        <w:rPr>
          <w:rFonts w:ascii="Arial" w:hAnsi="Arial" w:cs="Arial"/>
          <w:sz w:val="24"/>
          <w:szCs w:val="24"/>
        </w:rPr>
        <w:lastRenderedPageBreak/>
        <w:t xml:space="preserve">hospital for post procedure monitoring. Costings have been prepared for equipment and staffing.  </w:t>
      </w:r>
    </w:p>
    <w:p w14:paraId="526FC6B6" w14:textId="77777777" w:rsidR="0019642E" w:rsidRDefault="0019642E" w:rsidP="0019642E">
      <w:pPr>
        <w:numPr>
          <w:ilvl w:val="0"/>
          <w:numId w:val="17"/>
        </w:numPr>
        <w:spacing w:after="0" w:line="240" w:lineRule="auto"/>
        <w:ind w:left="299" w:hanging="299"/>
        <w:jc w:val="both"/>
        <w:rPr>
          <w:rFonts w:ascii="Arial" w:hAnsi="Arial" w:cs="Arial"/>
          <w:sz w:val="24"/>
          <w:szCs w:val="24"/>
        </w:rPr>
      </w:pPr>
      <w:r>
        <w:rPr>
          <w:rFonts w:ascii="Arial" w:hAnsi="Arial" w:cs="Arial"/>
          <w:sz w:val="24"/>
          <w:szCs w:val="24"/>
        </w:rPr>
        <w:t>Following the appointment of the third consultant surgeon, the median wait for outpatients has reduced from 22 days to 15 days in the first month.  Surgical capacity has been allocated for all three surgeons, therefore waiting times from DTT to Surgery should also improve going forwards.</w:t>
      </w:r>
    </w:p>
    <w:p w14:paraId="623B69F9" w14:textId="77777777" w:rsidR="0019642E" w:rsidRDefault="0019642E" w:rsidP="0019642E">
      <w:pPr>
        <w:spacing w:after="0" w:line="240" w:lineRule="auto"/>
        <w:ind w:left="299"/>
        <w:rPr>
          <w:rFonts w:ascii="Arial" w:hAnsi="Arial" w:cs="Arial"/>
        </w:rPr>
      </w:pPr>
    </w:p>
    <w:tbl>
      <w:tblPr>
        <w:tblStyle w:val="TableGrid"/>
        <w:tblW w:w="0" w:type="auto"/>
        <w:tblLook w:val="04A0" w:firstRow="1" w:lastRow="0" w:firstColumn="1" w:lastColumn="0" w:noHBand="0" w:noVBand="1"/>
      </w:tblPr>
      <w:tblGrid>
        <w:gridCol w:w="3005"/>
        <w:gridCol w:w="3005"/>
        <w:gridCol w:w="3006"/>
      </w:tblGrid>
      <w:tr w:rsidR="0019642E" w:rsidRPr="00457970" w14:paraId="6A5C2B54" w14:textId="77777777" w:rsidTr="005F5F0D">
        <w:tc>
          <w:tcPr>
            <w:tcW w:w="3005" w:type="dxa"/>
            <w:shd w:val="clear" w:color="auto" w:fill="DEEAF6" w:themeFill="accent1" w:themeFillTint="33"/>
          </w:tcPr>
          <w:p w14:paraId="1C5D507F" w14:textId="77777777" w:rsidR="0019642E" w:rsidRPr="00457970" w:rsidRDefault="0019642E" w:rsidP="005F5F0D">
            <w:pPr>
              <w:jc w:val="both"/>
              <w:rPr>
                <w:rFonts w:ascii="Arial" w:hAnsi="Arial" w:cs="Arial"/>
                <w:b/>
                <w:sz w:val="24"/>
                <w:szCs w:val="24"/>
              </w:rPr>
            </w:pPr>
            <w:r>
              <w:rPr>
                <w:rFonts w:ascii="Arial" w:hAnsi="Arial" w:cs="Arial"/>
                <w:b/>
                <w:sz w:val="24"/>
                <w:szCs w:val="24"/>
              </w:rPr>
              <w:t>D</w:t>
            </w:r>
            <w:r w:rsidRPr="00457970">
              <w:rPr>
                <w:rFonts w:ascii="Arial" w:hAnsi="Arial" w:cs="Arial"/>
                <w:b/>
                <w:sz w:val="24"/>
                <w:szCs w:val="24"/>
              </w:rPr>
              <w:t>ate</w:t>
            </w:r>
          </w:p>
        </w:tc>
        <w:tc>
          <w:tcPr>
            <w:tcW w:w="3005" w:type="dxa"/>
            <w:shd w:val="clear" w:color="auto" w:fill="DEEAF6" w:themeFill="accent1" w:themeFillTint="33"/>
          </w:tcPr>
          <w:p w14:paraId="42E5E636"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PTL Volume</w:t>
            </w:r>
          </w:p>
        </w:tc>
        <w:tc>
          <w:tcPr>
            <w:tcW w:w="3006" w:type="dxa"/>
            <w:shd w:val="clear" w:color="auto" w:fill="DEEAF6" w:themeFill="accent1" w:themeFillTint="33"/>
          </w:tcPr>
          <w:p w14:paraId="08BD89CD" w14:textId="77777777" w:rsidR="0019642E" w:rsidRPr="00457970" w:rsidRDefault="0019642E" w:rsidP="005F5F0D">
            <w:pPr>
              <w:jc w:val="both"/>
              <w:rPr>
                <w:rFonts w:ascii="Arial" w:hAnsi="Arial" w:cs="Arial"/>
                <w:b/>
                <w:sz w:val="24"/>
                <w:szCs w:val="24"/>
              </w:rPr>
            </w:pPr>
            <w:r w:rsidRPr="00457970">
              <w:rPr>
                <w:rFonts w:ascii="Arial" w:hAnsi="Arial" w:cs="Arial"/>
                <w:b/>
                <w:sz w:val="24"/>
                <w:szCs w:val="24"/>
              </w:rPr>
              <w:t>Backlog Volume / %</w:t>
            </w:r>
          </w:p>
        </w:tc>
      </w:tr>
      <w:tr w:rsidR="0019642E" w:rsidRPr="00457970" w14:paraId="7C10B126" w14:textId="77777777" w:rsidTr="005F5F0D">
        <w:tc>
          <w:tcPr>
            <w:tcW w:w="3005" w:type="dxa"/>
          </w:tcPr>
          <w:p w14:paraId="6CF715A5"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Oct-22</w:t>
            </w:r>
          </w:p>
        </w:tc>
        <w:tc>
          <w:tcPr>
            <w:tcW w:w="3005" w:type="dxa"/>
          </w:tcPr>
          <w:p w14:paraId="5E065CDE" w14:textId="77777777" w:rsidR="0019642E" w:rsidRPr="00457970" w:rsidRDefault="0019642E" w:rsidP="005F5F0D">
            <w:pPr>
              <w:jc w:val="both"/>
              <w:rPr>
                <w:rFonts w:ascii="Arial" w:hAnsi="Arial" w:cs="Arial"/>
                <w:bCs/>
                <w:sz w:val="24"/>
                <w:szCs w:val="24"/>
              </w:rPr>
            </w:pPr>
            <w:r>
              <w:rPr>
                <w:rFonts w:ascii="Arial" w:hAnsi="Arial" w:cs="Arial"/>
                <w:bCs/>
                <w:sz w:val="24"/>
                <w:szCs w:val="24"/>
              </w:rPr>
              <w:t>97</w:t>
            </w:r>
          </w:p>
        </w:tc>
        <w:tc>
          <w:tcPr>
            <w:tcW w:w="3006" w:type="dxa"/>
          </w:tcPr>
          <w:p w14:paraId="3525894A" w14:textId="77777777" w:rsidR="0019642E" w:rsidRPr="00457970" w:rsidRDefault="0019642E" w:rsidP="005F5F0D">
            <w:pPr>
              <w:jc w:val="both"/>
              <w:rPr>
                <w:rFonts w:ascii="Arial" w:hAnsi="Arial" w:cs="Arial"/>
                <w:bCs/>
                <w:sz w:val="24"/>
                <w:szCs w:val="24"/>
              </w:rPr>
            </w:pPr>
            <w:r>
              <w:rPr>
                <w:rFonts w:ascii="Arial" w:hAnsi="Arial" w:cs="Arial"/>
                <w:bCs/>
                <w:sz w:val="24"/>
                <w:szCs w:val="24"/>
              </w:rPr>
              <w:t>42</w:t>
            </w:r>
            <w:r w:rsidRPr="00457970">
              <w:rPr>
                <w:rFonts w:ascii="Arial" w:hAnsi="Arial" w:cs="Arial"/>
                <w:bCs/>
                <w:sz w:val="24"/>
                <w:szCs w:val="24"/>
              </w:rPr>
              <w:t xml:space="preserve"> (</w:t>
            </w:r>
            <w:r>
              <w:rPr>
                <w:rFonts w:ascii="Arial" w:hAnsi="Arial" w:cs="Arial"/>
                <w:bCs/>
                <w:sz w:val="24"/>
                <w:szCs w:val="24"/>
              </w:rPr>
              <w:t>43</w:t>
            </w:r>
            <w:r w:rsidRPr="00457970">
              <w:rPr>
                <w:rFonts w:ascii="Arial" w:hAnsi="Arial" w:cs="Arial"/>
                <w:bCs/>
                <w:sz w:val="24"/>
                <w:szCs w:val="24"/>
              </w:rPr>
              <w:t>%)</w:t>
            </w:r>
          </w:p>
        </w:tc>
      </w:tr>
      <w:tr w:rsidR="0019642E" w:rsidRPr="00457970" w14:paraId="68A9321D" w14:textId="77777777" w:rsidTr="005F5F0D">
        <w:tc>
          <w:tcPr>
            <w:tcW w:w="3005" w:type="dxa"/>
          </w:tcPr>
          <w:p w14:paraId="2768F3C5" w14:textId="77777777" w:rsidR="0019642E" w:rsidRPr="00457970" w:rsidRDefault="0019642E" w:rsidP="005F5F0D">
            <w:pPr>
              <w:jc w:val="both"/>
              <w:rPr>
                <w:rFonts w:ascii="Arial" w:hAnsi="Arial" w:cs="Arial"/>
                <w:bCs/>
                <w:sz w:val="24"/>
                <w:szCs w:val="24"/>
              </w:rPr>
            </w:pPr>
            <w:r w:rsidRPr="00457970">
              <w:rPr>
                <w:rFonts w:ascii="Arial" w:hAnsi="Arial" w:cs="Arial"/>
                <w:bCs/>
                <w:sz w:val="24"/>
                <w:szCs w:val="24"/>
              </w:rPr>
              <w:t>Mar-23</w:t>
            </w:r>
          </w:p>
        </w:tc>
        <w:tc>
          <w:tcPr>
            <w:tcW w:w="3005" w:type="dxa"/>
          </w:tcPr>
          <w:p w14:paraId="005C94E0" w14:textId="77777777" w:rsidR="0019642E" w:rsidRPr="00457970" w:rsidRDefault="0019642E" w:rsidP="005F5F0D">
            <w:pPr>
              <w:jc w:val="both"/>
              <w:rPr>
                <w:rFonts w:ascii="Arial" w:hAnsi="Arial" w:cs="Arial"/>
                <w:bCs/>
                <w:sz w:val="24"/>
                <w:szCs w:val="24"/>
              </w:rPr>
            </w:pPr>
            <w:r>
              <w:rPr>
                <w:rFonts w:ascii="Arial" w:hAnsi="Arial" w:cs="Arial"/>
                <w:bCs/>
                <w:sz w:val="24"/>
                <w:szCs w:val="24"/>
              </w:rPr>
              <w:t>112</w:t>
            </w:r>
          </w:p>
        </w:tc>
        <w:tc>
          <w:tcPr>
            <w:tcW w:w="3006" w:type="dxa"/>
          </w:tcPr>
          <w:p w14:paraId="7AC813B6" w14:textId="77777777" w:rsidR="0019642E" w:rsidRPr="00457970" w:rsidRDefault="0019642E" w:rsidP="005F5F0D">
            <w:pPr>
              <w:jc w:val="both"/>
              <w:rPr>
                <w:rFonts w:ascii="Arial" w:hAnsi="Arial" w:cs="Arial"/>
                <w:bCs/>
                <w:sz w:val="24"/>
                <w:szCs w:val="24"/>
              </w:rPr>
            </w:pPr>
            <w:r>
              <w:rPr>
                <w:rFonts w:ascii="Arial" w:hAnsi="Arial" w:cs="Arial"/>
                <w:bCs/>
                <w:sz w:val="24"/>
                <w:szCs w:val="24"/>
              </w:rPr>
              <w:t xml:space="preserve">34 </w:t>
            </w:r>
            <w:r w:rsidRPr="00457970">
              <w:rPr>
                <w:rFonts w:ascii="Arial" w:hAnsi="Arial" w:cs="Arial"/>
                <w:bCs/>
                <w:sz w:val="24"/>
                <w:szCs w:val="24"/>
              </w:rPr>
              <w:t>(</w:t>
            </w:r>
            <w:r>
              <w:rPr>
                <w:rFonts w:ascii="Arial" w:hAnsi="Arial" w:cs="Arial"/>
                <w:bCs/>
                <w:sz w:val="24"/>
                <w:szCs w:val="24"/>
              </w:rPr>
              <w:t>30</w:t>
            </w:r>
            <w:r w:rsidRPr="00457970">
              <w:rPr>
                <w:rFonts w:ascii="Arial" w:hAnsi="Arial" w:cs="Arial"/>
                <w:bCs/>
                <w:sz w:val="24"/>
                <w:szCs w:val="24"/>
              </w:rPr>
              <w:t>%)</w:t>
            </w:r>
          </w:p>
        </w:tc>
      </w:tr>
      <w:tr w:rsidR="0019642E" w:rsidRPr="00457970" w14:paraId="4BAC9B64" w14:textId="77777777" w:rsidTr="005F5F0D">
        <w:trPr>
          <w:trHeight w:val="303"/>
        </w:trPr>
        <w:tc>
          <w:tcPr>
            <w:tcW w:w="3005" w:type="dxa"/>
          </w:tcPr>
          <w:p w14:paraId="3DF47AA5" w14:textId="77777777" w:rsidR="0019642E" w:rsidRPr="00457970" w:rsidRDefault="0019642E" w:rsidP="005F5F0D">
            <w:pPr>
              <w:jc w:val="both"/>
              <w:rPr>
                <w:rFonts w:ascii="Arial" w:hAnsi="Arial" w:cs="Arial"/>
                <w:bCs/>
                <w:sz w:val="24"/>
                <w:szCs w:val="24"/>
              </w:rPr>
            </w:pPr>
            <w:r>
              <w:rPr>
                <w:rFonts w:ascii="Arial" w:hAnsi="Arial" w:cs="Arial"/>
                <w:bCs/>
                <w:sz w:val="24"/>
                <w:szCs w:val="24"/>
              </w:rPr>
              <w:t>Jun-23</w:t>
            </w:r>
          </w:p>
        </w:tc>
        <w:tc>
          <w:tcPr>
            <w:tcW w:w="3005" w:type="dxa"/>
          </w:tcPr>
          <w:p w14:paraId="6711EC4C" w14:textId="77777777" w:rsidR="0019642E" w:rsidRDefault="0019642E" w:rsidP="005F5F0D">
            <w:pPr>
              <w:jc w:val="both"/>
              <w:rPr>
                <w:rFonts w:ascii="Arial" w:hAnsi="Arial" w:cs="Arial"/>
                <w:bCs/>
                <w:sz w:val="24"/>
                <w:szCs w:val="24"/>
              </w:rPr>
            </w:pPr>
            <w:r>
              <w:rPr>
                <w:rFonts w:ascii="Arial" w:hAnsi="Arial" w:cs="Arial"/>
                <w:bCs/>
                <w:sz w:val="24"/>
                <w:szCs w:val="24"/>
              </w:rPr>
              <w:t>74</w:t>
            </w:r>
          </w:p>
        </w:tc>
        <w:tc>
          <w:tcPr>
            <w:tcW w:w="3006" w:type="dxa"/>
          </w:tcPr>
          <w:p w14:paraId="35A31014" w14:textId="77777777" w:rsidR="0019642E" w:rsidRDefault="0019642E" w:rsidP="005F5F0D">
            <w:pPr>
              <w:jc w:val="both"/>
              <w:rPr>
                <w:rFonts w:ascii="Arial" w:hAnsi="Arial" w:cs="Arial"/>
                <w:bCs/>
                <w:sz w:val="24"/>
                <w:szCs w:val="24"/>
              </w:rPr>
            </w:pPr>
            <w:r>
              <w:rPr>
                <w:rFonts w:ascii="Arial" w:hAnsi="Arial" w:cs="Arial"/>
                <w:bCs/>
                <w:sz w:val="24"/>
                <w:szCs w:val="24"/>
              </w:rPr>
              <w:t>26 (35%)</w:t>
            </w:r>
          </w:p>
        </w:tc>
      </w:tr>
      <w:tr w:rsidR="0019642E" w:rsidRPr="00457970" w14:paraId="5C3A4637" w14:textId="77777777" w:rsidTr="005F5F0D">
        <w:tc>
          <w:tcPr>
            <w:tcW w:w="3005" w:type="dxa"/>
          </w:tcPr>
          <w:p w14:paraId="37D23A26" w14:textId="77777777" w:rsidR="0019642E" w:rsidRDefault="0019642E" w:rsidP="005F5F0D">
            <w:pPr>
              <w:jc w:val="both"/>
              <w:rPr>
                <w:rFonts w:ascii="Arial" w:hAnsi="Arial" w:cs="Arial"/>
                <w:bCs/>
                <w:sz w:val="24"/>
                <w:szCs w:val="24"/>
              </w:rPr>
            </w:pPr>
            <w:r>
              <w:rPr>
                <w:rFonts w:ascii="Arial" w:hAnsi="Arial" w:cs="Arial"/>
                <w:bCs/>
                <w:sz w:val="24"/>
                <w:szCs w:val="24"/>
              </w:rPr>
              <w:t>Sep-23</w:t>
            </w:r>
          </w:p>
        </w:tc>
        <w:tc>
          <w:tcPr>
            <w:tcW w:w="3005" w:type="dxa"/>
          </w:tcPr>
          <w:p w14:paraId="170D9016" w14:textId="77777777" w:rsidR="0019642E" w:rsidRDefault="0019642E" w:rsidP="005F5F0D">
            <w:pPr>
              <w:jc w:val="both"/>
              <w:rPr>
                <w:rFonts w:ascii="Arial" w:hAnsi="Arial" w:cs="Arial"/>
                <w:bCs/>
                <w:sz w:val="24"/>
                <w:szCs w:val="24"/>
              </w:rPr>
            </w:pPr>
            <w:r>
              <w:rPr>
                <w:rFonts w:ascii="Arial" w:hAnsi="Arial" w:cs="Arial"/>
                <w:bCs/>
                <w:sz w:val="24"/>
                <w:szCs w:val="24"/>
              </w:rPr>
              <w:t>80</w:t>
            </w:r>
          </w:p>
        </w:tc>
        <w:tc>
          <w:tcPr>
            <w:tcW w:w="3006" w:type="dxa"/>
          </w:tcPr>
          <w:p w14:paraId="7E5D4C05" w14:textId="77777777" w:rsidR="0019642E" w:rsidRDefault="0019642E" w:rsidP="005F5F0D">
            <w:pPr>
              <w:jc w:val="both"/>
              <w:rPr>
                <w:rFonts w:ascii="Arial" w:hAnsi="Arial" w:cs="Arial"/>
                <w:bCs/>
                <w:sz w:val="24"/>
                <w:szCs w:val="24"/>
              </w:rPr>
            </w:pPr>
            <w:r>
              <w:rPr>
                <w:rFonts w:ascii="Arial" w:hAnsi="Arial" w:cs="Arial"/>
                <w:bCs/>
                <w:sz w:val="24"/>
                <w:szCs w:val="24"/>
              </w:rPr>
              <w:t>23 (29%)</w:t>
            </w:r>
          </w:p>
        </w:tc>
      </w:tr>
      <w:tr w:rsidR="0019642E" w:rsidRPr="00457970" w14:paraId="594AA167" w14:textId="77777777" w:rsidTr="005F5F0D">
        <w:tc>
          <w:tcPr>
            <w:tcW w:w="3005" w:type="dxa"/>
          </w:tcPr>
          <w:p w14:paraId="42A4831F" w14:textId="77777777" w:rsidR="0019642E" w:rsidRDefault="0019642E" w:rsidP="005F5F0D">
            <w:pPr>
              <w:jc w:val="both"/>
              <w:rPr>
                <w:rFonts w:ascii="Arial" w:hAnsi="Arial" w:cs="Arial"/>
                <w:bCs/>
                <w:sz w:val="24"/>
                <w:szCs w:val="24"/>
              </w:rPr>
            </w:pPr>
            <w:r>
              <w:rPr>
                <w:rFonts w:ascii="Arial" w:hAnsi="Arial" w:cs="Arial"/>
                <w:bCs/>
                <w:sz w:val="24"/>
                <w:szCs w:val="24"/>
              </w:rPr>
              <w:t>Jan-24</w:t>
            </w:r>
          </w:p>
        </w:tc>
        <w:tc>
          <w:tcPr>
            <w:tcW w:w="3005" w:type="dxa"/>
          </w:tcPr>
          <w:p w14:paraId="3C471F9E" w14:textId="77777777" w:rsidR="0019642E" w:rsidRDefault="0019642E" w:rsidP="005F5F0D">
            <w:pPr>
              <w:jc w:val="both"/>
              <w:rPr>
                <w:rFonts w:ascii="Arial" w:hAnsi="Arial" w:cs="Arial"/>
                <w:bCs/>
                <w:sz w:val="24"/>
                <w:szCs w:val="24"/>
              </w:rPr>
            </w:pPr>
            <w:r>
              <w:rPr>
                <w:rFonts w:ascii="Arial" w:hAnsi="Arial" w:cs="Arial"/>
                <w:bCs/>
                <w:sz w:val="24"/>
                <w:szCs w:val="24"/>
              </w:rPr>
              <w:t>76</w:t>
            </w:r>
          </w:p>
        </w:tc>
        <w:tc>
          <w:tcPr>
            <w:tcW w:w="3006" w:type="dxa"/>
          </w:tcPr>
          <w:p w14:paraId="0F94C4B2" w14:textId="77777777" w:rsidR="0019642E" w:rsidRDefault="0019642E" w:rsidP="005F5F0D">
            <w:pPr>
              <w:jc w:val="both"/>
              <w:rPr>
                <w:rFonts w:ascii="Arial" w:hAnsi="Arial" w:cs="Arial"/>
                <w:bCs/>
                <w:sz w:val="24"/>
                <w:szCs w:val="24"/>
              </w:rPr>
            </w:pPr>
            <w:r>
              <w:rPr>
                <w:rFonts w:ascii="Arial" w:hAnsi="Arial" w:cs="Arial"/>
                <w:bCs/>
                <w:sz w:val="24"/>
                <w:szCs w:val="24"/>
              </w:rPr>
              <w:t>25 (33%)</w:t>
            </w:r>
          </w:p>
        </w:tc>
      </w:tr>
      <w:tr w:rsidR="0019642E" w:rsidRPr="00457970" w14:paraId="1386A47B" w14:textId="77777777" w:rsidTr="005F5F0D">
        <w:tc>
          <w:tcPr>
            <w:tcW w:w="3005" w:type="dxa"/>
          </w:tcPr>
          <w:p w14:paraId="1F1EC3DD" w14:textId="77777777" w:rsidR="0019642E" w:rsidRDefault="0019642E" w:rsidP="005F5F0D">
            <w:pPr>
              <w:jc w:val="both"/>
              <w:rPr>
                <w:rFonts w:ascii="Arial" w:hAnsi="Arial" w:cs="Arial"/>
                <w:bCs/>
                <w:sz w:val="24"/>
                <w:szCs w:val="24"/>
              </w:rPr>
            </w:pPr>
            <w:r>
              <w:rPr>
                <w:rFonts w:ascii="Arial" w:hAnsi="Arial" w:cs="Arial"/>
                <w:bCs/>
                <w:sz w:val="24"/>
                <w:szCs w:val="24"/>
              </w:rPr>
              <w:t>Feb-24</w:t>
            </w:r>
          </w:p>
        </w:tc>
        <w:tc>
          <w:tcPr>
            <w:tcW w:w="3005" w:type="dxa"/>
          </w:tcPr>
          <w:p w14:paraId="7A4CA7C9" w14:textId="77777777" w:rsidR="0019642E" w:rsidRDefault="0019642E" w:rsidP="005F5F0D">
            <w:pPr>
              <w:jc w:val="both"/>
              <w:rPr>
                <w:rFonts w:ascii="Arial" w:hAnsi="Arial" w:cs="Arial"/>
                <w:bCs/>
                <w:sz w:val="24"/>
                <w:szCs w:val="24"/>
              </w:rPr>
            </w:pPr>
            <w:r>
              <w:rPr>
                <w:rFonts w:ascii="Arial" w:hAnsi="Arial" w:cs="Arial"/>
                <w:bCs/>
                <w:sz w:val="24"/>
                <w:szCs w:val="24"/>
              </w:rPr>
              <w:t>67</w:t>
            </w:r>
          </w:p>
        </w:tc>
        <w:tc>
          <w:tcPr>
            <w:tcW w:w="3006" w:type="dxa"/>
          </w:tcPr>
          <w:p w14:paraId="69CDB431" w14:textId="77777777" w:rsidR="0019642E" w:rsidRDefault="0019642E" w:rsidP="005F5F0D">
            <w:pPr>
              <w:jc w:val="both"/>
              <w:rPr>
                <w:rFonts w:ascii="Arial" w:hAnsi="Arial" w:cs="Arial"/>
                <w:bCs/>
                <w:sz w:val="24"/>
                <w:szCs w:val="24"/>
              </w:rPr>
            </w:pPr>
            <w:r>
              <w:rPr>
                <w:rFonts w:ascii="Arial" w:hAnsi="Arial" w:cs="Arial"/>
                <w:bCs/>
                <w:sz w:val="24"/>
                <w:szCs w:val="24"/>
              </w:rPr>
              <w:t>27 (40%)</w:t>
            </w:r>
          </w:p>
        </w:tc>
      </w:tr>
      <w:tr w:rsidR="0019642E" w:rsidRPr="00457970" w14:paraId="35A18F70" w14:textId="77777777" w:rsidTr="005F5F0D">
        <w:tc>
          <w:tcPr>
            <w:tcW w:w="3005" w:type="dxa"/>
          </w:tcPr>
          <w:p w14:paraId="04CBE02A" w14:textId="304E2602" w:rsidR="0019642E" w:rsidRDefault="0019642E" w:rsidP="005F5F0D">
            <w:pPr>
              <w:jc w:val="both"/>
              <w:rPr>
                <w:rFonts w:ascii="Arial" w:hAnsi="Arial" w:cs="Arial"/>
                <w:bCs/>
                <w:sz w:val="24"/>
                <w:szCs w:val="24"/>
              </w:rPr>
            </w:pPr>
            <w:r>
              <w:rPr>
                <w:rFonts w:ascii="Arial" w:hAnsi="Arial" w:cs="Arial"/>
                <w:bCs/>
                <w:sz w:val="24"/>
                <w:szCs w:val="24"/>
              </w:rPr>
              <w:t>Jun-24</w:t>
            </w:r>
          </w:p>
        </w:tc>
        <w:tc>
          <w:tcPr>
            <w:tcW w:w="3005" w:type="dxa"/>
          </w:tcPr>
          <w:p w14:paraId="1C635CB7" w14:textId="36F2B4AE" w:rsidR="0019642E" w:rsidRDefault="0019642E" w:rsidP="005F5F0D">
            <w:pPr>
              <w:jc w:val="both"/>
              <w:rPr>
                <w:rFonts w:ascii="Arial" w:hAnsi="Arial" w:cs="Arial"/>
                <w:bCs/>
                <w:sz w:val="24"/>
                <w:szCs w:val="24"/>
              </w:rPr>
            </w:pPr>
            <w:r>
              <w:rPr>
                <w:rFonts w:ascii="Arial" w:hAnsi="Arial" w:cs="Arial"/>
                <w:bCs/>
                <w:sz w:val="24"/>
                <w:szCs w:val="24"/>
              </w:rPr>
              <w:t>100</w:t>
            </w:r>
          </w:p>
        </w:tc>
        <w:tc>
          <w:tcPr>
            <w:tcW w:w="3006" w:type="dxa"/>
          </w:tcPr>
          <w:p w14:paraId="2AE88776" w14:textId="746CA774" w:rsidR="0019642E" w:rsidRDefault="0019642E" w:rsidP="005F5F0D">
            <w:pPr>
              <w:jc w:val="both"/>
              <w:rPr>
                <w:rFonts w:ascii="Arial" w:hAnsi="Arial" w:cs="Arial"/>
                <w:bCs/>
                <w:sz w:val="24"/>
                <w:szCs w:val="24"/>
              </w:rPr>
            </w:pPr>
            <w:r>
              <w:rPr>
                <w:rFonts w:ascii="Arial" w:hAnsi="Arial" w:cs="Arial"/>
                <w:bCs/>
                <w:sz w:val="24"/>
                <w:szCs w:val="24"/>
              </w:rPr>
              <w:t>18 (18%)</w:t>
            </w:r>
          </w:p>
        </w:tc>
      </w:tr>
    </w:tbl>
    <w:p w14:paraId="6D290426" w14:textId="77777777" w:rsidR="00653AEC" w:rsidRPr="0019642E" w:rsidRDefault="00653AEC" w:rsidP="0019642E">
      <w:pPr>
        <w:spacing w:after="0" w:line="240" w:lineRule="auto"/>
        <w:rPr>
          <w:rFonts w:ascii="Arial" w:hAnsi="Arial" w:cs="Arial"/>
          <w:b/>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7CBA87AF" w14:textId="49F55888" w:rsidR="0019642E" w:rsidRDefault="0019642E" w:rsidP="0019642E">
      <w:pPr>
        <w:ind w:right="96"/>
        <w:rPr>
          <w:rFonts w:ascii="Arial" w:hAnsi="Arial" w:cs="Arial"/>
          <w:color w:val="000000" w:themeColor="text1"/>
          <w:sz w:val="24"/>
          <w:szCs w:val="24"/>
        </w:rPr>
      </w:pPr>
      <w:r w:rsidRPr="009F3277">
        <w:rPr>
          <w:rFonts w:ascii="Arial" w:hAnsi="Arial" w:cs="Arial"/>
          <w:color w:val="000000" w:themeColor="text1"/>
          <w:sz w:val="24"/>
          <w:szCs w:val="24"/>
        </w:rPr>
        <w:t>There are no direct financial implications associated with</w:t>
      </w:r>
      <w:r>
        <w:rPr>
          <w:rFonts w:ascii="Arial" w:hAnsi="Arial" w:cs="Arial"/>
          <w:color w:val="000000" w:themeColor="text1"/>
          <w:sz w:val="24"/>
          <w:szCs w:val="24"/>
        </w:rPr>
        <w:t xml:space="preserve"> this paper.  The outputs </w:t>
      </w:r>
      <w:r w:rsidRPr="009F3277">
        <w:rPr>
          <w:rFonts w:ascii="Arial" w:hAnsi="Arial" w:cs="Arial"/>
          <w:color w:val="000000" w:themeColor="text1"/>
          <w:sz w:val="24"/>
          <w:szCs w:val="24"/>
        </w:rPr>
        <w:t xml:space="preserve">from the </w:t>
      </w:r>
      <w:r>
        <w:rPr>
          <w:rFonts w:ascii="Arial" w:hAnsi="Arial" w:cs="Arial"/>
          <w:color w:val="000000" w:themeColor="text1"/>
          <w:sz w:val="24"/>
          <w:szCs w:val="24"/>
        </w:rPr>
        <w:t>modelling</w:t>
      </w:r>
      <w:r w:rsidRPr="009F3277">
        <w:rPr>
          <w:rFonts w:ascii="Arial" w:hAnsi="Arial" w:cs="Arial"/>
          <w:color w:val="000000" w:themeColor="text1"/>
          <w:sz w:val="24"/>
          <w:szCs w:val="24"/>
        </w:rPr>
        <w:t xml:space="preserve"> </w:t>
      </w:r>
      <w:r>
        <w:rPr>
          <w:rFonts w:ascii="Arial" w:hAnsi="Arial" w:cs="Arial"/>
          <w:color w:val="000000" w:themeColor="text1"/>
          <w:sz w:val="24"/>
          <w:szCs w:val="24"/>
        </w:rPr>
        <w:t xml:space="preserve">work or service initiatives and improvements </w:t>
      </w:r>
      <w:r w:rsidRPr="009F3277">
        <w:rPr>
          <w:rFonts w:ascii="Arial" w:hAnsi="Arial" w:cs="Arial"/>
          <w:color w:val="000000" w:themeColor="text1"/>
          <w:sz w:val="24"/>
          <w:szCs w:val="24"/>
        </w:rPr>
        <w:t>will inform the development of the Health Board’s IMTP and financial plans</w:t>
      </w:r>
      <w:r>
        <w:rPr>
          <w:rFonts w:ascii="Arial" w:hAnsi="Arial" w:cs="Arial"/>
          <w:color w:val="000000" w:themeColor="text1"/>
          <w:sz w:val="24"/>
          <w:szCs w:val="24"/>
        </w:rPr>
        <w:t xml:space="preserve"> for sustainable services</w:t>
      </w:r>
      <w:r w:rsidRPr="009F3277">
        <w:rPr>
          <w:rFonts w:ascii="Arial" w:hAnsi="Arial" w:cs="Arial"/>
          <w:color w:val="000000" w:themeColor="text1"/>
          <w:sz w:val="24"/>
          <w:szCs w:val="24"/>
        </w:rPr>
        <w:t>.</w:t>
      </w:r>
    </w:p>
    <w:p w14:paraId="6D290429" w14:textId="77777777" w:rsidR="00653AEC" w:rsidRPr="0072604C" w:rsidRDefault="00653AEC"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5AE83B77" w14:textId="77777777" w:rsidR="0019642E" w:rsidRDefault="0019642E" w:rsidP="0019642E">
      <w:pPr>
        <w:spacing w:after="0"/>
        <w:ind w:right="96"/>
        <w:jc w:val="both"/>
        <w:rPr>
          <w:rFonts w:ascii="Arial" w:hAnsi="Arial" w:cs="Arial"/>
          <w:sz w:val="24"/>
          <w:szCs w:val="24"/>
        </w:rPr>
      </w:pPr>
    </w:p>
    <w:p w14:paraId="6DF7FCD1" w14:textId="01D4C723" w:rsidR="0019642E" w:rsidRDefault="0019642E" w:rsidP="0019642E">
      <w:pPr>
        <w:spacing w:after="0"/>
        <w:ind w:right="96"/>
        <w:jc w:val="both"/>
        <w:rPr>
          <w:rFonts w:ascii="Arial" w:hAnsi="Arial" w:cs="Arial"/>
          <w:sz w:val="24"/>
          <w:szCs w:val="24"/>
        </w:rPr>
      </w:pPr>
      <w:r w:rsidRPr="004D5ECE">
        <w:rPr>
          <w:rFonts w:ascii="Arial" w:hAnsi="Arial" w:cs="Arial"/>
          <w:sz w:val="24"/>
          <w:szCs w:val="24"/>
        </w:rPr>
        <w:t>The</w:t>
      </w:r>
      <w:r>
        <w:rPr>
          <w:rFonts w:ascii="Arial" w:hAnsi="Arial" w:cs="Arial"/>
          <w:sz w:val="24"/>
          <w:szCs w:val="24"/>
        </w:rPr>
        <w:t xml:space="preserve"> Committee </w:t>
      </w:r>
      <w:r w:rsidRPr="004D5ECE">
        <w:rPr>
          <w:rFonts w:ascii="Arial" w:hAnsi="Arial" w:cs="Arial"/>
          <w:sz w:val="24"/>
          <w:szCs w:val="24"/>
        </w:rPr>
        <w:t>is asked to:</w:t>
      </w:r>
    </w:p>
    <w:p w14:paraId="5DAAC746" w14:textId="77777777" w:rsidR="0019642E" w:rsidRDefault="0019642E" w:rsidP="0019642E">
      <w:pPr>
        <w:spacing w:after="0"/>
        <w:ind w:right="96"/>
        <w:jc w:val="both"/>
        <w:rPr>
          <w:rFonts w:ascii="Arial" w:hAnsi="Arial" w:cs="Arial"/>
          <w:sz w:val="24"/>
          <w:szCs w:val="24"/>
        </w:rPr>
      </w:pPr>
    </w:p>
    <w:p w14:paraId="2531C810" w14:textId="77777777" w:rsidR="0019642E" w:rsidRDefault="0019642E" w:rsidP="0019642E">
      <w:pPr>
        <w:pStyle w:val="Default"/>
        <w:numPr>
          <w:ilvl w:val="0"/>
          <w:numId w:val="12"/>
        </w:numPr>
        <w:jc w:val="both"/>
        <w:rPr>
          <w:rFonts w:ascii="Arial" w:hAnsi="Arial" w:cs="Arial"/>
          <w:color w:val="000000" w:themeColor="text1"/>
        </w:rPr>
      </w:pPr>
      <w:r>
        <w:rPr>
          <w:rFonts w:ascii="Arial" w:hAnsi="Arial" w:cs="Arial"/>
          <w:b/>
          <w:bCs/>
          <w:color w:val="000000" w:themeColor="text1"/>
        </w:rPr>
        <w:t xml:space="preserve">NOTE </w:t>
      </w:r>
      <w:r>
        <w:rPr>
          <w:rFonts w:ascii="Arial" w:hAnsi="Arial" w:cs="Arial"/>
          <w:color w:val="000000" w:themeColor="text1"/>
        </w:rPr>
        <w:t>the performance and backlog volumes in the main tumour sites.</w:t>
      </w:r>
    </w:p>
    <w:p w14:paraId="6D29042C" w14:textId="4DD95229" w:rsidR="00C33A04" w:rsidRPr="0019642E" w:rsidRDefault="0019642E" w:rsidP="0019642E">
      <w:pPr>
        <w:pStyle w:val="Default"/>
        <w:numPr>
          <w:ilvl w:val="0"/>
          <w:numId w:val="12"/>
        </w:numPr>
        <w:jc w:val="both"/>
        <w:rPr>
          <w:rFonts w:ascii="Arial" w:hAnsi="Arial" w:cs="Arial"/>
          <w:color w:val="000000" w:themeColor="text1"/>
        </w:rPr>
      </w:pPr>
      <w:r w:rsidRPr="0019642E">
        <w:rPr>
          <w:rFonts w:ascii="Arial" w:hAnsi="Arial" w:cs="Arial"/>
          <w:b/>
          <w:bCs/>
          <w:color w:val="000000" w:themeColor="text1"/>
        </w:rPr>
        <w:t xml:space="preserve">NOTE </w:t>
      </w:r>
      <w:r w:rsidRPr="0019642E">
        <w:rPr>
          <w:rFonts w:ascii="Arial" w:hAnsi="Arial" w:cs="Arial"/>
          <w:color w:val="000000" w:themeColor="text1"/>
        </w:rPr>
        <w:t>the additional work required to improve both performance and backlog</w:t>
      </w:r>
    </w:p>
    <w:p w14:paraId="6D29042D" w14:textId="17447E9C" w:rsidR="0019642E" w:rsidRDefault="0019642E">
      <w:pPr>
        <w:rPr>
          <w:rFonts w:ascii="Arial" w:hAnsi="Arial" w:cs="Arial"/>
          <w:b/>
          <w:sz w:val="24"/>
          <w:szCs w:val="24"/>
        </w:rPr>
      </w:pPr>
      <w:r>
        <w:rPr>
          <w:rFonts w:ascii="Arial" w:hAnsi="Arial" w:cs="Arial"/>
          <w:b/>
          <w:sz w:val="24"/>
          <w:szCs w:val="24"/>
        </w:rPr>
        <w:br w:type="page"/>
      </w:r>
    </w:p>
    <w:p w14:paraId="39B9F0A0" w14:textId="77777777" w:rsidR="00C33A04" w:rsidRDefault="00C33A04"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1740EDE1" w:rsidR="00F5324A" w:rsidRPr="00F5324A" w:rsidRDefault="0019642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669857AE" w:rsidR="00F5324A" w:rsidRPr="00F5324A" w:rsidRDefault="0019642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1D8BA588" w:rsidR="00F5324A" w:rsidRPr="00F5324A" w:rsidRDefault="0019642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47CE27AF" w:rsidR="00F5324A" w:rsidRPr="00F5324A" w:rsidRDefault="0019642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72A2B059" w:rsidR="00F5324A" w:rsidRPr="00F5324A" w:rsidRDefault="0019642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3F02AD25" w:rsidR="00F5324A" w:rsidRPr="00F5324A" w:rsidRDefault="0019642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36555001"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2E8692D8"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3BFC2C1F"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2455B3E2" w:rsidR="00F5324A" w:rsidRPr="00FA0CA9" w:rsidRDefault="0019642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05627AEE" w14:textId="77777777" w:rsidR="0019642E" w:rsidRPr="00FA0CA9" w:rsidRDefault="0019642E" w:rsidP="0019642E">
            <w:pPr>
              <w:jc w:val="both"/>
              <w:rPr>
                <w:rFonts w:ascii="Arial" w:hAnsi="Arial" w:cs="Arial"/>
                <w:b/>
                <w:sz w:val="24"/>
                <w:szCs w:val="24"/>
              </w:rPr>
            </w:pPr>
            <w:r>
              <w:rPr>
                <w:rFonts w:ascii="Arial" w:hAnsi="Arial" w:cs="Arial"/>
                <w:color w:val="000000" w:themeColor="text1"/>
                <w:sz w:val="24"/>
                <w:szCs w:val="24"/>
              </w:rPr>
              <w:t>Accurate, comprehensive demand and capacity plans</w:t>
            </w:r>
            <w:r w:rsidRPr="009F3277">
              <w:rPr>
                <w:rFonts w:ascii="Arial" w:hAnsi="Arial" w:cs="Arial"/>
                <w:color w:val="000000" w:themeColor="text1"/>
                <w:sz w:val="24"/>
                <w:szCs w:val="24"/>
              </w:rPr>
              <w:t xml:space="preserve"> can increase safety and quality whilst reducing risk and can lead to efficiency gains </w:t>
            </w:r>
            <w:r>
              <w:rPr>
                <w:rFonts w:ascii="Arial" w:hAnsi="Arial" w:cs="Arial"/>
                <w:color w:val="000000" w:themeColor="text1"/>
                <w:sz w:val="24"/>
                <w:szCs w:val="24"/>
              </w:rPr>
              <w:t>within clinical services.  They will also facilitate more timely treatment of patients and enhance patient experience.</w:t>
            </w: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5234AC5D" w14:textId="77777777" w:rsidR="0019642E" w:rsidRDefault="0019642E" w:rsidP="0019642E">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direct financial implications associated with</w:t>
            </w:r>
            <w:r>
              <w:rPr>
                <w:rFonts w:ascii="Arial" w:hAnsi="Arial" w:cs="Arial"/>
                <w:color w:val="000000" w:themeColor="text1"/>
                <w:sz w:val="24"/>
                <w:szCs w:val="24"/>
              </w:rPr>
              <w:t xml:space="preserve"> this paper.  Inputs (additional activity) into the demand and capacity models are funded via Recovery Money.  However, the outputs </w:t>
            </w:r>
            <w:r w:rsidRPr="009F3277">
              <w:rPr>
                <w:rFonts w:ascii="Arial" w:hAnsi="Arial" w:cs="Arial"/>
                <w:color w:val="000000" w:themeColor="text1"/>
                <w:sz w:val="24"/>
                <w:szCs w:val="24"/>
              </w:rPr>
              <w:t xml:space="preserve">from the </w:t>
            </w:r>
            <w:r>
              <w:rPr>
                <w:rFonts w:ascii="Arial" w:hAnsi="Arial" w:cs="Arial"/>
                <w:color w:val="000000" w:themeColor="text1"/>
                <w:sz w:val="24"/>
                <w:szCs w:val="24"/>
              </w:rPr>
              <w:t>modelling</w:t>
            </w:r>
            <w:r w:rsidRPr="009F3277">
              <w:rPr>
                <w:rFonts w:ascii="Arial" w:hAnsi="Arial" w:cs="Arial"/>
                <w:color w:val="000000" w:themeColor="text1"/>
                <w:sz w:val="24"/>
                <w:szCs w:val="24"/>
              </w:rPr>
              <w:t xml:space="preserve"> will inform the development of the Health Board’s IMTP and financial plans</w:t>
            </w:r>
            <w:r>
              <w:rPr>
                <w:rFonts w:ascii="Arial" w:hAnsi="Arial" w:cs="Arial"/>
                <w:color w:val="000000" w:themeColor="text1"/>
                <w:sz w:val="24"/>
                <w:szCs w:val="24"/>
              </w:rPr>
              <w:t xml:space="preserve"> for sustainable services</w:t>
            </w:r>
            <w:r w:rsidRPr="009F3277">
              <w:rPr>
                <w:rFonts w:ascii="Arial" w:hAnsi="Arial" w:cs="Arial"/>
                <w:color w:val="000000" w:themeColor="text1"/>
                <w:sz w:val="24"/>
                <w:szCs w:val="24"/>
              </w:rPr>
              <w:t>.</w:t>
            </w:r>
          </w:p>
          <w:p w14:paraId="6D290486" w14:textId="77777777" w:rsidR="00F5324A" w:rsidRPr="00FA0CA9" w:rsidRDefault="00F5324A" w:rsidP="00F5324A">
            <w:pPr>
              <w:ind w:right="96"/>
              <w:rPr>
                <w:rFonts w:ascii="Arial" w:hAnsi="Arial" w:cs="Arial"/>
                <w:color w:val="FF0000"/>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A" w14:textId="15833F97" w:rsidR="00653AEC" w:rsidRPr="0019642E" w:rsidRDefault="0019642E" w:rsidP="0019642E">
            <w:pPr>
              <w:ind w:right="96"/>
              <w:jc w:val="both"/>
              <w:rPr>
                <w:rFonts w:ascii="Arial" w:hAnsi="Arial" w:cs="Arial"/>
                <w:color w:val="000000" w:themeColor="text1"/>
                <w:sz w:val="24"/>
                <w:szCs w:val="24"/>
              </w:rPr>
            </w:pPr>
            <w:r w:rsidRPr="009F3277">
              <w:rPr>
                <w:rFonts w:ascii="Arial" w:hAnsi="Arial" w:cs="Arial"/>
                <w:color w:val="000000" w:themeColor="text1"/>
                <w:sz w:val="24"/>
                <w:szCs w:val="24"/>
              </w:rPr>
              <w:t>There are no legal implications to consider</w:t>
            </w:r>
            <w:r>
              <w:rPr>
                <w:rFonts w:ascii="Arial" w:hAnsi="Arial" w:cs="Arial"/>
                <w:color w:val="000000" w:themeColor="text1"/>
                <w:sz w:val="24"/>
                <w:szCs w:val="24"/>
              </w:rPr>
              <w:t>.</w:t>
            </w:r>
            <w:r w:rsidR="00653AEC" w:rsidRPr="00FA0CA9">
              <w:rPr>
                <w:rFonts w:ascii="Arial" w:hAnsi="Arial" w:cs="Arial"/>
                <w:color w:val="FF0000"/>
                <w:sz w:val="24"/>
                <w:szCs w:val="24"/>
              </w:rPr>
              <w:t xml:space="preserve"> </w:t>
            </w:r>
          </w:p>
          <w:p w14:paraId="6D29048B" w14:textId="77777777" w:rsidR="00F5324A" w:rsidRPr="00FA0CA9" w:rsidRDefault="00F5324A" w:rsidP="00F5324A">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C95B3C">
        <w:tc>
          <w:tcPr>
            <w:tcW w:w="9245" w:type="dxa"/>
            <w:gridSpan w:val="4"/>
          </w:tcPr>
          <w:p w14:paraId="2E9FBF14" w14:textId="77777777" w:rsidR="0019642E" w:rsidRPr="009F3277" w:rsidRDefault="0019642E" w:rsidP="0019642E">
            <w:pPr>
              <w:ind w:right="96"/>
              <w:jc w:val="both"/>
              <w:rPr>
                <w:rFonts w:ascii="Arial" w:hAnsi="Arial" w:cs="Arial"/>
                <w:color w:val="000000" w:themeColor="text1"/>
                <w:sz w:val="24"/>
                <w:szCs w:val="24"/>
              </w:rPr>
            </w:pPr>
            <w:r>
              <w:rPr>
                <w:rFonts w:ascii="Arial" w:hAnsi="Arial" w:cs="Arial"/>
                <w:color w:val="000000" w:themeColor="text1"/>
                <w:sz w:val="24"/>
                <w:szCs w:val="24"/>
              </w:rPr>
              <w:t>There are no immediate staffing implications as a result of this paper but there is a need to be mindful that this is a very specialist area and we need to build robust and sustainable capacity in this area.</w:t>
            </w:r>
          </w:p>
          <w:p w14:paraId="6D290490" w14:textId="77777777" w:rsidR="00F5324A" w:rsidRPr="00FA0CA9" w:rsidRDefault="00F5324A" w:rsidP="00762BBE">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77777777" w:rsidR="00F5324A" w:rsidRPr="00FA0CA9" w:rsidRDefault="00F5324A" w:rsidP="00F5324A">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6775" w:type="dxa"/>
            <w:gridSpan w:val="2"/>
          </w:tcPr>
          <w:p w14:paraId="6D290499" w14:textId="52B0CDEF" w:rsidR="00653AEC" w:rsidRPr="00FA0CA9" w:rsidRDefault="0019642E" w:rsidP="00653AEC">
            <w:pPr>
              <w:ind w:right="96"/>
              <w:rPr>
                <w:rFonts w:ascii="Arial" w:hAnsi="Arial" w:cs="Arial"/>
                <w:color w:val="FF0000"/>
                <w:sz w:val="24"/>
                <w:szCs w:val="24"/>
              </w:rPr>
            </w:pPr>
            <w:r w:rsidRPr="00ED3FCA">
              <w:rPr>
                <w:rFonts w:ascii="Arial" w:hAnsi="Arial" w:cs="Arial"/>
                <w:sz w:val="24"/>
                <w:szCs w:val="24"/>
              </w:rPr>
              <w:t>Previous reports have been presented to Management Board in November 2021 and February / August 2022 / October 2023</w:t>
            </w:r>
            <w:r>
              <w:rPr>
                <w:rFonts w:ascii="Arial" w:hAnsi="Arial" w:cs="Arial"/>
                <w:sz w:val="24"/>
                <w:szCs w:val="24"/>
              </w:rPr>
              <w:t xml:space="preserve"> / February 2024</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6D29049E" w14:textId="458570DF" w:rsidR="00653AEC" w:rsidRPr="00FA0CA9" w:rsidRDefault="000C39ED" w:rsidP="00653AEC">
            <w:pPr>
              <w:ind w:right="96"/>
              <w:rPr>
                <w:rFonts w:ascii="Arial" w:hAnsi="Arial" w:cs="Arial"/>
                <w:color w:val="FF0000"/>
                <w:sz w:val="24"/>
                <w:szCs w:val="24"/>
              </w:rPr>
            </w:pPr>
            <w:r w:rsidRPr="00353B0D">
              <w:rPr>
                <w:rFonts w:ascii="Arial" w:hAnsi="Arial" w:cs="Arial"/>
                <w:sz w:val="24"/>
                <w:szCs w:val="24"/>
              </w:rPr>
              <w:t xml:space="preserve">None. </w:t>
            </w:r>
          </w:p>
        </w:tc>
      </w:tr>
    </w:tbl>
    <w:p w14:paraId="6D2904A0" w14:textId="77777777" w:rsidR="00034194" w:rsidRDefault="00034194"/>
    <w:sectPr w:rsidR="00034194" w:rsidSect="00021C60">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F705809" w14:textId="77777777" w:rsidR="00F1341A" w:rsidRDefault="00F1341A" w:rsidP="00C107F2">
      <w:pPr>
        <w:spacing w:after="0" w:line="240" w:lineRule="auto"/>
      </w:pPr>
      <w:r>
        <w:separator/>
      </w:r>
    </w:p>
  </w:endnote>
  <w:endnote w:type="continuationSeparator" w:id="0">
    <w:p w14:paraId="4E979548" w14:textId="77777777" w:rsidR="00F1341A" w:rsidRDefault="00F1341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9D3964B" w:rsidR="003324CB" w:rsidRDefault="0019642E" w:rsidP="002B7C9A">
    <w:pPr>
      <w:pStyle w:val="Footer"/>
      <w:jc w:val="right"/>
    </w:pPr>
    <w:r>
      <w:t xml:space="preserve">Performance &amp; Finance </w:t>
    </w:r>
    <w:r w:rsidR="002B7C9A">
      <w:t xml:space="preserve">Committee – </w:t>
    </w:r>
    <w:r>
      <w:t>25</w:t>
    </w:r>
    <w:r w:rsidRPr="0019642E">
      <w:rPr>
        <w:vertAlign w:val="superscript"/>
      </w:rPr>
      <w:t>th</w:t>
    </w:r>
    <w:r>
      <w:t xml:space="preserve"> June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30986AA" w14:textId="77777777" w:rsidR="00F1341A" w:rsidRDefault="00F1341A" w:rsidP="00C107F2">
      <w:pPr>
        <w:spacing w:after="0" w:line="240" w:lineRule="auto"/>
      </w:pPr>
      <w:r>
        <w:separator/>
      </w:r>
    </w:p>
  </w:footnote>
  <w:footnote w:type="continuationSeparator" w:id="0">
    <w:p w14:paraId="07B3F6D8" w14:textId="77777777" w:rsidR="00F1341A" w:rsidRDefault="00F1341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8D50EB"/>
    <w:multiLevelType w:val="hybridMultilevel"/>
    <w:tmpl w:val="326CCF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 w15:restartNumberingAfterBreak="0">
    <w:nsid w:val="097C1C55"/>
    <w:multiLevelType w:val="hybridMultilevel"/>
    <w:tmpl w:val="33B614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6636EF4"/>
    <w:multiLevelType w:val="hybridMultilevel"/>
    <w:tmpl w:val="827417C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29E15454"/>
    <w:multiLevelType w:val="hybridMultilevel"/>
    <w:tmpl w:val="CD62CA8C"/>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6" w15:restartNumberingAfterBreak="0">
    <w:nsid w:val="3260535C"/>
    <w:multiLevelType w:val="hybridMultilevel"/>
    <w:tmpl w:val="6358B8E2"/>
    <w:lvl w:ilvl="0" w:tplc="08090013">
      <w:start w:val="1"/>
      <w:numFmt w:val="upperRoman"/>
      <w:lvlText w:val="%1."/>
      <w:lvlJc w:val="righ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3A44FC6"/>
    <w:multiLevelType w:val="hybridMultilevel"/>
    <w:tmpl w:val="1144D3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88E5EE1"/>
    <w:multiLevelType w:val="hybridMultilevel"/>
    <w:tmpl w:val="4992F06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0" w15:restartNumberingAfterBreak="0">
    <w:nsid w:val="4BDD315A"/>
    <w:multiLevelType w:val="hybridMultilevel"/>
    <w:tmpl w:val="43DE2C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6F24EFC"/>
    <w:multiLevelType w:val="hybridMultilevel"/>
    <w:tmpl w:val="A252C7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5EA34BC3"/>
    <w:multiLevelType w:val="hybridMultilevel"/>
    <w:tmpl w:val="154C721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222" w:hanging="360"/>
      </w:pPr>
    </w:lvl>
    <w:lvl w:ilvl="2" w:tplc="0809001B" w:tentative="1">
      <w:start w:val="1"/>
      <w:numFmt w:val="lowerRoman"/>
      <w:lvlText w:val="%3."/>
      <w:lvlJc w:val="right"/>
      <w:pPr>
        <w:ind w:left="1942" w:hanging="180"/>
      </w:pPr>
    </w:lvl>
    <w:lvl w:ilvl="3" w:tplc="0809000F" w:tentative="1">
      <w:start w:val="1"/>
      <w:numFmt w:val="decimal"/>
      <w:lvlText w:val="%4."/>
      <w:lvlJc w:val="left"/>
      <w:pPr>
        <w:ind w:left="2662" w:hanging="360"/>
      </w:pPr>
    </w:lvl>
    <w:lvl w:ilvl="4" w:tplc="08090019" w:tentative="1">
      <w:start w:val="1"/>
      <w:numFmt w:val="lowerLetter"/>
      <w:lvlText w:val="%5."/>
      <w:lvlJc w:val="left"/>
      <w:pPr>
        <w:ind w:left="3382" w:hanging="360"/>
      </w:pPr>
    </w:lvl>
    <w:lvl w:ilvl="5" w:tplc="0809001B" w:tentative="1">
      <w:start w:val="1"/>
      <w:numFmt w:val="lowerRoman"/>
      <w:lvlText w:val="%6."/>
      <w:lvlJc w:val="right"/>
      <w:pPr>
        <w:ind w:left="4102" w:hanging="180"/>
      </w:pPr>
    </w:lvl>
    <w:lvl w:ilvl="6" w:tplc="0809000F" w:tentative="1">
      <w:start w:val="1"/>
      <w:numFmt w:val="decimal"/>
      <w:lvlText w:val="%7."/>
      <w:lvlJc w:val="left"/>
      <w:pPr>
        <w:ind w:left="4822" w:hanging="360"/>
      </w:pPr>
    </w:lvl>
    <w:lvl w:ilvl="7" w:tplc="08090019" w:tentative="1">
      <w:start w:val="1"/>
      <w:numFmt w:val="lowerLetter"/>
      <w:lvlText w:val="%8."/>
      <w:lvlJc w:val="left"/>
      <w:pPr>
        <w:ind w:left="5542" w:hanging="360"/>
      </w:pPr>
    </w:lvl>
    <w:lvl w:ilvl="8" w:tplc="0809001B" w:tentative="1">
      <w:start w:val="1"/>
      <w:numFmt w:val="lowerRoman"/>
      <w:lvlText w:val="%9."/>
      <w:lvlJc w:val="right"/>
      <w:pPr>
        <w:ind w:left="6262" w:hanging="180"/>
      </w:pPr>
    </w:lvl>
  </w:abstractNum>
  <w:abstractNum w:abstractNumId="15" w15:restartNumberingAfterBreak="0">
    <w:nsid w:val="651C2A37"/>
    <w:multiLevelType w:val="hybridMultilevel"/>
    <w:tmpl w:val="F0FEE1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8" w15:restartNumberingAfterBreak="0">
    <w:nsid w:val="6D0535F1"/>
    <w:multiLevelType w:val="hybridMultilevel"/>
    <w:tmpl w:val="56D0D2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098746799">
    <w:abstractNumId w:val="2"/>
  </w:num>
  <w:num w:numId="2" w16cid:durableId="120543431">
    <w:abstractNumId w:val="12"/>
  </w:num>
  <w:num w:numId="3" w16cid:durableId="1301184178">
    <w:abstractNumId w:val="11"/>
  </w:num>
  <w:num w:numId="4" w16cid:durableId="761099914">
    <w:abstractNumId w:val="9"/>
  </w:num>
  <w:num w:numId="5" w16cid:durableId="1349992056">
    <w:abstractNumId w:val="3"/>
  </w:num>
  <w:num w:numId="6" w16cid:durableId="853543829">
    <w:abstractNumId w:val="20"/>
  </w:num>
  <w:num w:numId="7" w16cid:durableId="420486947">
    <w:abstractNumId w:val="21"/>
  </w:num>
  <w:num w:numId="8" w16cid:durableId="2018266696">
    <w:abstractNumId w:val="16"/>
  </w:num>
  <w:num w:numId="9" w16cid:durableId="1645818086">
    <w:abstractNumId w:val="17"/>
  </w:num>
  <w:num w:numId="10" w16cid:durableId="313339431">
    <w:abstractNumId w:val="19"/>
  </w:num>
  <w:num w:numId="11" w16cid:durableId="1332903340">
    <w:abstractNumId w:val="15"/>
  </w:num>
  <w:num w:numId="12" w16cid:durableId="123928870">
    <w:abstractNumId w:val="8"/>
  </w:num>
  <w:num w:numId="13" w16cid:durableId="2024014684">
    <w:abstractNumId w:val="1"/>
  </w:num>
  <w:num w:numId="14" w16cid:durableId="988021681">
    <w:abstractNumId w:val="0"/>
  </w:num>
  <w:num w:numId="15" w16cid:durableId="42142096">
    <w:abstractNumId w:val="6"/>
  </w:num>
  <w:num w:numId="16" w16cid:durableId="2052071246">
    <w:abstractNumId w:val="4"/>
  </w:num>
  <w:num w:numId="17" w16cid:durableId="801726782">
    <w:abstractNumId w:val="7"/>
  </w:num>
  <w:num w:numId="18" w16cid:durableId="1885217329">
    <w:abstractNumId w:val="13"/>
  </w:num>
  <w:num w:numId="19" w16cid:durableId="58405226">
    <w:abstractNumId w:val="18"/>
  </w:num>
  <w:num w:numId="20" w16cid:durableId="1917321226">
    <w:abstractNumId w:val="14"/>
  </w:num>
  <w:num w:numId="21" w16cid:durableId="713699304">
    <w:abstractNumId w:val="10"/>
  </w:num>
  <w:num w:numId="22" w16cid:durableId="22645552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95DB8"/>
    <w:rsid w:val="000C39ED"/>
    <w:rsid w:val="000F361B"/>
    <w:rsid w:val="00133EA1"/>
    <w:rsid w:val="0016096B"/>
    <w:rsid w:val="0019642E"/>
    <w:rsid w:val="0020539A"/>
    <w:rsid w:val="00233330"/>
    <w:rsid w:val="00241662"/>
    <w:rsid w:val="002950FF"/>
    <w:rsid w:val="00296CD9"/>
    <w:rsid w:val="002B7C9A"/>
    <w:rsid w:val="002C3DD6"/>
    <w:rsid w:val="00306F8C"/>
    <w:rsid w:val="0032747D"/>
    <w:rsid w:val="003324CB"/>
    <w:rsid w:val="00353B0D"/>
    <w:rsid w:val="003B040A"/>
    <w:rsid w:val="003C0FF8"/>
    <w:rsid w:val="00414894"/>
    <w:rsid w:val="00417826"/>
    <w:rsid w:val="00461835"/>
    <w:rsid w:val="0047792B"/>
    <w:rsid w:val="004B04A5"/>
    <w:rsid w:val="0052297E"/>
    <w:rsid w:val="00585277"/>
    <w:rsid w:val="005D1652"/>
    <w:rsid w:val="005D4A97"/>
    <w:rsid w:val="005E70A9"/>
    <w:rsid w:val="0061070E"/>
    <w:rsid w:val="00653AEC"/>
    <w:rsid w:val="00655190"/>
    <w:rsid w:val="00662218"/>
    <w:rsid w:val="00685AE0"/>
    <w:rsid w:val="00690BC8"/>
    <w:rsid w:val="006D1998"/>
    <w:rsid w:val="006D603B"/>
    <w:rsid w:val="00703D77"/>
    <w:rsid w:val="00711095"/>
    <w:rsid w:val="0072604C"/>
    <w:rsid w:val="00762BBE"/>
    <w:rsid w:val="00767E3E"/>
    <w:rsid w:val="008458FF"/>
    <w:rsid w:val="008C15D9"/>
    <w:rsid w:val="008D0747"/>
    <w:rsid w:val="009112DC"/>
    <w:rsid w:val="009719C7"/>
    <w:rsid w:val="009D45E8"/>
    <w:rsid w:val="009E7AF7"/>
    <w:rsid w:val="00A93153"/>
    <w:rsid w:val="00AD064D"/>
    <w:rsid w:val="00B2297A"/>
    <w:rsid w:val="00B35ECC"/>
    <w:rsid w:val="00B85A7A"/>
    <w:rsid w:val="00BA2507"/>
    <w:rsid w:val="00BC241D"/>
    <w:rsid w:val="00BD35AB"/>
    <w:rsid w:val="00C107F2"/>
    <w:rsid w:val="00C33A04"/>
    <w:rsid w:val="00C541CF"/>
    <w:rsid w:val="00C95B3C"/>
    <w:rsid w:val="00CA08EB"/>
    <w:rsid w:val="00CA25C9"/>
    <w:rsid w:val="00CA6D65"/>
    <w:rsid w:val="00CD0AFB"/>
    <w:rsid w:val="00CD7AA5"/>
    <w:rsid w:val="00CE6FB5"/>
    <w:rsid w:val="00DA76AD"/>
    <w:rsid w:val="00E242E5"/>
    <w:rsid w:val="00F06D6F"/>
    <w:rsid w:val="00F11CD2"/>
    <w:rsid w:val="00F1341A"/>
    <w:rsid w:val="00F5082D"/>
    <w:rsid w:val="00F531BD"/>
    <w:rsid w:val="00F5324A"/>
    <w:rsid w:val="00F57042"/>
    <w:rsid w:val="00F57C68"/>
    <w:rsid w:val="00FA0CA9"/>
    <w:rsid w:val="00FD1FE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Bulleted list,Dot pt,No Spacing1,List Paragraph Char Char Char,Indicator Text,Numbered Para 1,List Paragraph1,Bullet Points,MAIN CONTENT,Bullet 1,List Paragraph11,List Paragraph12,F5 List Paragraph,Colorful List - Accent 11,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Bulleted list Char,Dot pt Char,No Spacing1 Char,List Paragraph Char Char Char Char,Indicator Text Char,Numbered Para 1 Char,List Paragraph1 Char,Bullet Points Char,MAIN CONTENT Char,Bullet 1 Char,List Paragraph11 Char"/>
    <w:link w:val="ListParagraph"/>
    <w:uiPriority w:val="34"/>
    <w:qFormat/>
    <w:locked/>
    <w:rsid w:val="001964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ma003854\AppData\Roaming\Microsoft\Excel\April%2015%20-%20to%20present%20summary%20-%20restored%20(version%201).xls"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Backlog%20and%20Trajectories\Backlog%20Trajectories%20-%2024-25v2.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3.xml.rels><?xml version="1.0" encoding="UTF-8" standalone="yes"?>
<Relationships xmlns="http://schemas.openxmlformats.org/package/2006/relationships"><Relationship Id="rId3" Type="http://schemas.openxmlformats.org/officeDocument/2006/relationships/oleObject" Target="file:///\\cymru.nhs.uk\abm_ulhb\group\ststorage\Cancer%20Waiting%20Times%20Management\OPA%20waits%20and%20POS%20to%20DTT.xlsx" TargetMode="External"/><Relationship Id="rId2" Type="http://schemas.microsoft.com/office/2011/relationships/chartColorStyle" Target="colors2.xml"/><Relationship Id="rId1" Type="http://schemas.microsoft.com/office/2011/relationships/chartStyle" Target="style2.xml"/></Relationships>
</file>

<file path=word/charts/_rels/chart4.xml.rels><?xml version="1.0" encoding="UTF-8" standalone="yes"?>
<Relationships xmlns="http://schemas.openxmlformats.org/package/2006/relationships"><Relationship Id="rId3" Type="http://schemas.openxmlformats.org/officeDocument/2006/relationships/oleObject" Target="file:///\\cymru.nhs.uk\abm_ulhb\group\ststorage2\Cancer%20Performance\Reports%20and%20Papers\Copy%20of%20APr%2024%20KPIs.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400" b="0" i="0" u="none" strike="noStrike" baseline="0">
                <a:solidFill>
                  <a:srgbClr val="333333"/>
                </a:solidFill>
                <a:latin typeface="Calibri"/>
                <a:ea typeface="Calibri"/>
                <a:cs typeface="Calibri"/>
              </a:defRPr>
            </a:pPr>
            <a:r>
              <a:rPr lang="en-GB"/>
              <a:t>SCP Performance</a:t>
            </a:r>
          </a:p>
        </c:rich>
      </c:tx>
      <c:overlay val="0"/>
      <c:spPr>
        <a:noFill/>
        <a:ln w="25400">
          <a:noFill/>
        </a:ln>
      </c:spPr>
    </c:title>
    <c:autoTitleDeleted val="0"/>
    <c:plotArea>
      <c:layout>
        <c:manualLayout>
          <c:layoutTarget val="inner"/>
          <c:xMode val="edge"/>
          <c:yMode val="edge"/>
          <c:x val="9.7793827456314375E-2"/>
          <c:y val="9.3928061092524995E-2"/>
          <c:w val="0.87581618737865108"/>
          <c:h val="0.67145510284558529"/>
        </c:manualLayout>
      </c:layout>
      <c:lineChart>
        <c:grouping val="standard"/>
        <c:varyColors val="0"/>
        <c:ser>
          <c:idx val="3"/>
          <c:order val="0"/>
          <c:tx>
            <c:strRef>
              <c:f>'Data for Graphs'!$BD$1</c:f>
              <c:strCache>
                <c:ptCount val="1"/>
                <c:pt idx="0">
                  <c:v>Reported</c:v>
                </c:pt>
              </c:strCache>
            </c:strRef>
          </c:tx>
          <c:marker>
            <c:symbol val="none"/>
          </c:marker>
          <c:dLbls>
            <c:spPr>
              <a:noFill/>
              <a:ln w="25400">
                <a:noFill/>
              </a:ln>
            </c:spPr>
            <c:txPr>
              <a:bodyPr wrap="square" lIns="38100" tIns="19050" rIns="38100" bIns="19050" anchor="ctr">
                <a:spAutoFit/>
              </a:bodyPr>
              <a:lstStyle/>
              <a:p>
                <a:pPr>
                  <a:defRPr sz="1000" b="0" i="0" u="none" strike="noStrike" baseline="0">
                    <a:solidFill>
                      <a:srgbClr val="000000"/>
                    </a:solidFill>
                    <a:latin typeface="Calibri"/>
                    <a:ea typeface="Calibri"/>
                    <a:cs typeface="Calibri"/>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'Data for Graphs'!$AZ$34:$AZ$46</c:f>
              <c:numCache>
                <c:formatCode>mmm\ yyyy</c:formatCode>
                <c:ptCount val="13"/>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pt idx="12">
                  <c:v>45383</c:v>
                </c:pt>
              </c:numCache>
            </c:numRef>
          </c:cat>
          <c:val>
            <c:numRef>
              <c:f>'Data for Graphs'!$BD$34:$BD$46</c:f>
              <c:numCache>
                <c:formatCode>0%</c:formatCode>
                <c:ptCount val="13"/>
                <c:pt idx="0">
                  <c:v>0.61016949152542377</c:v>
                </c:pt>
                <c:pt idx="1">
                  <c:v>0.5056179775280899</c:v>
                </c:pt>
                <c:pt idx="2">
                  <c:v>0.4962686567164179</c:v>
                </c:pt>
                <c:pt idx="3">
                  <c:v>0.5625</c:v>
                </c:pt>
                <c:pt idx="4">
                  <c:v>0.53584905660377358</c:v>
                </c:pt>
                <c:pt idx="5">
                  <c:v>0.5168539325842697</c:v>
                </c:pt>
                <c:pt idx="6">
                  <c:v>0.55821917808219179</c:v>
                </c:pt>
                <c:pt idx="7">
                  <c:v>0.56794425087108014</c:v>
                </c:pt>
                <c:pt idx="8">
                  <c:v>0.52490421455938696</c:v>
                </c:pt>
                <c:pt idx="9">
                  <c:v>0.47528517110266161</c:v>
                </c:pt>
                <c:pt idx="10">
                  <c:v>0.50381679389312972</c:v>
                </c:pt>
                <c:pt idx="11">
                  <c:v>0.55555555555555558</c:v>
                </c:pt>
                <c:pt idx="12">
                  <c:v>0.55844155844155841</c:v>
                </c:pt>
              </c:numCache>
            </c:numRef>
          </c:val>
          <c:smooth val="0"/>
          <c:extLst>
            <c:ext xmlns:c16="http://schemas.microsoft.com/office/drawing/2014/chart" uri="{C3380CC4-5D6E-409C-BE32-E72D297353CC}">
              <c16:uniqueId val="{00000000-245A-406E-95DC-9FA3E1D46813}"/>
            </c:ext>
          </c:extLst>
        </c:ser>
        <c:ser>
          <c:idx val="0"/>
          <c:order val="1"/>
          <c:tx>
            <c:strRef>
              <c:f>'Data for Graphs'!$BF$1</c:f>
              <c:strCache>
                <c:ptCount val="1"/>
                <c:pt idx="0">
                  <c:v>Target - 75%</c:v>
                </c:pt>
              </c:strCache>
            </c:strRef>
          </c:tx>
          <c:marker>
            <c:symbol val="none"/>
          </c:marker>
          <c:cat>
            <c:numRef>
              <c:f>'Data for Graphs'!$AZ$34:$AZ$46</c:f>
              <c:numCache>
                <c:formatCode>mmm\ yyyy</c:formatCode>
                <c:ptCount val="13"/>
                <c:pt idx="0">
                  <c:v>45017</c:v>
                </c:pt>
                <c:pt idx="1">
                  <c:v>45047</c:v>
                </c:pt>
                <c:pt idx="2">
                  <c:v>45078</c:v>
                </c:pt>
                <c:pt idx="3">
                  <c:v>45108</c:v>
                </c:pt>
                <c:pt idx="4">
                  <c:v>45139</c:v>
                </c:pt>
                <c:pt idx="5">
                  <c:v>45170</c:v>
                </c:pt>
                <c:pt idx="6">
                  <c:v>45200</c:v>
                </c:pt>
                <c:pt idx="7">
                  <c:v>45231</c:v>
                </c:pt>
                <c:pt idx="8">
                  <c:v>45261</c:v>
                </c:pt>
                <c:pt idx="9">
                  <c:v>45292</c:v>
                </c:pt>
                <c:pt idx="10">
                  <c:v>45323</c:v>
                </c:pt>
                <c:pt idx="11">
                  <c:v>45352</c:v>
                </c:pt>
                <c:pt idx="12">
                  <c:v>45383</c:v>
                </c:pt>
              </c:numCache>
            </c:numRef>
          </c:cat>
          <c:val>
            <c:numRef>
              <c:f>'Data for Graphs'!$BF$34:$BF$46</c:f>
              <c:numCache>
                <c:formatCode>0%</c:formatCode>
                <c:ptCount val="13"/>
                <c:pt idx="0">
                  <c:v>0.75</c:v>
                </c:pt>
                <c:pt idx="1">
                  <c:v>0.75</c:v>
                </c:pt>
                <c:pt idx="2">
                  <c:v>0.75</c:v>
                </c:pt>
                <c:pt idx="3">
                  <c:v>0.75</c:v>
                </c:pt>
                <c:pt idx="4">
                  <c:v>0.75</c:v>
                </c:pt>
                <c:pt idx="5">
                  <c:v>0.75</c:v>
                </c:pt>
                <c:pt idx="6">
                  <c:v>0.75</c:v>
                </c:pt>
                <c:pt idx="7">
                  <c:v>0.75</c:v>
                </c:pt>
                <c:pt idx="8">
                  <c:v>0.75</c:v>
                </c:pt>
                <c:pt idx="9">
                  <c:v>0.75</c:v>
                </c:pt>
                <c:pt idx="10">
                  <c:v>0.75</c:v>
                </c:pt>
                <c:pt idx="11">
                  <c:v>0.75</c:v>
                </c:pt>
                <c:pt idx="12">
                  <c:v>0.75</c:v>
                </c:pt>
              </c:numCache>
            </c:numRef>
          </c:val>
          <c:smooth val="0"/>
          <c:extLst>
            <c:ext xmlns:c16="http://schemas.microsoft.com/office/drawing/2014/chart" uri="{C3380CC4-5D6E-409C-BE32-E72D297353CC}">
              <c16:uniqueId val="{00000001-245A-406E-95DC-9FA3E1D46813}"/>
            </c:ext>
          </c:extLst>
        </c:ser>
        <c:dLbls>
          <c:showLegendKey val="0"/>
          <c:showVal val="0"/>
          <c:showCatName val="0"/>
          <c:showSerName val="0"/>
          <c:showPercent val="0"/>
          <c:showBubbleSize val="0"/>
        </c:dLbls>
        <c:smooth val="0"/>
        <c:axId val="1546835088"/>
        <c:axId val="1"/>
      </c:lineChart>
      <c:dateAx>
        <c:axId val="1546835088"/>
        <c:scaling>
          <c:orientation val="minMax"/>
        </c:scaling>
        <c:delete val="0"/>
        <c:axPos val="b"/>
        <c:numFmt formatCode="mmm\ yyyy" sourceLinked="0"/>
        <c:majorTickMark val="out"/>
        <c:minorTickMark val="none"/>
        <c:tickLblPos val="nextTo"/>
        <c:spPr>
          <a:noFill/>
          <a:ln w="9525" cap="flat" cmpd="sng" algn="ctr">
            <a:solidFill>
              <a:schemeClr val="tx1">
                <a:lumMod val="15000"/>
                <a:lumOff val="85000"/>
              </a:schemeClr>
            </a:solidFill>
            <a:round/>
          </a:ln>
          <a:effectLst/>
        </c:spPr>
        <c:txPr>
          <a:bodyPr rot="-5400000" vert="horz"/>
          <a:lstStyle/>
          <a:p>
            <a:pPr>
              <a:defRPr sz="900" b="0" i="0" u="none" strike="noStrike" baseline="0">
                <a:solidFill>
                  <a:srgbClr val="333333"/>
                </a:solidFill>
                <a:latin typeface="Calibri"/>
                <a:ea typeface="Calibri"/>
                <a:cs typeface="Calibri"/>
              </a:defRPr>
            </a:pPr>
            <a:endParaRPr lang="en-US"/>
          </a:p>
        </c:txPr>
        <c:crossAx val="1"/>
        <c:crosses val="autoZero"/>
        <c:auto val="1"/>
        <c:lblOffset val="100"/>
        <c:baseTimeUnit val="months"/>
        <c:majorUnit val="1"/>
        <c:majorTimeUnit val="months"/>
      </c:dateAx>
      <c:valAx>
        <c:axId val="1"/>
        <c:scaling>
          <c:orientation val="minMax"/>
          <c:max val="1"/>
        </c:scaling>
        <c:delete val="0"/>
        <c:axPos val="l"/>
        <c:numFmt formatCode="0%" sourceLinked="1"/>
        <c:majorTickMark val="none"/>
        <c:minorTickMark val="none"/>
        <c:tickLblPos val="nextTo"/>
        <c:spPr>
          <a:ln w="9525">
            <a:noFill/>
          </a:ln>
        </c:spPr>
        <c:txPr>
          <a:bodyPr rot="0" vert="horz"/>
          <a:lstStyle/>
          <a:p>
            <a:pPr>
              <a:defRPr sz="900" b="0" i="0" u="none" strike="noStrike" baseline="0">
                <a:solidFill>
                  <a:srgbClr val="333333"/>
                </a:solidFill>
                <a:latin typeface="Calibri"/>
                <a:ea typeface="Calibri"/>
                <a:cs typeface="Calibri"/>
              </a:defRPr>
            </a:pPr>
            <a:endParaRPr lang="en-US"/>
          </a:p>
        </c:txPr>
        <c:crossAx val="1546835088"/>
        <c:crosses val="autoZero"/>
        <c:crossBetween val="between"/>
      </c:valAx>
      <c:spPr>
        <a:noFill/>
        <a:ln w="25400">
          <a:noFill/>
        </a:ln>
      </c:spPr>
    </c:plotArea>
    <c:legend>
      <c:legendPos val="r"/>
      <c:layout>
        <c:manualLayout>
          <c:xMode val="edge"/>
          <c:yMode val="edge"/>
          <c:x val="0.79504615712089832"/>
          <c:y val="0.63769096714283902"/>
          <c:w val="0.16123046108268155"/>
          <c:h val="0.11217313506247907"/>
        </c:manualLayout>
      </c:layout>
      <c:overlay val="0"/>
      <c:spPr>
        <a:noFill/>
        <a:ln w="25400">
          <a:noFill/>
        </a:ln>
      </c:spPr>
      <c:txPr>
        <a:bodyPr/>
        <a:lstStyle/>
        <a:p>
          <a:pPr>
            <a:defRPr sz="600" b="0" i="0" u="none" strike="noStrike" baseline="0">
              <a:solidFill>
                <a:srgbClr val="333333"/>
              </a:solidFill>
              <a:latin typeface="Calibri"/>
              <a:ea typeface="Calibri"/>
              <a:cs typeface="Calibri"/>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sng" strike="noStrike" kern="1200" spc="0" baseline="0">
                <a:solidFill>
                  <a:schemeClr val="tx1">
                    <a:lumMod val="65000"/>
                    <a:lumOff val="35000"/>
                  </a:schemeClr>
                </a:solidFill>
                <a:latin typeface="+mn-lt"/>
                <a:ea typeface="+mn-ea"/>
                <a:cs typeface="+mn-cs"/>
              </a:defRPr>
            </a:pPr>
            <a:r>
              <a:rPr lang="en-GB" u="sng"/>
              <a:t>SCP</a:t>
            </a:r>
            <a:r>
              <a:rPr lang="en-GB" u="sng" baseline="0"/>
              <a:t> Backlog</a:t>
            </a:r>
            <a:endParaRPr lang="en-GB" u="sng"/>
          </a:p>
        </c:rich>
      </c:tx>
      <c:overlay val="0"/>
      <c:spPr>
        <a:noFill/>
        <a:ln>
          <a:noFill/>
        </a:ln>
        <a:effectLst/>
      </c:spPr>
      <c:txPr>
        <a:bodyPr rot="0" spcFirstLastPara="1" vertOverflow="ellipsis" vert="horz" wrap="square" anchor="ctr" anchorCtr="1"/>
        <a:lstStyle/>
        <a:p>
          <a:pPr>
            <a:defRPr sz="1400" b="0" i="0" u="sng"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4.9465338289150784E-2"/>
          <c:y val="3.7086973717326437E-2"/>
          <c:w val="0.93146227332766762"/>
          <c:h val="0.73397368137202024"/>
        </c:manualLayout>
      </c:layout>
      <c:barChart>
        <c:barDir val="col"/>
        <c:grouping val="stacked"/>
        <c:varyColors val="0"/>
        <c:ser>
          <c:idx val="59"/>
          <c:order val="59"/>
          <c:tx>
            <c:strRef>
              <c:f>'Table for graphs 24-25 '!$A$61</c:f>
              <c:strCache>
                <c:ptCount val="1"/>
                <c:pt idx="0">
                  <c:v>- Reported 63 - 103 days All Sites</c:v>
                </c:pt>
              </c:strCache>
            </c:strRef>
          </c:tx>
          <c:spPr>
            <a:solidFill>
              <a:schemeClr val="accent5">
                <a:lumMod val="60000"/>
                <a:lumOff val="40000"/>
              </a:schemeClr>
            </a:solidFill>
            <a:ln w="31750">
              <a:solidFill>
                <a:schemeClr val="accent5">
                  <a:lumMod val="60000"/>
                  <a:lumOff val="4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'!$B$61:$DB$61</c:f>
              <c:numCache>
                <c:formatCode>0</c:formatCode>
                <c:ptCount val="105"/>
                <c:pt idx="0">
                  <c:v>232</c:v>
                </c:pt>
                <c:pt idx="1">
                  <c:v>279</c:v>
                </c:pt>
                <c:pt idx="2">
                  <c:v>268</c:v>
                </c:pt>
                <c:pt idx="3">
                  <c:v>262</c:v>
                </c:pt>
                <c:pt idx="4">
                  <c:v>268</c:v>
                </c:pt>
                <c:pt idx="5">
                  <c:v>277</c:v>
                </c:pt>
                <c:pt idx="6">
                  <c:v>261</c:v>
                </c:pt>
                <c:pt idx="7">
                  <c:v>254</c:v>
                </c:pt>
                <c:pt idx="8">
                  <c:v>275</c:v>
                </c:pt>
                <c:pt idx="9">
                  <c:v>276</c:v>
                </c:pt>
                <c:pt idx="10">
                  <c:v>268</c:v>
                </c:pt>
                <c:pt idx="11">
                  <c:v>240</c:v>
                </c:pt>
                <c:pt idx="12">
                  <c:v>244</c:v>
                </c:pt>
                <c:pt idx="13">
                  <c:v>214</c:v>
                </c:pt>
                <c:pt idx="14">
                  <c:v>206</c:v>
                </c:pt>
                <c:pt idx="15">
                  <c:v>200</c:v>
                </c:pt>
                <c:pt idx="16">
                  <c:v>213</c:v>
                </c:pt>
                <c:pt idx="17">
                  <c:v>206</c:v>
                </c:pt>
                <c:pt idx="18">
                  <c:v>219</c:v>
                </c:pt>
                <c:pt idx="19">
                  <c:v>256</c:v>
                </c:pt>
                <c:pt idx="20">
                  <c:v>255</c:v>
                </c:pt>
                <c:pt idx="21">
                  <c:v>263</c:v>
                </c:pt>
                <c:pt idx="22">
                  <c:v>275</c:v>
                </c:pt>
                <c:pt idx="23">
                  <c:v>300</c:v>
                </c:pt>
                <c:pt idx="24">
                  <c:v>255</c:v>
                </c:pt>
                <c:pt idx="25">
                  <c:v>245</c:v>
                </c:pt>
                <c:pt idx="26">
                  <c:v>238</c:v>
                </c:pt>
                <c:pt idx="27">
                  <c:v>212</c:v>
                </c:pt>
                <c:pt idx="28">
                  <c:v>210</c:v>
                </c:pt>
                <c:pt idx="29">
                  <c:v>212</c:v>
                </c:pt>
                <c:pt idx="30">
                  <c:v>197</c:v>
                </c:pt>
                <c:pt idx="31">
                  <c:v>183</c:v>
                </c:pt>
                <c:pt idx="32">
                  <c:v>176</c:v>
                </c:pt>
                <c:pt idx="33">
                  <c:v>180</c:v>
                </c:pt>
                <c:pt idx="34">
                  <c:v>169</c:v>
                </c:pt>
                <c:pt idx="35">
                  <c:v>156</c:v>
                </c:pt>
                <c:pt idx="36">
                  <c:v>162</c:v>
                </c:pt>
                <c:pt idx="37">
                  <c:v>165</c:v>
                </c:pt>
                <c:pt idx="38">
                  <c:v>168</c:v>
                </c:pt>
                <c:pt idx="39">
                  <c:v>188</c:v>
                </c:pt>
                <c:pt idx="40">
                  <c:v>192</c:v>
                </c:pt>
                <c:pt idx="41">
                  <c:v>186</c:v>
                </c:pt>
                <c:pt idx="42">
                  <c:v>182</c:v>
                </c:pt>
                <c:pt idx="43">
                  <c:v>192</c:v>
                </c:pt>
                <c:pt idx="44">
                  <c:v>169</c:v>
                </c:pt>
                <c:pt idx="45">
                  <c:v>151</c:v>
                </c:pt>
                <c:pt idx="46">
                  <c:v>147</c:v>
                </c:pt>
                <c:pt idx="47">
                  <c:v>146</c:v>
                </c:pt>
                <c:pt idx="48">
                  <c:v>121</c:v>
                </c:pt>
                <c:pt idx="49">
                  <c:v>103</c:v>
                </c:pt>
                <c:pt idx="50">
                  <c:v>102</c:v>
                </c:pt>
                <c:pt idx="51">
                  <c:v>116</c:v>
                </c:pt>
                <c:pt idx="52">
                  <c:v>117</c:v>
                </c:pt>
                <c:pt idx="53">
                  <c:v>129</c:v>
                </c:pt>
                <c:pt idx="54">
                  <c:v>140</c:v>
                </c:pt>
                <c:pt idx="55">
                  <c:v>147</c:v>
                </c:pt>
                <c:pt idx="56">
                  <c:v>136</c:v>
                </c:pt>
                <c:pt idx="57">
                  <c:v>161</c:v>
                </c:pt>
                <c:pt idx="58">
                  <c:v>171</c:v>
                </c:pt>
                <c:pt idx="59">
                  <c:v>153</c:v>
                </c:pt>
                <c:pt idx="60">
                  <c:v>168</c:v>
                </c:pt>
                <c:pt idx="61">
                  <c:v>154</c:v>
                </c:pt>
              </c:numCache>
            </c:numRef>
          </c:val>
          <c:extLst>
            <c:ext xmlns:c16="http://schemas.microsoft.com/office/drawing/2014/chart" uri="{C3380CC4-5D6E-409C-BE32-E72D297353CC}">
              <c16:uniqueId val="{00000000-85F1-4E93-8343-9A44188D74B0}"/>
            </c:ext>
          </c:extLst>
        </c:ser>
        <c:ser>
          <c:idx val="74"/>
          <c:order val="74"/>
          <c:tx>
            <c:strRef>
              <c:f>'Table for graphs 24-25 '!$A$76</c:f>
              <c:strCache>
                <c:ptCount val="1"/>
                <c:pt idx="0">
                  <c:v>Reported &gt;103 days All Sites</c:v>
                </c:pt>
              </c:strCache>
            </c:strRef>
          </c:tx>
          <c:spPr>
            <a:solidFill>
              <a:schemeClr val="accent5">
                <a:lumMod val="20000"/>
                <a:lumOff val="80000"/>
              </a:schemeClr>
            </a:solidFill>
            <a:ln w="28575">
              <a:solidFill>
                <a:schemeClr val="accent5">
                  <a:lumMod val="20000"/>
                  <a:lumOff val="80000"/>
                </a:schemeClr>
              </a:solid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'!$B$76:$DB$76</c:f>
              <c:numCache>
                <c:formatCode>0</c:formatCode>
                <c:ptCount val="105"/>
                <c:pt idx="0">
                  <c:v>159</c:v>
                </c:pt>
                <c:pt idx="1">
                  <c:v>158</c:v>
                </c:pt>
                <c:pt idx="2">
                  <c:v>122</c:v>
                </c:pt>
                <c:pt idx="3">
                  <c:v>125</c:v>
                </c:pt>
                <c:pt idx="4">
                  <c:v>141</c:v>
                </c:pt>
                <c:pt idx="5">
                  <c:v>134</c:v>
                </c:pt>
                <c:pt idx="6">
                  <c:v>133</c:v>
                </c:pt>
                <c:pt idx="7">
                  <c:v>134</c:v>
                </c:pt>
                <c:pt idx="8">
                  <c:v>139</c:v>
                </c:pt>
                <c:pt idx="9">
                  <c:v>138</c:v>
                </c:pt>
                <c:pt idx="10">
                  <c:v>134</c:v>
                </c:pt>
                <c:pt idx="11">
                  <c:v>145</c:v>
                </c:pt>
                <c:pt idx="12">
                  <c:v>136</c:v>
                </c:pt>
                <c:pt idx="13">
                  <c:v>139</c:v>
                </c:pt>
                <c:pt idx="14">
                  <c:v>119</c:v>
                </c:pt>
                <c:pt idx="15">
                  <c:v>128</c:v>
                </c:pt>
                <c:pt idx="16">
                  <c:v>120</c:v>
                </c:pt>
                <c:pt idx="17">
                  <c:v>117</c:v>
                </c:pt>
                <c:pt idx="18">
                  <c:v>112</c:v>
                </c:pt>
                <c:pt idx="19">
                  <c:v>101</c:v>
                </c:pt>
                <c:pt idx="20">
                  <c:v>110</c:v>
                </c:pt>
                <c:pt idx="21">
                  <c:v>105</c:v>
                </c:pt>
                <c:pt idx="22">
                  <c:v>113</c:v>
                </c:pt>
                <c:pt idx="23">
                  <c:v>117</c:v>
                </c:pt>
                <c:pt idx="24">
                  <c:v>124</c:v>
                </c:pt>
                <c:pt idx="25">
                  <c:v>117</c:v>
                </c:pt>
                <c:pt idx="26">
                  <c:v>122</c:v>
                </c:pt>
                <c:pt idx="27">
                  <c:v>117</c:v>
                </c:pt>
                <c:pt idx="28">
                  <c:v>117</c:v>
                </c:pt>
                <c:pt idx="29">
                  <c:v>120</c:v>
                </c:pt>
                <c:pt idx="30">
                  <c:v>119</c:v>
                </c:pt>
                <c:pt idx="31">
                  <c:v>121</c:v>
                </c:pt>
                <c:pt idx="32">
                  <c:v>115</c:v>
                </c:pt>
                <c:pt idx="33">
                  <c:v>118</c:v>
                </c:pt>
                <c:pt idx="34">
                  <c:v>116</c:v>
                </c:pt>
                <c:pt idx="35">
                  <c:v>107</c:v>
                </c:pt>
                <c:pt idx="36">
                  <c:v>97</c:v>
                </c:pt>
                <c:pt idx="37">
                  <c:v>99</c:v>
                </c:pt>
                <c:pt idx="38">
                  <c:v>106</c:v>
                </c:pt>
                <c:pt idx="39">
                  <c:v>117</c:v>
                </c:pt>
                <c:pt idx="40">
                  <c:v>110</c:v>
                </c:pt>
                <c:pt idx="41">
                  <c:v>106</c:v>
                </c:pt>
                <c:pt idx="42">
                  <c:v>115</c:v>
                </c:pt>
                <c:pt idx="43">
                  <c:v>109</c:v>
                </c:pt>
                <c:pt idx="44">
                  <c:v>110</c:v>
                </c:pt>
                <c:pt idx="45">
                  <c:v>110</c:v>
                </c:pt>
                <c:pt idx="46">
                  <c:v>105</c:v>
                </c:pt>
                <c:pt idx="47">
                  <c:v>99</c:v>
                </c:pt>
                <c:pt idx="48">
                  <c:v>101</c:v>
                </c:pt>
                <c:pt idx="49">
                  <c:v>93</c:v>
                </c:pt>
                <c:pt idx="50">
                  <c:v>92</c:v>
                </c:pt>
                <c:pt idx="51">
                  <c:v>90</c:v>
                </c:pt>
                <c:pt idx="52">
                  <c:v>92</c:v>
                </c:pt>
                <c:pt idx="53">
                  <c:v>74</c:v>
                </c:pt>
                <c:pt idx="54">
                  <c:v>68</c:v>
                </c:pt>
                <c:pt idx="55">
                  <c:v>63</c:v>
                </c:pt>
                <c:pt idx="56">
                  <c:v>66</c:v>
                </c:pt>
                <c:pt idx="57">
                  <c:v>68</c:v>
                </c:pt>
                <c:pt idx="58">
                  <c:v>75</c:v>
                </c:pt>
                <c:pt idx="59">
                  <c:v>67</c:v>
                </c:pt>
                <c:pt idx="60">
                  <c:v>76</c:v>
                </c:pt>
                <c:pt idx="61">
                  <c:v>83</c:v>
                </c:pt>
              </c:numCache>
            </c:numRef>
          </c:val>
          <c:extLst>
            <c:ext xmlns:c16="http://schemas.microsoft.com/office/drawing/2014/chart" uri="{C3380CC4-5D6E-409C-BE32-E72D297353CC}">
              <c16:uniqueId val="{00000001-85F1-4E93-8343-9A44188D74B0}"/>
            </c:ext>
          </c:extLst>
        </c:ser>
        <c:dLbls>
          <c:showLegendKey val="0"/>
          <c:showVal val="0"/>
          <c:showCatName val="0"/>
          <c:showSerName val="0"/>
          <c:showPercent val="0"/>
          <c:showBubbleSize val="0"/>
        </c:dLbls>
        <c:gapWidth val="150"/>
        <c:overlap val="100"/>
        <c:axId val="545995631"/>
        <c:axId val="545998543"/>
        <c:extLst>
          <c:ext xmlns:c15="http://schemas.microsoft.com/office/drawing/2012/chart" uri="{02D57815-91ED-43cb-92C2-25804820EDAC}">
            <c15:filteredBarSeries>
              <c15:ser>
                <c:idx val="45"/>
                <c:order val="45"/>
                <c:tx>
                  <c:strRef>
                    <c:extLst>
                      <c:ext uri="{02D57815-91ED-43cb-92C2-25804820EDAC}">
                        <c15:formulaRef>
                          <c15:sqref>'Table for graphs 24-25 '!$A$47</c15:sqref>
                        </c15:formulaRef>
                      </c:ext>
                    </c:extLst>
                    <c:strCache>
                      <c:ptCount val="1"/>
                      <c:pt idx="0">
                        <c:v>Acute Leukaemia - Reported 63 - 103 days</c:v>
                      </c:pt>
                    </c:strCache>
                  </c:strRef>
                </c:tx>
                <c:spPr>
                  <a:solidFill>
                    <a:schemeClr val="accent5">
                      <a:shade val="97000"/>
                    </a:schemeClr>
                  </a:solidFill>
                  <a:ln>
                    <a:noFill/>
                  </a:ln>
                  <a:effectLst/>
                </c:spPr>
                <c:invertIfNegative val="0"/>
                <c:cat>
                  <c:numRef>
                    <c:extLst>
                      <c:ex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c:ext uri="{02D57815-91ED-43cb-92C2-25804820EDAC}">
                        <c15:formulaRef>
                          <c15:sqref>'Table for graphs 24-25 '!$B$47:$DB$47</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formatCode="General">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1</c:v>
                      </c:pt>
                      <c:pt idx="43" formatCode="General">
                        <c:v>1</c:v>
                      </c:pt>
                      <c:pt idx="44">
                        <c:v>0</c:v>
                      </c:pt>
                      <c:pt idx="45">
                        <c:v>0</c:v>
                      </c:pt>
                      <c:pt idx="46">
                        <c:v>0</c:v>
                      </c:pt>
                      <c:pt idx="47">
                        <c:v>0</c:v>
                      </c:pt>
                      <c:pt idx="48">
                        <c:v>0</c:v>
                      </c:pt>
                      <c:pt idx="49">
                        <c:v>0</c:v>
                      </c:pt>
                      <c:pt idx="50">
                        <c:v>0</c:v>
                      </c:pt>
                      <c:pt idx="51">
                        <c:v>0</c:v>
                      </c:pt>
                      <c:pt idx="52">
                        <c:v>0</c:v>
                      </c:pt>
                      <c:pt idx="53">
                        <c:v>0</c:v>
                      </c:pt>
                      <c:pt idx="54">
                        <c:v>0</c:v>
                      </c:pt>
                      <c:pt idx="55" formatCode="General">
                        <c:v>0</c:v>
                      </c:pt>
                      <c:pt idx="56" formatCode="General">
                        <c:v>0</c:v>
                      </c:pt>
                      <c:pt idx="57" formatCode="General">
                        <c:v>0</c:v>
                      </c:pt>
                      <c:pt idx="58" formatCode="General">
                        <c:v>0</c:v>
                      </c:pt>
                      <c:pt idx="59" formatCode="General">
                        <c:v>0</c:v>
                      </c:pt>
                      <c:pt idx="60" formatCode="General">
                        <c:v>0</c:v>
                      </c:pt>
                      <c:pt idx="61" formatCode="General">
                        <c:v>0</c:v>
                      </c:pt>
                    </c:numCache>
                  </c:numRef>
                </c:val>
                <c:extLst>
                  <c:ext xmlns:c16="http://schemas.microsoft.com/office/drawing/2014/chart" uri="{C3380CC4-5D6E-409C-BE32-E72D297353CC}">
                    <c16:uniqueId val="{00000030-85F1-4E93-8343-9A44188D74B0}"/>
                  </c:ext>
                </c:extLst>
              </c15:ser>
            </c15:filteredBarSeries>
            <c15:filteredBarSeries>
              <c15:ser>
                <c:idx val="46"/>
                <c:order val="46"/>
                <c:tx>
                  <c:strRef>
                    <c:extLst xmlns:c15="http://schemas.microsoft.com/office/drawing/2012/chart">
                      <c:ext xmlns:c15="http://schemas.microsoft.com/office/drawing/2012/chart" uri="{02D57815-91ED-43cb-92C2-25804820EDAC}">
                        <c15:formulaRef>
                          <c15:sqref>'Table for graphs 24-25 '!$A$48</c15:sqref>
                        </c15:formulaRef>
                      </c:ext>
                    </c:extLst>
                    <c:strCache>
                      <c:ptCount val="1"/>
                      <c:pt idx="0">
                        <c:v>Brain/CNS - Reported 63 - 103 days</c:v>
                      </c:pt>
                    </c:strCache>
                  </c:strRef>
                </c:tx>
                <c:spPr>
                  <a:solidFill>
                    <a:schemeClr val="accent5">
                      <a:shade val="9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'!$B$48:$DB$48</c15:sqref>
                        </c15:formulaRef>
                      </c:ext>
                    </c:extLst>
                    <c:numCache>
                      <c:formatCode>0</c:formatCode>
                      <c:ptCount val="105"/>
                      <c:pt idx="0">
                        <c:v>2</c:v>
                      </c:pt>
                      <c:pt idx="1">
                        <c:v>1</c:v>
                      </c:pt>
                      <c:pt idx="2">
                        <c:v>1</c:v>
                      </c:pt>
                      <c:pt idx="3">
                        <c:v>1</c:v>
                      </c:pt>
                      <c:pt idx="4">
                        <c:v>1</c:v>
                      </c:pt>
                      <c:pt idx="5">
                        <c:v>1</c:v>
                      </c:pt>
                      <c:pt idx="6">
                        <c:v>1</c:v>
                      </c:pt>
                      <c:pt idx="7">
                        <c:v>2</c:v>
                      </c:pt>
                      <c:pt idx="8">
                        <c:v>2</c:v>
                      </c:pt>
                      <c:pt idx="9">
                        <c:v>1</c:v>
                      </c:pt>
                      <c:pt idx="10">
                        <c:v>1</c:v>
                      </c:pt>
                      <c:pt idx="11">
                        <c:v>2</c:v>
                      </c:pt>
                      <c:pt idx="12">
                        <c:v>2</c:v>
                      </c:pt>
                      <c:pt idx="13">
                        <c:v>1</c:v>
                      </c:pt>
                      <c:pt idx="14">
                        <c:v>0</c:v>
                      </c:pt>
                      <c:pt idx="15">
                        <c:v>0</c:v>
                      </c:pt>
                      <c:pt idx="16">
                        <c:v>0</c:v>
                      </c:pt>
                      <c:pt idx="17">
                        <c:v>0</c:v>
                      </c:pt>
                      <c:pt idx="18">
                        <c:v>1</c:v>
                      </c:pt>
                      <c:pt idx="19">
                        <c:v>1</c:v>
                      </c:pt>
                      <c:pt idx="20">
                        <c:v>1</c:v>
                      </c:pt>
                      <c:pt idx="21">
                        <c:v>1</c:v>
                      </c:pt>
                      <c:pt idx="22">
                        <c:v>1</c:v>
                      </c:pt>
                      <c:pt idx="23">
                        <c:v>0</c:v>
                      </c:pt>
                      <c:pt idx="24">
                        <c:v>0</c:v>
                      </c:pt>
                      <c:pt idx="25">
                        <c:v>0</c:v>
                      </c:pt>
                      <c:pt idx="26" formatCode="General">
                        <c:v>1</c:v>
                      </c:pt>
                      <c:pt idx="27">
                        <c:v>1</c:v>
                      </c:pt>
                      <c:pt idx="28">
                        <c:v>1</c:v>
                      </c:pt>
                      <c:pt idx="29">
                        <c:v>1</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0</c:v>
                      </c:pt>
                      <c:pt idx="46">
                        <c:v>0</c:v>
                      </c:pt>
                      <c:pt idx="47">
                        <c:v>0</c:v>
                      </c:pt>
                      <c:pt idx="48">
                        <c:v>0</c:v>
                      </c:pt>
                      <c:pt idx="49">
                        <c:v>0</c:v>
                      </c:pt>
                      <c:pt idx="50">
                        <c:v>0</c:v>
                      </c:pt>
                      <c:pt idx="51">
                        <c:v>0</c:v>
                      </c:pt>
                      <c:pt idx="52">
                        <c:v>0</c:v>
                      </c:pt>
                      <c:pt idx="53">
                        <c:v>0</c:v>
                      </c:pt>
                      <c:pt idx="54">
                        <c:v>0</c:v>
                      </c:pt>
                      <c:pt idx="55" formatCode="General">
                        <c:v>0</c:v>
                      </c:pt>
                      <c:pt idx="56" formatCode="General">
                        <c:v>0</c:v>
                      </c:pt>
                      <c:pt idx="57" formatCode="General">
                        <c:v>0</c:v>
                      </c:pt>
                      <c:pt idx="58" formatCode="General">
                        <c:v>0</c:v>
                      </c:pt>
                      <c:pt idx="59" formatCode="General">
                        <c:v>0</c:v>
                      </c:pt>
                      <c:pt idx="60" formatCode="General">
                        <c:v>0</c:v>
                      </c:pt>
                      <c:pt idx="61" formatCode="General">
                        <c:v>0</c:v>
                      </c:pt>
                    </c:numCache>
                  </c:numRef>
                </c:val>
                <c:extLst xmlns:c15="http://schemas.microsoft.com/office/drawing/2012/chart">
                  <c:ext xmlns:c16="http://schemas.microsoft.com/office/drawing/2014/chart" uri="{C3380CC4-5D6E-409C-BE32-E72D297353CC}">
                    <c16:uniqueId val="{00000031-85F1-4E93-8343-9A44188D74B0}"/>
                  </c:ext>
                </c:extLst>
              </c15:ser>
            </c15:filteredBarSeries>
            <c15:filteredBarSeries>
              <c15:ser>
                <c:idx val="47"/>
                <c:order val="47"/>
                <c:tx>
                  <c:strRef>
                    <c:extLst xmlns:c15="http://schemas.microsoft.com/office/drawing/2012/chart">
                      <c:ext xmlns:c15="http://schemas.microsoft.com/office/drawing/2012/chart" uri="{02D57815-91ED-43cb-92C2-25804820EDAC}">
                        <c15:formulaRef>
                          <c15:sqref>'Table for graphs 24-25 '!$A$49</c15:sqref>
                        </c15:formulaRef>
                      </c:ext>
                    </c:extLst>
                    <c:strCache>
                      <c:ptCount val="1"/>
                      <c:pt idx="0">
                        <c:v>Breast - Reported 63 - 103 days</c:v>
                      </c:pt>
                    </c:strCache>
                  </c:strRef>
                </c:tx>
                <c:spPr>
                  <a:solidFill>
                    <a:schemeClr val="accent5"/>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'!$B$49:$DB$49</c15:sqref>
                        </c15:formulaRef>
                      </c:ext>
                    </c:extLst>
                    <c:numCache>
                      <c:formatCode>0</c:formatCode>
                      <c:ptCount val="105"/>
                      <c:pt idx="0">
                        <c:v>10</c:v>
                      </c:pt>
                      <c:pt idx="1">
                        <c:v>9</c:v>
                      </c:pt>
                      <c:pt idx="2">
                        <c:v>4</c:v>
                      </c:pt>
                      <c:pt idx="3">
                        <c:v>8</c:v>
                      </c:pt>
                      <c:pt idx="4">
                        <c:v>8</c:v>
                      </c:pt>
                      <c:pt idx="5">
                        <c:v>10</c:v>
                      </c:pt>
                      <c:pt idx="6">
                        <c:v>17</c:v>
                      </c:pt>
                      <c:pt idx="7">
                        <c:v>16</c:v>
                      </c:pt>
                      <c:pt idx="8">
                        <c:v>20</c:v>
                      </c:pt>
                      <c:pt idx="9">
                        <c:v>19</c:v>
                      </c:pt>
                      <c:pt idx="10">
                        <c:v>17</c:v>
                      </c:pt>
                      <c:pt idx="11">
                        <c:v>18</c:v>
                      </c:pt>
                      <c:pt idx="12">
                        <c:v>14</c:v>
                      </c:pt>
                      <c:pt idx="13">
                        <c:v>12</c:v>
                      </c:pt>
                      <c:pt idx="14">
                        <c:v>9</c:v>
                      </c:pt>
                      <c:pt idx="15">
                        <c:v>9</c:v>
                      </c:pt>
                      <c:pt idx="16">
                        <c:v>10</c:v>
                      </c:pt>
                      <c:pt idx="17">
                        <c:v>7</c:v>
                      </c:pt>
                      <c:pt idx="18">
                        <c:v>8</c:v>
                      </c:pt>
                      <c:pt idx="19">
                        <c:v>13</c:v>
                      </c:pt>
                      <c:pt idx="20">
                        <c:v>16</c:v>
                      </c:pt>
                      <c:pt idx="21">
                        <c:v>15</c:v>
                      </c:pt>
                      <c:pt idx="22">
                        <c:v>18</c:v>
                      </c:pt>
                      <c:pt idx="23">
                        <c:v>19</c:v>
                      </c:pt>
                      <c:pt idx="24">
                        <c:v>17</c:v>
                      </c:pt>
                      <c:pt idx="25">
                        <c:v>15</c:v>
                      </c:pt>
                      <c:pt idx="26" formatCode="General">
                        <c:v>14</c:v>
                      </c:pt>
                      <c:pt idx="27">
                        <c:v>18</c:v>
                      </c:pt>
                      <c:pt idx="28">
                        <c:v>21</c:v>
                      </c:pt>
                      <c:pt idx="29">
                        <c:v>24</c:v>
                      </c:pt>
                      <c:pt idx="30">
                        <c:v>23</c:v>
                      </c:pt>
                      <c:pt idx="31">
                        <c:v>26</c:v>
                      </c:pt>
                      <c:pt idx="32">
                        <c:v>24</c:v>
                      </c:pt>
                      <c:pt idx="33">
                        <c:v>24</c:v>
                      </c:pt>
                      <c:pt idx="34">
                        <c:v>25</c:v>
                      </c:pt>
                      <c:pt idx="35">
                        <c:v>19</c:v>
                      </c:pt>
                      <c:pt idx="36">
                        <c:v>21</c:v>
                      </c:pt>
                      <c:pt idx="37">
                        <c:v>15</c:v>
                      </c:pt>
                      <c:pt idx="38">
                        <c:v>14</c:v>
                      </c:pt>
                      <c:pt idx="39">
                        <c:v>13</c:v>
                      </c:pt>
                      <c:pt idx="40">
                        <c:v>15</c:v>
                      </c:pt>
                      <c:pt idx="41">
                        <c:v>19</c:v>
                      </c:pt>
                      <c:pt idx="42">
                        <c:v>19</c:v>
                      </c:pt>
                      <c:pt idx="43" formatCode="General">
                        <c:v>21</c:v>
                      </c:pt>
                      <c:pt idx="44">
                        <c:v>17</c:v>
                      </c:pt>
                      <c:pt idx="45">
                        <c:v>14</c:v>
                      </c:pt>
                      <c:pt idx="46">
                        <c:v>14</c:v>
                      </c:pt>
                      <c:pt idx="47">
                        <c:v>12</c:v>
                      </c:pt>
                      <c:pt idx="48">
                        <c:v>7</c:v>
                      </c:pt>
                      <c:pt idx="49">
                        <c:v>8</c:v>
                      </c:pt>
                      <c:pt idx="50">
                        <c:v>9</c:v>
                      </c:pt>
                      <c:pt idx="51">
                        <c:v>17</c:v>
                      </c:pt>
                      <c:pt idx="52">
                        <c:v>11</c:v>
                      </c:pt>
                      <c:pt idx="53">
                        <c:v>9</c:v>
                      </c:pt>
                      <c:pt idx="54">
                        <c:v>10</c:v>
                      </c:pt>
                      <c:pt idx="55" formatCode="General">
                        <c:v>10</c:v>
                      </c:pt>
                      <c:pt idx="56" formatCode="General">
                        <c:v>8</c:v>
                      </c:pt>
                      <c:pt idx="57" formatCode="General">
                        <c:v>13</c:v>
                      </c:pt>
                      <c:pt idx="58" formatCode="General">
                        <c:v>22</c:v>
                      </c:pt>
                      <c:pt idx="59" formatCode="General">
                        <c:v>17</c:v>
                      </c:pt>
                      <c:pt idx="60" formatCode="General">
                        <c:v>22</c:v>
                      </c:pt>
                      <c:pt idx="61" formatCode="General">
                        <c:v>18</c:v>
                      </c:pt>
                    </c:numCache>
                  </c:numRef>
                </c:val>
                <c:extLst xmlns:c15="http://schemas.microsoft.com/office/drawing/2012/chart">
                  <c:ext xmlns:c16="http://schemas.microsoft.com/office/drawing/2014/chart" uri="{C3380CC4-5D6E-409C-BE32-E72D297353CC}">
                    <c16:uniqueId val="{00000032-85F1-4E93-8343-9A44188D74B0}"/>
                  </c:ext>
                </c:extLst>
              </c15:ser>
            </c15:filteredBarSeries>
            <c15:filteredBarSeries>
              <c15:ser>
                <c:idx val="48"/>
                <c:order val="48"/>
                <c:tx>
                  <c:strRef>
                    <c:extLst xmlns:c15="http://schemas.microsoft.com/office/drawing/2012/chart">
                      <c:ext xmlns:c15="http://schemas.microsoft.com/office/drawing/2012/chart" uri="{02D57815-91ED-43cb-92C2-25804820EDAC}">
                        <c15:formulaRef>
                          <c15:sqref>'Table for graphs 24-25 '!$A$50</c15:sqref>
                        </c15:formulaRef>
                      </c:ext>
                    </c:extLst>
                    <c:strCache>
                      <c:ptCount val="1"/>
                      <c:pt idx="0">
                        <c:v>Children's cancer - Reported 63 - 103 days</c:v>
                      </c:pt>
                    </c:strCache>
                  </c:strRef>
                </c:tx>
                <c:spPr>
                  <a:solidFill>
                    <a:schemeClr val="accent5">
                      <a:tint val="9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'!$B$50:$DB$50</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1</c:v>
                      </c:pt>
                      <c:pt idx="22">
                        <c:v>0</c:v>
                      </c:pt>
                      <c:pt idx="23">
                        <c:v>1</c:v>
                      </c:pt>
                      <c:pt idx="24">
                        <c:v>1</c:v>
                      </c:pt>
                      <c:pt idx="25">
                        <c:v>2</c:v>
                      </c:pt>
                      <c:pt idx="26" formatCode="General">
                        <c:v>0</c:v>
                      </c:pt>
                      <c:pt idx="27">
                        <c:v>0</c:v>
                      </c:pt>
                      <c:pt idx="28">
                        <c:v>0</c:v>
                      </c:pt>
                      <c:pt idx="29">
                        <c:v>0</c:v>
                      </c:pt>
                      <c:pt idx="30">
                        <c:v>0</c:v>
                      </c:pt>
                      <c:pt idx="31">
                        <c:v>0</c:v>
                      </c:pt>
                      <c:pt idx="32">
                        <c:v>0</c:v>
                      </c:pt>
                      <c:pt idx="33">
                        <c:v>1</c:v>
                      </c:pt>
                      <c:pt idx="34">
                        <c:v>0</c:v>
                      </c:pt>
                      <c:pt idx="35">
                        <c:v>1</c:v>
                      </c:pt>
                      <c:pt idx="36">
                        <c:v>1</c:v>
                      </c:pt>
                      <c:pt idx="37">
                        <c:v>1</c:v>
                      </c:pt>
                      <c:pt idx="38">
                        <c:v>1</c:v>
                      </c:pt>
                      <c:pt idx="39">
                        <c:v>0</c:v>
                      </c:pt>
                      <c:pt idx="40">
                        <c:v>0</c:v>
                      </c:pt>
                      <c:pt idx="41">
                        <c:v>0</c:v>
                      </c:pt>
                      <c:pt idx="42">
                        <c:v>0</c:v>
                      </c:pt>
                      <c:pt idx="43" formatCode="General">
                        <c:v>0</c:v>
                      </c:pt>
                      <c:pt idx="44">
                        <c:v>0</c:v>
                      </c:pt>
                      <c:pt idx="45">
                        <c:v>0</c:v>
                      </c:pt>
                      <c:pt idx="46">
                        <c:v>0</c:v>
                      </c:pt>
                      <c:pt idx="47">
                        <c:v>1</c:v>
                      </c:pt>
                      <c:pt idx="48">
                        <c:v>1</c:v>
                      </c:pt>
                      <c:pt idx="49">
                        <c:v>1</c:v>
                      </c:pt>
                      <c:pt idx="50">
                        <c:v>1</c:v>
                      </c:pt>
                      <c:pt idx="51">
                        <c:v>0</c:v>
                      </c:pt>
                      <c:pt idx="52">
                        <c:v>0</c:v>
                      </c:pt>
                      <c:pt idx="53">
                        <c:v>0</c:v>
                      </c:pt>
                      <c:pt idx="54">
                        <c:v>0</c:v>
                      </c:pt>
                      <c:pt idx="55" formatCode="General">
                        <c:v>0</c:v>
                      </c:pt>
                      <c:pt idx="56" formatCode="General">
                        <c:v>1</c:v>
                      </c:pt>
                      <c:pt idx="57" formatCode="General">
                        <c:v>0</c:v>
                      </c:pt>
                      <c:pt idx="58" formatCode="General">
                        <c:v>0</c:v>
                      </c:pt>
                      <c:pt idx="59" formatCode="General">
                        <c:v>0</c:v>
                      </c:pt>
                      <c:pt idx="60" formatCode="General">
                        <c:v>0</c:v>
                      </c:pt>
                      <c:pt idx="61" formatCode="General">
                        <c:v>0</c:v>
                      </c:pt>
                    </c:numCache>
                  </c:numRef>
                </c:val>
                <c:extLst xmlns:c15="http://schemas.microsoft.com/office/drawing/2012/chart">
                  <c:ext xmlns:c16="http://schemas.microsoft.com/office/drawing/2014/chart" uri="{C3380CC4-5D6E-409C-BE32-E72D297353CC}">
                    <c16:uniqueId val="{00000033-85F1-4E93-8343-9A44188D74B0}"/>
                  </c:ext>
                </c:extLst>
              </c15:ser>
            </c15:filteredBarSeries>
            <c15:filteredBarSeries>
              <c15:ser>
                <c:idx val="49"/>
                <c:order val="49"/>
                <c:tx>
                  <c:strRef>
                    <c:extLst xmlns:c15="http://schemas.microsoft.com/office/drawing/2012/chart">
                      <c:ext xmlns:c15="http://schemas.microsoft.com/office/drawing/2012/chart" uri="{02D57815-91ED-43cb-92C2-25804820EDAC}">
                        <c15:formulaRef>
                          <c15:sqref>'Table for graphs 24-25 '!$A$51</c15:sqref>
                        </c15:formulaRef>
                      </c:ext>
                    </c:extLst>
                    <c:strCache>
                      <c:ptCount val="1"/>
                      <c:pt idx="0">
                        <c:v>Gynaecological - Reported 63 - 103 days</c:v>
                      </c:pt>
                    </c:strCache>
                  </c:strRef>
                </c:tx>
                <c:spPr>
                  <a:solidFill>
                    <a:schemeClr val="accent5">
                      <a:tint val="9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'!$B$51:$DB$51</c15:sqref>
                        </c15:formulaRef>
                      </c:ext>
                    </c:extLst>
                    <c:numCache>
                      <c:formatCode>0</c:formatCode>
                      <c:ptCount val="105"/>
                      <c:pt idx="0">
                        <c:v>71</c:v>
                      </c:pt>
                      <c:pt idx="1">
                        <c:v>80</c:v>
                      </c:pt>
                      <c:pt idx="2">
                        <c:v>82</c:v>
                      </c:pt>
                      <c:pt idx="3">
                        <c:v>77</c:v>
                      </c:pt>
                      <c:pt idx="4">
                        <c:v>75</c:v>
                      </c:pt>
                      <c:pt idx="5">
                        <c:v>76</c:v>
                      </c:pt>
                      <c:pt idx="6">
                        <c:v>72</c:v>
                      </c:pt>
                      <c:pt idx="7">
                        <c:v>71</c:v>
                      </c:pt>
                      <c:pt idx="8">
                        <c:v>81</c:v>
                      </c:pt>
                      <c:pt idx="9">
                        <c:v>81</c:v>
                      </c:pt>
                      <c:pt idx="10">
                        <c:v>69</c:v>
                      </c:pt>
                      <c:pt idx="11">
                        <c:v>78</c:v>
                      </c:pt>
                      <c:pt idx="12">
                        <c:v>78</c:v>
                      </c:pt>
                      <c:pt idx="13">
                        <c:v>60</c:v>
                      </c:pt>
                      <c:pt idx="14">
                        <c:v>64</c:v>
                      </c:pt>
                      <c:pt idx="15">
                        <c:v>70</c:v>
                      </c:pt>
                      <c:pt idx="16">
                        <c:v>68</c:v>
                      </c:pt>
                      <c:pt idx="17">
                        <c:v>58</c:v>
                      </c:pt>
                      <c:pt idx="18">
                        <c:v>67</c:v>
                      </c:pt>
                      <c:pt idx="19">
                        <c:v>73</c:v>
                      </c:pt>
                      <c:pt idx="20">
                        <c:v>74</c:v>
                      </c:pt>
                      <c:pt idx="21">
                        <c:v>77</c:v>
                      </c:pt>
                      <c:pt idx="22">
                        <c:v>75</c:v>
                      </c:pt>
                      <c:pt idx="23">
                        <c:v>78</c:v>
                      </c:pt>
                      <c:pt idx="24">
                        <c:v>51</c:v>
                      </c:pt>
                      <c:pt idx="25">
                        <c:v>50</c:v>
                      </c:pt>
                      <c:pt idx="26" formatCode="General">
                        <c:v>37</c:v>
                      </c:pt>
                      <c:pt idx="27">
                        <c:v>33</c:v>
                      </c:pt>
                      <c:pt idx="28">
                        <c:v>37</c:v>
                      </c:pt>
                      <c:pt idx="29">
                        <c:v>37</c:v>
                      </c:pt>
                      <c:pt idx="30">
                        <c:v>35</c:v>
                      </c:pt>
                      <c:pt idx="31">
                        <c:v>31</c:v>
                      </c:pt>
                      <c:pt idx="32">
                        <c:v>35</c:v>
                      </c:pt>
                      <c:pt idx="33">
                        <c:v>35</c:v>
                      </c:pt>
                      <c:pt idx="34">
                        <c:v>29</c:v>
                      </c:pt>
                      <c:pt idx="35">
                        <c:v>30</c:v>
                      </c:pt>
                      <c:pt idx="36">
                        <c:v>36</c:v>
                      </c:pt>
                      <c:pt idx="37">
                        <c:v>38</c:v>
                      </c:pt>
                      <c:pt idx="38">
                        <c:v>27</c:v>
                      </c:pt>
                      <c:pt idx="39">
                        <c:v>28</c:v>
                      </c:pt>
                      <c:pt idx="40">
                        <c:v>34</c:v>
                      </c:pt>
                      <c:pt idx="41">
                        <c:v>27</c:v>
                      </c:pt>
                      <c:pt idx="42">
                        <c:v>28</c:v>
                      </c:pt>
                      <c:pt idx="43" formatCode="General">
                        <c:v>26</c:v>
                      </c:pt>
                      <c:pt idx="44">
                        <c:v>21</c:v>
                      </c:pt>
                      <c:pt idx="45">
                        <c:v>24</c:v>
                      </c:pt>
                      <c:pt idx="46">
                        <c:v>20</c:v>
                      </c:pt>
                      <c:pt idx="47">
                        <c:v>23</c:v>
                      </c:pt>
                      <c:pt idx="48">
                        <c:v>21</c:v>
                      </c:pt>
                      <c:pt idx="49">
                        <c:v>18</c:v>
                      </c:pt>
                      <c:pt idx="50">
                        <c:v>22</c:v>
                      </c:pt>
                      <c:pt idx="51">
                        <c:v>23</c:v>
                      </c:pt>
                      <c:pt idx="52">
                        <c:v>20</c:v>
                      </c:pt>
                      <c:pt idx="53">
                        <c:v>27</c:v>
                      </c:pt>
                      <c:pt idx="54">
                        <c:v>35</c:v>
                      </c:pt>
                      <c:pt idx="55" formatCode="General">
                        <c:v>35</c:v>
                      </c:pt>
                      <c:pt idx="56" formatCode="General">
                        <c:v>31</c:v>
                      </c:pt>
                      <c:pt idx="57" formatCode="General">
                        <c:v>27</c:v>
                      </c:pt>
                      <c:pt idx="58" formatCode="General">
                        <c:v>26</c:v>
                      </c:pt>
                      <c:pt idx="59" formatCode="General">
                        <c:v>26</c:v>
                      </c:pt>
                      <c:pt idx="60" formatCode="General">
                        <c:v>25</c:v>
                      </c:pt>
                      <c:pt idx="61" formatCode="General">
                        <c:v>24</c:v>
                      </c:pt>
                    </c:numCache>
                  </c:numRef>
                </c:val>
                <c:extLst xmlns:c15="http://schemas.microsoft.com/office/drawing/2012/chart">
                  <c:ext xmlns:c16="http://schemas.microsoft.com/office/drawing/2014/chart" uri="{C3380CC4-5D6E-409C-BE32-E72D297353CC}">
                    <c16:uniqueId val="{00000034-85F1-4E93-8343-9A44188D74B0}"/>
                  </c:ext>
                </c:extLst>
              </c15:ser>
            </c15:filteredBarSeries>
            <c15:filteredBarSeries>
              <c15:ser>
                <c:idx val="50"/>
                <c:order val="50"/>
                <c:tx>
                  <c:strRef>
                    <c:extLst xmlns:c15="http://schemas.microsoft.com/office/drawing/2012/chart">
                      <c:ext xmlns:c15="http://schemas.microsoft.com/office/drawing/2012/chart" uri="{02D57815-91ED-43cb-92C2-25804820EDAC}">
                        <c15:formulaRef>
                          <c15:sqref>'Table for graphs 24-25 '!$A$52</c15:sqref>
                        </c15:formulaRef>
                      </c:ext>
                    </c:extLst>
                    <c:strCache>
                      <c:ptCount val="1"/>
                      <c:pt idx="0">
                        <c:v>Haematological - Reported 63 - 103 days</c:v>
                      </c:pt>
                    </c:strCache>
                  </c:strRef>
                </c:tx>
                <c:spPr>
                  <a:solidFill>
                    <a:schemeClr val="accent5">
                      <a:tint val="9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'!$B$52:$DB$52</c15:sqref>
                        </c15:formulaRef>
                      </c:ext>
                    </c:extLst>
                    <c:numCache>
                      <c:formatCode>0</c:formatCode>
                      <c:ptCount val="105"/>
                      <c:pt idx="0">
                        <c:v>6</c:v>
                      </c:pt>
                      <c:pt idx="1">
                        <c:v>11</c:v>
                      </c:pt>
                      <c:pt idx="2">
                        <c:v>10</c:v>
                      </c:pt>
                      <c:pt idx="3">
                        <c:v>10</c:v>
                      </c:pt>
                      <c:pt idx="4">
                        <c:v>9</c:v>
                      </c:pt>
                      <c:pt idx="5">
                        <c:v>12</c:v>
                      </c:pt>
                      <c:pt idx="6">
                        <c:v>10</c:v>
                      </c:pt>
                      <c:pt idx="7">
                        <c:v>9</c:v>
                      </c:pt>
                      <c:pt idx="8">
                        <c:v>11</c:v>
                      </c:pt>
                      <c:pt idx="9">
                        <c:v>7</c:v>
                      </c:pt>
                      <c:pt idx="10">
                        <c:v>9</c:v>
                      </c:pt>
                      <c:pt idx="11">
                        <c:v>7</c:v>
                      </c:pt>
                      <c:pt idx="12">
                        <c:v>9</c:v>
                      </c:pt>
                      <c:pt idx="13">
                        <c:v>10</c:v>
                      </c:pt>
                      <c:pt idx="14">
                        <c:v>9</c:v>
                      </c:pt>
                      <c:pt idx="15">
                        <c:v>8</c:v>
                      </c:pt>
                      <c:pt idx="16">
                        <c:v>7</c:v>
                      </c:pt>
                      <c:pt idx="17">
                        <c:v>8</c:v>
                      </c:pt>
                      <c:pt idx="18">
                        <c:v>8</c:v>
                      </c:pt>
                      <c:pt idx="19">
                        <c:v>8</c:v>
                      </c:pt>
                      <c:pt idx="20">
                        <c:v>5</c:v>
                      </c:pt>
                      <c:pt idx="21">
                        <c:v>3</c:v>
                      </c:pt>
                      <c:pt idx="22">
                        <c:v>2</c:v>
                      </c:pt>
                      <c:pt idx="23">
                        <c:v>4</c:v>
                      </c:pt>
                      <c:pt idx="24">
                        <c:v>5</c:v>
                      </c:pt>
                      <c:pt idx="25">
                        <c:v>6</c:v>
                      </c:pt>
                      <c:pt idx="26" formatCode="General">
                        <c:v>9</c:v>
                      </c:pt>
                      <c:pt idx="27">
                        <c:v>8</c:v>
                      </c:pt>
                      <c:pt idx="28">
                        <c:v>8</c:v>
                      </c:pt>
                      <c:pt idx="29">
                        <c:v>9</c:v>
                      </c:pt>
                      <c:pt idx="30">
                        <c:v>7</c:v>
                      </c:pt>
                      <c:pt idx="31">
                        <c:v>6</c:v>
                      </c:pt>
                      <c:pt idx="32">
                        <c:v>8</c:v>
                      </c:pt>
                      <c:pt idx="33">
                        <c:v>8</c:v>
                      </c:pt>
                      <c:pt idx="34">
                        <c:v>8</c:v>
                      </c:pt>
                      <c:pt idx="35">
                        <c:v>5</c:v>
                      </c:pt>
                      <c:pt idx="36">
                        <c:v>5</c:v>
                      </c:pt>
                      <c:pt idx="37">
                        <c:v>5</c:v>
                      </c:pt>
                      <c:pt idx="38">
                        <c:v>5</c:v>
                      </c:pt>
                      <c:pt idx="39">
                        <c:v>5</c:v>
                      </c:pt>
                      <c:pt idx="40">
                        <c:v>7</c:v>
                      </c:pt>
                      <c:pt idx="41">
                        <c:v>6</c:v>
                      </c:pt>
                      <c:pt idx="42">
                        <c:v>5</c:v>
                      </c:pt>
                      <c:pt idx="43" formatCode="General">
                        <c:v>3</c:v>
                      </c:pt>
                      <c:pt idx="44">
                        <c:v>2</c:v>
                      </c:pt>
                      <c:pt idx="45">
                        <c:v>1</c:v>
                      </c:pt>
                      <c:pt idx="46">
                        <c:v>3</c:v>
                      </c:pt>
                      <c:pt idx="47">
                        <c:v>3</c:v>
                      </c:pt>
                      <c:pt idx="48">
                        <c:v>3</c:v>
                      </c:pt>
                      <c:pt idx="49">
                        <c:v>3</c:v>
                      </c:pt>
                      <c:pt idx="50">
                        <c:v>3</c:v>
                      </c:pt>
                      <c:pt idx="51">
                        <c:v>4</c:v>
                      </c:pt>
                      <c:pt idx="52">
                        <c:v>4</c:v>
                      </c:pt>
                      <c:pt idx="53">
                        <c:v>6</c:v>
                      </c:pt>
                      <c:pt idx="54">
                        <c:v>4</c:v>
                      </c:pt>
                      <c:pt idx="55" formatCode="General">
                        <c:v>5</c:v>
                      </c:pt>
                      <c:pt idx="56" formatCode="General">
                        <c:v>4</c:v>
                      </c:pt>
                      <c:pt idx="57" formatCode="General">
                        <c:v>4</c:v>
                      </c:pt>
                      <c:pt idx="58" formatCode="General">
                        <c:v>4</c:v>
                      </c:pt>
                      <c:pt idx="59" formatCode="General">
                        <c:v>3</c:v>
                      </c:pt>
                      <c:pt idx="60" formatCode="General">
                        <c:v>4</c:v>
                      </c:pt>
                      <c:pt idx="61" formatCode="General">
                        <c:v>3</c:v>
                      </c:pt>
                    </c:numCache>
                  </c:numRef>
                </c:val>
                <c:extLst xmlns:c15="http://schemas.microsoft.com/office/drawing/2012/chart">
                  <c:ext xmlns:c16="http://schemas.microsoft.com/office/drawing/2014/chart" uri="{C3380CC4-5D6E-409C-BE32-E72D297353CC}">
                    <c16:uniqueId val="{00000035-85F1-4E93-8343-9A44188D74B0}"/>
                  </c:ext>
                </c:extLst>
              </c15:ser>
            </c15:filteredBarSeries>
            <c15:filteredBarSeries>
              <c15:ser>
                <c:idx val="51"/>
                <c:order val="51"/>
                <c:tx>
                  <c:strRef>
                    <c:extLst xmlns:c15="http://schemas.microsoft.com/office/drawing/2012/chart">
                      <c:ext xmlns:c15="http://schemas.microsoft.com/office/drawing/2012/chart" uri="{02D57815-91ED-43cb-92C2-25804820EDAC}">
                        <c15:formulaRef>
                          <c15:sqref>'Table for graphs 24-25 '!$A$53</c15:sqref>
                        </c15:formulaRef>
                      </c:ext>
                    </c:extLst>
                    <c:strCache>
                      <c:ptCount val="1"/>
                      <c:pt idx="0">
                        <c:v>Head and neck - Reported 63 - 103 days</c:v>
                      </c:pt>
                    </c:strCache>
                  </c:strRef>
                </c:tx>
                <c:spPr>
                  <a:solidFill>
                    <a:schemeClr val="accent5">
                      <a:tint val="9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'!$B$53:$DB$53</c15:sqref>
                        </c15:formulaRef>
                      </c:ext>
                    </c:extLst>
                    <c:numCache>
                      <c:formatCode>0</c:formatCode>
                      <c:ptCount val="105"/>
                      <c:pt idx="0">
                        <c:v>11</c:v>
                      </c:pt>
                      <c:pt idx="1">
                        <c:v>23</c:v>
                      </c:pt>
                      <c:pt idx="2">
                        <c:v>18</c:v>
                      </c:pt>
                      <c:pt idx="3">
                        <c:v>17</c:v>
                      </c:pt>
                      <c:pt idx="4">
                        <c:v>11</c:v>
                      </c:pt>
                      <c:pt idx="5">
                        <c:v>16</c:v>
                      </c:pt>
                      <c:pt idx="6">
                        <c:v>10</c:v>
                      </c:pt>
                      <c:pt idx="7">
                        <c:v>14</c:v>
                      </c:pt>
                      <c:pt idx="8">
                        <c:v>12</c:v>
                      </c:pt>
                      <c:pt idx="9">
                        <c:v>10</c:v>
                      </c:pt>
                      <c:pt idx="10">
                        <c:v>13</c:v>
                      </c:pt>
                      <c:pt idx="11">
                        <c:v>8</c:v>
                      </c:pt>
                      <c:pt idx="12">
                        <c:v>6</c:v>
                      </c:pt>
                      <c:pt idx="13">
                        <c:v>10</c:v>
                      </c:pt>
                      <c:pt idx="14">
                        <c:v>14</c:v>
                      </c:pt>
                      <c:pt idx="15">
                        <c:v>9</c:v>
                      </c:pt>
                      <c:pt idx="16">
                        <c:v>13</c:v>
                      </c:pt>
                      <c:pt idx="17">
                        <c:v>11</c:v>
                      </c:pt>
                      <c:pt idx="18">
                        <c:v>9</c:v>
                      </c:pt>
                      <c:pt idx="19">
                        <c:v>7</c:v>
                      </c:pt>
                      <c:pt idx="20">
                        <c:v>13</c:v>
                      </c:pt>
                      <c:pt idx="21">
                        <c:v>20</c:v>
                      </c:pt>
                      <c:pt idx="22">
                        <c:v>22</c:v>
                      </c:pt>
                      <c:pt idx="23">
                        <c:v>25</c:v>
                      </c:pt>
                      <c:pt idx="24">
                        <c:v>28</c:v>
                      </c:pt>
                      <c:pt idx="25">
                        <c:v>21</c:v>
                      </c:pt>
                      <c:pt idx="26" formatCode="General">
                        <c:v>19</c:v>
                      </c:pt>
                      <c:pt idx="27">
                        <c:v>13</c:v>
                      </c:pt>
                      <c:pt idx="28">
                        <c:v>12</c:v>
                      </c:pt>
                      <c:pt idx="29">
                        <c:v>13</c:v>
                      </c:pt>
                      <c:pt idx="30">
                        <c:v>9</c:v>
                      </c:pt>
                      <c:pt idx="31">
                        <c:v>5</c:v>
                      </c:pt>
                      <c:pt idx="32">
                        <c:v>4</c:v>
                      </c:pt>
                      <c:pt idx="33">
                        <c:v>7</c:v>
                      </c:pt>
                      <c:pt idx="34">
                        <c:v>6</c:v>
                      </c:pt>
                      <c:pt idx="35">
                        <c:v>7</c:v>
                      </c:pt>
                      <c:pt idx="36">
                        <c:v>8</c:v>
                      </c:pt>
                      <c:pt idx="37">
                        <c:v>8</c:v>
                      </c:pt>
                      <c:pt idx="38">
                        <c:v>9</c:v>
                      </c:pt>
                      <c:pt idx="39">
                        <c:v>11</c:v>
                      </c:pt>
                      <c:pt idx="40">
                        <c:v>10</c:v>
                      </c:pt>
                      <c:pt idx="41">
                        <c:v>11</c:v>
                      </c:pt>
                      <c:pt idx="42">
                        <c:v>7</c:v>
                      </c:pt>
                      <c:pt idx="43" formatCode="General">
                        <c:v>12</c:v>
                      </c:pt>
                      <c:pt idx="44">
                        <c:v>9</c:v>
                      </c:pt>
                      <c:pt idx="45">
                        <c:v>7</c:v>
                      </c:pt>
                      <c:pt idx="46">
                        <c:v>8</c:v>
                      </c:pt>
                      <c:pt idx="47">
                        <c:v>10</c:v>
                      </c:pt>
                      <c:pt idx="48">
                        <c:v>5</c:v>
                      </c:pt>
                      <c:pt idx="49">
                        <c:v>5</c:v>
                      </c:pt>
                      <c:pt idx="50">
                        <c:v>4</c:v>
                      </c:pt>
                      <c:pt idx="51">
                        <c:v>3</c:v>
                      </c:pt>
                      <c:pt idx="52">
                        <c:v>5</c:v>
                      </c:pt>
                      <c:pt idx="53">
                        <c:v>4</c:v>
                      </c:pt>
                      <c:pt idx="54">
                        <c:v>6</c:v>
                      </c:pt>
                      <c:pt idx="55" formatCode="General">
                        <c:v>9</c:v>
                      </c:pt>
                      <c:pt idx="56" formatCode="General">
                        <c:v>9</c:v>
                      </c:pt>
                      <c:pt idx="57" formatCode="General">
                        <c:v>7</c:v>
                      </c:pt>
                      <c:pt idx="58" formatCode="General">
                        <c:v>5</c:v>
                      </c:pt>
                      <c:pt idx="59" formatCode="General">
                        <c:v>4</c:v>
                      </c:pt>
                      <c:pt idx="60" formatCode="General">
                        <c:v>7</c:v>
                      </c:pt>
                      <c:pt idx="61" formatCode="General">
                        <c:v>5</c:v>
                      </c:pt>
                    </c:numCache>
                  </c:numRef>
                </c:val>
                <c:extLst xmlns:c15="http://schemas.microsoft.com/office/drawing/2012/chart">
                  <c:ext xmlns:c16="http://schemas.microsoft.com/office/drawing/2014/chart" uri="{C3380CC4-5D6E-409C-BE32-E72D297353CC}">
                    <c16:uniqueId val="{00000036-85F1-4E93-8343-9A44188D74B0}"/>
                  </c:ext>
                </c:extLst>
              </c15:ser>
            </c15:filteredBarSeries>
            <c15:filteredBarSeries>
              <c15:ser>
                <c:idx val="52"/>
                <c:order val="52"/>
                <c:tx>
                  <c:strRef>
                    <c:extLst xmlns:c15="http://schemas.microsoft.com/office/drawing/2012/chart">
                      <c:ext xmlns:c15="http://schemas.microsoft.com/office/drawing/2012/chart" uri="{02D57815-91ED-43cb-92C2-25804820EDAC}">
                        <c15:formulaRef>
                          <c15:sqref>'Table for graphs 24-25 '!$A$54</c15:sqref>
                        </c15:formulaRef>
                      </c:ext>
                    </c:extLst>
                    <c:strCache>
                      <c:ptCount val="1"/>
                      <c:pt idx="0">
                        <c:v>Lower Gastrointestinal - Reported 63 - 103 days</c:v>
                      </c:pt>
                    </c:strCache>
                  </c:strRef>
                </c:tx>
                <c:spPr>
                  <a:solidFill>
                    <a:schemeClr val="accent5">
                      <a:tint val="9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'!$B$54:$DB$54</c15:sqref>
                        </c15:formulaRef>
                      </c:ext>
                    </c:extLst>
                    <c:numCache>
                      <c:formatCode>0</c:formatCode>
                      <c:ptCount val="105"/>
                      <c:pt idx="0">
                        <c:v>45</c:v>
                      </c:pt>
                      <c:pt idx="1">
                        <c:v>51</c:v>
                      </c:pt>
                      <c:pt idx="2">
                        <c:v>59</c:v>
                      </c:pt>
                      <c:pt idx="3">
                        <c:v>56</c:v>
                      </c:pt>
                      <c:pt idx="4">
                        <c:v>50</c:v>
                      </c:pt>
                      <c:pt idx="5">
                        <c:v>48</c:v>
                      </c:pt>
                      <c:pt idx="6">
                        <c:v>48</c:v>
                      </c:pt>
                      <c:pt idx="7">
                        <c:v>43</c:v>
                      </c:pt>
                      <c:pt idx="8">
                        <c:v>45</c:v>
                      </c:pt>
                      <c:pt idx="9">
                        <c:v>48</c:v>
                      </c:pt>
                      <c:pt idx="10">
                        <c:v>46</c:v>
                      </c:pt>
                      <c:pt idx="11">
                        <c:v>36</c:v>
                      </c:pt>
                      <c:pt idx="12">
                        <c:v>39</c:v>
                      </c:pt>
                      <c:pt idx="13">
                        <c:v>31</c:v>
                      </c:pt>
                      <c:pt idx="14">
                        <c:v>31</c:v>
                      </c:pt>
                      <c:pt idx="15">
                        <c:v>25</c:v>
                      </c:pt>
                      <c:pt idx="16">
                        <c:v>35</c:v>
                      </c:pt>
                      <c:pt idx="17">
                        <c:v>41</c:v>
                      </c:pt>
                      <c:pt idx="18">
                        <c:v>43</c:v>
                      </c:pt>
                      <c:pt idx="19">
                        <c:v>47</c:v>
                      </c:pt>
                      <c:pt idx="20">
                        <c:v>41</c:v>
                      </c:pt>
                      <c:pt idx="21">
                        <c:v>40</c:v>
                      </c:pt>
                      <c:pt idx="22">
                        <c:v>45</c:v>
                      </c:pt>
                      <c:pt idx="23">
                        <c:v>54</c:v>
                      </c:pt>
                      <c:pt idx="24">
                        <c:v>48</c:v>
                      </c:pt>
                      <c:pt idx="25">
                        <c:v>44</c:v>
                      </c:pt>
                      <c:pt idx="26" formatCode="General">
                        <c:v>37</c:v>
                      </c:pt>
                      <c:pt idx="27">
                        <c:v>29</c:v>
                      </c:pt>
                      <c:pt idx="28">
                        <c:v>31</c:v>
                      </c:pt>
                      <c:pt idx="29">
                        <c:v>32</c:v>
                      </c:pt>
                      <c:pt idx="30">
                        <c:v>29</c:v>
                      </c:pt>
                      <c:pt idx="31">
                        <c:v>25</c:v>
                      </c:pt>
                      <c:pt idx="32">
                        <c:v>20</c:v>
                      </c:pt>
                      <c:pt idx="33">
                        <c:v>20</c:v>
                      </c:pt>
                      <c:pt idx="34">
                        <c:v>21</c:v>
                      </c:pt>
                      <c:pt idx="35">
                        <c:v>22</c:v>
                      </c:pt>
                      <c:pt idx="36">
                        <c:v>24</c:v>
                      </c:pt>
                      <c:pt idx="37">
                        <c:v>24</c:v>
                      </c:pt>
                      <c:pt idx="38">
                        <c:v>35</c:v>
                      </c:pt>
                      <c:pt idx="39">
                        <c:v>43</c:v>
                      </c:pt>
                      <c:pt idx="40">
                        <c:v>39</c:v>
                      </c:pt>
                      <c:pt idx="41">
                        <c:v>39</c:v>
                      </c:pt>
                      <c:pt idx="42">
                        <c:v>36</c:v>
                      </c:pt>
                      <c:pt idx="43" formatCode="General">
                        <c:v>45</c:v>
                      </c:pt>
                      <c:pt idx="44">
                        <c:v>37</c:v>
                      </c:pt>
                      <c:pt idx="45">
                        <c:v>28</c:v>
                      </c:pt>
                      <c:pt idx="46">
                        <c:v>28</c:v>
                      </c:pt>
                      <c:pt idx="47">
                        <c:v>28</c:v>
                      </c:pt>
                      <c:pt idx="48">
                        <c:v>21</c:v>
                      </c:pt>
                      <c:pt idx="49">
                        <c:v>19</c:v>
                      </c:pt>
                      <c:pt idx="50">
                        <c:v>16</c:v>
                      </c:pt>
                      <c:pt idx="51">
                        <c:v>21</c:v>
                      </c:pt>
                      <c:pt idx="52">
                        <c:v>20</c:v>
                      </c:pt>
                      <c:pt idx="53">
                        <c:v>21</c:v>
                      </c:pt>
                      <c:pt idx="54">
                        <c:v>22</c:v>
                      </c:pt>
                      <c:pt idx="55" formatCode="General">
                        <c:v>22</c:v>
                      </c:pt>
                      <c:pt idx="56" formatCode="General">
                        <c:v>21</c:v>
                      </c:pt>
                      <c:pt idx="57" formatCode="General">
                        <c:v>41</c:v>
                      </c:pt>
                      <c:pt idx="58" formatCode="General">
                        <c:v>48</c:v>
                      </c:pt>
                      <c:pt idx="59" formatCode="General">
                        <c:v>40</c:v>
                      </c:pt>
                      <c:pt idx="60" formatCode="General">
                        <c:v>43</c:v>
                      </c:pt>
                      <c:pt idx="61" formatCode="General">
                        <c:v>43</c:v>
                      </c:pt>
                    </c:numCache>
                  </c:numRef>
                </c:val>
                <c:extLst xmlns:c15="http://schemas.microsoft.com/office/drawing/2012/chart">
                  <c:ext xmlns:c16="http://schemas.microsoft.com/office/drawing/2014/chart" uri="{C3380CC4-5D6E-409C-BE32-E72D297353CC}">
                    <c16:uniqueId val="{00000037-85F1-4E93-8343-9A44188D74B0}"/>
                  </c:ext>
                </c:extLst>
              </c15:ser>
            </c15:filteredBarSeries>
            <c15:filteredBarSeries>
              <c15:ser>
                <c:idx val="53"/>
                <c:order val="53"/>
                <c:tx>
                  <c:strRef>
                    <c:extLst xmlns:c15="http://schemas.microsoft.com/office/drawing/2012/chart">
                      <c:ext xmlns:c15="http://schemas.microsoft.com/office/drawing/2012/chart" uri="{02D57815-91ED-43cb-92C2-25804820EDAC}">
                        <c15:formulaRef>
                          <c15:sqref>'Table for graphs 24-25 '!$A$55</c15:sqref>
                        </c15:formulaRef>
                      </c:ext>
                    </c:extLst>
                    <c:strCache>
                      <c:ptCount val="1"/>
                      <c:pt idx="0">
                        <c:v>Lung - Reported 63 - 103 days</c:v>
                      </c:pt>
                    </c:strCache>
                  </c:strRef>
                </c:tx>
                <c:spPr>
                  <a:solidFill>
                    <a:schemeClr val="accent5">
                      <a:tint val="9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'!$B$55:$DB$55</c15:sqref>
                        </c15:formulaRef>
                      </c:ext>
                    </c:extLst>
                    <c:numCache>
                      <c:formatCode>0</c:formatCode>
                      <c:ptCount val="105"/>
                      <c:pt idx="0">
                        <c:v>17</c:v>
                      </c:pt>
                      <c:pt idx="1">
                        <c:v>21</c:v>
                      </c:pt>
                      <c:pt idx="2">
                        <c:v>20</c:v>
                      </c:pt>
                      <c:pt idx="3">
                        <c:v>21</c:v>
                      </c:pt>
                      <c:pt idx="4">
                        <c:v>28</c:v>
                      </c:pt>
                      <c:pt idx="5">
                        <c:v>25</c:v>
                      </c:pt>
                      <c:pt idx="6">
                        <c:v>28</c:v>
                      </c:pt>
                      <c:pt idx="7">
                        <c:v>24</c:v>
                      </c:pt>
                      <c:pt idx="8">
                        <c:v>23</c:v>
                      </c:pt>
                      <c:pt idx="9">
                        <c:v>24</c:v>
                      </c:pt>
                      <c:pt idx="10">
                        <c:v>25</c:v>
                      </c:pt>
                      <c:pt idx="11">
                        <c:v>22</c:v>
                      </c:pt>
                      <c:pt idx="12">
                        <c:v>20</c:v>
                      </c:pt>
                      <c:pt idx="13">
                        <c:v>12</c:v>
                      </c:pt>
                      <c:pt idx="14">
                        <c:v>10</c:v>
                      </c:pt>
                      <c:pt idx="15">
                        <c:v>14</c:v>
                      </c:pt>
                      <c:pt idx="16">
                        <c:v>17</c:v>
                      </c:pt>
                      <c:pt idx="17">
                        <c:v>15</c:v>
                      </c:pt>
                      <c:pt idx="18">
                        <c:v>17</c:v>
                      </c:pt>
                      <c:pt idx="19">
                        <c:v>17</c:v>
                      </c:pt>
                      <c:pt idx="20">
                        <c:v>14</c:v>
                      </c:pt>
                      <c:pt idx="21">
                        <c:v>14</c:v>
                      </c:pt>
                      <c:pt idx="22">
                        <c:v>13</c:v>
                      </c:pt>
                      <c:pt idx="23">
                        <c:v>14</c:v>
                      </c:pt>
                      <c:pt idx="24">
                        <c:v>13</c:v>
                      </c:pt>
                      <c:pt idx="25">
                        <c:v>13</c:v>
                      </c:pt>
                      <c:pt idx="26" formatCode="General">
                        <c:v>16</c:v>
                      </c:pt>
                      <c:pt idx="27">
                        <c:v>12</c:v>
                      </c:pt>
                      <c:pt idx="28">
                        <c:v>11</c:v>
                      </c:pt>
                      <c:pt idx="29">
                        <c:v>10</c:v>
                      </c:pt>
                      <c:pt idx="30">
                        <c:v>15</c:v>
                      </c:pt>
                      <c:pt idx="31">
                        <c:v>17</c:v>
                      </c:pt>
                      <c:pt idx="32">
                        <c:v>15</c:v>
                      </c:pt>
                      <c:pt idx="33">
                        <c:v>17</c:v>
                      </c:pt>
                      <c:pt idx="34">
                        <c:v>16</c:v>
                      </c:pt>
                      <c:pt idx="35">
                        <c:v>11</c:v>
                      </c:pt>
                      <c:pt idx="36">
                        <c:v>15</c:v>
                      </c:pt>
                      <c:pt idx="37">
                        <c:v>13</c:v>
                      </c:pt>
                      <c:pt idx="38">
                        <c:v>10</c:v>
                      </c:pt>
                      <c:pt idx="39">
                        <c:v>12</c:v>
                      </c:pt>
                      <c:pt idx="40">
                        <c:v>15</c:v>
                      </c:pt>
                      <c:pt idx="41">
                        <c:v>13</c:v>
                      </c:pt>
                      <c:pt idx="42">
                        <c:v>12</c:v>
                      </c:pt>
                      <c:pt idx="43" formatCode="General">
                        <c:v>13</c:v>
                      </c:pt>
                      <c:pt idx="44">
                        <c:v>17</c:v>
                      </c:pt>
                      <c:pt idx="45">
                        <c:v>11</c:v>
                      </c:pt>
                      <c:pt idx="46">
                        <c:v>14</c:v>
                      </c:pt>
                      <c:pt idx="47">
                        <c:v>12</c:v>
                      </c:pt>
                      <c:pt idx="48">
                        <c:v>10</c:v>
                      </c:pt>
                      <c:pt idx="49">
                        <c:v>7</c:v>
                      </c:pt>
                      <c:pt idx="50">
                        <c:v>7</c:v>
                      </c:pt>
                      <c:pt idx="51">
                        <c:v>7</c:v>
                      </c:pt>
                      <c:pt idx="52">
                        <c:v>8</c:v>
                      </c:pt>
                      <c:pt idx="53">
                        <c:v>11</c:v>
                      </c:pt>
                      <c:pt idx="54">
                        <c:v>13</c:v>
                      </c:pt>
                      <c:pt idx="55" formatCode="General">
                        <c:v>16</c:v>
                      </c:pt>
                      <c:pt idx="56" formatCode="General">
                        <c:v>13</c:v>
                      </c:pt>
                      <c:pt idx="57" formatCode="General">
                        <c:v>11</c:v>
                      </c:pt>
                      <c:pt idx="58" formatCode="General">
                        <c:v>10</c:v>
                      </c:pt>
                      <c:pt idx="59" formatCode="General">
                        <c:v>6</c:v>
                      </c:pt>
                      <c:pt idx="60" formatCode="General">
                        <c:v>8</c:v>
                      </c:pt>
                      <c:pt idx="61" formatCode="General">
                        <c:v>9</c:v>
                      </c:pt>
                    </c:numCache>
                  </c:numRef>
                </c:val>
                <c:extLst xmlns:c15="http://schemas.microsoft.com/office/drawing/2012/chart">
                  <c:ext xmlns:c16="http://schemas.microsoft.com/office/drawing/2014/chart" uri="{C3380CC4-5D6E-409C-BE32-E72D297353CC}">
                    <c16:uniqueId val="{00000038-85F1-4E93-8343-9A44188D74B0}"/>
                  </c:ext>
                </c:extLst>
              </c15:ser>
            </c15:filteredBarSeries>
            <c15:filteredBarSeries>
              <c15:ser>
                <c:idx val="54"/>
                <c:order val="54"/>
                <c:tx>
                  <c:strRef>
                    <c:extLst xmlns:c15="http://schemas.microsoft.com/office/drawing/2012/chart">
                      <c:ext xmlns:c15="http://schemas.microsoft.com/office/drawing/2012/chart" uri="{02D57815-91ED-43cb-92C2-25804820EDAC}">
                        <c15:formulaRef>
                          <c15:sqref>'Table for graphs 24-25 '!$A$56</c15:sqref>
                        </c15:formulaRef>
                      </c:ext>
                    </c:extLst>
                    <c:strCache>
                      <c:ptCount val="1"/>
                      <c:pt idx="0">
                        <c:v>Other - Reported 63 - 103 days</c:v>
                      </c:pt>
                    </c:strCache>
                  </c:strRef>
                </c:tx>
                <c:spPr>
                  <a:solidFill>
                    <a:schemeClr val="accent5">
                      <a:tint val="8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'!$B$56:$DB$56</c15:sqref>
                        </c15:formulaRef>
                      </c:ext>
                    </c:extLst>
                    <c:numCache>
                      <c:formatCode>0</c:formatCode>
                      <c:ptCount val="105"/>
                      <c:pt idx="0">
                        <c:v>1</c:v>
                      </c:pt>
                      <c:pt idx="1">
                        <c:v>2</c:v>
                      </c:pt>
                      <c:pt idx="2">
                        <c:v>1</c:v>
                      </c:pt>
                      <c:pt idx="3">
                        <c:v>1</c:v>
                      </c:pt>
                      <c:pt idx="4">
                        <c:v>4</c:v>
                      </c:pt>
                      <c:pt idx="5">
                        <c:v>2</c:v>
                      </c:pt>
                      <c:pt idx="6">
                        <c:v>4</c:v>
                      </c:pt>
                      <c:pt idx="7">
                        <c:v>3</c:v>
                      </c:pt>
                      <c:pt idx="8">
                        <c:v>4</c:v>
                      </c:pt>
                      <c:pt idx="9">
                        <c:v>3</c:v>
                      </c:pt>
                      <c:pt idx="10">
                        <c:v>4</c:v>
                      </c:pt>
                      <c:pt idx="11">
                        <c:v>1</c:v>
                      </c:pt>
                      <c:pt idx="12">
                        <c:v>3</c:v>
                      </c:pt>
                      <c:pt idx="13">
                        <c:v>5</c:v>
                      </c:pt>
                      <c:pt idx="14">
                        <c:v>3</c:v>
                      </c:pt>
                      <c:pt idx="15">
                        <c:v>2</c:v>
                      </c:pt>
                      <c:pt idx="16">
                        <c:v>3</c:v>
                      </c:pt>
                      <c:pt idx="17">
                        <c:v>2</c:v>
                      </c:pt>
                      <c:pt idx="18">
                        <c:v>0</c:v>
                      </c:pt>
                      <c:pt idx="19">
                        <c:v>1</c:v>
                      </c:pt>
                      <c:pt idx="20">
                        <c:v>1</c:v>
                      </c:pt>
                      <c:pt idx="21">
                        <c:v>1</c:v>
                      </c:pt>
                      <c:pt idx="22">
                        <c:v>1</c:v>
                      </c:pt>
                      <c:pt idx="23">
                        <c:v>4</c:v>
                      </c:pt>
                      <c:pt idx="24">
                        <c:v>4</c:v>
                      </c:pt>
                      <c:pt idx="25">
                        <c:v>5</c:v>
                      </c:pt>
                      <c:pt idx="26" formatCode="General">
                        <c:v>2</c:v>
                      </c:pt>
                      <c:pt idx="27">
                        <c:v>3</c:v>
                      </c:pt>
                      <c:pt idx="28">
                        <c:v>3</c:v>
                      </c:pt>
                      <c:pt idx="29">
                        <c:v>1</c:v>
                      </c:pt>
                      <c:pt idx="30">
                        <c:v>1</c:v>
                      </c:pt>
                      <c:pt idx="31">
                        <c:v>1</c:v>
                      </c:pt>
                      <c:pt idx="32">
                        <c:v>3</c:v>
                      </c:pt>
                      <c:pt idx="33">
                        <c:v>1</c:v>
                      </c:pt>
                      <c:pt idx="34">
                        <c:v>0</c:v>
                      </c:pt>
                      <c:pt idx="35">
                        <c:v>0</c:v>
                      </c:pt>
                      <c:pt idx="36">
                        <c:v>0</c:v>
                      </c:pt>
                      <c:pt idx="37">
                        <c:v>0</c:v>
                      </c:pt>
                      <c:pt idx="38">
                        <c:v>0</c:v>
                      </c:pt>
                      <c:pt idx="39">
                        <c:v>0</c:v>
                      </c:pt>
                      <c:pt idx="40">
                        <c:v>2</c:v>
                      </c:pt>
                      <c:pt idx="41">
                        <c:v>1</c:v>
                      </c:pt>
                      <c:pt idx="42">
                        <c:v>1</c:v>
                      </c:pt>
                      <c:pt idx="43" formatCode="General">
                        <c:v>2</c:v>
                      </c:pt>
                      <c:pt idx="44">
                        <c:v>0</c:v>
                      </c:pt>
                      <c:pt idx="45">
                        <c:v>1</c:v>
                      </c:pt>
                      <c:pt idx="46">
                        <c:v>1</c:v>
                      </c:pt>
                      <c:pt idx="47">
                        <c:v>1</c:v>
                      </c:pt>
                      <c:pt idx="48">
                        <c:v>3</c:v>
                      </c:pt>
                      <c:pt idx="49">
                        <c:v>2</c:v>
                      </c:pt>
                      <c:pt idx="50">
                        <c:v>2</c:v>
                      </c:pt>
                      <c:pt idx="51">
                        <c:v>0</c:v>
                      </c:pt>
                      <c:pt idx="52">
                        <c:v>0</c:v>
                      </c:pt>
                      <c:pt idx="53">
                        <c:v>0</c:v>
                      </c:pt>
                      <c:pt idx="54">
                        <c:v>0</c:v>
                      </c:pt>
                      <c:pt idx="55" formatCode="General">
                        <c:v>0</c:v>
                      </c:pt>
                      <c:pt idx="56" formatCode="General">
                        <c:v>1</c:v>
                      </c:pt>
                      <c:pt idx="57" formatCode="General">
                        <c:v>1</c:v>
                      </c:pt>
                      <c:pt idx="58" formatCode="General">
                        <c:v>1</c:v>
                      </c:pt>
                      <c:pt idx="59" formatCode="General">
                        <c:v>3</c:v>
                      </c:pt>
                      <c:pt idx="60" formatCode="General">
                        <c:v>2</c:v>
                      </c:pt>
                      <c:pt idx="61" formatCode="General">
                        <c:v>2</c:v>
                      </c:pt>
                    </c:numCache>
                  </c:numRef>
                </c:val>
                <c:extLst xmlns:c15="http://schemas.microsoft.com/office/drawing/2012/chart">
                  <c:ext xmlns:c16="http://schemas.microsoft.com/office/drawing/2014/chart" uri="{C3380CC4-5D6E-409C-BE32-E72D297353CC}">
                    <c16:uniqueId val="{00000039-85F1-4E93-8343-9A44188D74B0}"/>
                  </c:ext>
                </c:extLst>
              </c15:ser>
            </c15:filteredBarSeries>
            <c15:filteredBarSeries>
              <c15:ser>
                <c:idx val="55"/>
                <c:order val="55"/>
                <c:tx>
                  <c:strRef>
                    <c:extLst xmlns:c15="http://schemas.microsoft.com/office/drawing/2012/chart">
                      <c:ext xmlns:c15="http://schemas.microsoft.com/office/drawing/2012/chart" uri="{02D57815-91ED-43cb-92C2-25804820EDAC}">
                        <c15:formulaRef>
                          <c15:sqref>'Table for graphs 24-25 '!$A$57</c15:sqref>
                        </c15:formulaRef>
                      </c:ext>
                    </c:extLst>
                    <c:strCache>
                      <c:ptCount val="1"/>
                      <c:pt idx="0">
                        <c:v>Sarcoma - Reported 63 - 103 days</c:v>
                      </c:pt>
                    </c:strCache>
                  </c:strRef>
                </c:tx>
                <c:spPr>
                  <a:solidFill>
                    <a:schemeClr val="accent5">
                      <a:tint val="8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'!$B$57:$DB$57</c15:sqref>
                        </c15:formulaRef>
                      </c:ext>
                    </c:extLst>
                    <c:numCache>
                      <c:formatCode>0</c:formatCode>
                      <c:ptCount val="105"/>
                      <c:pt idx="0">
                        <c:v>3</c:v>
                      </c:pt>
                      <c:pt idx="1">
                        <c:v>4</c:v>
                      </c:pt>
                      <c:pt idx="2">
                        <c:v>4</c:v>
                      </c:pt>
                      <c:pt idx="3">
                        <c:v>3</c:v>
                      </c:pt>
                      <c:pt idx="4">
                        <c:v>3</c:v>
                      </c:pt>
                      <c:pt idx="5">
                        <c:v>2</c:v>
                      </c:pt>
                      <c:pt idx="6">
                        <c:v>1</c:v>
                      </c:pt>
                      <c:pt idx="7">
                        <c:v>2</c:v>
                      </c:pt>
                      <c:pt idx="8">
                        <c:v>2</c:v>
                      </c:pt>
                      <c:pt idx="9">
                        <c:v>1</c:v>
                      </c:pt>
                      <c:pt idx="10">
                        <c:v>3</c:v>
                      </c:pt>
                      <c:pt idx="11">
                        <c:v>2</c:v>
                      </c:pt>
                      <c:pt idx="12">
                        <c:v>3</c:v>
                      </c:pt>
                      <c:pt idx="13">
                        <c:v>3</c:v>
                      </c:pt>
                      <c:pt idx="14">
                        <c:v>4</c:v>
                      </c:pt>
                      <c:pt idx="15">
                        <c:v>4</c:v>
                      </c:pt>
                      <c:pt idx="16">
                        <c:v>4</c:v>
                      </c:pt>
                      <c:pt idx="17">
                        <c:v>3</c:v>
                      </c:pt>
                      <c:pt idx="18">
                        <c:v>4</c:v>
                      </c:pt>
                      <c:pt idx="19">
                        <c:v>2</c:v>
                      </c:pt>
                      <c:pt idx="20">
                        <c:v>3</c:v>
                      </c:pt>
                      <c:pt idx="21">
                        <c:v>5</c:v>
                      </c:pt>
                      <c:pt idx="22">
                        <c:v>4</c:v>
                      </c:pt>
                      <c:pt idx="23">
                        <c:v>4</c:v>
                      </c:pt>
                      <c:pt idx="24">
                        <c:v>3</c:v>
                      </c:pt>
                      <c:pt idx="25">
                        <c:v>6</c:v>
                      </c:pt>
                      <c:pt idx="26" formatCode="General">
                        <c:v>5</c:v>
                      </c:pt>
                      <c:pt idx="27">
                        <c:v>3</c:v>
                      </c:pt>
                      <c:pt idx="28">
                        <c:v>2</c:v>
                      </c:pt>
                      <c:pt idx="29">
                        <c:v>3</c:v>
                      </c:pt>
                      <c:pt idx="30">
                        <c:v>2</c:v>
                      </c:pt>
                      <c:pt idx="31">
                        <c:v>2</c:v>
                      </c:pt>
                      <c:pt idx="32">
                        <c:v>2</c:v>
                      </c:pt>
                      <c:pt idx="33">
                        <c:v>2</c:v>
                      </c:pt>
                      <c:pt idx="34">
                        <c:v>0</c:v>
                      </c:pt>
                      <c:pt idx="35">
                        <c:v>0</c:v>
                      </c:pt>
                      <c:pt idx="36">
                        <c:v>3</c:v>
                      </c:pt>
                      <c:pt idx="37">
                        <c:v>4</c:v>
                      </c:pt>
                      <c:pt idx="38">
                        <c:v>5</c:v>
                      </c:pt>
                      <c:pt idx="39">
                        <c:v>5</c:v>
                      </c:pt>
                      <c:pt idx="40">
                        <c:v>6</c:v>
                      </c:pt>
                      <c:pt idx="41">
                        <c:v>4</c:v>
                      </c:pt>
                      <c:pt idx="42">
                        <c:v>1</c:v>
                      </c:pt>
                      <c:pt idx="43" formatCode="General">
                        <c:v>0</c:v>
                      </c:pt>
                      <c:pt idx="44">
                        <c:v>1</c:v>
                      </c:pt>
                      <c:pt idx="45">
                        <c:v>0</c:v>
                      </c:pt>
                      <c:pt idx="46">
                        <c:v>2</c:v>
                      </c:pt>
                      <c:pt idx="47">
                        <c:v>3</c:v>
                      </c:pt>
                      <c:pt idx="48">
                        <c:v>3</c:v>
                      </c:pt>
                      <c:pt idx="49">
                        <c:v>3</c:v>
                      </c:pt>
                      <c:pt idx="50">
                        <c:v>2</c:v>
                      </c:pt>
                      <c:pt idx="51">
                        <c:v>0</c:v>
                      </c:pt>
                      <c:pt idx="52">
                        <c:v>0</c:v>
                      </c:pt>
                      <c:pt idx="53">
                        <c:v>1</c:v>
                      </c:pt>
                      <c:pt idx="54">
                        <c:v>2</c:v>
                      </c:pt>
                      <c:pt idx="55" formatCode="General">
                        <c:v>2</c:v>
                      </c:pt>
                      <c:pt idx="56" formatCode="General">
                        <c:v>1</c:v>
                      </c:pt>
                      <c:pt idx="57" formatCode="General">
                        <c:v>2</c:v>
                      </c:pt>
                      <c:pt idx="58" formatCode="General">
                        <c:v>2</c:v>
                      </c:pt>
                      <c:pt idx="59" formatCode="General">
                        <c:v>3</c:v>
                      </c:pt>
                      <c:pt idx="60" formatCode="General">
                        <c:v>2</c:v>
                      </c:pt>
                      <c:pt idx="61" formatCode="General">
                        <c:v>2</c:v>
                      </c:pt>
                    </c:numCache>
                  </c:numRef>
                </c:val>
                <c:extLst xmlns:c15="http://schemas.microsoft.com/office/drawing/2012/chart">
                  <c:ext xmlns:c16="http://schemas.microsoft.com/office/drawing/2014/chart" uri="{C3380CC4-5D6E-409C-BE32-E72D297353CC}">
                    <c16:uniqueId val="{0000003A-85F1-4E93-8343-9A44188D74B0}"/>
                  </c:ext>
                </c:extLst>
              </c15:ser>
            </c15:filteredBarSeries>
            <c15:filteredBarSeries>
              <c15:ser>
                <c:idx val="56"/>
                <c:order val="56"/>
                <c:tx>
                  <c:strRef>
                    <c:extLst xmlns:c15="http://schemas.microsoft.com/office/drawing/2012/chart">
                      <c:ext xmlns:c15="http://schemas.microsoft.com/office/drawing/2012/chart" uri="{02D57815-91ED-43cb-92C2-25804820EDAC}">
                        <c15:formulaRef>
                          <c15:sqref>'Table for graphs 24-25 '!$A$58</c15:sqref>
                        </c15:formulaRef>
                      </c:ext>
                    </c:extLst>
                    <c:strCache>
                      <c:ptCount val="1"/>
                      <c:pt idx="0">
                        <c:v>Skin - Reported 63 - 103 days</c:v>
                      </c:pt>
                    </c:strCache>
                  </c:strRef>
                </c:tx>
                <c:spPr>
                  <a:solidFill>
                    <a:schemeClr val="accent5">
                      <a:tint val="8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'!$B$58:$DB$58</c15:sqref>
                        </c15:formulaRef>
                      </c:ext>
                    </c:extLst>
                    <c:numCache>
                      <c:formatCode>0</c:formatCode>
                      <c:ptCount val="105"/>
                      <c:pt idx="0">
                        <c:v>13</c:v>
                      </c:pt>
                      <c:pt idx="1">
                        <c:v>16</c:v>
                      </c:pt>
                      <c:pt idx="2">
                        <c:v>9</c:v>
                      </c:pt>
                      <c:pt idx="3">
                        <c:v>13</c:v>
                      </c:pt>
                      <c:pt idx="4">
                        <c:v>16</c:v>
                      </c:pt>
                      <c:pt idx="5">
                        <c:v>12</c:v>
                      </c:pt>
                      <c:pt idx="6">
                        <c:v>13</c:v>
                      </c:pt>
                      <c:pt idx="7">
                        <c:v>11</c:v>
                      </c:pt>
                      <c:pt idx="8">
                        <c:v>12</c:v>
                      </c:pt>
                      <c:pt idx="9">
                        <c:v>16</c:v>
                      </c:pt>
                      <c:pt idx="10">
                        <c:v>15</c:v>
                      </c:pt>
                      <c:pt idx="11">
                        <c:v>14</c:v>
                      </c:pt>
                      <c:pt idx="12">
                        <c:v>9</c:v>
                      </c:pt>
                      <c:pt idx="13">
                        <c:v>12</c:v>
                      </c:pt>
                      <c:pt idx="14">
                        <c:v>12</c:v>
                      </c:pt>
                      <c:pt idx="15">
                        <c:v>13</c:v>
                      </c:pt>
                      <c:pt idx="16">
                        <c:v>14</c:v>
                      </c:pt>
                      <c:pt idx="17">
                        <c:v>12</c:v>
                      </c:pt>
                      <c:pt idx="18">
                        <c:v>14</c:v>
                      </c:pt>
                      <c:pt idx="19">
                        <c:v>27</c:v>
                      </c:pt>
                      <c:pt idx="20">
                        <c:v>30</c:v>
                      </c:pt>
                      <c:pt idx="21">
                        <c:v>31</c:v>
                      </c:pt>
                      <c:pt idx="22">
                        <c:v>36</c:v>
                      </c:pt>
                      <c:pt idx="23">
                        <c:v>28</c:v>
                      </c:pt>
                      <c:pt idx="24">
                        <c:v>24</c:v>
                      </c:pt>
                      <c:pt idx="25">
                        <c:v>28</c:v>
                      </c:pt>
                      <c:pt idx="26" formatCode="General">
                        <c:v>41</c:v>
                      </c:pt>
                      <c:pt idx="27">
                        <c:v>37</c:v>
                      </c:pt>
                      <c:pt idx="28">
                        <c:v>36</c:v>
                      </c:pt>
                      <c:pt idx="29">
                        <c:v>36</c:v>
                      </c:pt>
                      <c:pt idx="30">
                        <c:v>36</c:v>
                      </c:pt>
                      <c:pt idx="31">
                        <c:v>30</c:v>
                      </c:pt>
                      <c:pt idx="32">
                        <c:v>28</c:v>
                      </c:pt>
                      <c:pt idx="33">
                        <c:v>29</c:v>
                      </c:pt>
                      <c:pt idx="34">
                        <c:v>27</c:v>
                      </c:pt>
                      <c:pt idx="35">
                        <c:v>22</c:v>
                      </c:pt>
                      <c:pt idx="36">
                        <c:v>13</c:v>
                      </c:pt>
                      <c:pt idx="37">
                        <c:v>16</c:v>
                      </c:pt>
                      <c:pt idx="38">
                        <c:v>16</c:v>
                      </c:pt>
                      <c:pt idx="39">
                        <c:v>18</c:v>
                      </c:pt>
                      <c:pt idx="40">
                        <c:v>12</c:v>
                      </c:pt>
                      <c:pt idx="41">
                        <c:v>11</c:v>
                      </c:pt>
                      <c:pt idx="42">
                        <c:v>11</c:v>
                      </c:pt>
                      <c:pt idx="43" formatCode="General">
                        <c:v>8</c:v>
                      </c:pt>
                      <c:pt idx="44">
                        <c:v>9</c:v>
                      </c:pt>
                      <c:pt idx="45">
                        <c:v>12</c:v>
                      </c:pt>
                      <c:pt idx="46">
                        <c:v>9</c:v>
                      </c:pt>
                      <c:pt idx="47">
                        <c:v>9</c:v>
                      </c:pt>
                      <c:pt idx="48">
                        <c:v>9</c:v>
                      </c:pt>
                      <c:pt idx="49">
                        <c:v>8</c:v>
                      </c:pt>
                      <c:pt idx="50">
                        <c:v>8</c:v>
                      </c:pt>
                      <c:pt idx="51">
                        <c:v>7</c:v>
                      </c:pt>
                      <c:pt idx="52">
                        <c:v>12</c:v>
                      </c:pt>
                      <c:pt idx="53">
                        <c:v>12</c:v>
                      </c:pt>
                      <c:pt idx="54">
                        <c:v>15</c:v>
                      </c:pt>
                      <c:pt idx="55" formatCode="General">
                        <c:v>15</c:v>
                      </c:pt>
                      <c:pt idx="56" formatCode="General">
                        <c:v>17</c:v>
                      </c:pt>
                      <c:pt idx="57" formatCode="General">
                        <c:v>20</c:v>
                      </c:pt>
                      <c:pt idx="58" formatCode="General">
                        <c:v>16</c:v>
                      </c:pt>
                      <c:pt idx="59" formatCode="General">
                        <c:v>13</c:v>
                      </c:pt>
                      <c:pt idx="60" formatCode="General">
                        <c:v>17</c:v>
                      </c:pt>
                      <c:pt idx="61" formatCode="General">
                        <c:v>15</c:v>
                      </c:pt>
                    </c:numCache>
                  </c:numRef>
                </c:val>
                <c:extLst xmlns:c15="http://schemas.microsoft.com/office/drawing/2012/chart">
                  <c:ext xmlns:c16="http://schemas.microsoft.com/office/drawing/2014/chart" uri="{C3380CC4-5D6E-409C-BE32-E72D297353CC}">
                    <c16:uniqueId val="{0000003B-85F1-4E93-8343-9A44188D74B0}"/>
                  </c:ext>
                </c:extLst>
              </c15:ser>
            </c15:filteredBarSeries>
            <c15:filteredBarSeries>
              <c15:ser>
                <c:idx val="57"/>
                <c:order val="57"/>
                <c:tx>
                  <c:strRef>
                    <c:extLst xmlns:c15="http://schemas.microsoft.com/office/drawing/2012/chart">
                      <c:ext xmlns:c15="http://schemas.microsoft.com/office/drawing/2012/chart" uri="{02D57815-91ED-43cb-92C2-25804820EDAC}">
                        <c15:formulaRef>
                          <c15:sqref>'Table for graphs 24-25 '!$A$59</c15:sqref>
                        </c15:formulaRef>
                      </c:ext>
                    </c:extLst>
                    <c:strCache>
                      <c:ptCount val="1"/>
                      <c:pt idx="0">
                        <c:v>Upper Gastrointestinal - Reported 63 - 103 days</c:v>
                      </c:pt>
                    </c:strCache>
                  </c:strRef>
                </c:tx>
                <c:spPr>
                  <a:solidFill>
                    <a:schemeClr val="accent5">
                      <a:tint val="8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'!$B$59:$DB$59</c15:sqref>
                        </c15:formulaRef>
                      </c:ext>
                    </c:extLst>
                    <c:numCache>
                      <c:formatCode>0</c:formatCode>
                      <c:ptCount val="105"/>
                      <c:pt idx="0">
                        <c:v>25</c:v>
                      </c:pt>
                      <c:pt idx="1">
                        <c:v>31</c:v>
                      </c:pt>
                      <c:pt idx="2">
                        <c:v>28</c:v>
                      </c:pt>
                      <c:pt idx="3">
                        <c:v>27</c:v>
                      </c:pt>
                      <c:pt idx="4">
                        <c:v>31</c:v>
                      </c:pt>
                      <c:pt idx="5">
                        <c:v>34</c:v>
                      </c:pt>
                      <c:pt idx="6">
                        <c:v>22</c:v>
                      </c:pt>
                      <c:pt idx="7">
                        <c:v>19</c:v>
                      </c:pt>
                      <c:pt idx="8">
                        <c:v>30</c:v>
                      </c:pt>
                      <c:pt idx="9">
                        <c:v>30</c:v>
                      </c:pt>
                      <c:pt idx="10">
                        <c:v>34</c:v>
                      </c:pt>
                      <c:pt idx="11">
                        <c:v>25</c:v>
                      </c:pt>
                      <c:pt idx="12">
                        <c:v>33</c:v>
                      </c:pt>
                      <c:pt idx="13">
                        <c:v>30</c:v>
                      </c:pt>
                      <c:pt idx="14">
                        <c:v>26</c:v>
                      </c:pt>
                      <c:pt idx="15">
                        <c:v>20</c:v>
                      </c:pt>
                      <c:pt idx="16">
                        <c:v>13</c:v>
                      </c:pt>
                      <c:pt idx="17">
                        <c:v>12</c:v>
                      </c:pt>
                      <c:pt idx="18">
                        <c:v>13</c:v>
                      </c:pt>
                      <c:pt idx="19">
                        <c:v>20</c:v>
                      </c:pt>
                      <c:pt idx="20">
                        <c:v>24</c:v>
                      </c:pt>
                      <c:pt idx="21">
                        <c:v>26</c:v>
                      </c:pt>
                      <c:pt idx="22">
                        <c:v>25</c:v>
                      </c:pt>
                      <c:pt idx="23">
                        <c:v>33</c:v>
                      </c:pt>
                      <c:pt idx="24">
                        <c:v>28</c:v>
                      </c:pt>
                      <c:pt idx="25">
                        <c:v>26</c:v>
                      </c:pt>
                      <c:pt idx="26" formatCode="General">
                        <c:v>28</c:v>
                      </c:pt>
                      <c:pt idx="27">
                        <c:v>23</c:v>
                      </c:pt>
                      <c:pt idx="28">
                        <c:v>18</c:v>
                      </c:pt>
                      <c:pt idx="29">
                        <c:v>17</c:v>
                      </c:pt>
                      <c:pt idx="30">
                        <c:v>12</c:v>
                      </c:pt>
                      <c:pt idx="31">
                        <c:v>10</c:v>
                      </c:pt>
                      <c:pt idx="32">
                        <c:v>10</c:v>
                      </c:pt>
                      <c:pt idx="33">
                        <c:v>9</c:v>
                      </c:pt>
                      <c:pt idx="34">
                        <c:v>13</c:v>
                      </c:pt>
                      <c:pt idx="35">
                        <c:v>13</c:v>
                      </c:pt>
                      <c:pt idx="36">
                        <c:v>9</c:v>
                      </c:pt>
                      <c:pt idx="37">
                        <c:v>14</c:v>
                      </c:pt>
                      <c:pt idx="38">
                        <c:v>21</c:v>
                      </c:pt>
                      <c:pt idx="39">
                        <c:v>26</c:v>
                      </c:pt>
                      <c:pt idx="40">
                        <c:v>21</c:v>
                      </c:pt>
                      <c:pt idx="41">
                        <c:v>23</c:v>
                      </c:pt>
                      <c:pt idx="42">
                        <c:v>21</c:v>
                      </c:pt>
                      <c:pt idx="43" formatCode="General">
                        <c:v>20</c:v>
                      </c:pt>
                      <c:pt idx="44">
                        <c:v>19</c:v>
                      </c:pt>
                      <c:pt idx="45">
                        <c:v>18</c:v>
                      </c:pt>
                      <c:pt idx="46">
                        <c:v>19</c:v>
                      </c:pt>
                      <c:pt idx="47">
                        <c:v>16</c:v>
                      </c:pt>
                      <c:pt idx="48">
                        <c:v>13</c:v>
                      </c:pt>
                      <c:pt idx="49">
                        <c:v>9</c:v>
                      </c:pt>
                      <c:pt idx="50">
                        <c:v>8</c:v>
                      </c:pt>
                      <c:pt idx="51">
                        <c:v>8</c:v>
                      </c:pt>
                      <c:pt idx="52">
                        <c:v>12</c:v>
                      </c:pt>
                      <c:pt idx="53">
                        <c:v>8</c:v>
                      </c:pt>
                      <c:pt idx="54">
                        <c:v>11</c:v>
                      </c:pt>
                      <c:pt idx="55" formatCode="General">
                        <c:v>12</c:v>
                      </c:pt>
                      <c:pt idx="56" formatCode="General">
                        <c:v>13</c:v>
                      </c:pt>
                      <c:pt idx="57" formatCode="General">
                        <c:v>12</c:v>
                      </c:pt>
                      <c:pt idx="58" formatCode="General">
                        <c:v>13</c:v>
                      </c:pt>
                      <c:pt idx="59" formatCode="General">
                        <c:v>15</c:v>
                      </c:pt>
                      <c:pt idx="60" formatCode="General">
                        <c:v>13</c:v>
                      </c:pt>
                      <c:pt idx="61" formatCode="General">
                        <c:v>9</c:v>
                      </c:pt>
                    </c:numCache>
                  </c:numRef>
                </c:val>
                <c:extLst xmlns:c15="http://schemas.microsoft.com/office/drawing/2012/chart">
                  <c:ext xmlns:c16="http://schemas.microsoft.com/office/drawing/2014/chart" uri="{C3380CC4-5D6E-409C-BE32-E72D297353CC}">
                    <c16:uniqueId val="{0000003C-85F1-4E93-8343-9A44188D74B0}"/>
                  </c:ext>
                </c:extLst>
              </c15:ser>
            </c15:filteredBarSeries>
            <c15:filteredBarSeries>
              <c15:ser>
                <c:idx val="58"/>
                <c:order val="58"/>
                <c:tx>
                  <c:strRef>
                    <c:extLst xmlns:c15="http://schemas.microsoft.com/office/drawing/2012/chart">
                      <c:ext xmlns:c15="http://schemas.microsoft.com/office/drawing/2012/chart" uri="{02D57815-91ED-43cb-92C2-25804820EDAC}">
                        <c15:formulaRef>
                          <c15:sqref>'Table for graphs 24-25 '!$A$60</c15:sqref>
                        </c15:formulaRef>
                      </c:ext>
                    </c:extLst>
                    <c:strCache>
                      <c:ptCount val="1"/>
                      <c:pt idx="0">
                        <c:v>Urological - Reported 63 - 103 days</c:v>
                      </c:pt>
                    </c:strCache>
                  </c:strRef>
                </c:tx>
                <c:spPr>
                  <a:solidFill>
                    <a:schemeClr val="accent5">
                      <a:tint val="8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'!$B$60:$DB$60</c15:sqref>
                        </c15:formulaRef>
                      </c:ext>
                    </c:extLst>
                    <c:numCache>
                      <c:formatCode>0</c:formatCode>
                      <c:ptCount val="105"/>
                      <c:pt idx="0">
                        <c:v>28</c:v>
                      </c:pt>
                      <c:pt idx="1">
                        <c:v>30</c:v>
                      </c:pt>
                      <c:pt idx="2">
                        <c:v>32</c:v>
                      </c:pt>
                      <c:pt idx="3">
                        <c:v>28</c:v>
                      </c:pt>
                      <c:pt idx="4">
                        <c:v>32</c:v>
                      </c:pt>
                      <c:pt idx="5">
                        <c:v>39</c:v>
                      </c:pt>
                      <c:pt idx="6">
                        <c:v>35</c:v>
                      </c:pt>
                      <c:pt idx="7">
                        <c:v>40</c:v>
                      </c:pt>
                      <c:pt idx="8">
                        <c:v>33</c:v>
                      </c:pt>
                      <c:pt idx="9">
                        <c:v>36</c:v>
                      </c:pt>
                      <c:pt idx="10">
                        <c:v>32</c:v>
                      </c:pt>
                      <c:pt idx="11">
                        <c:v>27</c:v>
                      </c:pt>
                      <c:pt idx="12">
                        <c:v>28</c:v>
                      </c:pt>
                      <c:pt idx="13">
                        <c:v>28</c:v>
                      </c:pt>
                      <c:pt idx="14">
                        <c:v>24</c:v>
                      </c:pt>
                      <c:pt idx="15">
                        <c:v>26</c:v>
                      </c:pt>
                      <c:pt idx="16">
                        <c:v>29</c:v>
                      </c:pt>
                      <c:pt idx="17">
                        <c:v>37</c:v>
                      </c:pt>
                      <c:pt idx="18">
                        <c:v>35</c:v>
                      </c:pt>
                      <c:pt idx="19">
                        <c:v>40</c:v>
                      </c:pt>
                      <c:pt idx="20">
                        <c:v>33</c:v>
                      </c:pt>
                      <c:pt idx="21">
                        <c:v>29</c:v>
                      </c:pt>
                      <c:pt idx="22">
                        <c:v>33</c:v>
                      </c:pt>
                      <c:pt idx="23">
                        <c:v>36</c:v>
                      </c:pt>
                      <c:pt idx="24">
                        <c:v>33</c:v>
                      </c:pt>
                      <c:pt idx="25">
                        <c:v>29</c:v>
                      </c:pt>
                      <c:pt idx="26" formatCode="General">
                        <c:v>29</c:v>
                      </c:pt>
                      <c:pt idx="27">
                        <c:v>32</c:v>
                      </c:pt>
                      <c:pt idx="28">
                        <c:v>30</c:v>
                      </c:pt>
                      <c:pt idx="29">
                        <c:v>29</c:v>
                      </c:pt>
                      <c:pt idx="30">
                        <c:v>28</c:v>
                      </c:pt>
                      <c:pt idx="31">
                        <c:v>30</c:v>
                      </c:pt>
                      <c:pt idx="32">
                        <c:v>27</c:v>
                      </c:pt>
                      <c:pt idx="33">
                        <c:v>27</c:v>
                      </c:pt>
                      <c:pt idx="34">
                        <c:v>24</c:v>
                      </c:pt>
                      <c:pt idx="35">
                        <c:v>26</c:v>
                      </c:pt>
                      <c:pt idx="36">
                        <c:v>27</c:v>
                      </c:pt>
                      <c:pt idx="37">
                        <c:v>27</c:v>
                      </c:pt>
                      <c:pt idx="38">
                        <c:v>25</c:v>
                      </c:pt>
                      <c:pt idx="39">
                        <c:v>27</c:v>
                      </c:pt>
                      <c:pt idx="40">
                        <c:v>31</c:v>
                      </c:pt>
                      <c:pt idx="41">
                        <c:v>32</c:v>
                      </c:pt>
                      <c:pt idx="42">
                        <c:v>40</c:v>
                      </c:pt>
                      <c:pt idx="43" formatCode="General">
                        <c:v>41</c:v>
                      </c:pt>
                      <c:pt idx="44">
                        <c:v>37</c:v>
                      </c:pt>
                      <c:pt idx="45">
                        <c:v>35</c:v>
                      </c:pt>
                      <c:pt idx="46">
                        <c:v>29</c:v>
                      </c:pt>
                      <c:pt idx="47">
                        <c:v>28</c:v>
                      </c:pt>
                      <c:pt idx="48">
                        <c:v>25</c:v>
                      </c:pt>
                      <c:pt idx="49">
                        <c:v>20</c:v>
                      </c:pt>
                      <c:pt idx="50">
                        <c:v>20</c:v>
                      </c:pt>
                      <c:pt idx="51">
                        <c:v>26</c:v>
                      </c:pt>
                      <c:pt idx="52">
                        <c:v>25</c:v>
                      </c:pt>
                      <c:pt idx="53">
                        <c:v>30</c:v>
                      </c:pt>
                      <c:pt idx="54">
                        <c:v>22</c:v>
                      </c:pt>
                      <c:pt idx="55" formatCode="General">
                        <c:v>21</c:v>
                      </c:pt>
                      <c:pt idx="56" formatCode="General">
                        <c:v>17</c:v>
                      </c:pt>
                      <c:pt idx="57" formatCode="General">
                        <c:v>23</c:v>
                      </c:pt>
                      <c:pt idx="58" formatCode="General">
                        <c:v>24</c:v>
                      </c:pt>
                      <c:pt idx="59" formatCode="General">
                        <c:v>23</c:v>
                      </c:pt>
                      <c:pt idx="60" formatCode="General">
                        <c:v>25</c:v>
                      </c:pt>
                      <c:pt idx="61" formatCode="General">
                        <c:v>24</c:v>
                      </c:pt>
                    </c:numCache>
                  </c:numRef>
                </c:val>
                <c:extLst xmlns:c15="http://schemas.microsoft.com/office/drawing/2012/chart">
                  <c:ext xmlns:c16="http://schemas.microsoft.com/office/drawing/2014/chart" uri="{C3380CC4-5D6E-409C-BE32-E72D297353CC}">
                    <c16:uniqueId val="{0000003D-85F1-4E93-8343-9A44188D74B0}"/>
                  </c:ext>
                </c:extLst>
              </c15:ser>
            </c15:filteredBarSeries>
            <c15:filteredBarSeries>
              <c15:ser>
                <c:idx val="60"/>
                <c:order val="60"/>
                <c:tx>
                  <c:strRef>
                    <c:extLst xmlns:c15="http://schemas.microsoft.com/office/drawing/2012/chart">
                      <c:ext xmlns:c15="http://schemas.microsoft.com/office/drawing/2012/chart" uri="{02D57815-91ED-43cb-92C2-25804820EDAC}">
                        <c15:formulaRef>
                          <c15:sqref>'Table for graphs 24-25 '!$A$62</c15:sqref>
                        </c15:formulaRef>
                      </c:ext>
                    </c:extLst>
                    <c:strCache>
                      <c:ptCount val="1"/>
                      <c:pt idx="0">
                        <c:v>Acute Leukaemia - Reported &gt;103 days</c:v>
                      </c:pt>
                    </c:strCache>
                  </c:strRef>
                </c:tx>
                <c:spPr>
                  <a:solidFill>
                    <a:schemeClr val="accent5">
                      <a:tint val="8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'!$B$62:$DB$62</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0</c:v>
                      </c:pt>
                      <c:pt idx="46">
                        <c:v>0</c:v>
                      </c:pt>
                      <c:pt idx="47">
                        <c:v>0</c:v>
                      </c:pt>
                      <c:pt idx="48">
                        <c:v>1</c:v>
                      </c:pt>
                      <c:pt idx="49">
                        <c:v>0</c:v>
                      </c:pt>
                      <c:pt idx="50">
                        <c:v>0</c:v>
                      </c:pt>
                      <c:pt idx="51">
                        <c:v>0</c:v>
                      </c:pt>
                      <c:pt idx="52">
                        <c:v>0</c:v>
                      </c:pt>
                      <c:pt idx="53" formatCode="General">
                        <c:v>0</c:v>
                      </c:pt>
                      <c:pt idx="54" formatCode="General">
                        <c:v>0</c:v>
                      </c:pt>
                      <c:pt idx="55" formatCode="General">
                        <c:v>1</c:v>
                      </c:pt>
                      <c:pt idx="56" formatCode="General">
                        <c:v>1</c:v>
                      </c:pt>
                      <c:pt idx="57" formatCode="General">
                        <c:v>1</c:v>
                      </c:pt>
                      <c:pt idx="58" formatCode="General">
                        <c:v>1</c:v>
                      </c:pt>
                      <c:pt idx="59" formatCode="General">
                        <c:v>0</c:v>
                      </c:pt>
                      <c:pt idx="60" formatCode="General">
                        <c:v>0</c:v>
                      </c:pt>
                      <c:pt idx="61" formatCode="General">
                        <c:v>0</c:v>
                      </c:pt>
                    </c:numCache>
                  </c:numRef>
                </c:val>
                <c:extLst xmlns:c15="http://schemas.microsoft.com/office/drawing/2012/chart">
                  <c:ext xmlns:c16="http://schemas.microsoft.com/office/drawing/2014/chart" uri="{C3380CC4-5D6E-409C-BE32-E72D297353CC}">
                    <c16:uniqueId val="{0000003E-85F1-4E93-8343-9A44188D74B0}"/>
                  </c:ext>
                </c:extLst>
              </c15:ser>
            </c15:filteredBarSeries>
            <c15:filteredBarSeries>
              <c15:ser>
                <c:idx val="61"/>
                <c:order val="61"/>
                <c:tx>
                  <c:strRef>
                    <c:extLst xmlns:c15="http://schemas.microsoft.com/office/drawing/2012/chart">
                      <c:ext xmlns:c15="http://schemas.microsoft.com/office/drawing/2012/chart" uri="{02D57815-91ED-43cb-92C2-25804820EDAC}">
                        <c15:formulaRef>
                          <c15:sqref>'Table for graphs 24-25 '!$A$63</c15:sqref>
                        </c15:formulaRef>
                      </c:ext>
                    </c:extLst>
                    <c:strCache>
                      <c:ptCount val="1"/>
                      <c:pt idx="0">
                        <c:v>Brain/CNS - Reported &gt;103 days</c:v>
                      </c:pt>
                    </c:strCache>
                  </c:strRef>
                </c:tx>
                <c:spPr>
                  <a:solidFill>
                    <a:schemeClr val="accent5">
                      <a:tint val="7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'!$B$63:$DB$63</c15:sqref>
                        </c15:formulaRef>
                      </c:ext>
                    </c:extLst>
                    <c:numCache>
                      <c:formatCode>0</c:formatCode>
                      <c:ptCount val="105"/>
                      <c:pt idx="0">
                        <c:v>0</c:v>
                      </c:pt>
                      <c:pt idx="1">
                        <c:v>0</c:v>
                      </c:pt>
                      <c:pt idx="2">
                        <c:v>0</c:v>
                      </c:pt>
                      <c:pt idx="3">
                        <c:v>0</c:v>
                      </c:pt>
                      <c:pt idx="4">
                        <c:v>0</c:v>
                      </c:pt>
                      <c:pt idx="5">
                        <c:v>0</c:v>
                      </c:pt>
                      <c:pt idx="6">
                        <c:v>1</c:v>
                      </c:pt>
                      <c:pt idx="7">
                        <c:v>1</c:v>
                      </c:pt>
                      <c:pt idx="8">
                        <c:v>1</c:v>
                      </c:pt>
                      <c:pt idx="9">
                        <c:v>1</c:v>
                      </c:pt>
                      <c:pt idx="10">
                        <c:v>1</c:v>
                      </c:pt>
                      <c:pt idx="11">
                        <c:v>1</c:v>
                      </c:pt>
                      <c:pt idx="12">
                        <c:v>1</c:v>
                      </c:pt>
                      <c:pt idx="13">
                        <c:v>1</c:v>
                      </c:pt>
                      <c:pt idx="14">
                        <c:v>1</c:v>
                      </c:pt>
                      <c:pt idx="15">
                        <c:v>1</c:v>
                      </c:pt>
                      <c:pt idx="16">
                        <c:v>1</c:v>
                      </c:pt>
                      <c:pt idx="17">
                        <c:v>1</c:v>
                      </c:pt>
                      <c:pt idx="18">
                        <c:v>1</c:v>
                      </c:pt>
                      <c:pt idx="19">
                        <c:v>1</c:v>
                      </c:pt>
                      <c:pt idx="20">
                        <c:v>1</c:v>
                      </c:pt>
                      <c:pt idx="21">
                        <c:v>0</c:v>
                      </c:pt>
                      <c:pt idx="22">
                        <c:v>0</c:v>
                      </c:pt>
                      <c:pt idx="23">
                        <c:v>1</c:v>
                      </c:pt>
                      <c:pt idx="24">
                        <c:v>1</c:v>
                      </c:pt>
                      <c:pt idx="25">
                        <c:v>0</c:v>
                      </c:pt>
                      <c:pt idx="26">
                        <c:v>1</c:v>
                      </c:pt>
                      <c:pt idx="27">
                        <c:v>1</c:v>
                      </c:pt>
                      <c:pt idx="28">
                        <c:v>1</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1</c:v>
                      </c:pt>
                      <c:pt idx="46">
                        <c:v>0</c:v>
                      </c:pt>
                      <c:pt idx="47">
                        <c:v>0</c:v>
                      </c:pt>
                      <c:pt idx="48">
                        <c:v>0</c:v>
                      </c:pt>
                      <c:pt idx="49">
                        <c:v>0</c:v>
                      </c:pt>
                      <c:pt idx="50">
                        <c:v>0</c:v>
                      </c:pt>
                      <c:pt idx="51">
                        <c:v>0</c:v>
                      </c:pt>
                      <c:pt idx="52">
                        <c:v>0</c:v>
                      </c:pt>
                      <c:pt idx="53" formatCode="General">
                        <c:v>0</c:v>
                      </c:pt>
                      <c:pt idx="54" formatCode="General">
                        <c:v>0</c:v>
                      </c:pt>
                      <c:pt idx="55" formatCode="General">
                        <c:v>0</c:v>
                      </c:pt>
                      <c:pt idx="56" formatCode="General">
                        <c:v>0</c:v>
                      </c:pt>
                      <c:pt idx="57" formatCode="General">
                        <c:v>0</c:v>
                      </c:pt>
                      <c:pt idx="58" formatCode="General">
                        <c:v>0</c:v>
                      </c:pt>
                      <c:pt idx="59" formatCode="General">
                        <c:v>0</c:v>
                      </c:pt>
                      <c:pt idx="60" formatCode="General">
                        <c:v>0</c:v>
                      </c:pt>
                      <c:pt idx="61" formatCode="General">
                        <c:v>0</c:v>
                      </c:pt>
                    </c:numCache>
                  </c:numRef>
                </c:val>
                <c:extLst xmlns:c15="http://schemas.microsoft.com/office/drawing/2012/chart">
                  <c:ext xmlns:c16="http://schemas.microsoft.com/office/drawing/2014/chart" uri="{C3380CC4-5D6E-409C-BE32-E72D297353CC}">
                    <c16:uniqueId val="{0000003F-85F1-4E93-8343-9A44188D74B0}"/>
                  </c:ext>
                </c:extLst>
              </c15:ser>
            </c15:filteredBarSeries>
            <c15:filteredBarSeries>
              <c15:ser>
                <c:idx val="62"/>
                <c:order val="62"/>
                <c:tx>
                  <c:strRef>
                    <c:extLst xmlns:c15="http://schemas.microsoft.com/office/drawing/2012/chart">
                      <c:ext xmlns:c15="http://schemas.microsoft.com/office/drawing/2012/chart" uri="{02D57815-91ED-43cb-92C2-25804820EDAC}">
                        <c15:formulaRef>
                          <c15:sqref>'Table for graphs 24-25 '!$A$64</c15:sqref>
                        </c15:formulaRef>
                      </c:ext>
                    </c:extLst>
                    <c:strCache>
                      <c:ptCount val="1"/>
                      <c:pt idx="0">
                        <c:v>Breast - Reported &gt;103 days</c:v>
                      </c:pt>
                    </c:strCache>
                  </c:strRef>
                </c:tx>
                <c:spPr>
                  <a:solidFill>
                    <a:schemeClr val="accent5">
                      <a:tint val="7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'!$B$64:$DB$64</c15:sqref>
                        </c15:formulaRef>
                      </c:ext>
                    </c:extLst>
                    <c:numCache>
                      <c:formatCode>0</c:formatCode>
                      <c:ptCount val="105"/>
                      <c:pt idx="0">
                        <c:v>1</c:v>
                      </c:pt>
                      <c:pt idx="1">
                        <c:v>2</c:v>
                      </c:pt>
                      <c:pt idx="2">
                        <c:v>3</c:v>
                      </c:pt>
                      <c:pt idx="3">
                        <c:v>2</c:v>
                      </c:pt>
                      <c:pt idx="4">
                        <c:v>5</c:v>
                      </c:pt>
                      <c:pt idx="5">
                        <c:v>3</c:v>
                      </c:pt>
                      <c:pt idx="6">
                        <c:v>2</c:v>
                      </c:pt>
                      <c:pt idx="7">
                        <c:v>1</c:v>
                      </c:pt>
                      <c:pt idx="8">
                        <c:v>1</c:v>
                      </c:pt>
                      <c:pt idx="9">
                        <c:v>1</c:v>
                      </c:pt>
                      <c:pt idx="10">
                        <c:v>2</c:v>
                      </c:pt>
                      <c:pt idx="11">
                        <c:v>3</c:v>
                      </c:pt>
                      <c:pt idx="12">
                        <c:v>3</c:v>
                      </c:pt>
                      <c:pt idx="13">
                        <c:v>2</c:v>
                      </c:pt>
                      <c:pt idx="14">
                        <c:v>4</c:v>
                      </c:pt>
                      <c:pt idx="15">
                        <c:v>5</c:v>
                      </c:pt>
                      <c:pt idx="16">
                        <c:v>4</c:v>
                      </c:pt>
                      <c:pt idx="17">
                        <c:v>2</c:v>
                      </c:pt>
                      <c:pt idx="18">
                        <c:v>2</c:v>
                      </c:pt>
                      <c:pt idx="19">
                        <c:v>1</c:v>
                      </c:pt>
                      <c:pt idx="20">
                        <c:v>0</c:v>
                      </c:pt>
                      <c:pt idx="21">
                        <c:v>1</c:v>
                      </c:pt>
                      <c:pt idx="22">
                        <c:v>2</c:v>
                      </c:pt>
                      <c:pt idx="23">
                        <c:v>1</c:v>
                      </c:pt>
                      <c:pt idx="24">
                        <c:v>1</c:v>
                      </c:pt>
                      <c:pt idx="25">
                        <c:v>2</c:v>
                      </c:pt>
                      <c:pt idx="26">
                        <c:v>2</c:v>
                      </c:pt>
                      <c:pt idx="27">
                        <c:v>2</c:v>
                      </c:pt>
                      <c:pt idx="28">
                        <c:v>5</c:v>
                      </c:pt>
                      <c:pt idx="29">
                        <c:v>5</c:v>
                      </c:pt>
                      <c:pt idx="30">
                        <c:v>4</c:v>
                      </c:pt>
                      <c:pt idx="31">
                        <c:v>3</c:v>
                      </c:pt>
                      <c:pt idx="32">
                        <c:v>4</c:v>
                      </c:pt>
                      <c:pt idx="33">
                        <c:v>5</c:v>
                      </c:pt>
                      <c:pt idx="34">
                        <c:v>7</c:v>
                      </c:pt>
                      <c:pt idx="35">
                        <c:v>7</c:v>
                      </c:pt>
                      <c:pt idx="36">
                        <c:v>6</c:v>
                      </c:pt>
                      <c:pt idx="37">
                        <c:v>7</c:v>
                      </c:pt>
                      <c:pt idx="38">
                        <c:v>4</c:v>
                      </c:pt>
                      <c:pt idx="39">
                        <c:v>6</c:v>
                      </c:pt>
                      <c:pt idx="40">
                        <c:v>3</c:v>
                      </c:pt>
                      <c:pt idx="41">
                        <c:v>5</c:v>
                      </c:pt>
                      <c:pt idx="42">
                        <c:v>7</c:v>
                      </c:pt>
                      <c:pt idx="43" formatCode="General">
                        <c:v>5</c:v>
                      </c:pt>
                      <c:pt idx="44">
                        <c:v>7</c:v>
                      </c:pt>
                      <c:pt idx="45">
                        <c:v>7</c:v>
                      </c:pt>
                      <c:pt idx="46">
                        <c:v>8</c:v>
                      </c:pt>
                      <c:pt idx="47">
                        <c:v>6</c:v>
                      </c:pt>
                      <c:pt idx="48">
                        <c:v>10</c:v>
                      </c:pt>
                      <c:pt idx="49">
                        <c:v>8</c:v>
                      </c:pt>
                      <c:pt idx="50">
                        <c:v>7</c:v>
                      </c:pt>
                      <c:pt idx="51">
                        <c:v>5</c:v>
                      </c:pt>
                      <c:pt idx="52">
                        <c:v>5</c:v>
                      </c:pt>
                      <c:pt idx="53" formatCode="General">
                        <c:v>2</c:v>
                      </c:pt>
                      <c:pt idx="54" formatCode="General">
                        <c:v>2</c:v>
                      </c:pt>
                      <c:pt idx="55" formatCode="General">
                        <c:v>0</c:v>
                      </c:pt>
                      <c:pt idx="56" formatCode="General">
                        <c:v>0</c:v>
                      </c:pt>
                      <c:pt idx="57" formatCode="General">
                        <c:v>0</c:v>
                      </c:pt>
                      <c:pt idx="58" formatCode="General">
                        <c:v>1</c:v>
                      </c:pt>
                      <c:pt idx="59" formatCode="General">
                        <c:v>1</c:v>
                      </c:pt>
                      <c:pt idx="60" formatCode="General">
                        <c:v>1</c:v>
                      </c:pt>
                      <c:pt idx="61" formatCode="General">
                        <c:v>1</c:v>
                      </c:pt>
                    </c:numCache>
                  </c:numRef>
                </c:val>
                <c:extLst xmlns:c15="http://schemas.microsoft.com/office/drawing/2012/chart">
                  <c:ext xmlns:c16="http://schemas.microsoft.com/office/drawing/2014/chart" uri="{C3380CC4-5D6E-409C-BE32-E72D297353CC}">
                    <c16:uniqueId val="{00000040-85F1-4E93-8343-9A44188D74B0}"/>
                  </c:ext>
                </c:extLst>
              </c15:ser>
            </c15:filteredBarSeries>
            <c15:filteredBarSeries>
              <c15:ser>
                <c:idx val="63"/>
                <c:order val="63"/>
                <c:tx>
                  <c:strRef>
                    <c:extLst xmlns:c15="http://schemas.microsoft.com/office/drawing/2012/chart">
                      <c:ext xmlns:c15="http://schemas.microsoft.com/office/drawing/2012/chart" uri="{02D57815-91ED-43cb-92C2-25804820EDAC}">
                        <c15:formulaRef>
                          <c15:sqref>'Table for graphs 24-25 '!$A$65</c15:sqref>
                        </c15:formulaRef>
                      </c:ext>
                    </c:extLst>
                    <c:strCache>
                      <c:ptCount val="1"/>
                      <c:pt idx="0">
                        <c:v>Children's cancer - Reported &gt;103 days</c:v>
                      </c:pt>
                    </c:strCache>
                  </c:strRef>
                </c:tx>
                <c:spPr>
                  <a:solidFill>
                    <a:schemeClr val="accent5">
                      <a:tint val="7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'!$B$65:$DB$65</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0</c:v>
                      </c:pt>
                      <c:pt idx="43" formatCode="General">
                        <c:v>0</c:v>
                      </c:pt>
                      <c:pt idx="44">
                        <c:v>0</c:v>
                      </c:pt>
                      <c:pt idx="45">
                        <c:v>0</c:v>
                      </c:pt>
                      <c:pt idx="46">
                        <c:v>0</c:v>
                      </c:pt>
                      <c:pt idx="47">
                        <c:v>0</c:v>
                      </c:pt>
                      <c:pt idx="48">
                        <c:v>0</c:v>
                      </c:pt>
                      <c:pt idx="49">
                        <c:v>0</c:v>
                      </c:pt>
                      <c:pt idx="50">
                        <c:v>0</c:v>
                      </c:pt>
                      <c:pt idx="51">
                        <c:v>0</c:v>
                      </c:pt>
                      <c:pt idx="52">
                        <c:v>0</c:v>
                      </c:pt>
                      <c:pt idx="53" formatCode="General">
                        <c:v>0</c:v>
                      </c:pt>
                      <c:pt idx="54" formatCode="General">
                        <c:v>0</c:v>
                      </c:pt>
                      <c:pt idx="55" formatCode="General">
                        <c:v>0</c:v>
                      </c:pt>
                      <c:pt idx="56" formatCode="General">
                        <c:v>0</c:v>
                      </c:pt>
                      <c:pt idx="57" formatCode="General">
                        <c:v>0</c:v>
                      </c:pt>
                      <c:pt idx="58" formatCode="General">
                        <c:v>0</c:v>
                      </c:pt>
                      <c:pt idx="59" formatCode="General">
                        <c:v>0</c:v>
                      </c:pt>
                      <c:pt idx="60" formatCode="General">
                        <c:v>0</c:v>
                      </c:pt>
                      <c:pt idx="61" formatCode="General">
                        <c:v>0</c:v>
                      </c:pt>
                    </c:numCache>
                  </c:numRef>
                </c:val>
                <c:extLst xmlns:c15="http://schemas.microsoft.com/office/drawing/2012/chart">
                  <c:ext xmlns:c16="http://schemas.microsoft.com/office/drawing/2014/chart" uri="{C3380CC4-5D6E-409C-BE32-E72D297353CC}">
                    <c16:uniqueId val="{00000041-85F1-4E93-8343-9A44188D74B0}"/>
                  </c:ext>
                </c:extLst>
              </c15:ser>
            </c15:filteredBarSeries>
            <c15:filteredBarSeries>
              <c15:ser>
                <c:idx val="64"/>
                <c:order val="64"/>
                <c:tx>
                  <c:strRef>
                    <c:extLst xmlns:c15="http://schemas.microsoft.com/office/drawing/2012/chart">
                      <c:ext xmlns:c15="http://schemas.microsoft.com/office/drawing/2012/chart" uri="{02D57815-91ED-43cb-92C2-25804820EDAC}">
                        <c15:formulaRef>
                          <c15:sqref>'Table for graphs 24-25 '!$A$66</c15:sqref>
                        </c15:formulaRef>
                      </c:ext>
                    </c:extLst>
                    <c:strCache>
                      <c:ptCount val="1"/>
                      <c:pt idx="0">
                        <c:v>Gynaecological - Reported &gt;103 days</c:v>
                      </c:pt>
                    </c:strCache>
                  </c:strRef>
                </c:tx>
                <c:spPr>
                  <a:solidFill>
                    <a:schemeClr val="accent5">
                      <a:tint val="7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'!$B$66:$DB$66</c15:sqref>
                        </c15:formulaRef>
                      </c:ext>
                    </c:extLst>
                    <c:numCache>
                      <c:formatCode>0</c:formatCode>
                      <c:ptCount val="105"/>
                      <c:pt idx="0">
                        <c:v>41</c:v>
                      </c:pt>
                      <c:pt idx="1">
                        <c:v>44</c:v>
                      </c:pt>
                      <c:pt idx="2">
                        <c:v>29</c:v>
                      </c:pt>
                      <c:pt idx="3">
                        <c:v>33</c:v>
                      </c:pt>
                      <c:pt idx="4">
                        <c:v>41</c:v>
                      </c:pt>
                      <c:pt idx="5">
                        <c:v>42</c:v>
                      </c:pt>
                      <c:pt idx="6">
                        <c:v>43</c:v>
                      </c:pt>
                      <c:pt idx="7">
                        <c:v>40</c:v>
                      </c:pt>
                      <c:pt idx="8">
                        <c:v>41</c:v>
                      </c:pt>
                      <c:pt idx="9">
                        <c:v>34</c:v>
                      </c:pt>
                      <c:pt idx="10">
                        <c:v>32</c:v>
                      </c:pt>
                      <c:pt idx="11">
                        <c:v>31</c:v>
                      </c:pt>
                      <c:pt idx="12">
                        <c:v>28</c:v>
                      </c:pt>
                      <c:pt idx="13">
                        <c:v>30</c:v>
                      </c:pt>
                      <c:pt idx="14">
                        <c:v>29</c:v>
                      </c:pt>
                      <c:pt idx="15">
                        <c:v>30</c:v>
                      </c:pt>
                      <c:pt idx="16">
                        <c:v>25</c:v>
                      </c:pt>
                      <c:pt idx="17">
                        <c:v>23</c:v>
                      </c:pt>
                      <c:pt idx="18">
                        <c:v>21</c:v>
                      </c:pt>
                      <c:pt idx="19">
                        <c:v>17</c:v>
                      </c:pt>
                      <c:pt idx="20">
                        <c:v>20</c:v>
                      </c:pt>
                      <c:pt idx="21">
                        <c:v>21</c:v>
                      </c:pt>
                      <c:pt idx="22">
                        <c:v>24</c:v>
                      </c:pt>
                      <c:pt idx="23">
                        <c:v>27</c:v>
                      </c:pt>
                      <c:pt idx="24">
                        <c:v>30</c:v>
                      </c:pt>
                      <c:pt idx="25">
                        <c:v>25</c:v>
                      </c:pt>
                      <c:pt idx="26">
                        <c:v>27</c:v>
                      </c:pt>
                      <c:pt idx="27">
                        <c:v>26</c:v>
                      </c:pt>
                      <c:pt idx="28">
                        <c:v>30</c:v>
                      </c:pt>
                      <c:pt idx="29">
                        <c:v>34</c:v>
                      </c:pt>
                      <c:pt idx="30">
                        <c:v>33</c:v>
                      </c:pt>
                      <c:pt idx="31">
                        <c:v>33</c:v>
                      </c:pt>
                      <c:pt idx="32">
                        <c:v>28</c:v>
                      </c:pt>
                      <c:pt idx="33">
                        <c:v>25</c:v>
                      </c:pt>
                      <c:pt idx="34">
                        <c:v>26</c:v>
                      </c:pt>
                      <c:pt idx="35">
                        <c:v>22</c:v>
                      </c:pt>
                      <c:pt idx="36">
                        <c:v>18</c:v>
                      </c:pt>
                      <c:pt idx="37">
                        <c:v>20</c:v>
                      </c:pt>
                      <c:pt idx="38">
                        <c:v>23</c:v>
                      </c:pt>
                      <c:pt idx="39">
                        <c:v>27</c:v>
                      </c:pt>
                      <c:pt idx="40">
                        <c:v>26</c:v>
                      </c:pt>
                      <c:pt idx="41">
                        <c:v>20</c:v>
                      </c:pt>
                      <c:pt idx="42">
                        <c:v>22</c:v>
                      </c:pt>
                      <c:pt idx="43" formatCode="General">
                        <c:v>24</c:v>
                      </c:pt>
                      <c:pt idx="44">
                        <c:v>20</c:v>
                      </c:pt>
                      <c:pt idx="45">
                        <c:v>22</c:v>
                      </c:pt>
                      <c:pt idx="46">
                        <c:v>20</c:v>
                      </c:pt>
                      <c:pt idx="47">
                        <c:v>17</c:v>
                      </c:pt>
                      <c:pt idx="48">
                        <c:v>13</c:v>
                      </c:pt>
                      <c:pt idx="49">
                        <c:v>13</c:v>
                      </c:pt>
                      <c:pt idx="50">
                        <c:v>10</c:v>
                      </c:pt>
                      <c:pt idx="51">
                        <c:v>9</c:v>
                      </c:pt>
                      <c:pt idx="52">
                        <c:v>10</c:v>
                      </c:pt>
                      <c:pt idx="53" formatCode="General">
                        <c:v>9</c:v>
                      </c:pt>
                      <c:pt idx="54" formatCode="General">
                        <c:v>8</c:v>
                      </c:pt>
                      <c:pt idx="55" formatCode="General">
                        <c:v>8</c:v>
                      </c:pt>
                      <c:pt idx="56" formatCode="General">
                        <c:v>9</c:v>
                      </c:pt>
                      <c:pt idx="57" formatCode="General">
                        <c:v>9</c:v>
                      </c:pt>
                      <c:pt idx="58" formatCode="General">
                        <c:v>11</c:v>
                      </c:pt>
                      <c:pt idx="59" formatCode="General">
                        <c:v>9</c:v>
                      </c:pt>
                      <c:pt idx="60" formatCode="General">
                        <c:v>14</c:v>
                      </c:pt>
                      <c:pt idx="61" formatCode="General">
                        <c:v>15</c:v>
                      </c:pt>
                    </c:numCache>
                  </c:numRef>
                </c:val>
                <c:extLst xmlns:c15="http://schemas.microsoft.com/office/drawing/2012/chart">
                  <c:ext xmlns:c16="http://schemas.microsoft.com/office/drawing/2014/chart" uri="{C3380CC4-5D6E-409C-BE32-E72D297353CC}">
                    <c16:uniqueId val="{00000042-85F1-4E93-8343-9A44188D74B0}"/>
                  </c:ext>
                </c:extLst>
              </c15:ser>
            </c15:filteredBarSeries>
            <c15:filteredBarSeries>
              <c15:ser>
                <c:idx val="65"/>
                <c:order val="65"/>
                <c:tx>
                  <c:strRef>
                    <c:extLst xmlns:c15="http://schemas.microsoft.com/office/drawing/2012/chart">
                      <c:ext xmlns:c15="http://schemas.microsoft.com/office/drawing/2012/chart" uri="{02D57815-91ED-43cb-92C2-25804820EDAC}">
                        <c15:formulaRef>
                          <c15:sqref>'Table for graphs 24-25 '!$A$67</c15:sqref>
                        </c15:formulaRef>
                      </c:ext>
                    </c:extLst>
                    <c:strCache>
                      <c:ptCount val="1"/>
                      <c:pt idx="0">
                        <c:v>Haematological - Reported &gt;103 days</c:v>
                      </c:pt>
                    </c:strCache>
                  </c:strRef>
                </c:tx>
                <c:spPr>
                  <a:solidFill>
                    <a:schemeClr val="accent5">
                      <a:tint val="7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'!$B$67:$DB$67</c15:sqref>
                        </c15:formulaRef>
                      </c:ext>
                    </c:extLst>
                    <c:numCache>
                      <c:formatCode>0</c:formatCode>
                      <c:ptCount val="105"/>
                      <c:pt idx="0">
                        <c:v>11</c:v>
                      </c:pt>
                      <c:pt idx="1">
                        <c:v>10</c:v>
                      </c:pt>
                      <c:pt idx="2">
                        <c:v>8</c:v>
                      </c:pt>
                      <c:pt idx="3">
                        <c:v>10</c:v>
                      </c:pt>
                      <c:pt idx="4">
                        <c:v>11</c:v>
                      </c:pt>
                      <c:pt idx="5">
                        <c:v>10</c:v>
                      </c:pt>
                      <c:pt idx="6">
                        <c:v>9</c:v>
                      </c:pt>
                      <c:pt idx="7">
                        <c:v>9</c:v>
                      </c:pt>
                      <c:pt idx="8">
                        <c:v>9</c:v>
                      </c:pt>
                      <c:pt idx="9">
                        <c:v>6</c:v>
                      </c:pt>
                      <c:pt idx="10">
                        <c:v>5</c:v>
                      </c:pt>
                      <c:pt idx="11">
                        <c:v>5</c:v>
                      </c:pt>
                      <c:pt idx="12">
                        <c:v>4</c:v>
                      </c:pt>
                      <c:pt idx="13">
                        <c:v>5</c:v>
                      </c:pt>
                      <c:pt idx="14">
                        <c:v>3</c:v>
                      </c:pt>
                      <c:pt idx="15">
                        <c:v>6</c:v>
                      </c:pt>
                      <c:pt idx="16">
                        <c:v>6</c:v>
                      </c:pt>
                      <c:pt idx="17">
                        <c:v>6</c:v>
                      </c:pt>
                      <c:pt idx="18">
                        <c:v>4</c:v>
                      </c:pt>
                      <c:pt idx="19">
                        <c:v>4</c:v>
                      </c:pt>
                      <c:pt idx="20">
                        <c:v>7</c:v>
                      </c:pt>
                      <c:pt idx="21">
                        <c:v>9</c:v>
                      </c:pt>
                      <c:pt idx="22">
                        <c:v>7</c:v>
                      </c:pt>
                      <c:pt idx="23">
                        <c:v>6</c:v>
                      </c:pt>
                      <c:pt idx="24">
                        <c:v>4</c:v>
                      </c:pt>
                      <c:pt idx="25">
                        <c:v>4</c:v>
                      </c:pt>
                      <c:pt idx="26">
                        <c:v>5</c:v>
                      </c:pt>
                      <c:pt idx="27">
                        <c:v>5</c:v>
                      </c:pt>
                      <c:pt idx="28">
                        <c:v>6</c:v>
                      </c:pt>
                      <c:pt idx="29">
                        <c:v>6</c:v>
                      </c:pt>
                      <c:pt idx="30">
                        <c:v>6</c:v>
                      </c:pt>
                      <c:pt idx="31">
                        <c:v>7</c:v>
                      </c:pt>
                      <c:pt idx="32">
                        <c:v>4</c:v>
                      </c:pt>
                      <c:pt idx="33">
                        <c:v>7</c:v>
                      </c:pt>
                      <c:pt idx="34">
                        <c:v>5</c:v>
                      </c:pt>
                      <c:pt idx="35">
                        <c:v>5</c:v>
                      </c:pt>
                      <c:pt idx="36">
                        <c:v>6</c:v>
                      </c:pt>
                      <c:pt idx="37">
                        <c:v>5</c:v>
                      </c:pt>
                      <c:pt idx="38">
                        <c:v>6</c:v>
                      </c:pt>
                      <c:pt idx="39">
                        <c:v>5</c:v>
                      </c:pt>
                      <c:pt idx="40">
                        <c:v>7</c:v>
                      </c:pt>
                      <c:pt idx="41">
                        <c:v>5</c:v>
                      </c:pt>
                      <c:pt idx="42">
                        <c:v>4</c:v>
                      </c:pt>
                      <c:pt idx="43" formatCode="General">
                        <c:v>5</c:v>
                      </c:pt>
                      <c:pt idx="44">
                        <c:v>6</c:v>
                      </c:pt>
                      <c:pt idx="45">
                        <c:v>6</c:v>
                      </c:pt>
                      <c:pt idx="46">
                        <c:v>5</c:v>
                      </c:pt>
                      <c:pt idx="47">
                        <c:v>8</c:v>
                      </c:pt>
                      <c:pt idx="48">
                        <c:v>4</c:v>
                      </c:pt>
                      <c:pt idx="49">
                        <c:v>6</c:v>
                      </c:pt>
                      <c:pt idx="50">
                        <c:v>4</c:v>
                      </c:pt>
                      <c:pt idx="51">
                        <c:v>3</c:v>
                      </c:pt>
                      <c:pt idx="52">
                        <c:v>4</c:v>
                      </c:pt>
                      <c:pt idx="53" formatCode="General">
                        <c:v>3</c:v>
                      </c:pt>
                      <c:pt idx="54" formatCode="General">
                        <c:v>2</c:v>
                      </c:pt>
                      <c:pt idx="55" formatCode="General">
                        <c:v>2</c:v>
                      </c:pt>
                      <c:pt idx="56" formatCode="General">
                        <c:v>3</c:v>
                      </c:pt>
                      <c:pt idx="57" formatCode="General">
                        <c:v>4</c:v>
                      </c:pt>
                      <c:pt idx="58" formatCode="General">
                        <c:v>4</c:v>
                      </c:pt>
                      <c:pt idx="59" formatCode="General">
                        <c:v>3</c:v>
                      </c:pt>
                      <c:pt idx="60" formatCode="General">
                        <c:v>3</c:v>
                      </c:pt>
                      <c:pt idx="61" formatCode="General">
                        <c:v>4</c:v>
                      </c:pt>
                    </c:numCache>
                  </c:numRef>
                </c:val>
                <c:extLst xmlns:c15="http://schemas.microsoft.com/office/drawing/2012/chart">
                  <c:ext xmlns:c16="http://schemas.microsoft.com/office/drawing/2014/chart" uri="{C3380CC4-5D6E-409C-BE32-E72D297353CC}">
                    <c16:uniqueId val="{00000043-85F1-4E93-8343-9A44188D74B0}"/>
                  </c:ext>
                </c:extLst>
              </c15:ser>
            </c15:filteredBarSeries>
            <c15:filteredBarSeries>
              <c15:ser>
                <c:idx val="66"/>
                <c:order val="66"/>
                <c:tx>
                  <c:strRef>
                    <c:extLst xmlns:c15="http://schemas.microsoft.com/office/drawing/2012/chart">
                      <c:ext xmlns:c15="http://schemas.microsoft.com/office/drawing/2012/chart" uri="{02D57815-91ED-43cb-92C2-25804820EDAC}">
                        <c15:formulaRef>
                          <c15:sqref>'Table for graphs 24-25 '!$A$68</c15:sqref>
                        </c15:formulaRef>
                      </c:ext>
                    </c:extLst>
                    <c:strCache>
                      <c:ptCount val="1"/>
                      <c:pt idx="0">
                        <c:v>Head and neck - Reported &gt;103 days</c:v>
                      </c:pt>
                    </c:strCache>
                  </c:strRef>
                </c:tx>
                <c:spPr>
                  <a:solidFill>
                    <a:schemeClr val="accent5">
                      <a:tint val="7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'!$B$68:$DB$68</c15:sqref>
                        </c15:formulaRef>
                      </c:ext>
                    </c:extLst>
                    <c:numCache>
                      <c:formatCode>0</c:formatCode>
                      <c:ptCount val="105"/>
                      <c:pt idx="0">
                        <c:v>7</c:v>
                      </c:pt>
                      <c:pt idx="1">
                        <c:v>5</c:v>
                      </c:pt>
                      <c:pt idx="2">
                        <c:v>4</c:v>
                      </c:pt>
                      <c:pt idx="3">
                        <c:v>5</c:v>
                      </c:pt>
                      <c:pt idx="4">
                        <c:v>5</c:v>
                      </c:pt>
                      <c:pt idx="5">
                        <c:v>4</c:v>
                      </c:pt>
                      <c:pt idx="6">
                        <c:v>6</c:v>
                      </c:pt>
                      <c:pt idx="7">
                        <c:v>4</c:v>
                      </c:pt>
                      <c:pt idx="8">
                        <c:v>4</c:v>
                      </c:pt>
                      <c:pt idx="9">
                        <c:v>4</c:v>
                      </c:pt>
                      <c:pt idx="10">
                        <c:v>4</c:v>
                      </c:pt>
                      <c:pt idx="11">
                        <c:v>8</c:v>
                      </c:pt>
                      <c:pt idx="12">
                        <c:v>6</c:v>
                      </c:pt>
                      <c:pt idx="13">
                        <c:v>7</c:v>
                      </c:pt>
                      <c:pt idx="14">
                        <c:v>5</c:v>
                      </c:pt>
                      <c:pt idx="15">
                        <c:v>3</c:v>
                      </c:pt>
                      <c:pt idx="16">
                        <c:v>3</c:v>
                      </c:pt>
                      <c:pt idx="17">
                        <c:v>6</c:v>
                      </c:pt>
                      <c:pt idx="18">
                        <c:v>5</c:v>
                      </c:pt>
                      <c:pt idx="19">
                        <c:v>5</c:v>
                      </c:pt>
                      <c:pt idx="20">
                        <c:v>5</c:v>
                      </c:pt>
                      <c:pt idx="21">
                        <c:v>4</c:v>
                      </c:pt>
                      <c:pt idx="22">
                        <c:v>6</c:v>
                      </c:pt>
                      <c:pt idx="23">
                        <c:v>7</c:v>
                      </c:pt>
                      <c:pt idx="24">
                        <c:v>7</c:v>
                      </c:pt>
                      <c:pt idx="25">
                        <c:v>5</c:v>
                      </c:pt>
                      <c:pt idx="26">
                        <c:v>5</c:v>
                      </c:pt>
                      <c:pt idx="27">
                        <c:v>6</c:v>
                      </c:pt>
                      <c:pt idx="28">
                        <c:v>3</c:v>
                      </c:pt>
                      <c:pt idx="29">
                        <c:v>2</c:v>
                      </c:pt>
                      <c:pt idx="30">
                        <c:v>2</c:v>
                      </c:pt>
                      <c:pt idx="31">
                        <c:v>2</c:v>
                      </c:pt>
                      <c:pt idx="32">
                        <c:v>3</c:v>
                      </c:pt>
                      <c:pt idx="33">
                        <c:v>4</c:v>
                      </c:pt>
                      <c:pt idx="34">
                        <c:v>2</c:v>
                      </c:pt>
                      <c:pt idx="35">
                        <c:v>2</c:v>
                      </c:pt>
                      <c:pt idx="36">
                        <c:v>0</c:v>
                      </c:pt>
                      <c:pt idx="37">
                        <c:v>0</c:v>
                      </c:pt>
                      <c:pt idx="38">
                        <c:v>0</c:v>
                      </c:pt>
                      <c:pt idx="39">
                        <c:v>0</c:v>
                      </c:pt>
                      <c:pt idx="40">
                        <c:v>0</c:v>
                      </c:pt>
                      <c:pt idx="41">
                        <c:v>0</c:v>
                      </c:pt>
                      <c:pt idx="42">
                        <c:v>2</c:v>
                      </c:pt>
                      <c:pt idx="43" formatCode="General">
                        <c:v>3</c:v>
                      </c:pt>
                      <c:pt idx="44">
                        <c:v>5</c:v>
                      </c:pt>
                      <c:pt idx="45">
                        <c:v>5</c:v>
                      </c:pt>
                      <c:pt idx="46">
                        <c:v>5</c:v>
                      </c:pt>
                      <c:pt idx="47">
                        <c:v>5</c:v>
                      </c:pt>
                      <c:pt idx="48">
                        <c:v>5</c:v>
                      </c:pt>
                      <c:pt idx="49">
                        <c:v>4</c:v>
                      </c:pt>
                      <c:pt idx="50">
                        <c:v>4</c:v>
                      </c:pt>
                      <c:pt idx="51">
                        <c:v>3</c:v>
                      </c:pt>
                      <c:pt idx="52">
                        <c:v>3</c:v>
                      </c:pt>
                      <c:pt idx="53" formatCode="General">
                        <c:v>2</c:v>
                      </c:pt>
                      <c:pt idx="54" formatCode="General">
                        <c:v>4</c:v>
                      </c:pt>
                      <c:pt idx="55" formatCode="General">
                        <c:v>4</c:v>
                      </c:pt>
                      <c:pt idx="56" formatCode="General">
                        <c:v>3</c:v>
                      </c:pt>
                      <c:pt idx="57" formatCode="General">
                        <c:v>2</c:v>
                      </c:pt>
                      <c:pt idx="58" formatCode="General">
                        <c:v>1</c:v>
                      </c:pt>
                      <c:pt idx="59" formatCode="General">
                        <c:v>1</c:v>
                      </c:pt>
                      <c:pt idx="60" formatCode="General">
                        <c:v>1</c:v>
                      </c:pt>
                      <c:pt idx="61" formatCode="General">
                        <c:v>1</c:v>
                      </c:pt>
                    </c:numCache>
                  </c:numRef>
                </c:val>
                <c:extLst xmlns:c15="http://schemas.microsoft.com/office/drawing/2012/chart">
                  <c:ext xmlns:c16="http://schemas.microsoft.com/office/drawing/2014/chart" uri="{C3380CC4-5D6E-409C-BE32-E72D297353CC}">
                    <c16:uniqueId val="{00000044-85F1-4E93-8343-9A44188D74B0}"/>
                  </c:ext>
                </c:extLst>
              </c15:ser>
            </c15:filteredBarSeries>
            <c15:filteredBarSeries>
              <c15:ser>
                <c:idx val="67"/>
                <c:order val="67"/>
                <c:tx>
                  <c:strRef>
                    <c:extLst xmlns:c15="http://schemas.microsoft.com/office/drawing/2012/chart">
                      <c:ext xmlns:c15="http://schemas.microsoft.com/office/drawing/2012/chart" uri="{02D57815-91ED-43cb-92C2-25804820EDAC}">
                        <c15:formulaRef>
                          <c15:sqref>'Table for graphs 24-25 '!$A$69</c15:sqref>
                        </c15:formulaRef>
                      </c:ext>
                    </c:extLst>
                    <c:strCache>
                      <c:ptCount val="1"/>
                      <c:pt idx="0">
                        <c:v>Lower Gastrointestinal - Reported &gt;103 days</c:v>
                      </c:pt>
                    </c:strCache>
                  </c:strRef>
                </c:tx>
                <c:spPr>
                  <a:solidFill>
                    <a:schemeClr val="accent5">
                      <a:tint val="7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'!$B$69:$DB$69</c15:sqref>
                        </c15:formulaRef>
                      </c:ext>
                    </c:extLst>
                    <c:numCache>
                      <c:formatCode>0</c:formatCode>
                      <c:ptCount val="105"/>
                      <c:pt idx="0">
                        <c:v>32</c:v>
                      </c:pt>
                      <c:pt idx="1">
                        <c:v>31</c:v>
                      </c:pt>
                      <c:pt idx="2">
                        <c:v>26</c:v>
                      </c:pt>
                      <c:pt idx="3">
                        <c:v>25</c:v>
                      </c:pt>
                      <c:pt idx="4">
                        <c:v>29</c:v>
                      </c:pt>
                      <c:pt idx="5">
                        <c:v>21</c:v>
                      </c:pt>
                      <c:pt idx="6">
                        <c:v>21</c:v>
                      </c:pt>
                      <c:pt idx="7">
                        <c:v>25</c:v>
                      </c:pt>
                      <c:pt idx="8">
                        <c:v>26</c:v>
                      </c:pt>
                      <c:pt idx="9">
                        <c:v>29</c:v>
                      </c:pt>
                      <c:pt idx="10">
                        <c:v>27</c:v>
                      </c:pt>
                      <c:pt idx="11">
                        <c:v>29</c:v>
                      </c:pt>
                      <c:pt idx="12">
                        <c:v>29</c:v>
                      </c:pt>
                      <c:pt idx="13">
                        <c:v>28</c:v>
                      </c:pt>
                      <c:pt idx="14">
                        <c:v>24</c:v>
                      </c:pt>
                      <c:pt idx="15">
                        <c:v>26</c:v>
                      </c:pt>
                      <c:pt idx="16">
                        <c:v>27</c:v>
                      </c:pt>
                      <c:pt idx="17">
                        <c:v>25</c:v>
                      </c:pt>
                      <c:pt idx="18">
                        <c:v>28</c:v>
                      </c:pt>
                      <c:pt idx="19">
                        <c:v>28</c:v>
                      </c:pt>
                      <c:pt idx="20">
                        <c:v>33</c:v>
                      </c:pt>
                      <c:pt idx="21">
                        <c:v>18</c:v>
                      </c:pt>
                      <c:pt idx="22">
                        <c:v>22</c:v>
                      </c:pt>
                      <c:pt idx="23">
                        <c:v>23</c:v>
                      </c:pt>
                      <c:pt idx="24">
                        <c:v>28</c:v>
                      </c:pt>
                      <c:pt idx="25">
                        <c:v>25</c:v>
                      </c:pt>
                      <c:pt idx="26">
                        <c:v>23</c:v>
                      </c:pt>
                      <c:pt idx="27">
                        <c:v>20</c:v>
                      </c:pt>
                      <c:pt idx="28">
                        <c:v>16</c:v>
                      </c:pt>
                      <c:pt idx="29">
                        <c:v>13</c:v>
                      </c:pt>
                      <c:pt idx="30">
                        <c:v>18</c:v>
                      </c:pt>
                      <c:pt idx="31">
                        <c:v>15</c:v>
                      </c:pt>
                      <c:pt idx="32">
                        <c:v>17</c:v>
                      </c:pt>
                      <c:pt idx="33">
                        <c:v>17</c:v>
                      </c:pt>
                      <c:pt idx="34">
                        <c:v>19</c:v>
                      </c:pt>
                      <c:pt idx="35">
                        <c:v>15</c:v>
                      </c:pt>
                      <c:pt idx="36">
                        <c:v>12</c:v>
                      </c:pt>
                      <c:pt idx="37">
                        <c:v>10</c:v>
                      </c:pt>
                      <c:pt idx="38">
                        <c:v>8</c:v>
                      </c:pt>
                      <c:pt idx="39">
                        <c:v>11</c:v>
                      </c:pt>
                      <c:pt idx="40">
                        <c:v>13</c:v>
                      </c:pt>
                      <c:pt idx="41">
                        <c:v>14</c:v>
                      </c:pt>
                      <c:pt idx="42">
                        <c:v>17</c:v>
                      </c:pt>
                      <c:pt idx="43" formatCode="General">
                        <c:v>15</c:v>
                      </c:pt>
                      <c:pt idx="44">
                        <c:v>15</c:v>
                      </c:pt>
                      <c:pt idx="45">
                        <c:v>15</c:v>
                      </c:pt>
                      <c:pt idx="46">
                        <c:v>15</c:v>
                      </c:pt>
                      <c:pt idx="47">
                        <c:v>13</c:v>
                      </c:pt>
                      <c:pt idx="48">
                        <c:v>19</c:v>
                      </c:pt>
                      <c:pt idx="49">
                        <c:v>21</c:v>
                      </c:pt>
                      <c:pt idx="50">
                        <c:v>20</c:v>
                      </c:pt>
                      <c:pt idx="51">
                        <c:v>22</c:v>
                      </c:pt>
                      <c:pt idx="52">
                        <c:v>21</c:v>
                      </c:pt>
                      <c:pt idx="53" formatCode="General">
                        <c:v>17</c:v>
                      </c:pt>
                      <c:pt idx="54" formatCode="General">
                        <c:v>13</c:v>
                      </c:pt>
                      <c:pt idx="55" formatCode="General">
                        <c:v>10</c:v>
                      </c:pt>
                      <c:pt idx="56" formatCode="General">
                        <c:v>9</c:v>
                      </c:pt>
                      <c:pt idx="57" formatCode="General">
                        <c:v>11</c:v>
                      </c:pt>
                      <c:pt idx="58" formatCode="General">
                        <c:v>12</c:v>
                      </c:pt>
                      <c:pt idx="59" formatCode="General">
                        <c:v>14</c:v>
                      </c:pt>
                      <c:pt idx="60" formatCode="General">
                        <c:v>18</c:v>
                      </c:pt>
                      <c:pt idx="61" formatCode="General">
                        <c:v>16</c:v>
                      </c:pt>
                    </c:numCache>
                  </c:numRef>
                </c:val>
                <c:extLst xmlns:c15="http://schemas.microsoft.com/office/drawing/2012/chart">
                  <c:ext xmlns:c16="http://schemas.microsoft.com/office/drawing/2014/chart" uri="{C3380CC4-5D6E-409C-BE32-E72D297353CC}">
                    <c16:uniqueId val="{00000045-85F1-4E93-8343-9A44188D74B0}"/>
                  </c:ext>
                </c:extLst>
              </c15:ser>
            </c15:filteredBarSeries>
            <c15:filteredBarSeries>
              <c15:ser>
                <c:idx val="68"/>
                <c:order val="68"/>
                <c:tx>
                  <c:strRef>
                    <c:extLst xmlns:c15="http://schemas.microsoft.com/office/drawing/2012/chart">
                      <c:ext xmlns:c15="http://schemas.microsoft.com/office/drawing/2012/chart" uri="{02D57815-91ED-43cb-92C2-25804820EDAC}">
                        <c15:formulaRef>
                          <c15:sqref>'Table for graphs 24-25 '!$A$70</c15:sqref>
                        </c15:formulaRef>
                      </c:ext>
                    </c:extLst>
                    <c:strCache>
                      <c:ptCount val="1"/>
                      <c:pt idx="0">
                        <c:v>Lung - Reported &gt;103 days</c:v>
                      </c:pt>
                    </c:strCache>
                  </c:strRef>
                </c:tx>
                <c:spPr>
                  <a:solidFill>
                    <a:schemeClr val="accent5">
                      <a:tint val="6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'!$B$70:$DB$70</c15:sqref>
                        </c15:formulaRef>
                      </c:ext>
                    </c:extLst>
                    <c:numCache>
                      <c:formatCode>0</c:formatCode>
                      <c:ptCount val="105"/>
                      <c:pt idx="0">
                        <c:v>9</c:v>
                      </c:pt>
                      <c:pt idx="1">
                        <c:v>7</c:v>
                      </c:pt>
                      <c:pt idx="2">
                        <c:v>7</c:v>
                      </c:pt>
                      <c:pt idx="3">
                        <c:v>7</c:v>
                      </c:pt>
                      <c:pt idx="4">
                        <c:v>7</c:v>
                      </c:pt>
                      <c:pt idx="5">
                        <c:v>7</c:v>
                      </c:pt>
                      <c:pt idx="6">
                        <c:v>9</c:v>
                      </c:pt>
                      <c:pt idx="7">
                        <c:v>10</c:v>
                      </c:pt>
                      <c:pt idx="8">
                        <c:v>15</c:v>
                      </c:pt>
                      <c:pt idx="9">
                        <c:v>18</c:v>
                      </c:pt>
                      <c:pt idx="10">
                        <c:v>22</c:v>
                      </c:pt>
                      <c:pt idx="11">
                        <c:v>24</c:v>
                      </c:pt>
                      <c:pt idx="12">
                        <c:v>24</c:v>
                      </c:pt>
                      <c:pt idx="13">
                        <c:v>20</c:v>
                      </c:pt>
                      <c:pt idx="14">
                        <c:v>16</c:v>
                      </c:pt>
                      <c:pt idx="15">
                        <c:v>15</c:v>
                      </c:pt>
                      <c:pt idx="16">
                        <c:v>13</c:v>
                      </c:pt>
                      <c:pt idx="17">
                        <c:v>12</c:v>
                      </c:pt>
                      <c:pt idx="18">
                        <c:v>12</c:v>
                      </c:pt>
                      <c:pt idx="19">
                        <c:v>10</c:v>
                      </c:pt>
                      <c:pt idx="20">
                        <c:v>10</c:v>
                      </c:pt>
                      <c:pt idx="21">
                        <c:v>12</c:v>
                      </c:pt>
                      <c:pt idx="22">
                        <c:v>12</c:v>
                      </c:pt>
                      <c:pt idx="23">
                        <c:v>10</c:v>
                      </c:pt>
                      <c:pt idx="24">
                        <c:v>9</c:v>
                      </c:pt>
                      <c:pt idx="25">
                        <c:v>7</c:v>
                      </c:pt>
                      <c:pt idx="26">
                        <c:v>7</c:v>
                      </c:pt>
                      <c:pt idx="27">
                        <c:v>7</c:v>
                      </c:pt>
                      <c:pt idx="28">
                        <c:v>8</c:v>
                      </c:pt>
                      <c:pt idx="29">
                        <c:v>8</c:v>
                      </c:pt>
                      <c:pt idx="30">
                        <c:v>6</c:v>
                      </c:pt>
                      <c:pt idx="31">
                        <c:v>6</c:v>
                      </c:pt>
                      <c:pt idx="32">
                        <c:v>9</c:v>
                      </c:pt>
                      <c:pt idx="33">
                        <c:v>8</c:v>
                      </c:pt>
                      <c:pt idx="34">
                        <c:v>9</c:v>
                      </c:pt>
                      <c:pt idx="35">
                        <c:v>8</c:v>
                      </c:pt>
                      <c:pt idx="36">
                        <c:v>9</c:v>
                      </c:pt>
                      <c:pt idx="37">
                        <c:v>12</c:v>
                      </c:pt>
                      <c:pt idx="38">
                        <c:v>15</c:v>
                      </c:pt>
                      <c:pt idx="39">
                        <c:v>14</c:v>
                      </c:pt>
                      <c:pt idx="40">
                        <c:v>10</c:v>
                      </c:pt>
                      <c:pt idx="41">
                        <c:v>10</c:v>
                      </c:pt>
                      <c:pt idx="42">
                        <c:v>15</c:v>
                      </c:pt>
                      <c:pt idx="43" formatCode="General">
                        <c:v>13</c:v>
                      </c:pt>
                      <c:pt idx="44">
                        <c:v>10</c:v>
                      </c:pt>
                      <c:pt idx="45">
                        <c:v>11</c:v>
                      </c:pt>
                      <c:pt idx="46">
                        <c:v>10</c:v>
                      </c:pt>
                      <c:pt idx="47">
                        <c:v>10</c:v>
                      </c:pt>
                      <c:pt idx="48">
                        <c:v>10</c:v>
                      </c:pt>
                      <c:pt idx="49">
                        <c:v>10</c:v>
                      </c:pt>
                      <c:pt idx="50">
                        <c:v>11</c:v>
                      </c:pt>
                      <c:pt idx="51">
                        <c:v>11</c:v>
                      </c:pt>
                      <c:pt idx="52">
                        <c:v>10</c:v>
                      </c:pt>
                      <c:pt idx="53" formatCode="General">
                        <c:v>8</c:v>
                      </c:pt>
                      <c:pt idx="54" formatCode="General">
                        <c:v>8</c:v>
                      </c:pt>
                      <c:pt idx="55" formatCode="General">
                        <c:v>8</c:v>
                      </c:pt>
                      <c:pt idx="56" formatCode="General">
                        <c:v>8</c:v>
                      </c:pt>
                      <c:pt idx="57" formatCode="General">
                        <c:v>8</c:v>
                      </c:pt>
                      <c:pt idx="58" formatCode="General">
                        <c:v>9</c:v>
                      </c:pt>
                      <c:pt idx="59" formatCode="General">
                        <c:v>9</c:v>
                      </c:pt>
                      <c:pt idx="60" formatCode="General">
                        <c:v>8</c:v>
                      </c:pt>
                      <c:pt idx="61" formatCode="General">
                        <c:v>9</c:v>
                      </c:pt>
                    </c:numCache>
                  </c:numRef>
                </c:val>
                <c:extLst xmlns:c15="http://schemas.microsoft.com/office/drawing/2012/chart">
                  <c:ext xmlns:c16="http://schemas.microsoft.com/office/drawing/2014/chart" uri="{C3380CC4-5D6E-409C-BE32-E72D297353CC}">
                    <c16:uniqueId val="{00000046-85F1-4E93-8343-9A44188D74B0}"/>
                  </c:ext>
                </c:extLst>
              </c15:ser>
            </c15:filteredBarSeries>
            <c15:filteredBarSeries>
              <c15:ser>
                <c:idx val="69"/>
                <c:order val="69"/>
                <c:tx>
                  <c:strRef>
                    <c:extLst xmlns:c15="http://schemas.microsoft.com/office/drawing/2012/chart">
                      <c:ext xmlns:c15="http://schemas.microsoft.com/office/drawing/2012/chart" uri="{02D57815-91ED-43cb-92C2-25804820EDAC}">
                        <c15:formulaRef>
                          <c15:sqref>'Table for graphs 24-25 '!$A$71</c15:sqref>
                        </c15:formulaRef>
                      </c:ext>
                    </c:extLst>
                    <c:strCache>
                      <c:ptCount val="1"/>
                      <c:pt idx="0">
                        <c:v>Other - Reported &gt;103 days</c:v>
                      </c:pt>
                    </c:strCache>
                  </c:strRef>
                </c:tx>
                <c:spPr>
                  <a:solidFill>
                    <a:schemeClr val="accent5">
                      <a:tint val="6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'!$B$71:$DB$71</c15:sqref>
                        </c15:formulaRef>
                      </c:ext>
                    </c:extLst>
                    <c:numCache>
                      <c:formatCode>0</c:formatCode>
                      <c:ptCount val="105"/>
                      <c:pt idx="0">
                        <c:v>2</c:v>
                      </c:pt>
                      <c:pt idx="1">
                        <c:v>7</c:v>
                      </c:pt>
                      <c:pt idx="2">
                        <c:v>0</c:v>
                      </c:pt>
                      <c:pt idx="3">
                        <c:v>1</c:v>
                      </c:pt>
                      <c:pt idx="4">
                        <c:v>0</c:v>
                      </c:pt>
                      <c:pt idx="5">
                        <c:v>1</c:v>
                      </c:pt>
                      <c:pt idx="6">
                        <c:v>1</c:v>
                      </c:pt>
                      <c:pt idx="7">
                        <c:v>1</c:v>
                      </c:pt>
                      <c:pt idx="8">
                        <c:v>1</c:v>
                      </c:pt>
                      <c:pt idx="9">
                        <c:v>2</c:v>
                      </c:pt>
                      <c:pt idx="10">
                        <c:v>2</c:v>
                      </c:pt>
                      <c:pt idx="11">
                        <c:v>4</c:v>
                      </c:pt>
                      <c:pt idx="12">
                        <c:v>1</c:v>
                      </c:pt>
                      <c:pt idx="13">
                        <c:v>1</c:v>
                      </c:pt>
                      <c:pt idx="14">
                        <c:v>1</c:v>
                      </c:pt>
                      <c:pt idx="15">
                        <c:v>1</c:v>
                      </c:pt>
                      <c:pt idx="16">
                        <c:v>2</c:v>
                      </c:pt>
                      <c:pt idx="17">
                        <c:v>2</c:v>
                      </c:pt>
                      <c:pt idx="18">
                        <c:v>2</c:v>
                      </c:pt>
                      <c:pt idx="19">
                        <c:v>1</c:v>
                      </c:pt>
                      <c:pt idx="20">
                        <c:v>1</c:v>
                      </c:pt>
                      <c:pt idx="21">
                        <c:v>1</c:v>
                      </c:pt>
                      <c:pt idx="22">
                        <c:v>0</c:v>
                      </c:pt>
                      <c:pt idx="23">
                        <c:v>0</c:v>
                      </c:pt>
                      <c:pt idx="24">
                        <c:v>0</c:v>
                      </c:pt>
                      <c:pt idx="25">
                        <c:v>0</c:v>
                      </c:pt>
                      <c:pt idx="26">
                        <c:v>1</c:v>
                      </c:pt>
                      <c:pt idx="27">
                        <c:v>0</c:v>
                      </c:pt>
                      <c:pt idx="28">
                        <c:v>0</c:v>
                      </c:pt>
                      <c:pt idx="29">
                        <c:v>1</c:v>
                      </c:pt>
                      <c:pt idx="30">
                        <c:v>2</c:v>
                      </c:pt>
                      <c:pt idx="31">
                        <c:v>2</c:v>
                      </c:pt>
                      <c:pt idx="32">
                        <c:v>2</c:v>
                      </c:pt>
                      <c:pt idx="33">
                        <c:v>2</c:v>
                      </c:pt>
                      <c:pt idx="34">
                        <c:v>1</c:v>
                      </c:pt>
                      <c:pt idx="35">
                        <c:v>1</c:v>
                      </c:pt>
                      <c:pt idx="36">
                        <c:v>1</c:v>
                      </c:pt>
                      <c:pt idx="37">
                        <c:v>1</c:v>
                      </c:pt>
                      <c:pt idx="38">
                        <c:v>1</c:v>
                      </c:pt>
                      <c:pt idx="39">
                        <c:v>1</c:v>
                      </c:pt>
                      <c:pt idx="40">
                        <c:v>1</c:v>
                      </c:pt>
                      <c:pt idx="41">
                        <c:v>0</c:v>
                      </c:pt>
                      <c:pt idx="42">
                        <c:v>0</c:v>
                      </c:pt>
                      <c:pt idx="43" formatCode="General">
                        <c:v>0</c:v>
                      </c:pt>
                      <c:pt idx="44">
                        <c:v>0</c:v>
                      </c:pt>
                      <c:pt idx="45">
                        <c:v>0</c:v>
                      </c:pt>
                      <c:pt idx="46">
                        <c:v>1</c:v>
                      </c:pt>
                      <c:pt idx="47">
                        <c:v>0</c:v>
                      </c:pt>
                      <c:pt idx="48">
                        <c:v>0</c:v>
                      </c:pt>
                      <c:pt idx="49">
                        <c:v>0</c:v>
                      </c:pt>
                      <c:pt idx="50">
                        <c:v>0</c:v>
                      </c:pt>
                      <c:pt idx="51">
                        <c:v>0</c:v>
                      </c:pt>
                      <c:pt idx="52">
                        <c:v>0</c:v>
                      </c:pt>
                      <c:pt idx="53" formatCode="General">
                        <c:v>0</c:v>
                      </c:pt>
                      <c:pt idx="54" formatCode="General">
                        <c:v>0</c:v>
                      </c:pt>
                      <c:pt idx="55" formatCode="General">
                        <c:v>0</c:v>
                      </c:pt>
                      <c:pt idx="56" formatCode="General">
                        <c:v>0</c:v>
                      </c:pt>
                      <c:pt idx="57" formatCode="General">
                        <c:v>1</c:v>
                      </c:pt>
                      <c:pt idx="58" formatCode="General">
                        <c:v>1</c:v>
                      </c:pt>
                      <c:pt idx="59" formatCode="General">
                        <c:v>1</c:v>
                      </c:pt>
                      <c:pt idx="60" formatCode="General">
                        <c:v>1</c:v>
                      </c:pt>
                      <c:pt idx="61" formatCode="General">
                        <c:v>2</c:v>
                      </c:pt>
                    </c:numCache>
                  </c:numRef>
                </c:val>
                <c:extLst xmlns:c15="http://schemas.microsoft.com/office/drawing/2012/chart">
                  <c:ext xmlns:c16="http://schemas.microsoft.com/office/drawing/2014/chart" uri="{C3380CC4-5D6E-409C-BE32-E72D297353CC}">
                    <c16:uniqueId val="{00000047-85F1-4E93-8343-9A44188D74B0}"/>
                  </c:ext>
                </c:extLst>
              </c15:ser>
            </c15:filteredBarSeries>
            <c15:filteredBarSeries>
              <c15:ser>
                <c:idx val="70"/>
                <c:order val="70"/>
                <c:tx>
                  <c:strRef>
                    <c:extLst xmlns:c15="http://schemas.microsoft.com/office/drawing/2012/chart">
                      <c:ext xmlns:c15="http://schemas.microsoft.com/office/drawing/2012/chart" uri="{02D57815-91ED-43cb-92C2-25804820EDAC}">
                        <c15:formulaRef>
                          <c15:sqref>'Table for graphs 24-25 '!$A$72</c15:sqref>
                        </c15:formulaRef>
                      </c:ext>
                    </c:extLst>
                    <c:strCache>
                      <c:ptCount val="1"/>
                      <c:pt idx="0">
                        <c:v>Sarcoma - Reported &gt;103 days</c:v>
                      </c:pt>
                    </c:strCache>
                  </c:strRef>
                </c:tx>
                <c:spPr>
                  <a:solidFill>
                    <a:schemeClr val="accent5">
                      <a:tint val="6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'!$B$72:$DB$72</c15:sqref>
                        </c15:formulaRef>
                      </c:ext>
                    </c:extLst>
                    <c:numCache>
                      <c:formatCode>0</c:formatCode>
                      <c:ptCount val="105"/>
                      <c:pt idx="0">
                        <c:v>3</c:v>
                      </c:pt>
                      <c:pt idx="1">
                        <c:v>4</c:v>
                      </c:pt>
                      <c:pt idx="2">
                        <c:v>3</c:v>
                      </c:pt>
                      <c:pt idx="3">
                        <c:v>2</c:v>
                      </c:pt>
                      <c:pt idx="4">
                        <c:v>1</c:v>
                      </c:pt>
                      <c:pt idx="5">
                        <c:v>1</c:v>
                      </c:pt>
                      <c:pt idx="6">
                        <c:v>1</c:v>
                      </c:pt>
                      <c:pt idx="7">
                        <c:v>0</c:v>
                      </c:pt>
                      <c:pt idx="8">
                        <c:v>1</c:v>
                      </c:pt>
                      <c:pt idx="9">
                        <c:v>1</c:v>
                      </c:pt>
                      <c:pt idx="10">
                        <c:v>1</c:v>
                      </c:pt>
                      <c:pt idx="11">
                        <c:v>2</c:v>
                      </c:pt>
                      <c:pt idx="12">
                        <c:v>2</c:v>
                      </c:pt>
                      <c:pt idx="13">
                        <c:v>2</c:v>
                      </c:pt>
                      <c:pt idx="14">
                        <c:v>0</c:v>
                      </c:pt>
                      <c:pt idx="15">
                        <c:v>0</c:v>
                      </c:pt>
                      <c:pt idx="16">
                        <c:v>2</c:v>
                      </c:pt>
                      <c:pt idx="17">
                        <c:v>5</c:v>
                      </c:pt>
                      <c:pt idx="18">
                        <c:v>3</c:v>
                      </c:pt>
                      <c:pt idx="19">
                        <c:v>3</c:v>
                      </c:pt>
                      <c:pt idx="20">
                        <c:v>3</c:v>
                      </c:pt>
                      <c:pt idx="21">
                        <c:v>2</c:v>
                      </c:pt>
                      <c:pt idx="22">
                        <c:v>2</c:v>
                      </c:pt>
                      <c:pt idx="23">
                        <c:v>1</c:v>
                      </c:pt>
                      <c:pt idx="24">
                        <c:v>0</c:v>
                      </c:pt>
                      <c:pt idx="25">
                        <c:v>0</c:v>
                      </c:pt>
                      <c:pt idx="26">
                        <c:v>1</c:v>
                      </c:pt>
                      <c:pt idx="27">
                        <c:v>1</c:v>
                      </c:pt>
                      <c:pt idx="28">
                        <c:v>2</c:v>
                      </c:pt>
                      <c:pt idx="29">
                        <c:v>1</c:v>
                      </c:pt>
                      <c:pt idx="30">
                        <c:v>0</c:v>
                      </c:pt>
                      <c:pt idx="31">
                        <c:v>0</c:v>
                      </c:pt>
                      <c:pt idx="32">
                        <c:v>0</c:v>
                      </c:pt>
                      <c:pt idx="33">
                        <c:v>0</c:v>
                      </c:pt>
                      <c:pt idx="34">
                        <c:v>1</c:v>
                      </c:pt>
                      <c:pt idx="35">
                        <c:v>1</c:v>
                      </c:pt>
                      <c:pt idx="36">
                        <c:v>2</c:v>
                      </c:pt>
                      <c:pt idx="37">
                        <c:v>2</c:v>
                      </c:pt>
                      <c:pt idx="38">
                        <c:v>2</c:v>
                      </c:pt>
                      <c:pt idx="39">
                        <c:v>3</c:v>
                      </c:pt>
                      <c:pt idx="40">
                        <c:v>1</c:v>
                      </c:pt>
                      <c:pt idx="41">
                        <c:v>2</c:v>
                      </c:pt>
                      <c:pt idx="42">
                        <c:v>5</c:v>
                      </c:pt>
                      <c:pt idx="43" formatCode="General">
                        <c:v>4</c:v>
                      </c:pt>
                      <c:pt idx="44">
                        <c:v>4</c:v>
                      </c:pt>
                      <c:pt idx="45">
                        <c:v>4</c:v>
                      </c:pt>
                      <c:pt idx="46">
                        <c:v>3</c:v>
                      </c:pt>
                      <c:pt idx="47">
                        <c:v>2</c:v>
                      </c:pt>
                      <c:pt idx="48">
                        <c:v>2</c:v>
                      </c:pt>
                      <c:pt idx="49">
                        <c:v>2</c:v>
                      </c:pt>
                      <c:pt idx="50">
                        <c:v>2</c:v>
                      </c:pt>
                      <c:pt idx="51">
                        <c:v>2</c:v>
                      </c:pt>
                      <c:pt idx="52">
                        <c:v>2</c:v>
                      </c:pt>
                      <c:pt idx="53" formatCode="General">
                        <c:v>1</c:v>
                      </c:pt>
                      <c:pt idx="54" formatCode="General">
                        <c:v>1</c:v>
                      </c:pt>
                      <c:pt idx="55" formatCode="General">
                        <c:v>1</c:v>
                      </c:pt>
                      <c:pt idx="56" formatCode="General">
                        <c:v>0</c:v>
                      </c:pt>
                      <c:pt idx="57" formatCode="General">
                        <c:v>0</c:v>
                      </c:pt>
                      <c:pt idx="58" formatCode="General">
                        <c:v>1</c:v>
                      </c:pt>
                      <c:pt idx="59" formatCode="General">
                        <c:v>1</c:v>
                      </c:pt>
                      <c:pt idx="60" formatCode="General">
                        <c:v>1</c:v>
                      </c:pt>
                      <c:pt idx="61" formatCode="General">
                        <c:v>2</c:v>
                      </c:pt>
                    </c:numCache>
                  </c:numRef>
                </c:val>
                <c:extLst xmlns:c15="http://schemas.microsoft.com/office/drawing/2012/chart">
                  <c:ext xmlns:c16="http://schemas.microsoft.com/office/drawing/2014/chart" uri="{C3380CC4-5D6E-409C-BE32-E72D297353CC}">
                    <c16:uniqueId val="{00000048-85F1-4E93-8343-9A44188D74B0}"/>
                  </c:ext>
                </c:extLst>
              </c15:ser>
            </c15:filteredBarSeries>
            <c15:filteredBarSeries>
              <c15:ser>
                <c:idx val="71"/>
                <c:order val="71"/>
                <c:tx>
                  <c:strRef>
                    <c:extLst xmlns:c15="http://schemas.microsoft.com/office/drawing/2012/chart">
                      <c:ext xmlns:c15="http://schemas.microsoft.com/office/drawing/2012/chart" uri="{02D57815-91ED-43cb-92C2-25804820EDAC}">
                        <c15:formulaRef>
                          <c15:sqref>'Table for graphs 24-25 '!$A$73</c15:sqref>
                        </c15:formulaRef>
                      </c:ext>
                    </c:extLst>
                    <c:strCache>
                      <c:ptCount val="1"/>
                      <c:pt idx="0">
                        <c:v>Skin - Reported &gt;103 days</c:v>
                      </c:pt>
                    </c:strCache>
                  </c:strRef>
                </c:tx>
                <c:spPr>
                  <a:solidFill>
                    <a:schemeClr val="accent5">
                      <a:tint val="6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'!$B$73:$DB$73</c15:sqref>
                        </c15:formulaRef>
                      </c:ext>
                    </c:extLst>
                    <c:numCache>
                      <c:formatCode>0</c:formatCode>
                      <c:ptCount val="105"/>
                      <c:pt idx="0">
                        <c:v>8</c:v>
                      </c:pt>
                      <c:pt idx="1">
                        <c:v>7</c:v>
                      </c:pt>
                      <c:pt idx="2">
                        <c:v>5</c:v>
                      </c:pt>
                      <c:pt idx="3">
                        <c:v>5</c:v>
                      </c:pt>
                      <c:pt idx="4">
                        <c:v>4</c:v>
                      </c:pt>
                      <c:pt idx="5">
                        <c:v>2</c:v>
                      </c:pt>
                      <c:pt idx="6">
                        <c:v>3</c:v>
                      </c:pt>
                      <c:pt idx="7">
                        <c:v>3</c:v>
                      </c:pt>
                      <c:pt idx="8">
                        <c:v>4</c:v>
                      </c:pt>
                      <c:pt idx="9">
                        <c:v>3</c:v>
                      </c:pt>
                      <c:pt idx="10">
                        <c:v>4</c:v>
                      </c:pt>
                      <c:pt idx="11">
                        <c:v>2</c:v>
                      </c:pt>
                      <c:pt idx="12">
                        <c:v>3</c:v>
                      </c:pt>
                      <c:pt idx="13">
                        <c:v>6</c:v>
                      </c:pt>
                      <c:pt idx="14">
                        <c:v>5</c:v>
                      </c:pt>
                      <c:pt idx="15">
                        <c:v>5</c:v>
                      </c:pt>
                      <c:pt idx="16">
                        <c:v>2</c:v>
                      </c:pt>
                      <c:pt idx="17">
                        <c:v>3</c:v>
                      </c:pt>
                      <c:pt idx="18">
                        <c:v>1</c:v>
                      </c:pt>
                      <c:pt idx="19">
                        <c:v>2</c:v>
                      </c:pt>
                      <c:pt idx="20">
                        <c:v>5</c:v>
                      </c:pt>
                      <c:pt idx="21">
                        <c:v>6</c:v>
                      </c:pt>
                      <c:pt idx="22">
                        <c:v>8</c:v>
                      </c:pt>
                      <c:pt idx="23">
                        <c:v>8</c:v>
                      </c:pt>
                      <c:pt idx="24">
                        <c:v>7</c:v>
                      </c:pt>
                      <c:pt idx="25">
                        <c:v>10</c:v>
                      </c:pt>
                      <c:pt idx="26">
                        <c:v>9</c:v>
                      </c:pt>
                      <c:pt idx="27">
                        <c:v>8</c:v>
                      </c:pt>
                      <c:pt idx="28">
                        <c:v>6</c:v>
                      </c:pt>
                      <c:pt idx="29">
                        <c:v>7</c:v>
                      </c:pt>
                      <c:pt idx="30">
                        <c:v>6</c:v>
                      </c:pt>
                      <c:pt idx="31">
                        <c:v>12</c:v>
                      </c:pt>
                      <c:pt idx="32">
                        <c:v>7</c:v>
                      </c:pt>
                      <c:pt idx="33">
                        <c:v>9</c:v>
                      </c:pt>
                      <c:pt idx="34">
                        <c:v>9</c:v>
                      </c:pt>
                      <c:pt idx="35">
                        <c:v>8</c:v>
                      </c:pt>
                      <c:pt idx="36">
                        <c:v>6</c:v>
                      </c:pt>
                      <c:pt idx="37">
                        <c:v>6</c:v>
                      </c:pt>
                      <c:pt idx="38">
                        <c:v>8</c:v>
                      </c:pt>
                      <c:pt idx="39">
                        <c:v>8</c:v>
                      </c:pt>
                      <c:pt idx="40">
                        <c:v>8</c:v>
                      </c:pt>
                      <c:pt idx="41">
                        <c:v>9</c:v>
                      </c:pt>
                      <c:pt idx="42">
                        <c:v>6</c:v>
                      </c:pt>
                      <c:pt idx="43" formatCode="General">
                        <c:v>5</c:v>
                      </c:pt>
                      <c:pt idx="44">
                        <c:v>5</c:v>
                      </c:pt>
                      <c:pt idx="45">
                        <c:v>4</c:v>
                      </c:pt>
                      <c:pt idx="46">
                        <c:v>4</c:v>
                      </c:pt>
                      <c:pt idx="47">
                        <c:v>4</c:v>
                      </c:pt>
                      <c:pt idx="48">
                        <c:v>3</c:v>
                      </c:pt>
                      <c:pt idx="49">
                        <c:v>1</c:v>
                      </c:pt>
                      <c:pt idx="50">
                        <c:v>5</c:v>
                      </c:pt>
                      <c:pt idx="51">
                        <c:v>7</c:v>
                      </c:pt>
                      <c:pt idx="52">
                        <c:v>7</c:v>
                      </c:pt>
                      <c:pt idx="53" formatCode="General">
                        <c:v>5</c:v>
                      </c:pt>
                      <c:pt idx="54" formatCode="General">
                        <c:v>3</c:v>
                      </c:pt>
                      <c:pt idx="55" formatCode="General">
                        <c:v>3</c:v>
                      </c:pt>
                      <c:pt idx="56" formatCode="General">
                        <c:v>3</c:v>
                      </c:pt>
                      <c:pt idx="57" formatCode="General">
                        <c:v>2</c:v>
                      </c:pt>
                      <c:pt idx="58" formatCode="General">
                        <c:v>3</c:v>
                      </c:pt>
                      <c:pt idx="59" formatCode="General">
                        <c:v>4</c:v>
                      </c:pt>
                      <c:pt idx="60" formatCode="General">
                        <c:v>4</c:v>
                      </c:pt>
                      <c:pt idx="61" formatCode="General">
                        <c:v>6</c:v>
                      </c:pt>
                    </c:numCache>
                  </c:numRef>
                </c:val>
                <c:extLst xmlns:c15="http://schemas.microsoft.com/office/drawing/2012/chart">
                  <c:ext xmlns:c16="http://schemas.microsoft.com/office/drawing/2014/chart" uri="{C3380CC4-5D6E-409C-BE32-E72D297353CC}">
                    <c16:uniqueId val="{00000049-85F1-4E93-8343-9A44188D74B0}"/>
                  </c:ext>
                </c:extLst>
              </c15:ser>
            </c15:filteredBarSeries>
            <c15:filteredBarSeries>
              <c15:ser>
                <c:idx val="72"/>
                <c:order val="72"/>
                <c:tx>
                  <c:strRef>
                    <c:extLst xmlns:c15="http://schemas.microsoft.com/office/drawing/2012/chart">
                      <c:ext xmlns:c15="http://schemas.microsoft.com/office/drawing/2012/chart" uri="{02D57815-91ED-43cb-92C2-25804820EDAC}">
                        <c15:formulaRef>
                          <c15:sqref>'Table for graphs 24-25 '!$A$74</c15:sqref>
                        </c15:formulaRef>
                      </c:ext>
                    </c:extLst>
                    <c:strCache>
                      <c:ptCount val="1"/>
                      <c:pt idx="0">
                        <c:v>Upper Gastrointestinal - Reported &gt;103 days</c:v>
                      </c:pt>
                    </c:strCache>
                  </c:strRef>
                </c:tx>
                <c:spPr>
                  <a:solidFill>
                    <a:schemeClr val="accent5">
                      <a:tint val="6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'!$B$74:$DB$74</c15:sqref>
                        </c15:formulaRef>
                      </c:ext>
                    </c:extLst>
                    <c:numCache>
                      <c:formatCode>0</c:formatCode>
                      <c:ptCount val="105"/>
                      <c:pt idx="0">
                        <c:v>20</c:v>
                      </c:pt>
                      <c:pt idx="1">
                        <c:v>18</c:v>
                      </c:pt>
                      <c:pt idx="2">
                        <c:v>13</c:v>
                      </c:pt>
                      <c:pt idx="3">
                        <c:v>15</c:v>
                      </c:pt>
                      <c:pt idx="4">
                        <c:v>19</c:v>
                      </c:pt>
                      <c:pt idx="5">
                        <c:v>22</c:v>
                      </c:pt>
                      <c:pt idx="6">
                        <c:v>18</c:v>
                      </c:pt>
                      <c:pt idx="7">
                        <c:v>19</c:v>
                      </c:pt>
                      <c:pt idx="8">
                        <c:v>17</c:v>
                      </c:pt>
                      <c:pt idx="9">
                        <c:v>17</c:v>
                      </c:pt>
                      <c:pt idx="10">
                        <c:v>10</c:v>
                      </c:pt>
                      <c:pt idx="11">
                        <c:v>12</c:v>
                      </c:pt>
                      <c:pt idx="12">
                        <c:v>12</c:v>
                      </c:pt>
                      <c:pt idx="13">
                        <c:v>15</c:v>
                      </c:pt>
                      <c:pt idx="14">
                        <c:v>10</c:v>
                      </c:pt>
                      <c:pt idx="15">
                        <c:v>16</c:v>
                      </c:pt>
                      <c:pt idx="16">
                        <c:v>15</c:v>
                      </c:pt>
                      <c:pt idx="17">
                        <c:v>13</c:v>
                      </c:pt>
                      <c:pt idx="18">
                        <c:v>13</c:v>
                      </c:pt>
                      <c:pt idx="19">
                        <c:v>13</c:v>
                      </c:pt>
                      <c:pt idx="20">
                        <c:v>12</c:v>
                      </c:pt>
                      <c:pt idx="21">
                        <c:v>14</c:v>
                      </c:pt>
                      <c:pt idx="22">
                        <c:v>11</c:v>
                      </c:pt>
                      <c:pt idx="23">
                        <c:v>12</c:v>
                      </c:pt>
                      <c:pt idx="24">
                        <c:v>15</c:v>
                      </c:pt>
                      <c:pt idx="25">
                        <c:v>16</c:v>
                      </c:pt>
                      <c:pt idx="26">
                        <c:v>17</c:v>
                      </c:pt>
                      <c:pt idx="27">
                        <c:v>20</c:v>
                      </c:pt>
                      <c:pt idx="28">
                        <c:v>16</c:v>
                      </c:pt>
                      <c:pt idx="29">
                        <c:v>17</c:v>
                      </c:pt>
                      <c:pt idx="30">
                        <c:v>17</c:v>
                      </c:pt>
                      <c:pt idx="31">
                        <c:v>18</c:v>
                      </c:pt>
                      <c:pt idx="32">
                        <c:v>15</c:v>
                      </c:pt>
                      <c:pt idx="33">
                        <c:v>17</c:v>
                      </c:pt>
                      <c:pt idx="34">
                        <c:v>17</c:v>
                      </c:pt>
                      <c:pt idx="35">
                        <c:v>19</c:v>
                      </c:pt>
                      <c:pt idx="36">
                        <c:v>17</c:v>
                      </c:pt>
                      <c:pt idx="37">
                        <c:v>17</c:v>
                      </c:pt>
                      <c:pt idx="38">
                        <c:v>15</c:v>
                      </c:pt>
                      <c:pt idx="39">
                        <c:v>15</c:v>
                      </c:pt>
                      <c:pt idx="40">
                        <c:v>16</c:v>
                      </c:pt>
                      <c:pt idx="41">
                        <c:v>13</c:v>
                      </c:pt>
                      <c:pt idx="42">
                        <c:v>13</c:v>
                      </c:pt>
                      <c:pt idx="43" formatCode="General">
                        <c:v>12</c:v>
                      </c:pt>
                      <c:pt idx="44">
                        <c:v>15</c:v>
                      </c:pt>
                      <c:pt idx="45">
                        <c:v>14</c:v>
                      </c:pt>
                      <c:pt idx="46">
                        <c:v>12</c:v>
                      </c:pt>
                      <c:pt idx="47">
                        <c:v>11</c:v>
                      </c:pt>
                      <c:pt idx="48">
                        <c:v>8</c:v>
                      </c:pt>
                      <c:pt idx="49">
                        <c:v>7</c:v>
                      </c:pt>
                      <c:pt idx="50">
                        <c:v>9</c:v>
                      </c:pt>
                      <c:pt idx="51">
                        <c:v>8</c:v>
                      </c:pt>
                      <c:pt idx="52">
                        <c:v>9</c:v>
                      </c:pt>
                      <c:pt idx="53" formatCode="General">
                        <c:v>7</c:v>
                      </c:pt>
                      <c:pt idx="54" formatCode="General">
                        <c:v>7</c:v>
                      </c:pt>
                      <c:pt idx="55" formatCode="General">
                        <c:v>8</c:v>
                      </c:pt>
                      <c:pt idx="56" formatCode="General">
                        <c:v>11</c:v>
                      </c:pt>
                      <c:pt idx="57" formatCode="General">
                        <c:v>12</c:v>
                      </c:pt>
                      <c:pt idx="58" formatCode="General">
                        <c:v>12</c:v>
                      </c:pt>
                      <c:pt idx="59" formatCode="General">
                        <c:v>7</c:v>
                      </c:pt>
                      <c:pt idx="60" formatCode="General">
                        <c:v>7</c:v>
                      </c:pt>
                      <c:pt idx="61" formatCode="General">
                        <c:v>8</c:v>
                      </c:pt>
                    </c:numCache>
                  </c:numRef>
                </c:val>
                <c:extLst xmlns:c15="http://schemas.microsoft.com/office/drawing/2012/chart">
                  <c:ext xmlns:c16="http://schemas.microsoft.com/office/drawing/2014/chart" uri="{C3380CC4-5D6E-409C-BE32-E72D297353CC}">
                    <c16:uniqueId val="{0000004A-85F1-4E93-8343-9A44188D74B0}"/>
                  </c:ext>
                </c:extLst>
              </c15:ser>
            </c15:filteredBarSeries>
            <c15:filteredBarSeries>
              <c15:ser>
                <c:idx val="73"/>
                <c:order val="73"/>
                <c:tx>
                  <c:strRef>
                    <c:extLst xmlns:c15="http://schemas.microsoft.com/office/drawing/2012/chart">
                      <c:ext xmlns:c15="http://schemas.microsoft.com/office/drawing/2012/chart" uri="{02D57815-91ED-43cb-92C2-25804820EDAC}">
                        <c15:formulaRef>
                          <c15:sqref>'Table for graphs 24-25 '!$A$75</c15:sqref>
                        </c15:formulaRef>
                      </c:ext>
                    </c:extLst>
                    <c:strCache>
                      <c:ptCount val="1"/>
                      <c:pt idx="0">
                        <c:v>Urological - Reported &gt;103 days</c:v>
                      </c:pt>
                    </c:strCache>
                  </c:strRef>
                </c:tx>
                <c:spPr>
                  <a:solidFill>
                    <a:schemeClr val="accent5">
                      <a:tint val="6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'!$B$75:$DB$75</c15:sqref>
                        </c15:formulaRef>
                      </c:ext>
                    </c:extLst>
                    <c:numCache>
                      <c:formatCode>0</c:formatCode>
                      <c:ptCount val="105"/>
                      <c:pt idx="0">
                        <c:v>25</c:v>
                      </c:pt>
                      <c:pt idx="1">
                        <c:v>23</c:v>
                      </c:pt>
                      <c:pt idx="2">
                        <c:v>24</c:v>
                      </c:pt>
                      <c:pt idx="3">
                        <c:v>20</c:v>
                      </c:pt>
                      <c:pt idx="4">
                        <c:v>19</c:v>
                      </c:pt>
                      <c:pt idx="5">
                        <c:v>21</c:v>
                      </c:pt>
                      <c:pt idx="6">
                        <c:v>19</c:v>
                      </c:pt>
                      <c:pt idx="7">
                        <c:v>21</c:v>
                      </c:pt>
                      <c:pt idx="8">
                        <c:v>19</c:v>
                      </c:pt>
                      <c:pt idx="9">
                        <c:v>22</c:v>
                      </c:pt>
                      <c:pt idx="10">
                        <c:v>24</c:v>
                      </c:pt>
                      <c:pt idx="11">
                        <c:v>24</c:v>
                      </c:pt>
                      <c:pt idx="12">
                        <c:v>23</c:v>
                      </c:pt>
                      <c:pt idx="13">
                        <c:v>22</c:v>
                      </c:pt>
                      <c:pt idx="14">
                        <c:v>21</c:v>
                      </c:pt>
                      <c:pt idx="15">
                        <c:v>20</c:v>
                      </c:pt>
                      <c:pt idx="16">
                        <c:v>20</c:v>
                      </c:pt>
                      <c:pt idx="17">
                        <c:v>19</c:v>
                      </c:pt>
                      <c:pt idx="18">
                        <c:v>20</c:v>
                      </c:pt>
                      <c:pt idx="19">
                        <c:v>16</c:v>
                      </c:pt>
                      <c:pt idx="20">
                        <c:v>13</c:v>
                      </c:pt>
                      <c:pt idx="21">
                        <c:v>17</c:v>
                      </c:pt>
                      <c:pt idx="22">
                        <c:v>19</c:v>
                      </c:pt>
                      <c:pt idx="23">
                        <c:v>21</c:v>
                      </c:pt>
                      <c:pt idx="24">
                        <c:v>22</c:v>
                      </c:pt>
                      <c:pt idx="25">
                        <c:v>23</c:v>
                      </c:pt>
                      <c:pt idx="26">
                        <c:v>24</c:v>
                      </c:pt>
                      <c:pt idx="27">
                        <c:v>21</c:v>
                      </c:pt>
                      <c:pt idx="28">
                        <c:v>24</c:v>
                      </c:pt>
                      <c:pt idx="29">
                        <c:v>26</c:v>
                      </c:pt>
                      <c:pt idx="30">
                        <c:v>25</c:v>
                      </c:pt>
                      <c:pt idx="31">
                        <c:v>23</c:v>
                      </c:pt>
                      <c:pt idx="32">
                        <c:v>26</c:v>
                      </c:pt>
                      <c:pt idx="33">
                        <c:v>24</c:v>
                      </c:pt>
                      <c:pt idx="34">
                        <c:v>20</c:v>
                      </c:pt>
                      <c:pt idx="35">
                        <c:v>19</c:v>
                      </c:pt>
                      <c:pt idx="36">
                        <c:v>20</c:v>
                      </c:pt>
                      <c:pt idx="37">
                        <c:v>19</c:v>
                      </c:pt>
                      <c:pt idx="38">
                        <c:v>24</c:v>
                      </c:pt>
                      <c:pt idx="39">
                        <c:v>27</c:v>
                      </c:pt>
                      <c:pt idx="40">
                        <c:v>25</c:v>
                      </c:pt>
                      <c:pt idx="41">
                        <c:v>28</c:v>
                      </c:pt>
                      <c:pt idx="42">
                        <c:v>24</c:v>
                      </c:pt>
                      <c:pt idx="43" formatCode="General">
                        <c:v>23</c:v>
                      </c:pt>
                      <c:pt idx="44">
                        <c:v>23</c:v>
                      </c:pt>
                      <c:pt idx="45">
                        <c:v>21</c:v>
                      </c:pt>
                      <c:pt idx="46">
                        <c:v>22</c:v>
                      </c:pt>
                      <c:pt idx="47">
                        <c:v>23</c:v>
                      </c:pt>
                      <c:pt idx="48">
                        <c:v>26</c:v>
                      </c:pt>
                      <c:pt idx="49">
                        <c:v>21</c:v>
                      </c:pt>
                      <c:pt idx="50">
                        <c:v>20</c:v>
                      </c:pt>
                      <c:pt idx="51">
                        <c:v>20</c:v>
                      </c:pt>
                      <c:pt idx="52">
                        <c:v>21</c:v>
                      </c:pt>
                      <c:pt idx="53" formatCode="General">
                        <c:v>20</c:v>
                      </c:pt>
                      <c:pt idx="54" formatCode="General">
                        <c:v>20</c:v>
                      </c:pt>
                      <c:pt idx="55" formatCode="General">
                        <c:v>18</c:v>
                      </c:pt>
                      <c:pt idx="56" formatCode="General">
                        <c:v>19</c:v>
                      </c:pt>
                      <c:pt idx="57" formatCode="General">
                        <c:v>18</c:v>
                      </c:pt>
                      <c:pt idx="58" formatCode="General">
                        <c:v>19</c:v>
                      </c:pt>
                      <c:pt idx="59" formatCode="General">
                        <c:v>17</c:v>
                      </c:pt>
                      <c:pt idx="60" formatCode="General">
                        <c:v>18</c:v>
                      </c:pt>
                      <c:pt idx="61" formatCode="General">
                        <c:v>19</c:v>
                      </c:pt>
                    </c:numCache>
                  </c:numRef>
                </c:val>
                <c:extLst xmlns:c15="http://schemas.microsoft.com/office/drawing/2012/chart">
                  <c:ext xmlns:c16="http://schemas.microsoft.com/office/drawing/2014/chart" uri="{C3380CC4-5D6E-409C-BE32-E72D297353CC}">
                    <c16:uniqueId val="{0000004B-85F1-4E93-8343-9A44188D74B0}"/>
                  </c:ext>
                </c:extLst>
              </c15:ser>
            </c15:filteredBarSeries>
            <c15:filteredBarSeries>
              <c15:ser>
                <c:idx val="75"/>
                <c:order val="75"/>
                <c:tx>
                  <c:strRef>
                    <c:extLst xmlns:c15="http://schemas.microsoft.com/office/drawing/2012/chart">
                      <c:ext xmlns:c15="http://schemas.microsoft.com/office/drawing/2012/chart" uri="{02D57815-91ED-43cb-92C2-25804820EDAC}">
                        <c15:formulaRef>
                          <c15:sqref>'Table for graphs 24-25 '!$A$77</c15:sqref>
                        </c15:formulaRef>
                      </c:ext>
                    </c:extLst>
                    <c:strCache>
                      <c:ptCount val="1"/>
                      <c:pt idx="0">
                        <c:v>Acute Leukaemia - Reported Backlog Total</c:v>
                      </c:pt>
                    </c:strCache>
                  </c:strRef>
                </c:tx>
                <c:spPr>
                  <a:solidFill>
                    <a:schemeClr val="accent5">
                      <a:tint val="5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'!$B$77:$DB$77</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0</c:v>
                      </c:pt>
                      <c:pt idx="22">
                        <c:v>0</c:v>
                      </c:pt>
                      <c:pt idx="23">
                        <c:v>0</c:v>
                      </c:pt>
                      <c:pt idx="24">
                        <c:v>0</c:v>
                      </c:pt>
                      <c:pt idx="25">
                        <c:v>0</c:v>
                      </c:pt>
                      <c:pt idx="26">
                        <c:v>0</c:v>
                      </c:pt>
                      <c:pt idx="27">
                        <c:v>0</c:v>
                      </c:pt>
                      <c:pt idx="28">
                        <c:v>0</c:v>
                      </c:pt>
                      <c:pt idx="29">
                        <c:v>0</c:v>
                      </c:pt>
                      <c:pt idx="30">
                        <c:v>0</c:v>
                      </c:pt>
                      <c:pt idx="31">
                        <c:v>0</c:v>
                      </c:pt>
                      <c:pt idx="32">
                        <c:v>0</c:v>
                      </c:pt>
                      <c:pt idx="33">
                        <c:v>0</c:v>
                      </c:pt>
                      <c:pt idx="34">
                        <c:v>0</c:v>
                      </c:pt>
                      <c:pt idx="35">
                        <c:v>0</c:v>
                      </c:pt>
                      <c:pt idx="36">
                        <c:v>0</c:v>
                      </c:pt>
                      <c:pt idx="37">
                        <c:v>0</c:v>
                      </c:pt>
                      <c:pt idx="38">
                        <c:v>0</c:v>
                      </c:pt>
                      <c:pt idx="39">
                        <c:v>0</c:v>
                      </c:pt>
                      <c:pt idx="40">
                        <c:v>0</c:v>
                      </c:pt>
                      <c:pt idx="41">
                        <c:v>0</c:v>
                      </c:pt>
                      <c:pt idx="42">
                        <c:v>1</c:v>
                      </c:pt>
                      <c:pt idx="43">
                        <c:v>1</c:v>
                      </c:pt>
                      <c:pt idx="44">
                        <c:v>0</c:v>
                      </c:pt>
                      <c:pt idx="45">
                        <c:v>0</c:v>
                      </c:pt>
                      <c:pt idx="46">
                        <c:v>0</c:v>
                      </c:pt>
                      <c:pt idx="47">
                        <c:v>0</c:v>
                      </c:pt>
                      <c:pt idx="48">
                        <c:v>1</c:v>
                      </c:pt>
                      <c:pt idx="49">
                        <c:v>0</c:v>
                      </c:pt>
                      <c:pt idx="50">
                        <c:v>0</c:v>
                      </c:pt>
                      <c:pt idx="51">
                        <c:v>0</c:v>
                      </c:pt>
                      <c:pt idx="52">
                        <c:v>0</c:v>
                      </c:pt>
                      <c:pt idx="53">
                        <c:v>0</c:v>
                      </c:pt>
                      <c:pt idx="54">
                        <c:v>0</c:v>
                      </c:pt>
                      <c:pt idx="55">
                        <c:v>1</c:v>
                      </c:pt>
                      <c:pt idx="56">
                        <c:v>1</c:v>
                      </c:pt>
                      <c:pt idx="57">
                        <c:v>1</c:v>
                      </c:pt>
                      <c:pt idx="58">
                        <c:v>1</c:v>
                      </c:pt>
                      <c:pt idx="59">
                        <c:v>0</c:v>
                      </c:pt>
                      <c:pt idx="60">
                        <c:v>0</c:v>
                      </c:pt>
                      <c:pt idx="61">
                        <c:v>0</c:v>
                      </c:pt>
                    </c:numCache>
                  </c:numRef>
                </c:val>
                <c:extLst xmlns:c15="http://schemas.microsoft.com/office/drawing/2012/chart">
                  <c:ext xmlns:c16="http://schemas.microsoft.com/office/drawing/2014/chart" uri="{C3380CC4-5D6E-409C-BE32-E72D297353CC}">
                    <c16:uniqueId val="{0000004C-85F1-4E93-8343-9A44188D74B0}"/>
                  </c:ext>
                </c:extLst>
              </c15:ser>
            </c15:filteredBarSeries>
            <c15:filteredBarSeries>
              <c15:ser>
                <c:idx val="76"/>
                <c:order val="76"/>
                <c:tx>
                  <c:strRef>
                    <c:extLst xmlns:c15="http://schemas.microsoft.com/office/drawing/2012/chart">
                      <c:ext xmlns:c15="http://schemas.microsoft.com/office/drawing/2012/chart" uri="{02D57815-91ED-43cb-92C2-25804820EDAC}">
                        <c15:formulaRef>
                          <c15:sqref>'Table for graphs 24-25 '!$A$78</c15:sqref>
                        </c15:formulaRef>
                      </c:ext>
                    </c:extLst>
                    <c:strCache>
                      <c:ptCount val="1"/>
                      <c:pt idx="0">
                        <c:v>Brain/CNS - Reported Backlog Total</c:v>
                      </c:pt>
                    </c:strCache>
                  </c:strRef>
                </c:tx>
                <c:spPr>
                  <a:solidFill>
                    <a:schemeClr val="accent5">
                      <a:tint val="5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'!$B$78:$DB$78</c15:sqref>
                        </c15:formulaRef>
                      </c:ext>
                    </c:extLst>
                    <c:numCache>
                      <c:formatCode>0</c:formatCode>
                      <c:ptCount val="105"/>
                      <c:pt idx="0">
                        <c:v>2</c:v>
                      </c:pt>
                      <c:pt idx="1">
                        <c:v>1</c:v>
                      </c:pt>
                      <c:pt idx="2">
                        <c:v>1</c:v>
                      </c:pt>
                      <c:pt idx="3">
                        <c:v>1</c:v>
                      </c:pt>
                      <c:pt idx="4">
                        <c:v>1</c:v>
                      </c:pt>
                      <c:pt idx="5">
                        <c:v>1</c:v>
                      </c:pt>
                      <c:pt idx="6">
                        <c:v>2</c:v>
                      </c:pt>
                      <c:pt idx="7">
                        <c:v>3</c:v>
                      </c:pt>
                      <c:pt idx="8">
                        <c:v>3</c:v>
                      </c:pt>
                      <c:pt idx="9">
                        <c:v>2</c:v>
                      </c:pt>
                      <c:pt idx="10">
                        <c:v>2</c:v>
                      </c:pt>
                      <c:pt idx="11">
                        <c:v>3</c:v>
                      </c:pt>
                      <c:pt idx="12">
                        <c:v>3</c:v>
                      </c:pt>
                      <c:pt idx="13">
                        <c:v>2</c:v>
                      </c:pt>
                      <c:pt idx="14">
                        <c:v>1</c:v>
                      </c:pt>
                      <c:pt idx="15">
                        <c:v>1</c:v>
                      </c:pt>
                      <c:pt idx="16">
                        <c:v>1</c:v>
                      </c:pt>
                      <c:pt idx="17">
                        <c:v>1</c:v>
                      </c:pt>
                      <c:pt idx="18">
                        <c:v>2</c:v>
                      </c:pt>
                      <c:pt idx="19">
                        <c:v>2</c:v>
                      </c:pt>
                      <c:pt idx="20">
                        <c:v>2</c:v>
                      </c:pt>
                      <c:pt idx="21">
                        <c:v>1</c:v>
                      </c:pt>
                      <c:pt idx="22">
                        <c:v>1</c:v>
                      </c:pt>
                      <c:pt idx="23">
                        <c:v>1</c:v>
                      </c:pt>
                      <c:pt idx="24">
                        <c:v>1</c:v>
                      </c:pt>
                      <c:pt idx="25">
                        <c:v>0</c:v>
                      </c:pt>
                      <c:pt idx="26">
                        <c:v>2</c:v>
                      </c:pt>
                      <c:pt idx="27">
                        <c:v>2</c:v>
                      </c:pt>
                      <c:pt idx="28">
                        <c:v>2</c:v>
                      </c:pt>
                      <c:pt idx="29">
                        <c:v>1</c:v>
                      </c:pt>
                      <c:pt idx="30">
                        <c:v>0</c:v>
                      </c:pt>
                      <c:pt idx="31">
                        <c:v>0</c:v>
                      </c:pt>
                      <c:pt idx="32">
                        <c:v>0</c:v>
                      </c:pt>
                      <c:pt idx="33">
                        <c:v>0</c:v>
                      </c:pt>
                      <c:pt idx="34">
                        <c:v>0</c:v>
                      </c:pt>
                      <c:pt idx="35">
                        <c:v>0</c:v>
                      </c:pt>
                      <c:pt idx="36">
                        <c:v>0</c:v>
                      </c:pt>
                      <c:pt idx="37">
                        <c:v>0</c:v>
                      </c:pt>
                      <c:pt idx="38">
                        <c:v>0</c:v>
                      </c:pt>
                      <c:pt idx="39">
                        <c:v>0</c:v>
                      </c:pt>
                      <c:pt idx="40">
                        <c:v>0</c:v>
                      </c:pt>
                      <c:pt idx="41">
                        <c:v>0</c:v>
                      </c:pt>
                      <c:pt idx="42">
                        <c:v>0</c:v>
                      </c:pt>
                      <c:pt idx="43">
                        <c:v>0</c:v>
                      </c:pt>
                      <c:pt idx="44">
                        <c:v>0</c:v>
                      </c:pt>
                      <c:pt idx="45">
                        <c:v>1</c:v>
                      </c:pt>
                      <c:pt idx="46">
                        <c:v>0</c:v>
                      </c:pt>
                      <c:pt idx="47">
                        <c:v>0</c:v>
                      </c:pt>
                      <c:pt idx="48">
                        <c:v>0</c:v>
                      </c:pt>
                      <c:pt idx="49">
                        <c:v>0</c:v>
                      </c:pt>
                      <c:pt idx="50">
                        <c:v>0</c:v>
                      </c:pt>
                      <c:pt idx="51">
                        <c:v>0</c:v>
                      </c:pt>
                      <c:pt idx="52">
                        <c:v>0</c:v>
                      </c:pt>
                      <c:pt idx="53">
                        <c:v>0</c:v>
                      </c:pt>
                      <c:pt idx="54">
                        <c:v>0</c:v>
                      </c:pt>
                      <c:pt idx="55">
                        <c:v>0</c:v>
                      </c:pt>
                      <c:pt idx="56">
                        <c:v>0</c:v>
                      </c:pt>
                      <c:pt idx="57">
                        <c:v>0</c:v>
                      </c:pt>
                      <c:pt idx="58">
                        <c:v>0</c:v>
                      </c:pt>
                      <c:pt idx="59">
                        <c:v>0</c:v>
                      </c:pt>
                      <c:pt idx="60">
                        <c:v>0</c:v>
                      </c:pt>
                      <c:pt idx="61">
                        <c:v>0</c:v>
                      </c:pt>
                    </c:numCache>
                  </c:numRef>
                </c:val>
                <c:extLst xmlns:c15="http://schemas.microsoft.com/office/drawing/2012/chart">
                  <c:ext xmlns:c16="http://schemas.microsoft.com/office/drawing/2014/chart" uri="{C3380CC4-5D6E-409C-BE32-E72D297353CC}">
                    <c16:uniqueId val="{0000004D-85F1-4E93-8343-9A44188D74B0}"/>
                  </c:ext>
                </c:extLst>
              </c15:ser>
            </c15:filteredBarSeries>
            <c15:filteredBarSeries>
              <c15:ser>
                <c:idx val="77"/>
                <c:order val="77"/>
                <c:tx>
                  <c:strRef>
                    <c:extLst xmlns:c15="http://schemas.microsoft.com/office/drawing/2012/chart">
                      <c:ext xmlns:c15="http://schemas.microsoft.com/office/drawing/2012/chart" uri="{02D57815-91ED-43cb-92C2-25804820EDAC}">
                        <c15:formulaRef>
                          <c15:sqref>'Table for graphs 24-25 '!$A$79</c15:sqref>
                        </c15:formulaRef>
                      </c:ext>
                    </c:extLst>
                    <c:strCache>
                      <c:ptCount val="1"/>
                      <c:pt idx="0">
                        <c:v>Breast - Reported Backlog Total</c:v>
                      </c:pt>
                    </c:strCache>
                  </c:strRef>
                </c:tx>
                <c:spPr>
                  <a:solidFill>
                    <a:schemeClr val="accent5">
                      <a:tint val="5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'!$B$79:$DB$79</c15:sqref>
                        </c15:formulaRef>
                      </c:ext>
                    </c:extLst>
                    <c:numCache>
                      <c:formatCode>0</c:formatCode>
                      <c:ptCount val="105"/>
                      <c:pt idx="0">
                        <c:v>11</c:v>
                      </c:pt>
                      <c:pt idx="1">
                        <c:v>11</c:v>
                      </c:pt>
                      <c:pt idx="2">
                        <c:v>7</c:v>
                      </c:pt>
                      <c:pt idx="3">
                        <c:v>10</c:v>
                      </c:pt>
                      <c:pt idx="4">
                        <c:v>13</c:v>
                      </c:pt>
                      <c:pt idx="5">
                        <c:v>13</c:v>
                      </c:pt>
                      <c:pt idx="6">
                        <c:v>19</c:v>
                      </c:pt>
                      <c:pt idx="7">
                        <c:v>17</c:v>
                      </c:pt>
                      <c:pt idx="8">
                        <c:v>21</c:v>
                      </c:pt>
                      <c:pt idx="9">
                        <c:v>20</c:v>
                      </c:pt>
                      <c:pt idx="10">
                        <c:v>19</c:v>
                      </c:pt>
                      <c:pt idx="11">
                        <c:v>21</c:v>
                      </c:pt>
                      <c:pt idx="12">
                        <c:v>17</c:v>
                      </c:pt>
                      <c:pt idx="13">
                        <c:v>14</c:v>
                      </c:pt>
                      <c:pt idx="14">
                        <c:v>13</c:v>
                      </c:pt>
                      <c:pt idx="15">
                        <c:v>14</c:v>
                      </c:pt>
                      <c:pt idx="16">
                        <c:v>14</c:v>
                      </c:pt>
                      <c:pt idx="17">
                        <c:v>9</c:v>
                      </c:pt>
                      <c:pt idx="18">
                        <c:v>10</c:v>
                      </c:pt>
                      <c:pt idx="19">
                        <c:v>14</c:v>
                      </c:pt>
                      <c:pt idx="20">
                        <c:v>16</c:v>
                      </c:pt>
                      <c:pt idx="21">
                        <c:v>16</c:v>
                      </c:pt>
                      <c:pt idx="22">
                        <c:v>20</c:v>
                      </c:pt>
                      <c:pt idx="23">
                        <c:v>20</c:v>
                      </c:pt>
                      <c:pt idx="24">
                        <c:v>18</c:v>
                      </c:pt>
                      <c:pt idx="25">
                        <c:v>17</c:v>
                      </c:pt>
                      <c:pt idx="26">
                        <c:v>16</c:v>
                      </c:pt>
                      <c:pt idx="27">
                        <c:v>20</c:v>
                      </c:pt>
                      <c:pt idx="28">
                        <c:v>26</c:v>
                      </c:pt>
                      <c:pt idx="29">
                        <c:v>29</c:v>
                      </c:pt>
                      <c:pt idx="30">
                        <c:v>27</c:v>
                      </c:pt>
                      <c:pt idx="31">
                        <c:v>29</c:v>
                      </c:pt>
                      <c:pt idx="32">
                        <c:v>28</c:v>
                      </c:pt>
                      <c:pt idx="33">
                        <c:v>29</c:v>
                      </c:pt>
                      <c:pt idx="34">
                        <c:v>32</c:v>
                      </c:pt>
                      <c:pt idx="35">
                        <c:v>26</c:v>
                      </c:pt>
                      <c:pt idx="36">
                        <c:v>27</c:v>
                      </c:pt>
                      <c:pt idx="37">
                        <c:v>22</c:v>
                      </c:pt>
                      <c:pt idx="38">
                        <c:v>18</c:v>
                      </c:pt>
                      <c:pt idx="39">
                        <c:v>19</c:v>
                      </c:pt>
                      <c:pt idx="40">
                        <c:v>18</c:v>
                      </c:pt>
                      <c:pt idx="41">
                        <c:v>24</c:v>
                      </c:pt>
                      <c:pt idx="42">
                        <c:v>26</c:v>
                      </c:pt>
                      <c:pt idx="43">
                        <c:v>26</c:v>
                      </c:pt>
                      <c:pt idx="44">
                        <c:v>24</c:v>
                      </c:pt>
                      <c:pt idx="45">
                        <c:v>21</c:v>
                      </c:pt>
                      <c:pt idx="46">
                        <c:v>22</c:v>
                      </c:pt>
                      <c:pt idx="47">
                        <c:v>18</c:v>
                      </c:pt>
                      <c:pt idx="48">
                        <c:v>17</c:v>
                      </c:pt>
                      <c:pt idx="49">
                        <c:v>16</c:v>
                      </c:pt>
                      <c:pt idx="50">
                        <c:v>16</c:v>
                      </c:pt>
                      <c:pt idx="51">
                        <c:v>22</c:v>
                      </c:pt>
                      <c:pt idx="52">
                        <c:v>16</c:v>
                      </c:pt>
                      <c:pt idx="53">
                        <c:v>11</c:v>
                      </c:pt>
                      <c:pt idx="54">
                        <c:v>12</c:v>
                      </c:pt>
                      <c:pt idx="55">
                        <c:v>10</c:v>
                      </c:pt>
                      <c:pt idx="56">
                        <c:v>8</c:v>
                      </c:pt>
                      <c:pt idx="57">
                        <c:v>13</c:v>
                      </c:pt>
                      <c:pt idx="58">
                        <c:v>23</c:v>
                      </c:pt>
                      <c:pt idx="59">
                        <c:v>18</c:v>
                      </c:pt>
                      <c:pt idx="60">
                        <c:v>23</c:v>
                      </c:pt>
                      <c:pt idx="61">
                        <c:v>19</c:v>
                      </c:pt>
                    </c:numCache>
                  </c:numRef>
                </c:val>
                <c:extLst xmlns:c15="http://schemas.microsoft.com/office/drawing/2012/chart">
                  <c:ext xmlns:c16="http://schemas.microsoft.com/office/drawing/2014/chart" uri="{C3380CC4-5D6E-409C-BE32-E72D297353CC}">
                    <c16:uniqueId val="{0000004E-85F1-4E93-8343-9A44188D74B0}"/>
                  </c:ext>
                </c:extLst>
              </c15:ser>
            </c15:filteredBarSeries>
            <c15:filteredBarSeries>
              <c15:ser>
                <c:idx val="78"/>
                <c:order val="78"/>
                <c:tx>
                  <c:strRef>
                    <c:extLst xmlns:c15="http://schemas.microsoft.com/office/drawing/2012/chart">
                      <c:ext xmlns:c15="http://schemas.microsoft.com/office/drawing/2012/chart" uri="{02D57815-91ED-43cb-92C2-25804820EDAC}">
                        <c15:formulaRef>
                          <c15:sqref>'Table for graphs 24-25 '!$A$80</c15:sqref>
                        </c15:formulaRef>
                      </c:ext>
                    </c:extLst>
                    <c:strCache>
                      <c:ptCount val="1"/>
                      <c:pt idx="0">
                        <c:v>Children's cancer - Reported Backlog Total</c:v>
                      </c:pt>
                    </c:strCache>
                  </c:strRef>
                </c:tx>
                <c:spPr>
                  <a:solidFill>
                    <a:schemeClr val="accent5">
                      <a:tint val="5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'!$B$80:$DB$80</c15:sqref>
                        </c15:formulaRef>
                      </c:ext>
                    </c:extLst>
                    <c:numCache>
                      <c:formatCode>0</c:formatCode>
                      <c:ptCount val="105"/>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c:v>
                      </c:pt>
                      <c:pt idx="20">
                        <c:v>0</c:v>
                      </c:pt>
                      <c:pt idx="21">
                        <c:v>1</c:v>
                      </c:pt>
                      <c:pt idx="22">
                        <c:v>0</c:v>
                      </c:pt>
                      <c:pt idx="23">
                        <c:v>1</c:v>
                      </c:pt>
                      <c:pt idx="24">
                        <c:v>1</c:v>
                      </c:pt>
                      <c:pt idx="25">
                        <c:v>2</c:v>
                      </c:pt>
                      <c:pt idx="26">
                        <c:v>0</c:v>
                      </c:pt>
                      <c:pt idx="27">
                        <c:v>0</c:v>
                      </c:pt>
                      <c:pt idx="28">
                        <c:v>0</c:v>
                      </c:pt>
                      <c:pt idx="29">
                        <c:v>0</c:v>
                      </c:pt>
                      <c:pt idx="30">
                        <c:v>0</c:v>
                      </c:pt>
                      <c:pt idx="31">
                        <c:v>0</c:v>
                      </c:pt>
                      <c:pt idx="32">
                        <c:v>0</c:v>
                      </c:pt>
                      <c:pt idx="33">
                        <c:v>1</c:v>
                      </c:pt>
                      <c:pt idx="34">
                        <c:v>0</c:v>
                      </c:pt>
                      <c:pt idx="35">
                        <c:v>1</c:v>
                      </c:pt>
                      <c:pt idx="36">
                        <c:v>1</c:v>
                      </c:pt>
                      <c:pt idx="37">
                        <c:v>1</c:v>
                      </c:pt>
                      <c:pt idx="38">
                        <c:v>1</c:v>
                      </c:pt>
                      <c:pt idx="39">
                        <c:v>0</c:v>
                      </c:pt>
                      <c:pt idx="40">
                        <c:v>0</c:v>
                      </c:pt>
                      <c:pt idx="41">
                        <c:v>0</c:v>
                      </c:pt>
                      <c:pt idx="42">
                        <c:v>0</c:v>
                      </c:pt>
                      <c:pt idx="43">
                        <c:v>0</c:v>
                      </c:pt>
                      <c:pt idx="44">
                        <c:v>0</c:v>
                      </c:pt>
                      <c:pt idx="45">
                        <c:v>0</c:v>
                      </c:pt>
                      <c:pt idx="46">
                        <c:v>0</c:v>
                      </c:pt>
                      <c:pt idx="47">
                        <c:v>1</c:v>
                      </c:pt>
                      <c:pt idx="48">
                        <c:v>1</c:v>
                      </c:pt>
                      <c:pt idx="49">
                        <c:v>1</c:v>
                      </c:pt>
                      <c:pt idx="50">
                        <c:v>1</c:v>
                      </c:pt>
                      <c:pt idx="51">
                        <c:v>0</c:v>
                      </c:pt>
                      <c:pt idx="52">
                        <c:v>0</c:v>
                      </c:pt>
                      <c:pt idx="53">
                        <c:v>0</c:v>
                      </c:pt>
                      <c:pt idx="54">
                        <c:v>0</c:v>
                      </c:pt>
                      <c:pt idx="55">
                        <c:v>0</c:v>
                      </c:pt>
                      <c:pt idx="56">
                        <c:v>1</c:v>
                      </c:pt>
                      <c:pt idx="57">
                        <c:v>0</c:v>
                      </c:pt>
                      <c:pt idx="58">
                        <c:v>0</c:v>
                      </c:pt>
                      <c:pt idx="59">
                        <c:v>0</c:v>
                      </c:pt>
                      <c:pt idx="60">
                        <c:v>0</c:v>
                      </c:pt>
                      <c:pt idx="61">
                        <c:v>0</c:v>
                      </c:pt>
                    </c:numCache>
                  </c:numRef>
                </c:val>
                <c:extLst xmlns:c15="http://schemas.microsoft.com/office/drawing/2012/chart">
                  <c:ext xmlns:c16="http://schemas.microsoft.com/office/drawing/2014/chart" uri="{C3380CC4-5D6E-409C-BE32-E72D297353CC}">
                    <c16:uniqueId val="{0000004F-85F1-4E93-8343-9A44188D74B0}"/>
                  </c:ext>
                </c:extLst>
              </c15:ser>
            </c15:filteredBarSeries>
            <c15:filteredBarSeries>
              <c15:ser>
                <c:idx val="79"/>
                <c:order val="79"/>
                <c:tx>
                  <c:strRef>
                    <c:extLst xmlns:c15="http://schemas.microsoft.com/office/drawing/2012/chart">
                      <c:ext xmlns:c15="http://schemas.microsoft.com/office/drawing/2012/chart" uri="{02D57815-91ED-43cb-92C2-25804820EDAC}">
                        <c15:formulaRef>
                          <c15:sqref>'Table for graphs 24-25 '!$A$81</c15:sqref>
                        </c15:formulaRef>
                      </c:ext>
                    </c:extLst>
                    <c:strCache>
                      <c:ptCount val="1"/>
                      <c:pt idx="0">
                        <c:v>Gynaecological - Reported Backlog Total</c:v>
                      </c:pt>
                    </c:strCache>
                  </c:strRef>
                </c:tx>
                <c:spPr>
                  <a:solidFill>
                    <a:schemeClr val="accent5">
                      <a:tint val="5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'!$B$81:$DB$81</c15:sqref>
                        </c15:formulaRef>
                      </c:ext>
                    </c:extLst>
                    <c:numCache>
                      <c:formatCode>0</c:formatCode>
                      <c:ptCount val="105"/>
                      <c:pt idx="0">
                        <c:v>112</c:v>
                      </c:pt>
                      <c:pt idx="1">
                        <c:v>124</c:v>
                      </c:pt>
                      <c:pt idx="2">
                        <c:v>111</c:v>
                      </c:pt>
                      <c:pt idx="3">
                        <c:v>110</c:v>
                      </c:pt>
                      <c:pt idx="4">
                        <c:v>116</c:v>
                      </c:pt>
                      <c:pt idx="5">
                        <c:v>118</c:v>
                      </c:pt>
                      <c:pt idx="6">
                        <c:v>115</c:v>
                      </c:pt>
                      <c:pt idx="7">
                        <c:v>111</c:v>
                      </c:pt>
                      <c:pt idx="8">
                        <c:v>122</c:v>
                      </c:pt>
                      <c:pt idx="9">
                        <c:v>115</c:v>
                      </c:pt>
                      <c:pt idx="10">
                        <c:v>101</c:v>
                      </c:pt>
                      <c:pt idx="11">
                        <c:v>109</c:v>
                      </c:pt>
                      <c:pt idx="12">
                        <c:v>106</c:v>
                      </c:pt>
                      <c:pt idx="13">
                        <c:v>90</c:v>
                      </c:pt>
                      <c:pt idx="14">
                        <c:v>93</c:v>
                      </c:pt>
                      <c:pt idx="15">
                        <c:v>100</c:v>
                      </c:pt>
                      <c:pt idx="16">
                        <c:v>93</c:v>
                      </c:pt>
                      <c:pt idx="17">
                        <c:v>81</c:v>
                      </c:pt>
                      <c:pt idx="18">
                        <c:v>88</c:v>
                      </c:pt>
                      <c:pt idx="19">
                        <c:v>90</c:v>
                      </c:pt>
                      <c:pt idx="20">
                        <c:v>94</c:v>
                      </c:pt>
                      <c:pt idx="21">
                        <c:v>98</c:v>
                      </c:pt>
                      <c:pt idx="22">
                        <c:v>99</c:v>
                      </c:pt>
                      <c:pt idx="23">
                        <c:v>105</c:v>
                      </c:pt>
                      <c:pt idx="24">
                        <c:v>81</c:v>
                      </c:pt>
                      <c:pt idx="25">
                        <c:v>75</c:v>
                      </c:pt>
                      <c:pt idx="26">
                        <c:v>64</c:v>
                      </c:pt>
                      <c:pt idx="27">
                        <c:v>59</c:v>
                      </c:pt>
                      <c:pt idx="28">
                        <c:v>67</c:v>
                      </c:pt>
                      <c:pt idx="29">
                        <c:v>71</c:v>
                      </c:pt>
                      <c:pt idx="30">
                        <c:v>68</c:v>
                      </c:pt>
                      <c:pt idx="31">
                        <c:v>64</c:v>
                      </c:pt>
                      <c:pt idx="32">
                        <c:v>63</c:v>
                      </c:pt>
                      <c:pt idx="33">
                        <c:v>60</c:v>
                      </c:pt>
                      <c:pt idx="34">
                        <c:v>55</c:v>
                      </c:pt>
                      <c:pt idx="35">
                        <c:v>52</c:v>
                      </c:pt>
                      <c:pt idx="36">
                        <c:v>54</c:v>
                      </c:pt>
                      <c:pt idx="37">
                        <c:v>58</c:v>
                      </c:pt>
                      <c:pt idx="38">
                        <c:v>50</c:v>
                      </c:pt>
                      <c:pt idx="39">
                        <c:v>55</c:v>
                      </c:pt>
                      <c:pt idx="40">
                        <c:v>60</c:v>
                      </c:pt>
                      <c:pt idx="41">
                        <c:v>47</c:v>
                      </c:pt>
                      <c:pt idx="42">
                        <c:v>50</c:v>
                      </c:pt>
                      <c:pt idx="43">
                        <c:v>50</c:v>
                      </c:pt>
                      <c:pt idx="44">
                        <c:v>41</c:v>
                      </c:pt>
                      <c:pt idx="45">
                        <c:v>46</c:v>
                      </c:pt>
                      <c:pt idx="46">
                        <c:v>40</c:v>
                      </c:pt>
                      <c:pt idx="47">
                        <c:v>40</c:v>
                      </c:pt>
                      <c:pt idx="48">
                        <c:v>34</c:v>
                      </c:pt>
                      <c:pt idx="49">
                        <c:v>31</c:v>
                      </c:pt>
                      <c:pt idx="50">
                        <c:v>32</c:v>
                      </c:pt>
                      <c:pt idx="51">
                        <c:v>32</c:v>
                      </c:pt>
                      <c:pt idx="52">
                        <c:v>30</c:v>
                      </c:pt>
                      <c:pt idx="53">
                        <c:v>36</c:v>
                      </c:pt>
                      <c:pt idx="54">
                        <c:v>43</c:v>
                      </c:pt>
                      <c:pt idx="55">
                        <c:v>43</c:v>
                      </c:pt>
                      <c:pt idx="56">
                        <c:v>40</c:v>
                      </c:pt>
                      <c:pt idx="57">
                        <c:v>36</c:v>
                      </c:pt>
                      <c:pt idx="58">
                        <c:v>37</c:v>
                      </c:pt>
                      <c:pt idx="59">
                        <c:v>35</c:v>
                      </c:pt>
                      <c:pt idx="60">
                        <c:v>39</c:v>
                      </c:pt>
                      <c:pt idx="61">
                        <c:v>39</c:v>
                      </c:pt>
                    </c:numCache>
                  </c:numRef>
                </c:val>
                <c:extLst xmlns:c15="http://schemas.microsoft.com/office/drawing/2012/chart">
                  <c:ext xmlns:c16="http://schemas.microsoft.com/office/drawing/2014/chart" uri="{C3380CC4-5D6E-409C-BE32-E72D297353CC}">
                    <c16:uniqueId val="{00000050-85F1-4E93-8343-9A44188D74B0}"/>
                  </c:ext>
                </c:extLst>
              </c15:ser>
            </c15:filteredBarSeries>
            <c15:filteredBarSeries>
              <c15:ser>
                <c:idx val="80"/>
                <c:order val="80"/>
                <c:tx>
                  <c:strRef>
                    <c:extLst xmlns:c15="http://schemas.microsoft.com/office/drawing/2012/chart">
                      <c:ext xmlns:c15="http://schemas.microsoft.com/office/drawing/2012/chart" uri="{02D57815-91ED-43cb-92C2-25804820EDAC}">
                        <c15:formulaRef>
                          <c15:sqref>'Table for graphs 24-25 '!$A$82</c15:sqref>
                        </c15:formulaRef>
                      </c:ext>
                    </c:extLst>
                    <c:strCache>
                      <c:ptCount val="1"/>
                      <c:pt idx="0">
                        <c:v>Haematological - Reported Backlog Total</c:v>
                      </c:pt>
                    </c:strCache>
                  </c:strRef>
                </c:tx>
                <c:spPr>
                  <a:solidFill>
                    <a:schemeClr val="accent5">
                      <a:tint val="5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'!$B$82:$DB$82</c15:sqref>
                        </c15:formulaRef>
                      </c:ext>
                    </c:extLst>
                    <c:numCache>
                      <c:formatCode>0</c:formatCode>
                      <c:ptCount val="105"/>
                      <c:pt idx="0">
                        <c:v>17</c:v>
                      </c:pt>
                      <c:pt idx="1">
                        <c:v>21</c:v>
                      </c:pt>
                      <c:pt idx="2">
                        <c:v>18</c:v>
                      </c:pt>
                      <c:pt idx="3">
                        <c:v>20</c:v>
                      </c:pt>
                      <c:pt idx="4">
                        <c:v>20</c:v>
                      </c:pt>
                      <c:pt idx="5">
                        <c:v>22</c:v>
                      </c:pt>
                      <c:pt idx="6">
                        <c:v>19</c:v>
                      </c:pt>
                      <c:pt idx="7">
                        <c:v>18</c:v>
                      </c:pt>
                      <c:pt idx="8">
                        <c:v>20</c:v>
                      </c:pt>
                      <c:pt idx="9">
                        <c:v>13</c:v>
                      </c:pt>
                      <c:pt idx="10">
                        <c:v>14</c:v>
                      </c:pt>
                      <c:pt idx="11">
                        <c:v>12</c:v>
                      </c:pt>
                      <c:pt idx="12">
                        <c:v>13</c:v>
                      </c:pt>
                      <c:pt idx="13">
                        <c:v>15</c:v>
                      </c:pt>
                      <c:pt idx="14">
                        <c:v>12</c:v>
                      </c:pt>
                      <c:pt idx="15">
                        <c:v>14</c:v>
                      </c:pt>
                      <c:pt idx="16">
                        <c:v>13</c:v>
                      </c:pt>
                      <c:pt idx="17">
                        <c:v>14</c:v>
                      </c:pt>
                      <c:pt idx="18">
                        <c:v>12</c:v>
                      </c:pt>
                      <c:pt idx="19">
                        <c:v>12</c:v>
                      </c:pt>
                      <c:pt idx="20">
                        <c:v>12</c:v>
                      </c:pt>
                      <c:pt idx="21">
                        <c:v>12</c:v>
                      </c:pt>
                      <c:pt idx="22">
                        <c:v>9</c:v>
                      </c:pt>
                      <c:pt idx="23">
                        <c:v>10</c:v>
                      </c:pt>
                      <c:pt idx="24">
                        <c:v>9</c:v>
                      </c:pt>
                      <c:pt idx="25">
                        <c:v>10</c:v>
                      </c:pt>
                      <c:pt idx="26">
                        <c:v>14</c:v>
                      </c:pt>
                      <c:pt idx="27">
                        <c:v>13</c:v>
                      </c:pt>
                      <c:pt idx="28">
                        <c:v>14</c:v>
                      </c:pt>
                      <c:pt idx="29">
                        <c:v>15</c:v>
                      </c:pt>
                      <c:pt idx="30">
                        <c:v>13</c:v>
                      </c:pt>
                      <c:pt idx="31">
                        <c:v>13</c:v>
                      </c:pt>
                      <c:pt idx="32">
                        <c:v>12</c:v>
                      </c:pt>
                      <c:pt idx="33">
                        <c:v>15</c:v>
                      </c:pt>
                      <c:pt idx="34">
                        <c:v>13</c:v>
                      </c:pt>
                      <c:pt idx="35">
                        <c:v>10</c:v>
                      </c:pt>
                      <c:pt idx="36">
                        <c:v>11</c:v>
                      </c:pt>
                      <c:pt idx="37">
                        <c:v>10</c:v>
                      </c:pt>
                      <c:pt idx="38">
                        <c:v>11</c:v>
                      </c:pt>
                      <c:pt idx="39">
                        <c:v>10</c:v>
                      </c:pt>
                      <c:pt idx="40">
                        <c:v>14</c:v>
                      </c:pt>
                      <c:pt idx="41">
                        <c:v>11</c:v>
                      </c:pt>
                      <c:pt idx="42">
                        <c:v>9</c:v>
                      </c:pt>
                      <c:pt idx="43">
                        <c:v>8</c:v>
                      </c:pt>
                      <c:pt idx="44">
                        <c:v>8</c:v>
                      </c:pt>
                      <c:pt idx="45">
                        <c:v>7</c:v>
                      </c:pt>
                      <c:pt idx="46">
                        <c:v>8</c:v>
                      </c:pt>
                      <c:pt idx="47">
                        <c:v>11</c:v>
                      </c:pt>
                      <c:pt idx="48">
                        <c:v>7</c:v>
                      </c:pt>
                      <c:pt idx="49">
                        <c:v>9</c:v>
                      </c:pt>
                      <c:pt idx="50">
                        <c:v>7</c:v>
                      </c:pt>
                      <c:pt idx="51">
                        <c:v>7</c:v>
                      </c:pt>
                      <c:pt idx="52">
                        <c:v>8</c:v>
                      </c:pt>
                      <c:pt idx="53">
                        <c:v>9</c:v>
                      </c:pt>
                      <c:pt idx="54">
                        <c:v>6</c:v>
                      </c:pt>
                      <c:pt idx="55">
                        <c:v>7</c:v>
                      </c:pt>
                      <c:pt idx="56">
                        <c:v>7</c:v>
                      </c:pt>
                      <c:pt idx="57">
                        <c:v>8</c:v>
                      </c:pt>
                      <c:pt idx="58">
                        <c:v>8</c:v>
                      </c:pt>
                      <c:pt idx="59">
                        <c:v>6</c:v>
                      </c:pt>
                      <c:pt idx="60">
                        <c:v>7</c:v>
                      </c:pt>
                      <c:pt idx="61">
                        <c:v>7</c:v>
                      </c:pt>
                    </c:numCache>
                  </c:numRef>
                </c:val>
                <c:extLst xmlns:c15="http://schemas.microsoft.com/office/drawing/2012/chart">
                  <c:ext xmlns:c16="http://schemas.microsoft.com/office/drawing/2014/chart" uri="{C3380CC4-5D6E-409C-BE32-E72D297353CC}">
                    <c16:uniqueId val="{00000051-85F1-4E93-8343-9A44188D74B0}"/>
                  </c:ext>
                </c:extLst>
              </c15:ser>
            </c15:filteredBarSeries>
            <c15:filteredBarSeries>
              <c15:ser>
                <c:idx val="81"/>
                <c:order val="81"/>
                <c:tx>
                  <c:strRef>
                    <c:extLst xmlns:c15="http://schemas.microsoft.com/office/drawing/2012/chart">
                      <c:ext xmlns:c15="http://schemas.microsoft.com/office/drawing/2012/chart" uri="{02D57815-91ED-43cb-92C2-25804820EDAC}">
                        <c15:formulaRef>
                          <c15:sqref>'Table for graphs 24-25 '!$A$83</c15:sqref>
                        </c15:formulaRef>
                      </c:ext>
                    </c:extLst>
                    <c:strCache>
                      <c:ptCount val="1"/>
                      <c:pt idx="0">
                        <c:v>Head and neck - Reported Backlog Total</c:v>
                      </c:pt>
                    </c:strCache>
                  </c:strRef>
                </c:tx>
                <c:spPr>
                  <a:solidFill>
                    <a:schemeClr val="accent5">
                      <a:tint val="50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'!$B$83:$DB$83</c15:sqref>
                        </c15:formulaRef>
                      </c:ext>
                    </c:extLst>
                    <c:numCache>
                      <c:formatCode>0</c:formatCode>
                      <c:ptCount val="105"/>
                      <c:pt idx="0">
                        <c:v>18</c:v>
                      </c:pt>
                      <c:pt idx="1">
                        <c:v>28</c:v>
                      </c:pt>
                      <c:pt idx="2">
                        <c:v>22</c:v>
                      </c:pt>
                      <c:pt idx="3">
                        <c:v>22</c:v>
                      </c:pt>
                      <c:pt idx="4">
                        <c:v>16</c:v>
                      </c:pt>
                      <c:pt idx="5">
                        <c:v>20</c:v>
                      </c:pt>
                      <c:pt idx="6">
                        <c:v>16</c:v>
                      </c:pt>
                      <c:pt idx="7">
                        <c:v>18</c:v>
                      </c:pt>
                      <c:pt idx="8">
                        <c:v>16</c:v>
                      </c:pt>
                      <c:pt idx="9">
                        <c:v>14</c:v>
                      </c:pt>
                      <c:pt idx="10">
                        <c:v>17</c:v>
                      </c:pt>
                      <c:pt idx="11">
                        <c:v>16</c:v>
                      </c:pt>
                      <c:pt idx="12">
                        <c:v>12</c:v>
                      </c:pt>
                      <c:pt idx="13">
                        <c:v>17</c:v>
                      </c:pt>
                      <c:pt idx="14">
                        <c:v>19</c:v>
                      </c:pt>
                      <c:pt idx="15">
                        <c:v>12</c:v>
                      </c:pt>
                      <c:pt idx="16">
                        <c:v>16</c:v>
                      </c:pt>
                      <c:pt idx="17">
                        <c:v>17</c:v>
                      </c:pt>
                      <c:pt idx="18">
                        <c:v>14</c:v>
                      </c:pt>
                      <c:pt idx="19">
                        <c:v>12</c:v>
                      </c:pt>
                      <c:pt idx="20">
                        <c:v>18</c:v>
                      </c:pt>
                      <c:pt idx="21">
                        <c:v>24</c:v>
                      </c:pt>
                      <c:pt idx="22">
                        <c:v>28</c:v>
                      </c:pt>
                      <c:pt idx="23">
                        <c:v>32</c:v>
                      </c:pt>
                      <c:pt idx="24">
                        <c:v>35</c:v>
                      </c:pt>
                      <c:pt idx="25">
                        <c:v>26</c:v>
                      </c:pt>
                      <c:pt idx="26">
                        <c:v>24</c:v>
                      </c:pt>
                      <c:pt idx="27">
                        <c:v>19</c:v>
                      </c:pt>
                      <c:pt idx="28">
                        <c:v>15</c:v>
                      </c:pt>
                      <c:pt idx="29">
                        <c:v>15</c:v>
                      </c:pt>
                      <c:pt idx="30">
                        <c:v>11</c:v>
                      </c:pt>
                      <c:pt idx="31">
                        <c:v>7</c:v>
                      </c:pt>
                      <c:pt idx="32">
                        <c:v>7</c:v>
                      </c:pt>
                      <c:pt idx="33">
                        <c:v>11</c:v>
                      </c:pt>
                      <c:pt idx="34">
                        <c:v>8</c:v>
                      </c:pt>
                      <c:pt idx="35">
                        <c:v>9</c:v>
                      </c:pt>
                      <c:pt idx="36">
                        <c:v>8</c:v>
                      </c:pt>
                      <c:pt idx="37">
                        <c:v>8</c:v>
                      </c:pt>
                      <c:pt idx="38">
                        <c:v>9</c:v>
                      </c:pt>
                      <c:pt idx="39">
                        <c:v>11</c:v>
                      </c:pt>
                      <c:pt idx="40">
                        <c:v>10</c:v>
                      </c:pt>
                      <c:pt idx="41">
                        <c:v>11</c:v>
                      </c:pt>
                      <c:pt idx="42">
                        <c:v>9</c:v>
                      </c:pt>
                      <c:pt idx="43">
                        <c:v>15</c:v>
                      </c:pt>
                      <c:pt idx="44">
                        <c:v>14</c:v>
                      </c:pt>
                      <c:pt idx="45">
                        <c:v>12</c:v>
                      </c:pt>
                      <c:pt idx="46">
                        <c:v>13</c:v>
                      </c:pt>
                      <c:pt idx="47">
                        <c:v>15</c:v>
                      </c:pt>
                      <c:pt idx="48">
                        <c:v>10</c:v>
                      </c:pt>
                      <c:pt idx="49">
                        <c:v>9</c:v>
                      </c:pt>
                      <c:pt idx="50">
                        <c:v>8</c:v>
                      </c:pt>
                      <c:pt idx="51">
                        <c:v>6</c:v>
                      </c:pt>
                      <c:pt idx="52">
                        <c:v>8</c:v>
                      </c:pt>
                      <c:pt idx="53">
                        <c:v>6</c:v>
                      </c:pt>
                      <c:pt idx="54">
                        <c:v>10</c:v>
                      </c:pt>
                      <c:pt idx="55">
                        <c:v>13</c:v>
                      </c:pt>
                      <c:pt idx="56">
                        <c:v>12</c:v>
                      </c:pt>
                      <c:pt idx="57">
                        <c:v>9</c:v>
                      </c:pt>
                      <c:pt idx="58">
                        <c:v>6</c:v>
                      </c:pt>
                      <c:pt idx="59">
                        <c:v>5</c:v>
                      </c:pt>
                      <c:pt idx="60">
                        <c:v>8</c:v>
                      </c:pt>
                      <c:pt idx="61">
                        <c:v>6</c:v>
                      </c:pt>
                    </c:numCache>
                  </c:numRef>
                </c:val>
                <c:extLst xmlns:c15="http://schemas.microsoft.com/office/drawing/2012/chart">
                  <c:ext xmlns:c16="http://schemas.microsoft.com/office/drawing/2014/chart" uri="{C3380CC4-5D6E-409C-BE32-E72D297353CC}">
                    <c16:uniqueId val="{00000052-85F1-4E93-8343-9A44188D74B0}"/>
                  </c:ext>
                </c:extLst>
              </c15:ser>
            </c15:filteredBarSeries>
            <c15:filteredBarSeries>
              <c15:ser>
                <c:idx val="82"/>
                <c:order val="82"/>
                <c:tx>
                  <c:strRef>
                    <c:extLst xmlns:c15="http://schemas.microsoft.com/office/drawing/2012/chart">
                      <c:ext xmlns:c15="http://schemas.microsoft.com/office/drawing/2012/chart" uri="{02D57815-91ED-43cb-92C2-25804820EDAC}">
                        <c15:formulaRef>
                          <c15:sqref>'Table for graphs 24-25 '!$A$84</c15:sqref>
                        </c15:formulaRef>
                      </c:ext>
                    </c:extLst>
                    <c:strCache>
                      <c:ptCount val="1"/>
                      <c:pt idx="0">
                        <c:v>Lower Gastrointestinal - Reported Backlog Total</c:v>
                      </c:pt>
                    </c:strCache>
                  </c:strRef>
                </c:tx>
                <c:spPr>
                  <a:solidFill>
                    <a:schemeClr val="accent5">
                      <a:tint val="48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'!$B$84:$DB$84</c15:sqref>
                        </c15:formulaRef>
                      </c:ext>
                    </c:extLst>
                    <c:numCache>
                      <c:formatCode>0</c:formatCode>
                      <c:ptCount val="105"/>
                      <c:pt idx="0">
                        <c:v>77</c:v>
                      </c:pt>
                      <c:pt idx="1">
                        <c:v>82</c:v>
                      </c:pt>
                      <c:pt idx="2">
                        <c:v>85</c:v>
                      </c:pt>
                      <c:pt idx="3">
                        <c:v>81</c:v>
                      </c:pt>
                      <c:pt idx="4">
                        <c:v>79</c:v>
                      </c:pt>
                      <c:pt idx="5">
                        <c:v>69</c:v>
                      </c:pt>
                      <c:pt idx="6">
                        <c:v>69</c:v>
                      </c:pt>
                      <c:pt idx="7">
                        <c:v>68</c:v>
                      </c:pt>
                      <c:pt idx="8">
                        <c:v>71</c:v>
                      </c:pt>
                      <c:pt idx="9">
                        <c:v>77</c:v>
                      </c:pt>
                      <c:pt idx="10">
                        <c:v>73</c:v>
                      </c:pt>
                      <c:pt idx="11">
                        <c:v>65</c:v>
                      </c:pt>
                      <c:pt idx="12">
                        <c:v>68</c:v>
                      </c:pt>
                      <c:pt idx="13">
                        <c:v>59</c:v>
                      </c:pt>
                      <c:pt idx="14">
                        <c:v>55</c:v>
                      </c:pt>
                      <c:pt idx="15">
                        <c:v>51</c:v>
                      </c:pt>
                      <c:pt idx="16">
                        <c:v>62</c:v>
                      </c:pt>
                      <c:pt idx="17">
                        <c:v>66</c:v>
                      </c:pt>
                      <c:pt idx="18">
                        <c:v>71</c:v>
                      </c:pt>
                      <c:pt idx="19">
                        <c:v>75</c:v>
                      </c:pt>
                      <c:pt idx="20">
                        <c:v>74</c:v>
                      </c:pt>
                      <c:pt idx="21">
                        <c:v>58</c:v>
                      </c:pt>
                      <c:pt idx="22">
                        <c:v>67</c:v>
                      </c:pt>
                      <c:pt idx="23">
                        <c:v>77</c:v>
                      </c:pt>
                      <c:pt idx="24">
                        <c:v>76</c:v>
                      </c:pt>
                      <c:pt idx="25">
                        <c:v>69</c:v>
                      </c:pt>
                      <c:pt idx="26">
                        <c:v>60</c:v>
                      </c:pt>
                      <c:pt idx="27">
                        <c:v>49</c:v>
                      </c:pt>
                      <c:pt idx="28">
                        <c:v>47</c:v>
                      </c:pt>
                      <c:pt idx="29">
                        <c:v>45</c:v>
                      </c:pt>
                      <c:pt idx="30">
                        <c:v>47</c:v>
                      </c:pt>
                      <c:pt idx="31">
                        <c:v>40</c:v>
                      </c:pt>
                      <c:pt idx="32">
                        <c:v>37</c:v>
                      </c:pt>
                      <c:pt idx="33">
                        <c:v>37</c:v>
                      </c:pt>
                      <c:pt idx="34">
                        <c:v>40</c:v>
                      </c:pt>
                      <c:pt idx="35">
                        <c:v>37</c:v>
                      </c:pt>
                      <c:pt idx="36">
                        <c:v>36</c:v>
                      </c:pt>
                      <c:pt idx="37">
                        <c:v>34</c:v>
                      </c:pt>
                      <c:pt idx="38">
                        <c:v>43</c:v>
                      </c:pt>
                      <c:pt idx="39">
                        <c:v>54</c:v>
                      </c:pt>
                      <c:pt idx="40">
                        <c:v>52</c:v>
                      </c:pt>
                      <c:pt idx="41">
                        <c:v>53</c:v>
                      </c:pt>
                      <c:pt idx="42">
                        <c:v>53</c:v>
                      </c:pt>
                      <c:pt idx="43">
                        <c:v>60</c:v>
                      </c:pt>
                      <c:pt idx="44">
                        <c:v>52</c:v>
                      </c:pt>
                      <c:pt idx="45">
                        <c:v>43</c:v>
                      </c:pt>
                      <c:pt idx="46">
                        <c:v>43</c:v>
                      </c:pt>
                      <c:pt idx="47">
                        <c:v>41</c:v>
                      </c:pt>
                      <c:pt idx="48">
                        <c:v>40</c:v>
                      </c:pt>
                      <c:pt idx="49">
                        <c:v>40</c:v>
                      </c:pt>
                      <c:pt idx="50">
                        <c:v>36</c:v>
                      </c:pt>
                      <c:pt idx="51">
                        <c:v>43</c:v>
                      </c:pt>
                      <c:pt idx="52">
                        <c:v>41</c:v>
                      </c:pt>
                      <c:pt idx="53">
                        <c:v>38</c:v>
                      </c:pt>
                      <c:pt idx="54">
                        <c:v>35</c:v>
                      </c:pt>
                      <c:pt idx="55">
                        <c:v>32</c:v>
                      </c:pt>
                      <c:pt idx="56">
                        <c:v>30</c:v>
                      </c:pt>
                      <c:pt idx="57">
                        <c:v>52</c:v>
                      </c:pt>
                      <c:pt idx="58">
                        <c:v>60</c:v>
                      </c:pt>
                      <c:pt idx="59">
                        <c:v>54</c:v>
                      </c:pt>
                      <c:pt idx="60">
                        <c:v>61</c:v>
                      </c:pt>
                      <c:pt idx="61">
                        <c:v>59</c:v>
                      </c:pt>
                    </c:numCache>
                  </c:numRef>
                </c:val>
                <c:extLst xmlns:c15="http://schemas.microsoft.com/office/drawing/2012/chart">
                  <c:ext xmlns:c16="http://schemas.microsoft.com/office/drawing/2014/chart" uri="{C3380CC4-5D6E-409C-BE32-E72D297353CC}">
                    <c16:uniqueId val="{00000053-85F1-4E93-8343-9A44188D74B0}"/>
                  </c:ext>
                </c:extLst>
              </c15:ser>
            </c15:filteredBarSeries>
            <c15:filteredBarSeries>
              <c15:ser>
                <c:idx val="83"/>
                <c:order val="83"/>
                <c:tx>
                  <c:strRef>
                    <c:extLst xmlns:c15="http://schemas.microsoft.com/office/drawing/2012/chart">
                      <c:ext xmlns:c15="http://schemas.microsoft.com/office/drawing/2012/chart" uri="{02D57815-91ED-43cb-92C2-25804820EDAC}">
                        <c15:formulaRef>
                          <c15:sqref>'Table for graphs 24-25 '!$A$85</c15:sqref>
                        </c15:formulaRef>
                      </c:ext>
                    </c:extLst>
                    <c:strCache>
                      <c:ptCount val="1"/>
                      <c:pt idx="0">
                        <c:v>Lung - Reported Backlog Total</c:v>
                      </c:pt>
                    </c:strCache>
                  </c:strRef>
                </c:tx>
                <c:spPr>
                  <a:solidFill>
                    <a:schemeClr val="accent5">
                      <a:tint val="47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'!$B$85:$DB$85</c15:sqref>
                        </c15:formulaRef>
                      </c:ext>
                    </c:extLst>
                    <c:numCache>
                      <c:formatCode>0</c:formatCode>
                      <c:ptCount val="105"/>
                      <c:pt idx="0">
                        <c:v>26</c:v>
                      </c:pt>
                      <c:pt idx="1">
                        <c:v>28</c:v>
                      </c:pt>
                      <c:pt idx="2">
                        <c:v>27</c:v>
                      </c:pt>
                      <c:pt idx="3">
                        <c:v>28</c:v>
                      </c:pt>
                      <c:pt idx="4">
                        <c:v>35</c:v>
                      </c:pt>
                      <c:pt idx="5">
                        <c:v>32</c:v>
                      </c:pt>
                      <c:pt idx="6">
                        <c:v>37</c:v>
                      </c:pt>
                      <c:pt idx="7">
                        <c:v>34</c:v>
                      </c:pt>
                      <c:pt idx="8">
                        <c:v>38</c:v>
                      </c:pt>
                      <c:pt idx="9">
                        <c:v>42</c:v>
                      </c:pt>
                      <c:pt idx="10">
                        <c:v>47</c:v>
                      </c:pt>
                      <c:pt idx="11">
                        <c:v>46</c:v>
                      </c:pt>
                      <c:pt idx="12">
                        <c:v>44</c:v>
                      </c:pt>
                      <c:pt idx="13">
                        <c:v>32</c:v>
                      </c:pt>
                      <c:pt idx="14">
                        <c:v>26</c:v>
                      </c:pt>
                      <c:pt idx="15">
                        <c:v>29</c:v>
                      </c:pt>
                      <c:pt idx="16">
                        <c:v>30</c:v>
                      </c:pt>
                      <c:pt idx="17">
                        <c:v>27</c:v>
                      </c:pt>
                      <c:pt idx="18">
                        <c:v>29</c:v>
                      </c:pt>
                      <c:pt idx="19">
                        <c:v>27</c:v>
                      </c:pt>
                      <c:pt idx="20">
                        <c:v>24</c:v>
                      </c:pt>
                      <c:pt idx="21">
                        <c:v>26</c:v>
                      </c:pt>
                      <c:pt idx="22">
                        <c:v>25</c:v>
                      </c:pt>
                      <c:pt idx="23">
                        <c:v>24</c:v>
                      </c:pt>
                      <c:pt idx="24">
                        <c:v>22</c:v>
                      </c:pt>
                      <c:pt idx="25">
                        <c:v>20</c:v>
                      </c:pt>
                      <c:pt idx="26">
                        <c:v>23</c:v>
                      </c:pt>
                      <c:pt idx="27">
                        <c:v>19</c:v>
                      </c:pt>
                      <c:pt idx="28">
                        <c:v>19</c:v>
                      </c:pt>
                      <c:pt idx="29">
                        <c:v>18</c:v>
                      </c:pt>
                      <c:pt idx="30">
                        <c:v>21</c:v>
                      </c:pt>
                      <c:pt idx="31">
                        <c:v>23</c:v>
                      </c:pt>
                      <c:pt idx="32">
                        <c:v>24</c:v>
                      </c:pt>
                      <c:pt idx="33">
                        <c:v>25</c:v>
                      </c:pt>
                      <c:pt idx="34">
                        <c:v>25</c:v>
                      </c:pt>
                      <c:pt idx="35">
                        <c:v>19</c:v>
                      </c:pt>
                      <c:pt idx="36">
                        <c:v>24</c:v>
                      </c:pt>
                      <c:pt idx="37">
                        <c:v>25</c:v>
                      </c:pt>
                      <c:pt idx="38">
                        <c:v>25</c:v>
                      </c:pt>
                      <c:pt idx="39">
                        <c:v>26</c:v>
                      </c:pt>
                      <c:pt idx="40">
                        <c:v>25</c:v>
                      </c:pt>
                      <c:pt idx="41">
                        <c:v>23</c:v>
                      </c:pt>
                      <c:pt idx="42">
                        <c:v>27</c:v>
                      </c:pt>
                      <c:pt idx="43">
                        <c:v>26</c:v>
                      </c:pt>
                      <c:pt idx="44">
                        <c:v>27</c:v>
                      </c:pt>
                      <c:pt idx="45">
                        <c:v>22</c:v>
                      </c:pt>
                      <c:pt idx="46">
                        <c:v>24</c:v>
                      </c:pt>
                      <c:pt idx="47">
                        <c:v>22</c:v>
                      </c:pt>
                      <c:pt idx="48">
                        <c:v>20</c:v>
                      </c:pt>
                      <c:pt idx="49">
                        <c:v>17</c:v>
                      </c:pt>
                      <c:pt idx="50">
                        <c:v>18</c:v>
                      </c:pt>
                      <c:pt idx="51">
                        <c:v>18</c:v>
                      </c:pt>
                      <c:pt idx="52">
                        <c:v>18</c:v>
                      </c:pt>
                      <c:pt idx="53">
                        <c:v>19</c:v>
                      </c:pt>
                      <c:pt idx="54">
                        <c:v>21</c:v>
                      </c:pt>
                      <c:pt idx="55">
                        <c:v>24</c:v>
                      </c:pt>
                      <c:pt idx="56">
                        <c:v>21</c:v>
                      </c:pt>
                      <c:pt idx="57">
                        <c:v>19</c:v>
                      </c:pt>
                      <c:pt idx="58">
                        <c:v>19</c:v>
                      </c:pt>
                      <c:pt idx="59">
                        <c:v>15</c:v>
                      </c:pt>
                      <c:pt idx="60">
                        <c:v>16</c:v>
                      </c:pt>
                      <c:pt idx="61">
                        <c:v>18</c:v>
                      </c:pt>
                    </c:numCache>
                  </c:numRef>
                </c:val>
                <c:extLst xmlns:c15="http://schemas.microsoft.com/office/drawing/2012/chart">
                  <c:ext xmlns:c16="http://schemas.microsoft.com/office/drawing/2014/chart" uri="{C3380CC4-5D6E-409C-BE32-E72D297353CC}">
                    <c16:uniqueId val="{00000054-85F1-4E93-8343-9A44188D74B0}"/>
                  </c:ext>
                </c:extLst>
              </c15:ser>
            </c15:filteredBarSeries>
            <c15:filteredBarSeries>
              <c15:ser>
                <c:idx val="84"/>
                <c:order val="84"/>
                <c:tx>
                  <c:strRef>
                    <c:extLst xmlns:c15="http://schemas.microsoft.com/office/drawing/2012/chart">
                      <c:ext xmlns:c15="http://schemas.microsoft.com/office/drawing/2012/chart" uri="{02D57815-91ED-43cb-92C2-25804820EDAC}">
                        <c15:formulaRef>
                          <c15:sqref>'Table for graphs 24-25 '!$A$86</c15:sqref>
                        </c15:formulaRef>
                      </c:ext>
                    </c:extLst>
                    <c:strCache>
                      <c:ptCount val="1"/>
                      <c:pt idx="0">
                        <c:v>Other - Reported Backlog Total</c:v>
                      </c:pt>
                    </c:strCache>
                  </c:strRef>
                </c:tx>
                <c:spPr>
                  <a:solidFill>
                    <a:schemeClr val="accent5">
                      <a:tint val="4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'!$B$86:$DB$86</c15:sqref>
                        </c15:formulaRef>
                      </c:ext>
                    </c:extLst>
                    <c:numCache>
                      <c:formatCode>0</c:formatCode>
                      <c:ptCount val="105"/>
                      <c:pt idx="0">
                        <c:v>3</c:v>
                      </c:pt>
                      <c:pt idx="1">
                        <c:v>9</c:v>
                      </c:pt>
                      <c:pt idx="2">
                        <c:v>1</c:v>
                      </c:pt>
                      <c:pt idx="3">
                        <c:v>2</c:v>
                      </c:pt>
                      <c:pt idx="4">
                        <c:v>4</c:v>
                      </c:pt>
                      <c:pt idx="5">
                        <c:v>3</c:v>
                      </c:pt>
                      <c:pt idx="6">
                        <c:v>5</c:v>
                      </c:pt>
                      <c:pt idx="7">
                        <c:v>4</c:v>
                      </c:pt>
                      <c:pt idx="8">
                        <c:v>5</c:v>
                      </c:pt>
                      <c:pt idx="9">
                        <c:v>5</c:v>
                      </c:pt>
                      <c:pt idx="10">
                        <c:v>6</c:v>
                      </c:pt>
                      <c:pt idx="11">
                        <c:v>5</c:v>
                      </c:pt>
                      <c:pt idx="12">
                        <c:v>4</c:v>
                      </c:pt>
                      <c:pt idx="13">
                        <c:v>6</c:v>
                      </c:pt>
                      <c:pt idx="14">
                        <c:v>4</c:v>
                      </c:pt>
                      <c:pt idx="15">
                        <c:v>3</c:v>
                      </c:pt>
                      <c:pt idx="16">
                        <c:v>5</c:v>
                      </c:pt>
                      <c:pt idx="17">
                        <c:v>4</c:v>
                      </c:pt>
                      <c:pt idx="18">
                        <c:v>2</c:v>
                      </c:pt>
                      <c:pt idx="19">
                        <c:v>2</c:v>
                      </c:pt>
                      <c:pt idx="20">
                        <c:v>2</c:v>
                      </c:pt>
                      <c:pt idx="21">
                        <c:v>2</c:v>
                      </c:pt>
                      <c:pt idx="22">
                        <c:v>1</c:v>
                      </c:pt>
                      <c:pt idx="23">
                        <c:v>4</c:v>
                      </c:pt>
                      <c:pt idx="24">
                        <c:v>4</c:v>
                      </c:pt>
                      <c:pt idx="25">
                        <c:v>5</c:v>
                      </c:pt>
                      <c:pt idx="26">
                        <c:v>3</c:v>
                      </c:pt>
                      <c:pt idx="27">
                        <c:v>3</c:v>
                      </c:pt>
                      <c:pt idx="28">
                        <c:v>3</c:v>
                      </c:pt>
                      <c:pt idx="29">
                        <c:v>2</c:v>
                      </c:pt>
                      <c:pt idx="30">
                        <c:v>3</c:v>
                      </c:pt>
                      <c:pt idx="31">
                        <c:v>3</c:v>
                      </c:pt>
                      <c:pt idx="32">
                        <c:v>5</c:v>
                      </c:pt>
                      <c:pt idx="33">
                        <c:v>3</c:v>
                      </c:pt>
                      <c:pt idx="34">
                        <c:v>1</c:v>
                      </c:pt>
                      <c:pt idx="35">
                        <c:v>1</c:v>
                      </c:pt>
                      <c:pt idx="36">
                        <c:v>1</c:v>
                      </c:pt>
                      <c:pt idx="37">
                        <c:v>1</c:v>
                      </c:pt>
                      <c:pt idx="38">
                        <c:v>1</c:v>
                      </c:pt>
                      <c:pt idx="39">
                        <c:v>1</c:v>
                      </c:pt>
                      <c:pt idx="40">
                        <c:v>3</c:v>
                      </c:pt>
                      <c:pt idx="41">
                        <c:v>1</c:v>
                      </c:pt>
                      <c:pt idx="42">
                        <c:v>1</c:v>
                      </c:pt>
                      <c:pt idx="43">
                        <c:v>2</c:v>
                      </c:pt>
                      <c:pt idx="44">
                        <c:v>0</c:v>
                      </c:pt>
                      <c:pt idx="45">
                        <c:v>1</c:v>
                      </c:pt>
                      <c:pt idx="46">
                        <c:v>2</c:v>
                      </c:pt>
                      <c:pt idx="47">
                        <c:v>1</c:v>
                      </c:pt>
                      <c:pt idx="48">
                        <c:v>3</c:v>
                      </c:pt>
                      <c:pt idx="49">
                        <c:v>2</c:v>
                      </c:pt>
                      <c:pt idx="50">
                        <c:v>2</c:v>
                      </c:pt>
                      <c:pt idx="51">
                        <c:v>0</c:v>
                      </c:pt>
                      <c:pt idx="52">
                        <c:v>0</c:v>
                      </c:pt>
                      <c:pt idx="53">
                        <c:v>0</c:v>
                      </c:pt>
                      <c:pt idx="54">
                        <c:v>0</c:v>
                      </c:pt>
                      <c:pt idx="55">
                        <c:v>0</c:v>
                      </c:pt>
                      <c:pt idx="56">
                        <c:v>1</c:v>
                      </c:pt>
                      <c:pt idx="57">
                        <c:v>2</c:v>
                      </c:pt>
                      <c:pt idx="58">
                        <c:v>2</c:v>
                      </c:pt>
                      <c:pt idx="59">
                        <c:v>4</c:v>
                      </c:pt>
                      <c:pt idx="60">
                        <c:v>3</c:v>
                      </c:pt>
                      <c:pt idx="61">
                        <c:v>4</c:v>
                      </c:pt>
                    </c:numCache>
                  </c:numRef>
                </c:val>
                <c:extLst xmlns:c15="http://schemas.microsoft.com/office/drawing/2012/chart">
                  <c:ext xmlns:c16="http://schemas.microsoft.com/office/drawing/2014/chart" uri="{C3380CC4-5D6E-409C-BE32-E72D297353CC}">
                    <c16:uniqueId val="{00000055-85F1-4E93-8343-9A44188D74B0}"/>
                  </c:ext>
                </c:extLst>
              </c15:ser>
            </c15:filteredBarSeries>
            <c15:filteredBarSeries>
              <c15:ser>
                <c:idx val="85"/>
                <c:order val="85"/>
                <c:tx>
                  <c:strRef>
                    <c:extLst xmlns:c15="http://schemas.microsoft.com/office/drawing/2012/chart">
                      <c:ext xmlns:c15="http://schemas.microsoft.com/office/drawing/2012/chart" uri="{02D57815-91ED-43cb-92C2-25804820EDAC}">
                        <c15:formulaRef>
                          <c15:sqref>'Table for graphs 24-25 '!$A$87</c15:sqref>
                        </c15:formulaRef>
                      </c:ext>
                    </c:extLst>
                    <c:strCache>
                      <c:ptCount val="1"/>
                      <c:pt idx="0">
                        <c:v>Sarcoma - Reported Backlog Total</c:v>
                      </c:pt>
                    </c:strCache>
                  </c:strRef>
                </c:tx>
                <c:spPr>
                  <a:solidFill>
                    <a:schemeClr val="accent5">
                      <a:tint val="44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'!$B$87:$DB$87</c15:sqref>
                        </c15:formulaRef>
                      </c:ext>
                    </c:extLst>
                    <c:numCache>
                      <c:formatCode>0</c:formatCode>
                      <c:ptCount val="105"/>
                      <c:pt idx="0">
                        <c:v>6</c:v>
                      </c:pt>
                      <c:pt idx="1">
                        <c:v>8</c:v>
                      </c:pt>
                      <c:pt idx="2">
                        <c:v>7</c:v>
                      </c:pt>
                      <c:pt idx="3">
                        <c:v>5</c:v>
                      </c:pt>
                      <c:pt idx="4">
                        <c:v>4</c:v>
                      </c:pt>
                      <c:pt idx="5">
                        <c:v>3</c:v>
                      </c:pt>
                      <c:pt idx="6">
                        <c:v>2</c:v>
                      </c:pt>
                      <c:pt idx="7">
                        <c:v>2</c:v>
                      </c:pt>
                      <c:pt idx="8">
                        <c:v>3</c:v>
                      </c:pt>
                      <c:pt idx="9">
                        <c:v>2</c:v>
                      </c:pt>
                      <c:pt idx="10">
                        <c:v>4</c:v>
                      </c:pt>
                      <c:pt idx="11">
                        <c:v>4</c:v>
                      </c:pt>
                      <c:pt idx="12">
                        <c:v>5</c:v>
                      </c:pt>
                      <c:pt idx="13">
                        <c:v>5</c:v>
                      </c:pt>
                      <c:pt idx="14">
                        <c:v>4</c:v>
                      </c:pt>
                      <c:pt idx="15">
                        <c:v>4</c:v>
                      </c:pt>
                      <c:pt idx="16">
                        <c:v>6</c:v>
                      </c:pt>
                      <c:pt idx="17">
                        <c:v>8</c:v>
                      </c:pt>
                      <c:pt idx="18">
                        <c:v>7</c:v>
                      </c:pt>
                      <c:pt idx="19">
                        <c:v>5</c:v>
                      </c:pt>
                      <c:pt idx="20">
                        <c:v>6</c:v>
                      </c:pt>
                      <c:pt idx="21">
                        <c:v>7</c:v>
                      </c:pt>
                      <c:pt idx="22">
                        <c:v>6</c:v>
                      </c:pt>
                      <c:pt idx="23">
                        <c:v>5</c:v>
                      </c:pt>
                      <c:pt idx="24">
                        <c:v>3</c:v>
                      </c:pt>
                      <c:pt idx="25">
                        <c:v>6</c:v>
                      </c:pt>
                      <c:pt idx="26">
                        <c:v>6</c:v>
                      </c:pt>
                      <c:pt idx="27">
                        <c:v>4</c:v>
                      </c:pt>
                      <c:pt idx="28">
                        <c:v>4</c:v>
                      </c:pt>
                      <c:pt idx="29">
                        <c:v>4</c:v>
                      </c:pt>
                      <c:pt idx="30">
                        <c:v>2</c:v>
                      </c:pt>
                      <c:pt idx="31">
                        <c:v>2</c:v>
                      </c:pt>
                      <c:pt idx="32">
                        <c:v>2</c:v>
                      </c:pt>
                      <c:pt idx="33">
                        <c:v>2</c:v>
                      </c:pt>
                      <c:pt idx="34">
                        <c:v>1</c:v>
                      </c:pt>
                      <c:pt idx="35">
                        <c:v>1</c:v>
                      </c:pt>
                      <c:pt idx="36">
                        <c:v>5</c:v>
                      </c:pt>
                      <c:pt idx="37">
                        <c:v>6</c:v>
                      </c:pt>
                      <c:pt idx="38">
                        <c:v>7</c:v>
                      </c:pt>
                      <c:pt idx="39">
                        <c:v>8</c:v>
                      </c:pt>
                      <c:pt idx="40">
                        <c:v>7</c:v>
                      </c:pt>
                      <c:pt idx="41">
                        <c:v>6</c:v>
                      </c:pt>
                      <c:pt idx="42">
                        <c:v>6</c:v>
                      </c:pt>
                      <c:pt idx="43">
                        <c:v>4</c:v>
                      </c:pt>
                      <c:pt idx="44">
                        <c:v>5</c:v>
                      </c:pt>
                      <c:pt idx="45">
                        <c:v>4</c:v>
                      </c:pt>
                      <c:pt idx="46">
                        <c:v>5</c:v>
                      </c:pt>
                      <c:pt idx="47">
                        <c:v>5</c:v>
                      </c:pt>
                      <c:pt idx="48">
                        <c:v>5</c:v>
                      </c:pt>
                      <c:pt idx="49">
                        <c:v>5</c:v>
                      </c:pt>
                      <c:pt idx="50">
                        <c:v>4</c:v>
                      </c:pt>
                      <c:pt idx="51">
                        <c:v>2</c:v>
                      </c:pt>
                      <c:pt idx="52">
                        <c:v>2</c:v>
                      </c:pt>
                      <c:pt idx="53">
                        <c:v>2</c:v>
                      </c:pt>
                      <c:pt idx="54">
                        <c:v>3</c:v>
                      </c:pt>
                      <c:pt idx="55">
                        <c:v>3</c:v>
                      </c:pt>
                      <c:pt idx="56">
                        <c:v>1</c:v>
                      </c:pt>
                      <c:pt idx="57">
                        <c:v>2</c:v>
                      </c:pt>
                      <c:pt idx="58">
                        <c:v>3</c:v>
                      </c:pt>
                      <c:pt idx="59">
                        <c:v>4</c:v>
                      </c:pt>
                      <c:pt idx="60">
                        <c:v>3</c:v>
                      </c:pt>
                      <c:pt idx="61">
                        <c:v>4</c:v>
                      </c:pt>
                    </c:numCache>
                  </c:numRef>
                </c:val>
                <c:extLst xmlns:c15="http://schemas.microsoft.com/office/drawing/2012/chart">
                  <c:ext xmlns:c16="http://schemas.microsoft.com/office/drawing/2014/chart" uri="{C3380CC4-5D6E-409C-BE32-E72D297353CC}">
                    <c16:uniqueId val="{00000056-85F1-4E93-8343-9A44188D74B0}"/>
                  </c:ext>
                </c:extLst>
              </c15:ser>
            </c15:filteredBarSeries>
            <c15:filteredBarSeries>
              <c15:ser>
                <c:idx val="86"/>
                <c:order val="86"/>
                <c:tx>
                  <c:strRef>
                    <c:extLst xmlns:c15="http://schemas.microsoft.com/office/drawing/2012/chart">
                      <c:ext xmlns:c15="http://schemas.microsoft.com/office/drawing/2012/chart" uri="{02D57815-91ED-43cb-92C2-25804820EDAC}">
                        <c15:formulaRef>
                          <c15:sqref>'Table for graphs 24-25 '!$A$88</c15:sqref>
                        </c15:formulaRef>
                      </c:ext>
                    </c:extLst>
                    <c:strCache>
                      <c:ptCount val="1"/>
                      <c:pt idx="0">
                        <c:v>Skin - Reported Backlog Total</c:v>
                      </c:pt>
                    </c:strCache>
                  </c:strRef>
                </c:tx>
                <c:spPr>
                  <a:solidFill>
                    <a:schemeClr val="accent5">
                      <a:tint val="4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'!$B$88:$DB$88</c15:sqref>
                        </c15:formulaRef>
                      </c:ext>
                    </c:extLst>
                    <c:numCache>
                      <c:formatCode>0</c:formatCode>
                      <c:ptCount val="105"/>
                      <c:pt idx="0">
                        <c:v>21</c:v>
                      </c:pt>
                      <c:pt idx="1">
                        <c:v>23</c:v>
                      </c:pt>
                      <c:pt idx="2">
                        <c:v>14</c:v>
                      </c:pt>
                      <c:pt idx="3">
                        <c:v>18</c:v>
                      </c:pt>
                      <c:pt idx="4">
                        <c:v>20</c:v>
                      </c:pt>
                      <c:pt idx="5">
                        <c:v>14</c:v>
                      </c:pt>
                      <c:pt idx="6">
                        <c:v>16</c:v>
                      </c:pt>
                      <c:pt idx="7">
                        <c:v>14</c:v>
                      </c:pt>
                      <c:pt idx="8">
                        <c:v>16</c:v>
                      </c:pt>
                      <c:pt idx="9">
                        <c:v>19</c:v>
                      </c:pt>
                      <c:pt idx="10">
                        <c:v>19</c:v>
                      </c:pt>
                      <c:pt idx="11">
                        <c:v>16</c:v>
                      </c:pt>
                      <c:pt idx="12">
                        <c:v>12</c:v>
                      </c:pt>
                      <c:pt idx="13">
                        <c:v>18</c:v>
                      </c:pt>
                      <c:pt idx="14">
                        <c:v>17</c:v>
                      </c:pt>
                      <c:pt idx="15">
                        <c:v>18</c:v>
                      </c:pt>
                      <c:pt idx="16">
                        <c:v>16</c:v>
                      </c:pt>
                      <c:pt idx="17">
                        <c:v>15</c:v>
                      </c:pt>
                      <c:pt idx="18">
                        <c:v>15</c:v>
                      </c:pt>
                      <c:pt idx="19">
                        <c:v>29</c:v>
                      </c:pt>
                      <c:pt idx="20">
                        <c:v>35</c:v>
                      </c:pt>
                      <c:pt idx="21">
                        <c:v>37</c:v>
                      </c:pt>
                      <c:pt idx="22">
                        <c:v>44</c:v>
                      </c:pt>
                      <c:pt idx="23">
                        <c:v>36</c:v>
                      </c:pt>
                      <c:pt idx="24">
                        <c:v>31</c:v>
                      </c:pt>
                      <c:pt idx="25">
                        <c:v>38</c:v>
                      </c:pt>
                      <c:pt idx="26">
                        <c:v>50</c:v>
                      </c:pt>
                      <c:pt idx="27">
                        <c:v>45</c:v>
                      </c:pt>
                      <c:pt idx="28">
                        <c:v>42</c:v>
                      </c:pt>
                      <c:pt idx="29">
                        <c:v>43</c:v>
                      </c:pt>
                      <c:pt idx="30">
                        <c:v>42</c:v>
                      </c:pt>
                      <c:pt idx="31">
                        <c:v>42</c:v>
                      </c:pt>
                      <c:pt idx="32">
                        <c:v>35</c:v>
                      </c:pt>
                      <c:pt idx="33">
                        <c:v>38</c:v>
                      </c:pt>
                      <c:pt idx="34">
                        <c:v>36</c:v>
                      </c:pt>
                      <c:pt idx="35">
                        <c:v>30</c:v>
                      </c:pt>
                      <c:pt idx="36">
                        <c:v>19</c:v>
                      </c:pt>
                      <c:pt idx="37">
                        <c:v>22</c:v>
                      </c:pt>
                      <c:pt idx="38">
                        <c:v>24</c:v>
                      </c:pt>
                      <c:pt idx="39">
                        <c:v>26</c:v>
                      </c:pt>
                      <c:pt idx="40">
                        <c:v>20</c:v>
                      </c:pt>
                      <c:pt idx="41">
                        <c:v>20</c:v>
                      </c:pt>
                      <c:pt idx="42">
                        <c:v>17</c:v>
                      </c:pt>
                      <c:pt idx="43">
                        <c:v>13</c:v>
                      </c:pt>
                      <c:pt idx="44">
                        <c:v>14</c:v>
                      </c:pt>
                      <c:pt idx="45">
                        <c:v>16</c:v>
                      </c:pt>
                      <c:pt idx="46">
                        <c:v>13</c:v>
                      </c:pt>
                      <c:pt idx="47">
                        <c:v>13</c:v>
                      </c:pt>
                      <c:pt idx="48">
                        <c:v>12</c:v>
                      </c:pt>
                      <c:pt idx="49">
                        <c:v>9</c:v>
                      </c:pt>
                      <c:pt idx="50">
                        <c:v>13</c:v>
                      </c:pt>
                      <c:pt idx="51">
                        <c:v>14</c:v>
                      </c:pt>
                      <c:pt idx="52">
                        <c:v>19</c:v>
                      </c:pt>
                      <c:pt idx="53">
                        <c:v>17</c:v>
                      </c:pt>
                      <c:pt idx="54">
                        <c:v>18</c:v>
                      </c:pt>
                      <c:pt idx="55">
                        <c:v>18</c:v>
                      </c:pt>
                      <c:pt idx="56">
                        <c:v>20</c:v>
                      </c:pt>
                      <c:pt idx="57">
                        <c:v>22</c:v>
                      </c:pt>
                      <c:pt idx="58">
                        <c:v>19</c:v>
                      </c:pt>
                      <c:pt idx="59">
                        <c:v>17</c:v>
                      </c:pt>
                      <c:pt idx="60">
                        <c:v>21</c:v>
                      </c:pt>
                      <c:pt idx="61">
                        <c:v>21</c:v>
                      </c:pt>
                    </c:numCache>
                  </c:numRef>
                </c:val>
                <c:extLst xmlns:c15="http://schemas.microsoft.com/office/drawing/2012/chart">
                  <c:ext xmlns:c16="http://schemas.microsoft.com/office/drawing/2014/chart" uri="{C3380CC4-5D6E-409C-BE32-E72D297353CC}">
                    <c16:uniqueId val="{00000057-85F1-4E93-8343-9A44188D74B0}"/>
                  </c:ext>
                </c:extLst>
              </c15:ser>
            </c15:filteredBarSeries>
            <c15:filteredBarSeries>
              <c15:ser>
                <c:idx val="87"/>
                <c:order val="87"/>
                <c:tx>
                  <c:strRef>
                    <c:extLst xmlns:c15="http://schemas.microsoft.com/office/drawing/2012/chart">
                      <c:ext xmlns:c15="http://schemas.microsoft.com/office/drawing/2012/chart" uri="{02D57815-91ED-43cb-92C2-25804820EDAC}">
                        <c15:formulaRef>
                          <c15:sqref>'Table for graphs 24-25 '!$A$89</c15:sqref>
                        </c15:formulaRef>
                      </c:ext>
                    </c:extLst>
                    <c:strCache>
                      <c:ptCount val="1"/>
                      <c:pt idx="0">
                        <c:v>Upper Gastrointestinal - Reported Backlog Total</c:v>
                      </c:pt>
                    </c:strCache>
                  </c:strRef>
                </c:tx>
                <c:spPr>
                  <a:solidFill>
                    <a:schemeClr val="accent5">
                      <a:tint val="41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'!$B$89:$DB$89</c15:sqref>
                        </c15:formulaRef>
                      </c:ext>
                    </c:extLst>
                    <c:numCache>
                      <c:formatCode>0</c:formatCode>
                      <c:ptCount val="105"/>
                      <c:pt idx="0">
                        <c:v>45</c:v>
                      </c:pt>
                      <c:pt idx="1">
                        <c:v>49</c:v>
                      </c:pt>
                      <c:pt idx="2">
                        <c:v>41</c:v>
                      </c:pt>
                      <c:pt idx="3">
                        <c:v>42</c:v>
                      </c:pt>
                      <c:pt idx="4">
                        <c:v>50</c:v>
                      </c:pt>
                      <c:pt idx="5">
                        <c:v>56</c:v>
                      </c:pt>
                      <c:pt idx="6">
                        <c:v>40</c:v>
                      </c:pt>
                      <c:pt idx="7">
                        <c:v>38</c:v>
                      </c:pt>
                      <c:pt idx="8">
                        <c:v>47</c:v>
                      </c:pt>
                      <c:pt idx="9">
                        <c:v>47</c:v>
                      </c:pt>
                      <c:pt idx="10">
                        <c:v>44</c:v>
                      </c:pt>
                      <c:pt idx="11">
                        <c:v>37</c:v>
                      </c:pt>
                      <c:pt idx="12">
                        <c:v>45</c:v>
                      </c:pt>
                      <c:pt idx="13">
                        <c:v>45</c:v>
                      </c:pt>
                      <c:pt idx="14">
                        <c:v>36</c:v>
                      </c:pt>
                      <c:pt idx="15">
                        <c:v>36</c:v>
                      </c:pt>
                      <c:pt idx="16">
                        <c:v>28</c:v>
                      </c:pt>
                      <c:pt idx="17">
                        <c:v>25</c:v>
                      </c:pt>
                      <c:pt idx="18">
                        <c:v>26</c:v>
                      </c:pt>
                      <c:pt idx="19">
                        <c:v>33</c:v>
                      </c:pt>
                      <c:pt idx="20">
                        <c:v>36</c:v>
                      </c:pt>
                      <c:pt idx="21">
                        <c:v>40</c:v>
                      </c:pt>
                      <c:pt idx="22">
                        <c:v>36</c:v>
                      </c:pt>
                      <c:pt idx="23">
                        <c:v>45</c:v>
                      </c:pt>
                      <c:pt idx="24">
                        <c:v>43</c:v>
                      </c:pt>
                      <c:pt idx="25">
                        <c:v>42</c:v>
                      </c:pt>
                      <c:pt idx="26">
                        <c:v>45</c:v>
                      </c:pt>
                      <c:pt idx="27">
                        <c:v>43</c:v>
                      </c:pt>
                      <c:pt idx="28">
                        <c:v>34</c:v>
                      </c:pt>
                      <c:pt idx="29">
                        <c:v>34</c:v>
                      </c:pt>
                      <c:pt idx="30">
                        <c:v>29</c:v>
                      </c:pt>
                      <c:pt idx="31">
                        <c:v>28</c:v>
                      </c:pt>
                      <c:pt idx="32">
                        <c:v>25</c:v>
                      </c:pt>
                      <c:pt idx="33">
                        <c:v>26</c:v>
                      </c:pt>
                      <c:pt idx="34">
                        <c:v>30</c:v>
                      </c:pt>
                      <c:pt idx="35">
                        <c:v>32</c:v>
                      </c:pt>
                      <c:pt idx="36">
                        <c:v>26</c:v>
                      </c:pt>
                      <c:pt idx="37">
                        <c:v>31</c:v>
                      </c:pt>
                      <c:pt idx="38">
                        <c:v>36</c:v>
                      </c:pt>
                      <c:pt idx="39">
                        <c:v>41</c:v>
                      </c:pt>
                      <c:pt idx="40">
                        <c:v>37</c:v>
                      </c:pt>
                      <c:pt idx="41">
                        <c:v>36</c:v>
                      </c:pt>
                      <c:pt idx="42">
                        <c:v>34</c:v>
                      </c:pt>
                      <c:pt idx="43">
                        <c:v>32</c:v>
                      </c:pt>
                      <c:pt idx="44">
                        <c:v>34</c:v>
                      </c:pt>
                      <c:pt idx="45">
                        <c:v>32</c:v>
                      </c:pt>
                      <c:pt idx="46">
                        <c:v>31</c:v>
                      </c:pt>
                      <c:pt idx="47">
                        <c:v>27</c:v>
                      </c:pt>
                      <c:pt idx="48">
                        <c:v>21</c:v>
                      </c:pt>
                      <c:pt idx="49">
                        <c:v>16</c:v>
                      </c:pt>
                      <c:pt idx="50">
                        <c:v>17</c:v>
                      </c:pt>
                      <c:pt idx="51">
                        <c:v>16</c:v>
                      </c:pt>
                      <c:pt idx="52">
                        <c:v>21</c:v>
                      </c:pt>
                      <c:pt idx="53">
                        <c:v>15</c:v>
                      </c:pt>
                      <c:pt idx="54">
                        <c:v>18</c:v>
                      </c:pt>
                      <c:pt idx="55">
                        <c:v>20</c:v>
                      </c:pt>
                      <c:pt idx="56">
                        <c:v>24</c:v>
                      </c:pt>
                      <c:pt idx="57">
                        <c:v>24</c:v>
                      </c:pt>
                      <c:pt idx="58">
                        <c:v>25</c:v>
                      </c:pt>
                      <c:pt idx="59">
                        <c:v>22</c:v>
                      </c:pt>
                      <c:pt idx="60">
                        <c:v>20</c:v>
                      </c:pt>
                      <c:pt idx="61">
                        <c:v>17</c:v>
                      </c:pt>
                    </c:numCache>
                  </c:numRef>
                </c:val>
                <c:extLst xmlns:c15="http://schemas.microsoft.com/office/drawing/2012/chart">
                  <c:ext xmlns:c16="http://schemas.microsoft.com/office/drawing/2014/chart" uri="{C3380CC4-5D6E-409C-BE32-E72D297353CC}">
                    <c16:uniqueId val="{00000058-85F1-4E93-8343-9A44188D74B0}"/>
                  </c:ext>
                </c:extLst>
              </c15:ser>
            </c15:filteredBarSeries>
            <c15:filteredBarSeries>
              <c15:ser>
                <c:idx val="88"/>
                <c:order val="88"/>
                <c:tx>
                  <c:strRef>
                    <c:extLst xmlns:c15="http://schemas.microsoft.com/office/drawing/2012/chart">
                      <c:ext xmlns:c15="http://schemas.microsoft.com/office/drawing/2012/chart" uri="{02D57815-91ED-43cb-92C2-25804820EDAC}">
                        <c15:formulaRef>
                          <c15:sqref>'Table for graphs 24-25 '!$A$90</c15:sqref>
                        </c15:formulaRef>
                      </c:ext>
                    </c:extLst>
                    <c:strCache>
                      <c:ptCount val="1"/>
                      <c:pt idx="0">
                        <c:v>Urological - Reported Backlog Total</c:v>
                      </c:pt>
                    </c:strCache>
                  </c:strRef>
                </c:tx>
                <c:spPr>
                  <a:solidFill>
                    <a:schemeClr val="accent5">
                      <a:tint val="39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'!$B$90:$DB$90</c15:sqref>
                        </c15:formulaRef>
                      </c:ext>
                    </c:extLst>
                    <c:numCache>
                      <c:formatCode>0</c:formatCode>
                      <c:ptCount val="105"/>
                      <c:pt idx="0">
                        <c:v>53</c:v>
                      </c:pt>
                      <c:pt idx="1">
                        <c:v>53</c:v>
                      </c:pt>
                      <c:pt idx="2">
                        <c:v>56</c:v>
                      </c:pt>
                      <c:pt idx="3">
                        <c:v>48</c:v>
                      </c:pt>
                      <c:pt idx="4">
                        <c:v>51</c:v>
                      </c:pt>
                      <c:pt idx="5">
                        <c:v>60</c:v>
                      </c:pt>
                      <c:pt idx="6">
                        <c:v>54</c:v>
                      </c:pt>
                      <c:pt idx="7">
                        <c:v>61</c:v>
                      </c:pt>
                      <c:pt idx="8">
                        <c:v>52</c:v>
                      </c:pt>
                      <c:pt idx="9">
                        <c:v>58</c:v>
                      </c:pt>
                      <c:pt idx="10">
                        <c:v>56</c:v>
                      </c:pt>
                      <c:pt idx="11">
                        <c:v>51</c:v>
                      </c:pt>
                      <c:pt idx="12">
                        <c:v>51</c:v>
                      </c:pt>
                      <c:pt idx="13">
                        <c:v>50</c:v>
                      </c:pt>
                      <c:pt idx="14">
                        <c:v>45</c:v>
                      </c:pt>
                      <c:pt idx="15">
                        <c:v>46</c:v>
                      </c:pt>
                      <c:pt idx="16">
                        <c:v>49</c:v>
                      </c:pt>
                      <c:pt idx="17">
                        <c:v>56</c:v>
                      </c:pt>
                      <c:pt idx="18">
                        <c:v>55</c:v>
                      </c:pt>
                      <c:pt idx="19">
                        <c:v>56</c:v>
                      </c:pt>
                      <c:pt idx="20">
                        <c:v>46</c:v>
                      </c:pt>
                      <c:pt idx="21">
                        <c:v>46</c:v>
                      </c:pt>
                      <c:pt idx="22">
                        <c:v>52</c:v>
                      </c:pt>
                      <c:pt idx="23">
                        <c:v>57</c:v>
                      </c:pt>
                      <c:pt idx="24">
                        <c:v>55</c:v>
                      </c:pt>
                      <c:pt idx="25">
                        <c:v>52</c:v>
                      </c:pt>
                      <c:pt idx="26">
                        <c:v>53</c:v>
                      </c:pt>
                      <c:pt idx="27">
                        <c:v>53</c:v>
                      </c:pt>
                      <c:pt idx="28">
                        <c:v>54</c:v>
                      </c:pt>
                      <c:pt idx="29">
                        <c:v>55</c:v>
                      </c:pt>
                      <c:pt idx="30">
                        <c:v>53</c:v>
                      </c:pt>
                      <c:pt idx="31">
                        <c:v>53</c:v>
                      </c:pt>
                      <c:pt idx="32">
                        <c:v>53</c:v>
                      </c:pt>
                      <c:pt idx="33">
                        <c:v>51</c:v>
                      </c:pt>
                      <c:pt idx="34">
                        <c:v>44</c:v>
                      </c:pt>
                      <c:pt idx="35">
                        <c:v>45</c:v>
                      </c:pt>
                      <c:pt idx="36">
                        <c:v>47</c:v>
                      </c:pt>
                      <c:pt idx="37">
                        <c:v>46</c:v>
                      </c:pt>
                      <c:pt idx="38">
                        <c:v>49</c:v>
                      </c:pt>
                      <c:pt idx="39">
                        <c:v>54</c:v>
                      </c:pt>
                      <c:pt idx="40">
                        <c:v>56</c:v>
                      </c:pt>
                      <c:pt idx="41">
                        <c:v>60</c:v>
                      </c:pt>
                      <c:pt idx="42">
                        <c:v>64</c:v>
                      </c:pt>
                      <c:pt idx="43">
                        <c:v>64</c:v>
                      </c:pt>
                      <c:pt idx="44">
                        <c:v>60</c:v>
                      </c:pt>
                      <c:pt idx="45">
                        <c:v>56</c:v>
                      </c:pt>
                      <c:pt idx="46">
                        <c:v>51</c:v>
                      </c:pt>
                      <c:pt idx="47">
                        <c:v>51</c:v>
                      </c:pt>
                      <c:pt idx="48">
                        <c:v>51</c:v>
                      </c:pt>
                      <c:pt idx="49">
                        <c:v>41</c:v>
                      </c:pt>
                      <c:pt idx="50">
                        <c:v>40</c:v>
                      </c:pt>
                      <c:pt idx="51">
                        <c:v>46</c:v>
                      </c:pt>
                      <c:pt idx="52">
                        <c:v>46</c:v>
                      </c:pt>
                      <c:pt idx="53">
                        <c:v>50</c:v>
                      </c:pt>
                      <c:pt idx="54">
                        <c:v>42</c:v>
                      </c:pt>
                      <c:pt idx="55">
                        <c:v>39</c:v>
                      </c:pt>
                      <c:pt idx="56">
                        <c:v>36</c:v>
                      </c:pt>
                      <c:pt idx="57">
                        <c:v>41</c:v>
                      </c:pt>
                      <c:pt idx="58">
                        <c:v>43</c:v>
                      </c:pt>
                      <c:pt idx="59">
                        <c:v>40</c:v>
                      </c:pt>
                      <c:pt idx="60">
                        <c:v>43</c:v>
                      </c:pt>
                      <c:pt idx="61">
                        <c:v>43</c:v>
                      </c:pt>
                    </c:numCache>
                  </c:numRef>
                </c:val>
                <c:extLst xmlns:c15="http://schemas.microsoft.com/office/drawing/2012/chart">
                  <c:ext xmlns:c16="http://schemas.microsoft.com/office/drawing/2014/chart" uri="{C3380CC4-5D6E-409C-BE32-E72D297353CC}">
                    <c16:uniqueId val="{00000059-85F1-4E93-8343-9A44188D74B0}"/>
                  </c:ext>
                </c:extLst>
              </c15:ser>
            </c15:filteredBarSeries>
            <c15:filteredBarSeries>
              <c15:ser>
                <c:idx val="90"/>
                <c:order val="90"/>
                <c:tx>
                  <c:strRef>
                    <c:extLst xmlns:c15="http://schemas.microsoft.com/office/drawing/2012/chart">
                      <c:ext xmlns:c15="http://schemas.microsoft.com/office/drawing/2012/chart" uri="{02D57815-91ED-43cb-92C2-25804820EDAC}">
                        <c15:formulaRef>
                          <c15:sqref>'Table for graphs 24-25 '!$A$92</c15:sqref>
                        </c15:formulaRef>
                      </c:ext>
                    </c:extLst>
                    <c:strCache>
                      <c:ptCount val="1"/>
                      <c:pt idx="0">
                        <c:v>Difference (Trajectory to reported)</c:v>
                      </c:pt>
                    </c:strCache>
                  </c:strRef>
                </c:tx>
                <c:spPr>
                  <a:solidFill>
                    <a:schemeClr val="accent5">
                      <a:tint val="36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'!$B$92:$DB$92</c15:sqref>
                        </c15:formulaRef>
                      </c:ext>
                    </c:extLst>
                    <c:numCache>
                      <c:formatCode>General</c:formatCode>
                      <c:ptCount val="105"/>
                      <c:pt idx="53" formatCode="0">
                        <c:v>-0.40000000000000568</c:v>
                      </c:pt>
                      <c:pt idx="54" formatCode="0">
                        <c:v>13.147500000000008</c:v>
                      </c:pt>
                      <c:pt idx="55" formatCode="0">
                        <c:v>15.991500000000002</c:v>
                      </c:pt>
                      <c:pt idx="56" formatCode="0">
                        <c:v>11.540999999999997</c:v>
                      </c:pt>
                      <c:pt idx="57" formatCode="0">
                        <c:v>43.991243750000024</c:v>
                      </c:pt>
                      <c:pt idx="58" formatCode="0">
                        <c:v>65.970468750000009</c:v>
                      </c:pt>
                      <c:pt idx="59" formatCode="0">
                        <c:v>41.322505625000019</c:v>
                      </c:pt>
                      <c:pt idx="60" formatCode="0">
                        <c:v>50.016827437500012</c:v>
                      </c:pt>
                      <c:pt idx="61" formatCode="0">
                        <c:v>39.749267056250005</c:v>
                      </c:pt>
                    </c:numCache>
                  </c:numRef>
                </c:val>
                <c:extLst xmlns:c15="http://schemas.microsoft.com/office/drawing/2012/chart">
                  <c:ext xmlns:c16="http://schemas.microsoft.com/office/drawing/2014/chart" uri="{C3380CC4-5D6E-409C-BE32-E72D297353CC}">
                    <c16:uniqueId val="{0000005A-85F1-4E93-8343-9A44188D74B0}"/>
                  </c:ext>
                </c:extLst>
              </c15:ser>
            </c15:filteredBarSeries>
            <c15:filteredBarSeries>
              <c15:ser>
                <c:idx val="91"/>
                <c:order val="91"/>
                <c:tx>
                  <c:strRef>
                    <c:extLst xmlns:c15="http://schemas.microsoft.com/office/drawing/2012/chart">
                      <c:ext xmlns:c15="http://schemas.microsoft.com/office/drawing/2012/chart" uri="{02D57815-91ED-43cb-92C2-25804820EDAC}">
                        <c15:formulaRef>
                          <c15:sqref>'Table for graphs 24-25 '!$A$93</c15:sqref>
                        </c15:formulaRef>
                      </c:ext>
                    </c:extLst>
                    <c:strCache>
                      <c:ptCount val="1"/>
                      <c:pt idx="0">
                        <c:v>% Difference (Trajectory to Reported)</c:v>
                      </c:pt>
                    </c:strCache>
                  </c:strRef>
                </c:tx>
                <c:spPr>
                  <a:solidFill>
                    <a:schemeClr val="accent5">
                      <a:tint val="35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'!$B$93:$DB$93</c15:sqref>
                        </c15:formulaRef>
                      </c:ext>
                    </c:extLst>
                    <c:numCache>
                      <c:formatCode>General</c:formatCode>
                      <c:ptCount val="105"/>
                      <c:pt idx="53" formatCode="0%">
                        <c:v>-1.9665683382497821E-3</c:v>
                      </c:pt>
                      <c:pt idx="54" formatCode="0%">
                        <c:v>6.7474115035732196E-2</c:v>
                      </c:pt>
                      <c:pt idx="55" formatCode="0%">
                        <c:v>8.2426800887589982E-2</c:v>
                      </c:pt>
                      <c:pt idx="56" formatCode="0%">
                        <c:v>6.0595718763618397E-2</c:v>
                      </c:pt>
                      <c:pt idx="57" formatCode="0%">
                        <c:v>0.2377792524076818</c:v>
                      </c:pt>
                      <c:pt idx="58" formatCode="0%">
                        <c:v>0.36644248469652119</c:v>
                      </c:pt>
                      <c:pt idx="59" formatCode="0%">
                        <c:v>0.23126866519783557</c:v>
                      </c:pt>
                      <c:pt idx="60" formatCode="0%">
                        <c:v>0.25784106310244487</c:v>
                      </c:pt>
                      <c:pt idx="61" formatCode="0%">
                        <c:v>0.20151644793931034</c:v>
                      </c:pt>
                    </c:numCache>
                  </c:numRef>
                </c:val>
                <c:extLst xmlns:c15="http://schemas.microsoft.com/office/drawing/2012/chart">
                  <c:ext xmlns:c16="http://schemas.microsoft.com/office/drawing/2014/chart" uri="{C3380CC4-5D6E-409C-BE32-E72D297353CC}">
                    <c16:uniqueId val="{0000005B-85F1-4E93-8343-9A44188D74B0}"/>
                  </c:ext>
                </c:extLst>
              </c15:ser>
            </c15:filteredBarSeries>
            <c15:filteredBarSeries>
              <c15:ser>
                <c:idx val="92"/>
                <c:order val="92"/>
                <c:tx>
                  <c:strRef>
                    <c:extLst xmlns:c15="http://schemas.microsoft.com/office/drawing/2012/chart">
                      <c:ext xmlns:c15="http://schemas.microsoft.com/office/drawing/2012/chart" uri="{02D57815-91ED-43cb-92C2-25804820EDAC}">
                        <c15:formulaRef>
                          <c15:sqref>'Table for graphs 24-25 '!$A$94</c15:sqref>
                        </c15:formulaRef>
                      </c:ext>
                    </c:extLst>
                    <c:strCache>
                      <c:ptCount val="1"/>
                      <c:pt idx="0">
                        <c:v>Difference (Week to Week)</c:v>
                      </c:pt>
                    </c:strCache>
                  </c:strRef>
                </c:tx>
                <c:spPr>
                  <a:solidFill>
                    <a:schemeClr val="accent5">
                      <a:tint val="33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'!$B$94:$DB$94</c15:sqref>
                        </c15:formulaRef>
                      </c:ext>
                    </c:extLst>
                    <c:numCache>
                      <c:formatCode>0</c:formatCode>
                      <c:ptCount val="105"/>
                      <c:pt idx="1">
                        <c:v>46</c:v>
                      </c:pt>
                      <c:pt idx="2">
                        <c:v>-47</c:v>
                      </c:pt>
                      <c:pt idx="3">
                        <c:v>-3</c:v>
                      </c:pt>
                      <c:pt idx="4">
                        <c:v>22</c:v>
                      </c:pt>
                      <c:pt idx="5">
                        <c:v>2</c:v>
                      </c:pt>
                      <c:pt idx="6">
                        <c:v>-17</c:v>
                      </c:pt>
                      <c:pt idx="7">
                        <c:v>-6</c:v>
                      </c:pt>
                      <c:pt idx="8">
                        <c:v>26</c:v>
                      </c:pt>
                      <c:pt idx="9">
                        <c:v>0</c:v>
                      </c:pt>
                      <c:pt idx="10">
                        <c:v>-12</c:v>
                      </c:pt>
                      <c:pt idx="11">
                        <c:v>-17</c:v>
                      </c:pt>
                      <c:pt idx="12">
                        <c:v>-5</c:v>
                      </c:pt>
                      <c:pt idx="13">
                        <c:v>-27</c:v>
                      </c:pt>
                      <c:pt idx="14">
                        <c:v>-28</c:v>
                      </c:pt>
                      <c:pt idx="15">
                        <c:v>3</c:v>
                      </c:pt>
                      <c:pt idx="16">
                        <c:v>5</c:v>
                      </c:pt>
                      <c:pt idx="17">
                        <c:v>-10</c:v>
                      </c:pt>
                      <c:pt idx="18">
                        <c:v>8</c:v>
                      </c:pt>
                      <c:pt idx="19">
                        <c:v>26</c:v>
                      </c:pt>
                      <c:pt idx="20">
                        <c:v>8</c:v>
                      </c:pt>
                      <c:pt idx="21">
                        <c:v>3</c:v>
                      </c:pt>
                      <c:pt idx="22">
                        <c:v>20</c:v>
                      </c:pt>
                      <c:pt idx="23">
                        <c:v>29</c:v>
                      </c:pt>
                      <c:pt idx="24">
                        <c:v>-38</c:v>
                      </c:pt>
                      <c:pt idx="25">
                        <c:v>-17</c:v>
                      </c:pt>
                      <c:pt idx="26">
                        <c:v>-2</c:v>
                      </c:pt>
                      <c:pt idx="27">
                        <c:v>-31</c:v>
                      </c:pt>
                      <c:pt idx="28">
                        <c:v>-2</c:v>
                      </c:pt>
                      <c:pt idx="29">
                        <c:v>5</c:v>
                      </c:pt>
                      <c:pt idx="30">
                        <c:v>-16</c:v>
                      </c:pt>
                      <c:pt idx="31">
                        <c:v>-12</c:v>
                      </c:pt>
                      <c:pt idx="32">
                        <c:v>-13</c:v>
                      </c:pt>
                      <c:pt idx="33">
                        <c:v>7</c:v>
                      </c:pt>
                      <c:pt idx="34">
                        <c:v>-13</c:v>
                      </c:pt>
                      <c:pt idx="35">
                        <c:v>-22</c:v>
                      </c:pt>
                      <c:pt idx="36">
                        <c:v>-4</c:v>
                      </c:pt>
                      <c:pt idx="37">
                        <c:v>5</c:v>
                      </c:pt>
                      <c:pt idx="38">
                        <c:v>10</c:v>
                      </c:pt>
                      <c:pt idx="39">
                        <c:v>31</c:v>
                      </c:pt>
                      <c:pt idx="40">
                        <c:v>-3</c:v>
                      </c:pt>
                      <c:pt idx="41">
                        <c:v>-10</c:v>
                      </c:pt>
                      <c:pt idx="42">
                        <c:v>5</c:v>
                      </c:pt>
                      <c:pt idx="43">
                        <c:v>4</c:v>
                      </c:pt>
                      <c:pt idx="44">
                        <c:v>-22</c:v>
                      </c:pt>
                      <c:pt idx="45">
                        <c:v>-18</c:v>
                      </c:pt>
                      <c:pt idx="46">
                        <c:v>-9</c:v>
                      </c:pt>
                      <c:pt idx="47">
                        <c:v>-7</c:v>
                      </c:pt>
                      <c:pt idx="48">
                        <c:v>-23</c:v>
                      </c:pt>
                      <c:pt idx="49">
                        <c:v>-26</c:v>
                      </c:pt>
                      <c:pt idx="50">
                        <c:v>-2</c:v>
                      </c:pt>
                      <c:pt idx="51">
                        <c:v>12</c:v>
                      </c:pt>
                      <c:pt idx="52">
                        <c:v>3</c:v>
                      </c:pt>
                      <c:pt idx="53">
                        <c:v>-6</c:v>
                      </c:pt>
                      <c:pt idx="54">
                        <c:v>5</c:v>
                      </c:pt>
                      <c:pt idx="55">
                        <c:v>2</c:v>
                      </c:pt>
                      <c:pt idx="56">
                        <c:v>-8</c:v>
                      </c:pt>
                      <c:pt idx="57">
                        <c:v>27</c:v>
                      </c:pt>
                      <c:pt idx="58">
                        <c:v>17</c:v>
                      </c:pt>
                      <c:pt idx="59">
                        <c:v>-26</c:v>
                      </c:pt>
                      <c:pt idx="60">
                        <c:v>24</c:v>
                      </c:pt>
                      <c:pt idx="61">
                        <c:v>-7</c:v>
                      </c:pt>
                    </c:numCache>
                  </c:numRef>
                </c:val>
                <c:extLst xmlns:c15="http://schemas.microsoft.com/office/drawing/2012/chart">
                  <c:ext xmlns:c16="http://schemas.microsoft.com/office/drawing/2014/chart" uri="{C3380CC4-5D6E-409C-BE32-E72D297353CC}">
                    <c16:uniqueId val="{0000005C-85F1-4E93-8343-9A44188D74B0}"/>
                  </c:ext>
                </c:extLst>
              </c15:ser>
            </c15:filteredBarSeries>
            <c15:filteredBarSeries>
              <c15:ser>
                <c:idx val="93"/>
                <c:order val="93"/>
                <c:tx>
                  <c:strRef>
                    <c:extLst xmlns:c15="http://schemas.microsoft.com/office/drawing/2012/chart">
                      <c:ext xmlns:c15="http://schemas.microsoft.com/office/drawing/2012/chart" uri="{02D57815-91ED-43cb-92C2-25804820EDAC}">
                        <c15:formulaRef>
                          <c15:sqref>'Table for graphs 24-25 '!$A$95</c15:sqref>
                        </c15:formulaRef>
                      </c:ext>
                    </c:extLst>
                    <c:strCache>
                      <c:ptCount val="1"/>
                      <c:pt idx="0">
                        <c:v>% Difference (Week to Week)</c:v>
                      </c:pt>
                    </c:strCache>
                  </c:strRef>
                </c:tx>
                <c:spPr>
                  <a:solidFill>
                    <a:schemeClr val="accent5">
                      <a:tint val="32000"/>
                    </a:schemeClr>
                  </a:solidFill>
                  <a:ln>
                    <a:noFill/>
                  </a:ln>
                  <a:effectLst/>
                </c:spPr>
                <c:invertIfNegative val="0"/>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'!$B$95:$DB$95</c15:sqref>
                        </c15:formulaRef>
                      </c:ext>
                    </c:extLst>
                    <c:numCache>
                      <c:formatCode>0%</c:formatCode>
                      <c:ptCount val="105"/>
                      <c:pt idx="1">
                        <c:v>0.11764705882352941</c:v>
                      </c:pt>
                      <c:pt idx="2">
                        <c:v>-0.10755148741418764</c:v>
                      </c:pt>
                      <c:pt idx="3">
                        <c:v>-7.6923076923076927E-3</c:v>
                      </c:pt>
                      <c:pt idx="4">
                        <c:v>5.6847545219638244E-2</c:v>
                      </c:pt>
                      <c:pt idx="5">
                        <c:v>4.8899755501222494E-3</c:v>
                      </c:pt>
                      <c:pt idx="6">
                        <c:v>-4.1362530413625302E-2</c:v>
                      </c:pt>
                      <c:pt idx="7">
                        <c:v>-1.5228426395939087E-2</c:v>
                      </c:pt>
                      <c:pt idx="8">
                        <c:v>6.7010309278350513E-2</c:v>
                      </c:pt>
                      <c:pt idx="9">
                        <c:v>0</c:v>
                      </c:pt>
                      <c:pt idx="10">
                        <c:v>-2.8985507246376812E-2</c:v>
                      </c:pt>
                      <c:pt idx="11">
                        <c:v>-4.228855721393035E-2</c:v>
                      </c:pt>
                      <c:pt idx="12">
                        <c:v>-1.2987012987012988E-2</c:v>
                      </c:pt>
                      <c:pt idx="13">
                        <c:v>-7.1052631578947367E-2</c:v>
                      </c:pt>
                      <c:pt idx="14">
                        <c:v>-7.9320113314447591E-2</c:v>
                      </c:pt>
                      <c:pt idx="15">
                        <c:v>9.2307692307692316E-3</c:v>
                      </c:pt>
                      <c:pt idx="16">
                        <c:v>1.524390243902439E-2</c:v>
                      </c:pt>
                      <c:pt idx="17">
                        <c:v>-3.003003003003003E-2</c:v>
                      </c:pt>
                      <c:pt idx="18">
                        <c:v>2.4767801857585141E-2</c:v>
                      </c:pt>
                      <c:pt idx="19">
                        <c:v>7.8549848942598186E-2</c:v>
                      </c:pt>
                      <c:pt idx="20">
                        <c:v>2.2408963585434174E-2</c:v>
                      </c:pt>
                      <c:pt idx="21">
                        <c:v>8.21917808219178E-3</c:v>
                      </c:pt>
                      <c:pt idx="22">
                        <c:v>5.434782608695652E-2</c:v>
                      </c:pt>
                      <c:pt idx="23">
                        <c:v>7.4742268041237112E-2</c:v>
                      </c:pt>
                      <c:pt idx="24">
                        <c:v>-9.1127098321342928E-2</c:v>
                      </c:pt>
                      <c:pt idx="25">
                        <c:v>-4.4854881266490766E-2</c:v>
                      </c:pt>
                      <c:pt idx="26">
                        <c:v>-5.5248618784530384E-3</c:v>
                      </c:pt>
                      <c:pt idx="27">
                        <c:v>-8.611111111111111E-2</c:v>
                      </c:pt>
                      <c:pt idx="28">
                        <c:v>-6.0790273556231003E-3</c:v>
                      </c:pt>
                      <c:pt idx="29">
                        <c:v>1.5290519877675841E-2</c:v>
                      </c:pt>
                      <c:pt idx="30">
                        <c:v>-4.8192771084337352E-2</c:v>
                      </c:pt>
                      <c:pt idx="31">
                        <c:v>-3.7974683544303799E-2</c:v>
                      </c:pt>
                      <c:pt idx="32">
                        <c:v>-4.2763157894736843E-2</c:v>
                      </c:pt>
                      <c:pt idx="33">
                        <c:v>2.4054982817869417E-2</c:v>
                      </c:pt>
                      <c:pt idx="34">
                        <c:v>-4.3624161073825503E-2</c:v>
                      </c:pt>
                      <c:pt idx="35">
                        <c:v>-7.7192982456140355E-2</c:v>
                      </c:pt>
                      <c:pt idx="36">
                        <c:v>-1.5209125475285171E-2</c:v>
                      </c:pt>
                      <c:pt idx="37">
                        <c:v>1.9305019305019305E-2</c:v>
                      </c:pt>
                      <c:pt idx="38">
                        <c:v>3.787878787878788E-2</c:v>
                      </c:pt>
                      <c:pt idx="39">
                        <c:v>0.11313868613138686</c:v>
                      </c:pt>
                      <c:pt idx="40">
                        <c:v>-9.8360655737704927E-3</c:v>
                      </c:pt>
                      <c:pt idx="41">
                        <c:v>-3.3112582781456956E-2</c:v>
                      </c:pt>
                      <c:pt idx="42">
                        <c:v>1.7123287671232876E-2</c:v>
                      </c:pt>
                      <c:pt idx="43">
                        <c:v>1.3468013468013467E-2</c:v>
                      </c:pt>
                      <c:pt idx="44">
                        <c:v>-7.3089700996677748E-2</c:v>
                      </c:pt>
                      <c:pt idx="45">
                        <c:v>-6.4516129032258063E-2</c:v>
                      </c:pt>
                      <c:pt idx="46">
                        <c:v>-3.4482758620689655E-2</c:v>
                      </c:pt>
                      <c:pt idx="47">
                        <c:v>-2.7777777777777776E-2</c:v>
                      </c:pt>
                      <c:pt idx="48">
                        <c:v>-9.3877551020408165E-2</c:v>
                      </c:pt>
                      <c:pt idx="49">
                        <c:v>-0.11711711711711711</c:v>
                      </c:pt>
                      <c:pt idx="50">
                        <c:v>-1.020408163265306E-2</c:v>
                      </c:pt>
                      <c:pt idx="51">
                        <c:v>6.1855670103092786E-2</c:v>
                      </c:pt>
                      <c:pt idx="52">
                        <c:v>1.4563106796116505E-2</c:v>
                      </c:pt>
                      <c:pt idx="53">
                        <c:v>-2.8708133971291867E-2</c:v>
                      </c:pt>
                      <c:pt idx="54">
                        <c:v>2.4630541871921183E-2</c:v>
                      </c:pt>
                      <c:pt idx="55">
                        <c:v>9.6153846153846159E-3</c:v>
                      </c:pt>
                      <c:pt idx="56">
                        <c:v>-3.8095238095238099E-2</c:v>
                      </c:pt>
                      <c:pt idx="57">
                        <c:v>0.13366336633663367</c:v>
                      </c:pt>
                      <c:pt idx="58">
                        <c:v>7.4235807860262015E-2</c:v>
                      </c:pt>
                      <c:pt idx="59">
                        <c:v>-0.10569105691056911</c:v>
                      </c:pt>
                      <c:pt idx="60">
                        <c:v>0.10909090909090909</c:v>
                      </c:pt>
                      <c:pt idx="61">
                        <c:v>-2.8688524590163935E-2</c:v>
                      </c:pt>
                    </c:numCache>
                  </c:numRef>
                </c:val>
                <c:extLst xmlns:c15="http://schemas.microsoft.com/office/drawing/2012/chart">
                  <c:ext xmlns:c16="http://schemas.microsoft.com/office/drawing/2014/chart" uri="{C3380CC4-5D6E-409C-BE32-E72D297353CC}">
                    <c16:uniqueId val="{0000005D-85F1-4E93-8343-9A44188D74B0}"/>
                  </c:ext>
                </c:extLst>
              </c15:ser>
            </c15:filteredBarSeries>
          </c:ext>
        </c:extLst>
      </c:barChart>
      <c:lineChart>
        <c:grouping val="standard"/>
        <c:varyColors val="0"/>
        <c:ser>
          <c:idx val="89"/>
          <c:order val="89"/>
          <c:tx>
            <c:strRef>
              <c:f>'Table for graphs 24-25 '!$A$91</c:f>
              <c:strCache>
                <c:ptCount val="1"/>
                <c:pt idx="0">
                  <c:v>Total Reported Backlog All Sites</c:v>
                </c:pt>
              </c:strCache>
            </c:strRef>
          </c:tx>
          <c:spPr>
            <a:ln w="28575" cap="rnd">
              <a:solidFill>
                <a:schemeClr val="accent2"/>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chemeClr val="accent2"/>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'!$B$91:$DB$91</c:f>
              <c:numCache>
                <c:formatCode>0</c:formatCode>
                <c:ptCount val="105"/>
                <c:pt idx="0">
                  <c:v>391</c:v>
                </c:pt>
                <c:pt idx="1">
                  <c:v>437</c:v>
                </c:pt>
                <c:pt idx="2">
                  <c:v>390</c:v>
                </c:pt>
                <c:pt idx="3">
                  <c:v>387</c:v>
                </c:pt>
                <c:pt idx="4">
                  <c:v>409</c:v>
                </c:pt>
                <c:pt idx="5">
                  <c:v>411</c:v>
                </c:pt>
                <c:pt idx="6">
                  <c:v>394</c:v>
                </c:pt>
                <c:pt idx="7">
                  <c:v>388</c:v>
                </c:pt>
                <c:pt idx="8">
                  <c:v>414</c:v>
                </c:pt>
                <c:pt idx="9">
                  <c:v>414</c:v>
                </c:pt>
                <c:pt idx="10">
                  <c:v>402</c:v>
                </c:pt>
                <c:pt idx="11">
                  <c:v>385</c:v>
                </c:pt>
                <c:pt idx="12">
                  <c:v>380</c:v>
                </c:pt>
                <c:pt idx="13">
                  <c:v>353</c:v>
                </c:pt>
                <c:pt idx="14">
                  <c:v>325</c:v>
                </c:pt>
                <c:pt idx="15">
                  <c:v>328</c:v>
                </c:pt>
                <c:pt idx="16">
                  <c:v>333</c:v>
                </c:pt>
                <c:pt idx="17">
                  <c:v>323</c:v>
                </c:pt>
                <c:pt idx="18">
                  <c:v>331</c:v>
                </c:pt>
                <c:pt idx="19">
                  <c:v>357</c:v>
                </c:pt>
                <c:pt idx="20">
                  <c:v>365</c:v>
                </c:pt>
                <c:pt idx="21">
                  <c:v>368</c:v>
                </c:pt>
                <c:pt idx="22">
                  <c:v>388</c:v>
                </c:pt>
                <c:pt idx="23">
                  <c:v>417</c:v>
                </c:pt>
                <c:pt idx="24">
                  <c:v>379</c:v>
                </c:pt>
                <c:pt idx="25">
                  <c:v>362</c:v>
                </c:pt>
                <c:pt idx="26">
                  <c:v>360</c:v>
                </c:pt>
                <c:pt idx="27">
                  <c:v>329</c:v>
                </c:pt>
                <c:pt idx="28">
                  <c:v>327</c:v>
                </c:pt>
                <c:pt idx="29">
                  <c:v>332</c:v>
                </c:pt>
                <c:pt idx="30">
                  <c:v>316</c:v>
                </c:pt>
                <c:pt idx="31">
                  <c:v>304</c:v>
                </c:pt>
                <c:pt idx="32">
                  <c:v>291</c:v>
                </c:pt>
                <c:pt idx="33">
                  <c:v>298</c:v>
                </c:pt>
                <c:pt idx="34">
                  <c:v>285</c:v>
                </c:pt>
                <c:pt idx="35">
                  <c:v>263</c:v>
                </c:pt>
                <c:pt idx="36">
                  <c:v>259</c:v>
                </c:pt>
                <c:pt idx="37">
                  <c:v>264</c:v>
                </c:pt>
                <c:pt idx="38">
                  <c:v>274</c:v>
                </c:pt>
                <c:pt idx="39">
                  <c:v>305</c:v>
                </c:pt>
                <c:pt idx="40">
                  <c:v>302</c:v>
                </c:pt>
                <c:pt idx="41">
                  <c:v>292</c:v>
                </c:pt>
                <c:pt idx="42">
                  <c:v>297</c:v>
                </c:pt>
                <c:pt idx="43">
                  <c:v>301</c:v>
                </c:pt>
                <c:pt idx="44">
                  <c:v>279</c:v>
                </c:pt>
                <c:pt idx="45">
                  <c:v>261</c:v>
                </c:pt>
                <c:pt idx="46">
                  <c:v>252</c:v>
                </c:pt>
                <c:pt idx="47">
                  <c:v>245</c:v>
                </c:pt>
                <c:pt idx="48">
                  <c:v>222</c:v>
                </c:pt>
                <c:pt idx="49">
                  <c:v>196</c:v>
                </c:pt>
                <c:pt idx="50">
                  <c:v>194</c:v>
                </c:pt>
                <c:pt idx="51">
                  <c:v>206</c:v>
                </c:pt>
                <c:pt idx="52">
                  <c:v>209</c:v>
                </c:pt>
                <c:pt idx="53">
                  <c:v>203</c:v>
                </c:pt>
                <c:pt idx="54">
                  <c:v>208</c:v>
                </c:pt>
                <c:pt idx="55">
                  <c:v>210</c:v>
                </c:pt>
                <c:pt idx="56">
                  <c:v>202</c:v>
                </c:pt>
                <c:pt idx="57">
                  <c:v>229</c:v>
                </c:pt>
                <c:pt idx="58">
                  <c:v>246</c:v>
                </c:pt>
                <c:pt idx="59">
                  <c:v>220</c:v>
                </c:pt>
                <c:pt idx="60">
                  <c:v>244</c:v>
                </c:pt>
                <c:pt idx="61">
                  <c:v>237</c:v>
                </c:pt>
              </c:numCache>
            </c:numRef>
          </c:val>
          <c:smooth val="0"/>
          <c:extLst>
            <c:ext xmlns:c16="http://schemas.microsoft.com/office/drawing/2014/chart" uri="{C3380CC4-5D6E-409C-BE32-E72D297353CC}">
              <c16:uniqueId val="{00000002-85F1-4E93-8343-9A44188D74B0}"/>
            </c:ext>
          </c:extLst>
        </c:ser>
        <c:ser>
          <c:idx val="44"/>
          <c:order val="44"/>
          <c:tx>
            <c:strRef>
              <c:f>'Table for graphs 24-25 '!$A$46</c:f>
              <c:strCache>
                <c:ptCount val="1"/>
                <c:pt idx="0">
                  <c:v>Trajectory Total Backlog All Sites</c:v>
                </c:pt>
              </c:strCache>
            </c:strRef>
          </c:tx>
          <c:spPr>
            <a:ln w="28575" cap="rnd">
              <a:solidFill>
                <a:srgbClr val="FF0000"/>
              </a:solidFill>
              <a:round/>
            </a:ln>
            <a:effectLst/>
          </c:spPr>
          <c:marker>
            <c:symbol val="none"/>
          </c:marker>
          <c:dLbls>
            <c:spPr>
              <a:noFill/>
              <a:ln>
                <a:noFill/>
              </a:ln>
              <a:effectLst/>
            </c:spPr>
            <c:txPr>
              <a:bodyPr rot="-5400000" spcFirstLastPara="1" vertOverflow="ellipsis" wrap="square" lIns="38100" tIns="19050" rIns="38100" bIns="19050" anchor="ctr" anchorCtr="1">
                <a:spAutoFit/>
              </a:bodyPr>
              <a:lstStyle/>
              <a:p>
                <a:pPr>
                  <a:defRPr sz="600" b="0" i="0" u="none" strike="noStrike" kern="1200" baseline="0">
                    <a:solidFill>
                      <a:srgbClr val="FF0000"/>
                    </a:solidFill>
                    <a:latin typeface="+mn-lt"/>
                    <a:ea typeface="+mn-ea"/>
                    <a:cs typeface="+mn-cs"/>
                  </a:defRPr>
                </a:pPr>
                <a:endParaRPr lang="en-US"/>
              </a:p>
            </c:txPr>
            <c:dLblPos val="b"/>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'Table for graphs 24-25 '!$B$1:$DB$1</c:f>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f>'Table for graphs 24-25 '!$B$46:$DB$46</c:f>
              <c:numCache>
                <c:formatCode>General</c:formatCode>
                <c:ptCount val="105"/>
                <c:pt idx="53" formatCode="0">
                  <c:v>203.4</c:v>
                </c:pt>
                <c:pt idx="54" formatCode="0">
                  <c:v>194.85249999999999</c:v>
                </c:pt>
                <c:pt idx="55" formatCode="0">
                  <c:v>194.0085</c:v>
                </c:pt>
                <c:pt idx="56" formatCode="0">
                  <c:v>190.459</c:v>
                </c:pt>
                <c:pt idx="57" formatCode="0">
                  <c:v>185.00875624999998</c:v>
                </c:pt>
                <c:pt idx="58" formatCode="0">
                  <c:v>180.02953124999999</c:v>
                </c:pt>
                <c:pt idx="59" formatCode="0">
                  <c:v>178.67749437499998</c:v>
                </c:pt>
                <c:pt idx="60" formatCode="0">
                  <c:v>193.98317256249999</c:v>
                </c:pt>
                <c:pt idx="61" formatCode="0">
                  <c:v>197.25073294374999</c:v>
                </c:pt>
                <c:pt idx="62" formatCode="0">
                  <c:v>195.07268436312501</c:v>
                </c:pt>
                <c:pt idx="63" formatCode="0">
                  <c:v>189.72871648693751</c:v>
                </c:pt>
                <c:pt idx="64" formatCode="0">
                  <c:v>189.48343445438127</c:v>
                </c:pt>
                <c:pt idx="65" formatCode="0">
                  <c:v>181.3873686410372</c:v>
                </c:pt>
                <c:pt idx="66" formatCode="0">
                  <c:v>170.37345448630847</c:v>
                </c:pt>
                <c:pt idx="67" formatCode="0">
                  <c:v>170.80057948630846</c:v>
                </c:pt>
                <c:pt idx="68" formatCode="0">
                  <c:v>171.23348854861803</c:v>
                </c:pt>
                <c:pt idx="69" formatCode="0">
                  <c:v>169.85271791541214</c:v>
                </c:pt>
                <c:pt idx="70" formatCode="0">
                  <c:v>173.66482433639877</c:v>
                </c:pt>
                <c:pt idx="71" formatCode="0">
                  <c:v>188.95577270587802</c:v>
                </c:pt>
                <c:pt idx="72" formatCode="0">
                  <c:v>190.76960351825076</c:v>
                </c:pt>
                <c:pt idx="73" formatCode="0">
                  <c:v>195.51021889197256</c:v>
                </c:pt>
                <c:pt idx="74" formatCode="0">
                  <c:v>206.26196833760179</c:v>
                </c:pt>
                <c:pt idx="75" formatCode="0">
                  <c:v>216.56348465592947</c:v>
                </c:pt>
                <c:pt idx="76" formatCode="0">
                  <c:v>199.20522673002378</c:v>
                </c:pt>
                <c:pt idx="77" formatCode="0">
                  <c:v>190.20312263761025</c:v>
                </c:pt>
                <c:pt idx="78" formatCode="0">
                  <c:v>185.01320313648824</c:v>
                </c:pt>
                <c:pt idx="79" formatCode="0">
                  <c:v>173.53662670397975</c:v>
                </c:pt>
                <c:pt idx="80" formatCode="0">
                  <c:v>170.22194148730927</c:v>
                </c:pt>
                <c:pt idx="81" formatCode="0">
                  <c:v>162.40875241156328</c:v>
                </c:pt>
                <c:pt idx="82" formatCode="0">
                  <c:v>150.9319098537988</c:v>
                </c:pt>
                <c:pt idx="83" formatCode="0">
                  <c:v>157.22108553630261</c:v>
                </c:pt>
                <c:pt idx="84" formatCode="0">
                  <c:v>147.39346791334626</c:v>
                </c:pt>
                <c:pt idx="85" formatCode="0">
                  <c:v>145.75437179733123</c:v>
                </c:pt>
                <c:pt idx="86" formatCode="0">
                  <c:v>137.32986298063327</c:v>
                </c:pt>
                <c:pt idx="87" formatCode="0">
                  <c:v>123.1721821555887</c:v>
                </c:pt>
                <c:pt idx="88" formatCode="0">
                  <c:v>119.50570208825064</c:v>
                </c:pt>
                <c:pt idx="89" formatCode="0">
                  <c:v>122.70352115631714</c:v>
                </c:pt>
                <c:pt idx="90" formatCode="0">
                  <c:v>134.34748248067189</c:v>
                </c:pt>
                <c:pt idx="91" formatCode="0">
                  <c:v>153.26237397899814</c:v>
                </c:pt>
                <c:pt idx="92" formatCode="0">
                  <c:v>162.70852543962766</c:v>
                </c:pt>
                <c:pt idx="93" formatCode="0">
                  <c:v>148.37852702443951</c:v>
                </c:pt>
                <c:pt idx="94" formatCode="0">
                  <c:v>148.37852702443951</c:v>
                </c:pt>
                <c:pt idx="95" formatCode="0">
                  <c:v>138.94926125695534</c:v>
                </c:pt>
                <c:pt idx="96" formatCode="0">
                  <c:v>125.54369083111197</c:v>
                </c:pt>
                <c:pt idx="97" formatCode="0">
                  <c:v>116.2917203294752</c:v>
                </c:pt>
                <c:pt idx="98" formatCode="0">
                  <c:v>109.35466885009022</c:v>
                </c:pt>
                <c:pt idx="99" formatCode="0">
                  <c:v>106.79414247454331</c:v>
                </c:pt>
                <c:pt idx="100" formatCode="0">
                  <c:v>117.00639262163547</c:v>
                </c:pt>
                <c:pt idx="101" formatCode="0">
                  <c:v>103.85849016499562</c:v>
                </c:pt>
                <c:pt idx="102" formatCode="0">
                  <c:v>98.87469648448473</c:v>
                </c:pt>
                <c:pt idx="103" formatCode="0">
                  <c:v>95.493789818626979</c:v>
                </c:pt>
                <c:pt idx="104" formatCode="0">
                  <c:v>99.931299670048631</c:v>
                </c:pt>
              </c:numCache>
            </c:numRef>
          </c:val>
          <c:smooth val="0"/>
          <c:extLst>
            <c:ext xmlns:c16="http://schemas.microsoft.com/office/drawing/2014/chart" uri="{C3380CC4-5D6E-409C-BE32-E72D297353CC}">
              <c16:uniqueId val="{00000003-85F1-4E93-8343-9A44188D74B0}"/>
            </c:ext>
          </c:extLst>
        </c:ser>
        <c:dLbls>
          <c:showLegendKey val="0"/>
          <c:showVal val="0"/>
          <c:showCatName val="0"/>
          <c:showSerName val="0"/>
          <c:showPercent val="0"/>
          <c:showBubbleSize val="0"/>
        </c:dLbls>
        <c:marker val="1"/>
        <c:smooth val="0"/>
        <c:axId val="545995631"/>
        <c:axId val="545998543"/>
        <c:extLst>
          <c:ext xmlns:c15="http://schemas.microsoft.com/office/drawing/2012/chart" uri="{02D57815-91ED-43cb-92C2-25804820EDAC}">
            <c15:filteredLineSeries>
              <c15:ser>
                <c:idx val="0"/>
                <c:order val="0"/>
                <c:tx>
                  <c:strRef>
                    <c:extLst>
                      <c:ext uri="{02D57815-91ED-43cb-92C2-25804820EDAC}">
                        <c15:formulaRef>
                          <c15:sqref>'Table for graphs 24-25 '!$A$2</c15:sqref>
                        </c15:formulaRef>
                      </c:ext>
                    </c:extLst>
                    <c:strCache>
                      <c:ptCount val="1"/>
                      <c:pt idx="0">
                        <c:v>Acute Leukaemia - Trajectory 63- 103 days</c:v>
                      </c:pt>
                    </c:strCache>
                  </c:strRef>
                </c:tx>
                <c:spPr>
                  <a:ln w="28575" cap="rnd">
                    <a:solidFill>
                      <a:schemeClr val="accent5">
                        <a:shade val="31000"/>
                      </a:schemeClr>
                    </a:solidFill>
                    <a:round/>
                  </a:ln>
                  <a:effectLst/>
                </c:spPr>
                <c:marker>
                  <c:symbol val="none"/>
                </c:marker>
                <c:cat>
                  <c:numRef>
                    <c:extLst>
                      <c:ex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c:ext uri="{02D57815-91ED-43cb-92C2-25804820EDAC}">
                        <c15:formulaRef>
                          <c15:sqref>'Table for graphs 24-25 '!$B$2:$DB$2</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c:ext xmlns:c16="http://schemas.microsoft.com/office/drawing/2014/chart" uri="{C3380CC4-5D6E-409C-BE32-E72D297353CC}">
                    <c16:uniqueId val="{00000004-85F1-4E93-8343-9A44188D74B0}"/>
                  </c:ext>
                </c:extLst>
              </c15:ser>
            </c15:filteredLineSeries>
            <c15:filteredLineSeries>
              <c15:ser>
                <c:idx val="1"/>
                <c:order val="1"/>
                <c:tx>
                  <c:strRef>
                    <c:extLst xmlns:c15="http://schemas.microsoft.com/office/drawing/2012/chart">
                      <c:ext xmlns:c15="http://schemas.microsoft.com/office/drawing/2012/chart" uri="{02D57815-91ED-43cb-92C2-25804820EDAC}">
                        <c15:formulaRef>
                          <c15:sqref>'Table for graphs 24-25 '!$A$3</c15:sqref>
                        </c15:formulaRef>
                      </c:ext>
                    </c:extLst>
                    <c:strCache>
                      <c:ptCount val="1"/>
                      <c:pt idx="0">
                        <c:v>Brain/CNS - Trajectory 63- 103 days</c:v>
                      </c:pt>
                    </c:strCache>
                  </c:strRef>
                </c:tx>
                <c:spPr>
                  <a:ln w="28575" cap="rnd">
                    <a:solidFill>
                      <a:schemeClr val="accent5">
                        <a:shade val="3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'!$B$3:$DB$3</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05-85F1-4E93-8343-9A44188D74B0}"/>
                  </c:ext>
                </c:extLst>
              </c15:ser>
            </c15:filteredLineSeries>
            <c15:filteredLineSeries>
              <c15:ser>
                <c:idx val="2"/>
                <c:order val="2"/>
                <c:tx>
                  <c:strRef>
                    <c:extLst xmlns:c15="http://schemas.microsoft.com/office/drawing/2012/chart">
                      <c:ext xmlns:c15="http://schemas.microsoft.com/office/drawing/2012/chart" uri="{02D57815-91ED-43cb-92C2-25804820EDAC}">
                        <c15:formulaRef>
                          <c15:sqref>'Table for graphs 24-25 '!$A$4</c15:sqref>
                        </c15:formulaRef>
                      </c:ext>
                    </c:extLst>
                    <c:strCache>
                      <c:ptCount val="1"/>
                      <c:pt idx="0">
                        <c:v>Breast - Trajectory 63- 103 days</c:v>
                      </c:pt>
                    </c:strCache>
                  </c:strRef>
                </c:tx>
                <c:spPr>
                  <a:ln w="28575" cap="rnd">
                    <a:solidFill>
                      <a:schemeClr val="accent5">
                        <a:shade val="3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'!$B$4:$DB$4</c15:sqref>
                        </c15:formulaRef>
                      </c:ext>
                    </c:extLst>
                    <c:numCache>
                      <c:formatCode>General</c:formatCode>
                      <c:ptCount val="105"/>
                      <c:pt idx="53" formatCode="0">
                        <c:v>11</c:v>
                      </c:pt>
                      <c:pt idx="54" formatCode="0">
                        <c:v>11</c:v>
                      </c:pt>
                      <c:pt idx="55" formatCode="0">
                        <c:v>12.100000000000001</c:v>
                      </c:pt>
                      <c:pt idx="56" formatCode="0">
                        <c:v>12.100000000000001</c:v>
                      </c:pt>
                      <c:pt idx="57" formatCode="0">
                        <c:v>10.890000000000002</c:v>
                      </c:pt>
                      <c:pt idx="58" formatCode="0">
                        <c:v>10.890000000000002</c:v>
                      </c:pt>
                      <c:pt idx="59" formatCode="0">
                        <c:v>10.890000000000002</c:v>
                      </c:pt>
                      <c:pt idx="60" formatCode="0">
                        <c:v>11.979000000000003</c:v>
                      </c:pt>
                      <c:pt idx="61" formatCode="0">
                        <c:v>13.176900000000003</c:v>
                      </c:pt>
                      <c:pt idx="62" formatCode="0">
                        <c:v>11.859210000000003</c:v>
                      </c:pt>
                      <c:pt idx="63" formatCode="0">
                        <c:v>10.673289000000002</c:v>
                      </c:pt>
                      <c:pt idx="64" formatCode="0">
                        <c:v>10.673289000000002</c:v>
                      </c:pt>
                      <c:pt idx="65" formatCode="0">
                        <c:v>9.6059601000000026</c:v>
                      </c:pt>
                      <c:pt idx="66" formatCode="0">
                        <c:v>8.6453640900000028</c:v>
                      </c:pt>
                      <c:pt idx="67" formatCode="0">
                        <c:v>8.6453640900000028</c:v>
                      </c:pt>
                      <c:pt idx="68" formatCode="0">
                        <c:v>9.509900499000004</c:v>
                      </c:pt>
                      <c:pt idx="69" formatCode="0">
                        <c:v>10.460890548900005</c:v>
                      </c:pt>
                      <c:pt idx="70" formatCode="0">
                        <c:v>10.460890548900005</c:v>
                      </c:pt>
                      <c:pt idx="71" formatCode="0">
                        <c:v>12.030024131235006</c:v>
                      </c:pt>
                      <c:pt idx="72" formatCode="0">
                        <c:v>10.827021718111506</c:v>
                      </c:pt>
                      <c:pt idx="73" formatCode="0">
                        <c:v>10.827021718111506</c:v>
                      </c:pt>
                      <c:pt idx="74" formatCode="0">
                        <c:v>11.909723889922658</c:v>
                      </c:pt>
                      <c:pt idx="75" formatCode="0">
                        <c:v>13.100696278914924</c:v>
                      </c:pt>
                      <c:pt idx="76" formatCode="0">
                        <c:v>11.135591837077685</c:v>
                      </c:pt>
                      <c:pt idx="77" formatCode="0">
                        <c:v>10.022032653369918</c:v>
                      </c:pt>
                      <c:pt idx="78" formatCode="0">
                        <c:v>10.022032653369918</c:v>
                      </c:pt>
                      <c:pt idx="79" formatCode="0">
                        <c:v>10.022032653369918</c:v>
                      </c:pt>
                      <c:pt idx="80" formatCode="0">
                        <c:v>10.022032653369918</c:v>
                      </c:pt>
                      <c:pt idx="81" formatCode="0">
                        <c:v>10.022032653369918</c:v>
                      </c:pt>
                      <c:pt idx="82" formatCode="0">
                        <c:v>9.0198293880329263</c:v>
                      </c:pt>
                      <c:pt idx="83" formatCode="0">
                        <c:v>9.0198293880329263</c:v>
                      </c:pt>
                      <c:pt idx="84" formatCode="0">
                        <c:v>8.1178464492296332</c:v>
                      </c:pt>
                      <c:pt idx="85" formatCode="0">
                        <c:v>8.1178464492296332</c:v>
                      </c:pt>
                      <c:pt idx="86" formatCode="0">
                        <c:v>6.9001694818451877</c:v>
                      </c:pt>
                      <c:pt idx="87" formatCode="0">
                        <c:v>5.8651440595684097</c:v>
                      </c:pt>
                      <c:pt idx="88" formatCode="0">
                        <c:v>5.8651440595684097</c:v>
                      </c:pt>
                      <c:pt idx="89" formatCode="0">
                        <c:v>6.7449156685036709</c:v>
                      </c:pt>
                      <c:pt idx="90" formatCode="0">
                        <c:v>8.0938988022044054</c:v>
                      </c:pt>
                      <c:pt idx="91" formatCode="0">
                        <c:v>10.76488540693186</c:v>
                      </c:pt>
                      <c:pt idx="92" formatCode="0">
                        <c:v>13.456106758664825</c:v>
                      </c:pt>
                      <c:pt idx="93" formatCode="0">
                        <c:v>10.76488540693186</c:v>
                      </c:pt>
                      <c:pt idx="94" formatCode="0">
                        <c:v>9.6883968662386746</c:v>
                      </c:pt>
                      <c:pt idx="95" formatCode="0">
                        <c:v>9.6883968662386746</c:v>
                      </c:pt>
                      <c:pt idx="96" formatCode="0">
                        <c:v>8.2351373363028735</c:v>
                      </c:pt>
                      <c:pt idx="97" formatCode="0">
                        <c:v>7.4116236026725861</c:v>
                      </c:pt>
                      <c:pt idx="98" formatCode="0">
                        <c:v>7.4116236026725861</c:v>
                      </c:pt>
                      <c:pt idx="99" formatCode="0">
                        <c:v>7.4116236026725861</c:v>
                      </c:pt>
                      <c:pt idx="100" formatCode="0">
                        <c:v>8.1527859629398449</c:v>
                      </c:pt>
                      <c:pt idx="101" formatCode="0">
                        <c:v>6.5222287703518766</c:v>
                      </c:pt>
                      <c:pt idx="102" formatCode="0">
                        <c:v>5.870005893316689</c:v>
                      </c:pt>
                      <c:pt idx="103" formatCode="0">
                        <c:v>5.2830053039850204</c:v>
                      </c:pt>
                      <c:pt idx="104" formatCode="0">
                        <c:v>6.6037566299812758</c:v>
                      </c:pt>
                    </c:numCache>
                  </c:numRef>
                </c:val>
                <c:smooth val="0"/>
                <c:extLst xmlns:c15="http://schemas.microsoft.com/office/drawing/2012/chart">
                  <c:ext xmlns:c16="http://schemas.microsoft.com/office/drawing/2014/chart" uri="{C3380CC4-5D6E-409C-BE32-E72D297353CC}">
                    <c16:uniqueId val="{00000006-85F1-4E93-8343-9A44188D74B0}"/>
                  </c:ext>
                </c:extLst>
              </c15:ser>
            </c15:filteredLineSeries>
            <c15:filteredLineSeries>
              <c15:ser>
                <c:idx val="3"/>
                <c:order val="3"/>
                <c:tx>
                  <c:strRef>
                    <c:extLst xmlns:c15="http://schemas.microsoft.com/office/drawing/2012/chart">
                      <c:ext xmlns:c15="http://schemas.microsoft.com/office/drawing/2012/chart" uri="{02D57815-91ED-43cb-92C2-25804820EDAC}">
                        <c15:formulaRef>
                          <c15:sqref>'Table for graphs 24-25 '!$A$5</c15:sqref>
                        </c15:formulaRef>
                      </c:ext>
                    </c:extLst>
                    <c:strCache>
                      <c:ptCount val="1"/>
                      <c:pt idx="0">
                        <c:v>Children's cancer - Trajectory 63- 103 days</c:v>
                      </c:pt>
                    </c:strCache>
                  </c:strRef>
                </c:tx>
                <c:spPr>
                  <a:ln w="28575" cap="rnd">
                    <a:solidFill>
                      <a:schemeClr val="accent5">
                        <a:shade val="3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'!$B$5:$DB$5</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07-85F1-4E93-8343-9A44188D74B0}"/>
                  </c:ext>
                </c:extLst>
              </c15:ser>
            </c15:filteredLineSeries>
            <c15:filteredLineSeries>
              <c15:ser>
                <c:idx val="4"/>
                <c:order val="4"/>
                <c:tx>
                  <c:strRef>
                    <c:extLst xmlns:c15="http://schemas.microsoft.com/office/drawing/2012/chart">
                      <c:ext xmlns:c15="http://schemas.microsoft.com/office/drawing/2012/chart" uri="{02D57815-91ED-43cb-92C2-25804820EDAC}">
                        <c15:formulaRef>
                          <c15:sqref>'Table for graphs 24-25 '!$A$6</c15:sqref>
                        </c15:formulaRef>
                      </c:ext>
                    </c:extLst>
                    <c:strCache>
                      <c:ptCount val="1"/>
                      <c:pt idx="0">
                        <c:v>Gynaecological - Trajectory 63- 103 days</c:v>
                      </c:pt>
                    </c:strCache>
                  </c:strRef>
                </c:tx>
                <c:spPr>
                  <a:ln w="28575" cap="rnd">
                    <a:solidFill>
                      <a:schemeClr val="accent5">
                        <a:shade val="3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'!$B$6:$DB$6</c15:sqref>
                        </c15:formulaRef>
                      </c:ext>
                    </c:extLst>
                    <c:numCache>
                      <c:formatCode>General</c:formatCode>
                      <c:ptCount val="105"/>
                      <c:pt idx="53" formatCode="0">
                        <c:v>19</c:v>
                      </c:pt>
                      <c:pt idx="54" formatCode="0">
                        <c:v>18.05</c:v>
                      </c:pt>
                      <c:pt idx="55" formatCode="0">
                        <c:v>18.952500000000001</c:v>
                      </c:pt>
                      <c:pt idx="56" formatCode="0">
                        <c:v>18.004874999999998</c:v>
                      </c:pt>
                      <c:pt idx="57" formatCode="0">
                        <c:v>17.104631249999997</c:v>
                      </c:pt>
                      <c:pt idx="58" formatCode="0">
                        <c:v>17.104631249999997</c:v>
                      </c:pt>
                      <c:pt idx="59" formatCode="0">
                        <c:v>18.815094374999997</c:v>
                      </c:pt>
                      <c:pt idx="60" formatCode="0">
                        <c:v>20.696603812499998</c:v>
                      </c:pt>
                      <c:pt idx="61" formatCode="0">
                        <c:v>22.766264193750001</c:v>
                      </c:pt>
                      <c:pt idx="62" formatCode="0">
                        <c:v>25.042890613125003</c:v>
                      </c:pt>
                      <c:pt idx="63" formatCode="0">
                        <c:v>27.547179674437505</c:v>
                      </c:pt>
                      <c:pt idx="64" formatCode="0">
                        <c:v>30.301897641881258</c:v>
                      </c:pt>
                      <c:pt idx="65" formatCode="0">
                        <c:v>28.786802759787193</c:v>
                      </c:pt>
                      <c:pt idx="66" formatCode="0">
                        <c:v>25.908122483808473</c:v>
                      </c:pt>
                      <c:pt idx="67" formatCode="0">
                        <c:v>25.908122483808473</c:v>
                      </c:pt>
                      <c:pt idx="68" formatCode="0">
                        <c:v>24.612716359618048</c:v>
                      </c:pt>
                      <c:pt idx="69" formatCode="0">
                        <c:v>23.382080541637144</c:v>
                      </c:pt>
                      <c:pt idx="70" formatCode="0">
                        <c:v>24.083542957886259</c:v>
                      </c:pt>
                      <c:pt idx="71" formatCode="0">
                        <c:v>26.491897253674885</c:v>
                      </c:pt>
                      <c:pt idx="72" formatCode="0">
                        <c:v>27.816492116358631</c:v>
                      </c:pt>
                      <c:pt idx="73" formatCode="0">
                        <c:v>27.816492116358631</c:v>
                      </c:pt>
                      <c:pt idx="74" formatCode="0">
                        <c:v>29.207316722176564</c:v>
                      </c:pt>
                      <c:pt idx="75" formatCode="0">
                        <c:v>30.667682558285392</c:v>
                      </c:pt>
                      <c:pt idx="76" formatCode="0">
                        <c:v>29.134298430371121</c:v>
                      </c:pt>
                      <c:pt idx="77" formatCode="0">
                        <c:v>27.677583508852564</c:v>
                      </c:pt>
                      <c:pt idx="78" formatCode="0">
                        <c:v>27.677583508852564</c:v>
                      </c:pt>
                      <c:pt idx="79" formatCode="0">
                        <c:v>26.293704333409934</c:v>
                      </c:pt>
                      <c:pt idx="80" formatCode="0">
                        <c:v>24.979019116739437</c:v>
                      </c:pt>
                      <c:pt idx="81" formatCode="0">
                        <c:v>22.481117205065495</c:v>
                      </c:pt>
                      <c:pt idx="82" formatCode="0">
                        <c:v>20.233005484558944</c:v>
                      </c:pt>
                      <c:pt idx="83" formatCode="0">
                        <c:v>21.244655758786891</c:v>
                      </c:pt>
                      <c:pt idx="84" formatCode="0">
                        <c:v>19.120190182908203</c:v>
                      </c:pt>
                      <c:pt idx="85" formatCode="0">
                        <c:v>19.120190182908203</c:v>
                      </c:pt>
                      <c:pt idx="86" formatCode="0">
                        <c:v>18.164180673762793</c:v>
                      </c:pt>
                      <c:pt idx="87" formatCode="0">
                        <c:v>16.347762606386514</c:v>
                      </c:pt>
                      <c:pt idx="88" formatCode="0">
                        <c:v>16.347762606386514</c:v>
                      </c:pt>
                      <c:pt idx="89" formatCode="0">
                        <c:v>16.347762606386514</c:v>
                      </c:pt>
                      <c:pt idx="90" formatCode="0">
                        <c:v>17.16515073670584</c:v>
                      </c:pt>
                      <c:pt idx="91" formatCode="0">
                        <c:v>18.881665810376425</c:v>
                      </c:pt>
                      <c:pt idx="92" formatCode="0">
                        <c:v>19.825749100895248</c:v>
                      </c:pt>
                      <c:pt idx="93" formatCode="0">
                        <c:v>17.843174190805723</c:v>
                      </c:pt>
                      <c:pt idx="94" formatCode="0">
                        <c:v>17.843174190805723</c:v>
                      </c:pt>
                      <c:pt idx="95" formatCode="0">
                        <c:v>17.843174190805723</c:v>
                      </c:pt>
                      <c:pt idx="96" formatCode="0">
                        <c:v>16.951015481265436</c:v>
                      </c:pt>
                      <c:pt idx="97" formatCode="0">
                        <c:v>16.951015481265436</c:v>
                      </c:pt>
                      <c:pt idx="98" formatCode="0">
                        <c:v>13.560812385012349</c:v>
                      </c:pt>
                      <c:pt idx="99" formatCode="0">
                        <c:v>12.882771765761731</c:v>
                      </c:pt>
                      <c:pt idx="100" formatCode="0">
                        <c:v>14.815187530625989</c:v>
                      </c:pt>
                      <c:pt idx="101" formatCode="0">
                        <c:v>13.333668777563391</c:v>
                      </c:pt>
                      <c:pt idx="102" formatCode="0">
                        <c:v>12.000301899807052</c:v>
                      </c:pt>
                      <c:pt idx="103" formatCode="0">
                        <c:v>12.000301899807052</c:v>
                      </c:pt>
                      <c:pt idx="104" formatCode="0">
                        <c:v>12.000301899807052</c:v>
                      </c:pt>
                    </c:numCache>
                  </c:numRef>
                </c:val>
                <c:smooth val="0"/>
                <c:extLst xmlns:c15="http://schemas.microsoft.com/office/drawing/2012/chart">
                  <c:ext xmlns:c16="http://schemas.microsoft.com/office/drawing/2014/chart" uri="{C3380CC4-5D6E-409C-BE32-E72D297353CC}">
                    <c16:uniqueId val="{00000008-85F1-4E93-8343-9A44188D74B0}"/>
                  </c:ext>
                </c:extLst>
              </c15:ser>
            </c15:filteredLineSeries>
            <c15:filteredLineSeries>
              <c15:ser>
                <c:idx val="5"/>
                <c:order val="5"/>
                <c:tx>
                  <c:strRef>
                    <c:extLst xmlns:c15="http://schemas.microsoft.com/office/drawing/2012/chart">
                      <c:ext xmlns:c15="http://schemas.microsoft.com/office/drawing/2012/chart" uri="{02D57815-91ED-43cb-92C2-25804820EDAC}">
                        <c15:formulaRef>
                          <c15:sqref>'Table for graphs 24-25 '!$A$7</c15:sqref>
                        </c15:formulaRef>
                      </c:ext>
                    </c:extLst>
                    <c:strCache>
                      <c:ptCount val="1"/>
                      <c:pt idx="0">
                        <c:v>Haematological - Trajectory 63- 103 days</c:v>
                      </c:pt>
                    </c:strCache>
                  </c:strRef>
                </c:tx>
                <c:spPr>
                  <a:ln w="28575" cap="rnd">
                    <a:solidFill>
                      <a:schemeClr val="accent5">
                        <a:shade val="3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'!$B$7:$DB$7</c15:sqref>
                        </c15:formulaRef>
                      </c:ext>
                    </c:extLst>
                    <c:numCache>
                      <c:formatCode>General</c:formatCode>
                      <c:ptCount val="105"/>
                      <c:pt idx="53" formatCode="0">
                        <c:v>4</c:v>
                      </c:pt>
                      <c:pt idx="54" formatCode="0">
                        <c:v>4</c:v>
                      </c:pt>
                      <c:pt idx="55" formatCode="0">
                        <c:v>4</c:v>
                      </c:pt>
                      <c:pt idx="56" formatCode="0">
                        <c:v>3.6</c:v>
                      </c:pt>
                      <c:pt idx="57" formatCode="0">
                        <c:v>3.9600000000000004</c:v>
                      </c:pt>
                      <c:pt idx="58" formatCode="0">
                        <c:v>2.97</c:v>
                      </c:pt>
                      <c:pt idx="59" formatCode="0">
                        <c:v>2.97</c:v>
                      </c:pt>
                      <c:pt idx="60" formatCode="0">
                        <c:v>3.5640000000000001</c:v>
                      </c:pt>
                      <c:pt idx="61" formatCode="0">
                        <c:v>3.5640000000000001</c:v>
                      </c:pt>
                      <c:pt idx="62" formatCode="0">
                        <c:v>3.5640000000000001</c:v>
                      </c:pt>
                      <c:pt idx="63" formatCode="0">
                        <c:v>4.0985999999999994</c:v>
                      </c:pt>
                      <c:pt idx="64" formatCode="0">
                        <c:v>4.0985999999999994</c:v>
                      </c:pt>
                      <c:pt idx="65" formatCode="0">
                        <c:v>3.0739499999999995</c:v>
                      </c:pt>
                      <c:pt idx="66" formatCode="0">
                        <c:v>3.0739499999999995</c:v>
                      </c:pt>
                      <c:pt idx="67" formatCode="0">
                        <c:v>3.0739499999999995</c:v>
                      </c:pt>
                      <c:pt idx="68" formatCode="0">
                        <c:v>3.0739499999999995</c:v>
                      </c:pt>
                      <c:pt idx="69" formatCode="0">
                        <c:v>4.6109249999999991</c:v>
                      </c:pt>
                      <c:pt idx="70" formatCode="0">
                        <c:v>5.5331099999999989</c:v>
                      </c:pt>
                      <c:pt idx="71" formatCode="0">
                        <c:v>6.6397319999999986</c:v>
                      </c:pt>
                      <c:pt idx="72" formatCode="0">
                        <c:v>6.6397319999999986</c:v>
                      </c:pt>
                      <c:pt idx="73" formatCode="0">
                        <c:v>5.9757587999999986</c:v>
                      </c:pt>
                      <c:pt idx="74" formatCode="0">
                        <c:v>6.5733346799999985</c:v>
                      </c:pt>
                      <c:pt idx="75" formatCode="0">
                        <c:v>6.5733346799999985</c:v>
                      </c:pt>
                      <c:pt idx="76" formatCode="0">
                        <c:v>6.5733346799999985</c:v>
                      </c:pt>
                      <c:pt idx="77" formatCode="0">
                        <c:v>6.5733346799999985</c:v>
                      </c:pt>
                      <c:pt idx="78" formatCode="0">
                        <c:v>6.5733346799999985</c:v>
                      </c:pt>
                      <c:pt idx="79" formatCode="0">
                        <c:v>5.9160012119999985</c:v>
                      </c:pt>
                      <c:pt idx="80" formatCode="0">
                        <c:v>5.9160012119999985</c:v>
                      </c:pt>
                      <c:pt idx="81" formatCode="0">
                        <c:v>5.9160012119999985</c:v>
                      </c:pt>
                      <c:pt idx="82" formatCode="0">
                        <c:v>5.9160012119999985</c:v>
                      </c:pt>
                      <c:pt idx="83" formatCode="0">
                        <c:v>5.9160012119999985</c:v>
                      </c:pt>
                      <c:pt idx="84" formatCode="0">
                        <c:v>5.6202011513999981</c:v>
                      </c:pt>
                      <c:pt idx="85" formatCode="0">
                        <c:v>5.3391910938299976</c:v>
                      </c:pt>
                      <c:pt idx="86" formatCode="0">
                        <c:v>5.0722315391384978</c:v>
                      </c:pt>
                      <c:pt idx="87" formatCode="0">
                        <c:v>4.8186199621815726</c:v>
                      </c:pt>
                      <c:pt idx="88" formatCode="0">
                        <c:v>4.577688964072494</c:v>
                      </c:pt>
                      <c:pt idx="89" formatCode="0">
                        <c:v>4.577688964072494</c:v>
                      </c:pt>
                      <c:pt idx="90" formatCode="0">
                        <c:v>5.493226756886993</c:v>
                      </c:pt>
                      <c:pt idx="91" formatCode="0">
                        <c:v>7.1411947839530914</c:v>
                      </c:pt>
                      <c:pt idx="92" formatCode="0">
                        <c:v>6.0700155663601274</c:v>
                      </c:pt>
                      <c:pt idx="93" formatCode="0">
                        <c:v>6.0700155663601274</c:v>
                      </c:pt>
                      <c:pt idx="94" formatCode="0">
                        <c:v>6.0700155663601274</c:v>
                      </c:pt>
                      <c:pt idx="95" formatCode="0">
                        <c:v>6.0700155663601274</c:v>
                      </c:pt>
                      <c:pt idx="96" formatCode="0">
                        <c:v>4.8560124530881019</c:v>
                      </c:pt>
                      <c:pt idx="97" formatCode="0">
                        <c:v>4.8560124530881019</c:v>
                      </c:pt>
                      <c:pt idx="98" formatCode="0">
                        <c:v>4.8560124530881019</c:v>
                      </c:pt>
                      <c:pt idx="99" formatCode="0">
                        <c:v>4.8560124530881019</c:v>
                      </c:pt>
                      <c:pt idx="100" formatCode="0">
                        <c:v>5.8272149437057221</c:v>
                      </c:pt>
                      <c:pt idx="101" formatCode="0">
                        <c:v>5.8272149437057221</c:v>
                      </c:pt>
                      <c:pt idx="102" formatCode="0">
                        <c:v>5.8272149437057221</c:v>
                      </c:pt>
                      <c:pt idx="103" formatCode="0">
                        <c:v>5.8272149437057221</c:v>
                      </c:pt>
                      <c:pt idx="104" formatCode="0">
                        <c:v>6.9926579324468667</c:v>
                      </c:pt>
                    </c:numCache>
                  </c:numRef>
                </c:val>
                <c:smooth val="0"/>
                <c:extLst xmlns:c15="http://schemas.microsoft.com/office/drawing/2012/chart">
                  <c:ext xmlns:c16="http://schemas.microsoft.com/office/drawing/2014/chart" uri="{C3380CC4-5D6E-409C-BE32-E72D297353CC}">
                    <c16:uniqueId val="{00000009-85F1-4E93-8343-9A44188D74B0}"/>
                  </c:ext>
                </c:extLst>
              </c15:ser>
            </c15:filteredLineSeries>
            <c15:filteredLineSeries>
              <c15:ser>
                <c:idx val="6"/>
                <c:order val="6"/>
                <c:tx>
                  <c:strRef>
                    <c:extLst xmlns:c15="http://schemas.microsoft.com/office/drawing/2012/chart">
                      <c:ext xmlns:c15="http://schemas.microsoft.com/office/drawing/2012/chart" uri="{02D57815-91ED-43cb-92C2-25804820EDAC}">
                        <c15:formulaRef>
                          <c15:sqref>'Table for graphs 24-25 '!$A$8</c15:sqref>
                        </c15:formulaRef>
                      </c:ext>
                    </c:extLst>
                    <c:strCache>
                      <c:ptCount val="1"/>
                      <c:pt idx="0">
                        <c:v>Head and neck - Trajectory 63- 103 days</c:v>
                      </c:pt>
                    </c:strCache>
                  </c:strRef>
                </c:tx>
                <c:spPr>
                  <a:ln w="28575" cap="rnd">
                    <a:solidFill>
                      <a:schemeClr val="accent5">
                        <a:shade val="4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'!$B$8:$DB$8</c15:sqref>
                        </c15:formulaRef>
                      </c:ext>
                    </c:extLst>
                    <c:numCache>
                      <c:formatCode>General</c:formatCode>
                      <c:ptCount val="105"/>
                      <c:pt idx="53" formatCode="0">
                        <c:v>6</c:v>
                      </c:pt>
                      <c:pt idx="54" formatCode="0">
                        <c:v>4.8000000000000007</c:v>
                      </c:pt>
                      <c:pt idx="55" formatCode="0">
                        <c:v>6.0000000000000009</c:v>
                      </c:pt>
                      <c:pt idx="56" formatCode="0">
                        <c:v>4.8000000000000007</c:v>
                      </c:pt>
                      <c:pt idx="57" formatCode="0">
                        <c:v>4.8000000000000007</c:v>
                      </c:pt>
                      <c:pt idx="58" formatCode="0">
                        <c:v>4.8000000000000007</c:v>
                      </c:pt>
                      <c:pt idx="59" formatCode="0">
                        <c:v>4.8000000000000007</c:v>
                      </c:pt>
                      <c:pt idx="60" formatCode="0">
                        <c:v>6.0000000000000009</c:v>
                      </c:pt>
                      <c:pt idx="61" formatCode="0">
                        <c:v>6.0000000000000009</c:v>
                      </c:pt>
                      <c:pt idx="62" formatCode="0">
                        <c:v>6.0000000000000009</c:v>
                      </c:pt>
                      <c:pt idx="63" formatCode="0">
                        <c:v>4.8000000000000007</c:v>
                      </c:pt>
                      <c:pt idx="64" formatCode="0">
                        <c:v>4.8000000000000007</c:v>
                      </c:pt>
                      <c:pt idx="65" formatCode="0">
                        <c:v>4.3200000000000012</c:v>
                      </c:pt>
                      <c:pt idx="66" formatCode="0">
                        <c:v>4.3200000000000012</c:v>
                      </c:pt>
                      <c:pt idx="67" formatCode="0">
                        <c:v>4.3200000000000012</c:v>
                      </c:pt>
                      <c:pt idx="68" formatCode="0">
                        <c:v>4.7520000000000016</c:v>
                      </c:pt>
                      <c:pt idx="69" formatCode="0">
                        <c:v>4.7520000000000016</c:v>
                      </c:pt>
                      <c:pt idx="70" formatCode="0">
                        <c:v>4.7520000000000016</c:v>
                      </c:pt>
                      <c:pt idx="71" formatCode="0">
                        <c:v>5.2272000000000025</c:v>
                      </c:pt>
                      <c:pt idx="72" formatCode="0">
                        <c:v>6.2726400000000027</c:v>
                      </c:pt>
                      <c:pt idx="73" formatCode="0">
                        <c:v>6.2726400000000027</c:v>
                      </c:pt>
                      <c:pt idx="74" formatCode="0">
                        <c:v>6.2726400000000027</c:v>
                      </c:pt>
                      <c:pt idx="75" formatCode="0">
                        <c:v>7.2135360000000022</c:v>
                      </c:pt>
                      <c:pt idx="76" formatCode="0">
                        <c:v>5.7708288000000021</c:v>
                      </c:pt>
                      <c:pt idx="77" formatCode="0">
                        <c:v>4.9052044800000019</c:v>
                      </c:pt>
                      <c:pt idx="78" formatCode="0">
                        <c:v>5.3957249280000026</c:v>
                      </c:pt>
                      <c:pt idx="79" formatCode="0">
                        <c:v>4.8561524352000021</c:v>
                      </c:pt>
                      <c:pt idx="80" formatCode="0">
                        <c:v>4.8561524352000021</c:v>
                      </c:pt>
                      <c:pt idx="81" formatCode="0">
                        <c:v>4.8561524352000021</c:v>
                      </c:pt>
                      <c:pt idx="82" formatCode="0">
                        <c:v>4.1277295699200014</c:v>
                      </c:pt>
                      <c:pt idx="83" formatCode="0">
                        <c:v>4.5405025269120021</c:v>
                      </c:pt>
                      <c:pt idx="84" formatCode="0">
                        <c:v>4.086452274220802</c:v>
                      </c:pt>
                      <c:pt idx="85" formatCode="0">
                        <c:v>4.086452274220802</c:v>
                      </c:pt>
                      <c:pt idx="86" formatCode="0">
                        <c:v>4.086452274220802</c:v>
                      </c:pt>
                      <c:pt idx="87" formatCode="0">
                        <c:v>3.2691618193766416</c:v>
                      </c:pt>
                      <c:pt idx="88" formatCode="0">
                        <c:v>3.2691618193766416</c:v>
                      </c:pt>
                      <c:pt idx="89" formatCode="0">
                        <c:v>3.2691618193766416</c:v>
                      </c:pt>
                      <c:pt idx="90" formatCode="0">
                        <c:v>3.7595360922831378</c:v>
                      </c:pt>
                      <c:pt idx="91" formatCode="0">
                        <c:v>4.6994201153539219</c:v>
                      </c:pt>
                      <c:pt idx="92" formatCode="0">
                        <c:v>5.6393041384247065</c:v>
                      </c:pt>
                      <c:pt idx="93" formatCode="0">
                        <c:v>4.7934085176610006</c:v>
                      </c:pt>
                      <c:pt idx="94" formatCode="0">
                        <c:v>5.5124197953101506</c:v>
                      </c:pt>
                      <c:pt idx="95" formatCode="0">
                        <c:v>5.5124197953101506</c:v>
                      </c:pt>
                      <c:pt idx="96" formatCode="0">
                        <c:v>4.961177815779136</c:v>
                      </c:pt>
                      <c:pt idx="97" formatCode="0">
                        <c:v>4.4650600342012225</c:v>
                      </c:pt>
                      <c:pt idx="98" formatCode="0">
                        <c:v>3.572048027360978</c:v>
                      </c:pt>
                      <c:pt idx="99" formatCode="0">
                        <c:v>2.5004336191526844</c:v>
                      </c:pt>
                      <c:pt idx="100" formatCode="0">
                        <c:v>2.5004336191526844</c:v>
                      </c:pt>
                      <c:pt idx="101" formatCode="0">
                        <c:v>2.2503902572374161</c:v>
                      </c:pt>
                      <c:pt idx="102" formatCode="0">
                        <c:v>2.0253512315136746</c:v>
                      </c:pt>
                      <c:pt idx="103" formatCode="0">
                        <c:v>2.0253512315136746</c:v>
                      </c:pt>
                      <c:pt idx="104" formatCode="0">
                        <c:v>2.227886354665042</c:v>
                      </c:pt>
                    </c:numCache>
                  </c:numRef>
                </c:val>
                <c:smooth val="0"/>
                <c:extLst xmlns:c15="http://schemas.microsoft.com/office/drawing/2012/chart">
                  <c:ext xmlns:c16="http://schemas.microsoft.com/office/drawing/2014/chart" uri="{C3380CC4-5D6E-409C-BE32-E72D297353CC}">
                    <c16:uniqueId val="{0000000A-85F1-4E93-8343-9A44188D74B0}"/>
                  </c:ext>
                </c:extLst>
              </c15:ser>
            </c15:filteredLineSeries>
            <c15:filteredLineSeries>
              <c15:ser>
                <c:idx val="7"/>
                <c:order val="7"/>
                <c:tx>
                  <c:strRef>
                    <c:extLst xmlns:c15="http://schemas.microsoft.com/office/drawing/2012/chart">
                      <c:ext xmlns:c15="http://schemas.microsoft.com/office/drawing/2012/chart" uri="{02D57815-91ED-43cb-92C2-25804820EDAC}">
                        <c15:formulaRef>
                          <c15:sqref>'Table for graphs 24-25 '!$A$9</c15:sqref>
                        </c15:formulaRef>
                      </c:ext>
                    </c:extLst>
                    <c:strCache>
                      <c:ptCount val="1"/>
                      <c:pt idx="0">
                        <c:v>Lower Gastrointestinal - Trajectory 63- 103 days</c:v>
                      </c:pt>
                    </c:strCache>
                  </c:strRef>
                </c:tx>
                <c:spPr>
                  <a:ln w="28575" cap="rnd">
                    <a:solidFill>
                      <a:schemeClr val="accent5">
                        <a:shade val="4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'!$B$9:$DB$9</c15:sqref>
                        </c15:formulaRef>
                      </c:ext>
                    </c:extLst>
                    <c:numCache>
                      <c:formatCode>General</c:formatCode>
                      <c:ptCount val="105"/>
                      <c:pt idx="53" formatCode="0">
                        <c:v>20</c:v>
                      </c:pt>
                      <c:pt idx="54" formatCode="0">
                        <c:v>20</c:v>
                      </c:pt>
                      <c:pt idx="55" formatCode="0">
                        <c:v>19</c:v>
                      </c:pt>
                      <c:pt idx="56" formatCode="0">
                        <c:v>18.05</c:v>
                      </c:pt>
                      <c:pt idx="57" formatCode="0">
                        <c:v>18.05</c:v>
                      </c:pt>
                      <c:pt idx="58" formatCode="0">
                        <c:v>18.05</c:v>
                      </c:pt>
                      <c:pt idx="59" formatCode="0">
                        <c:v>18.05</c:v>
                      </c:pt>
                      <c:pt idx="60" formatCode="0">
                        <c:v>18.952500000000001</c:v>
                      </c:pt>
                      <c:pt idx="61" formatCode="0">
                        <c:v>18.952500000000001</c:v>
                      </c:pt>
                      <c:pt idx="62" formatCode="0">
                        <c:v>18.004874999999998</c:v>
                      </c:pt>
                      <c:pt idx="63" formatCode="0">
                        <c:v>18.004874999999998</c:v>
                      </c:pt>
                      <c:pt idx="64" formatCode="0">
                        <c:v>18.004874999999998</c:v>
                      </c:pt>
                      <c:pt idx="65" formatCode="0">
                        <c:v>17.104631249999997</c:v>
                      </c:pt>
                      <c:pt idx="66" formatCode="0">
                        <c:v>16.249399687499995</c:v>
                      </c:pt>
                      <c:pt idx="67" formatCode="0">
                        <c:v>16.249399687499995</c:v>
                      </c:pt>
                      <c:pt idx="68" formatCode="0">
                        <c:v>16.249399687499995</c:v>
                      </c:pt>
                      <c:pt idx="69" formatCode="0">
                        <c:v>16.249399687499995</c:v>
                      </c:pt>
                      <c:pt idx="70" formatCode="0">
                        <c:v>16.249399687499995</c:v>
                      </c:pt>
                      <c:pt idx="71" formatCode="0">
                        <c:v>17.874339656249997</c:v>
                      </c:pt>
                      <c:pt idx="72" formatCode="0">
                        <c:v>18.768056639062497</c:v>
                      </c:pt>
                      <c:pt idx="73" formatCode="0">
                        <c:v>18.768056639062497</c:v>
                      </c:pt>
                      <c:pt idx="74" formatCode="0">
                        <c:v>19.706459471015624</c:v>
                      </c:pt>
                      <c:pt idx="75" formatCode="0">
                        <c:v>21.677105418117186</c:v>
                      </c:pt>
                      <c:pt idx="76" formatCode="0">
                        <c:v>19.509394876305468</c:v>
                      </c:pt>
                      <c:pt idx="77" formatCode="0">
                        <c:v>18.533925132490193</c:v>
                      </c:pt>
                      <c:pt idx="78" formatCode="0">
                        <c:v>17.607228875865683</c:v>
                      </c:pt>
                      <c:pt idx="79" formatCode="0">
                        <c:v>15.846505988279116</c:v>
                      </c:pt>
                      <c:pt idx="80" formatCode="0">
                        <c:v>15.846505988279116</c:v>
                      </c:pt>
                      <c:pt idx="81" formatCode="0">
                        <c:v>15.846505988279116</c:v>
                      </c:pt>
                      <c:pt idx="82" formatCode="0">
                        <c:v>14.261855389451204</c:v>
                      </c:pt>
                      <c:pt idx="83" formatCode="0">
                        <c:v>14.974948158923766</c:v>
                      </c:pt>
                      <c:pt idx="84" formatCode="0">
                        <c:v>14.226200750977577</c:v>
                      </c:pt>
                      <c:pt idx="85" formatCode="0">
                        <c:v>14.226200750977577</c:v>
                      </c:pt>
                      <c:pt idx="86" formatCode="0">
                        <c:v>12.80358067587982</c:v>
                      </c:pt>
                      <c:pt idx="87" formatCode="0">
                        <c:v>10.883043574497847</c:v>
                      </c:pt>
                      <c:pt idx="88" formatCode="0">
                        <c:v>10.338891395772954</c:v>
                      </c:pt>
                      <c:pt idx="89" formatCode="0">
                        <c:v>10.338891395772954</c:v>
                      </c:pt>
                      <c:pt idx="90" formatCode="0">
                        <c:v>12.406669674927544</c:v>
                      </c:pt>
                      <c:pt idx="91" formatCode="0">
                        <c:v>13.647336642420299</c:v>
                      </c:pt>
                      <c:pt idx="92" formatCode="0">
                        <c:v>15.012070306662331</c:v>
                      </c:pt>
                      <c:pt idx="93" formatCode="0">
                        <c:v>15.012070306662331</c:v>
                      </c:pt>
                      <c:pt idx="94" formatCode="0">
                        <c:v>14.261466791329214</c:v>
                      </c:pt>
                      <c:pt idx="95" formatCode="0">
                        <c:v>12.835320112196293</c:v>
                      </c:pt>
                      <c:pt idx="96" formatCode="0">
                        <c:v>12.835320112196293</c:v>
                      </c:pt>
                      <c:pt idx="97" formatCode="0">
                        <c:v>12.193554106586477</c:v>
                      </c:pt>
                      <c:pt idx="98" formatCode="0">
                        <c:v>11.583876401257152</c:v>
                      </c:pt>
                      <c:pt idx="99" formatCode="0">
                        <c:v>10.77300505316915</c:v>
                      </c:pt>
                      <c:pt idx="100" formatCode="0">
                        <c:v>12.92760606380298</c:v>
                      </c:pt>
                      <c:pt idx="101" formatCode="0">
                        <c:v>10.988465154232532</c:v>
                      </c:pt>
                      <c:pt idx="102" formatCode="0">
                        <c:v>10.988465154232532</c:v>
                      </c:pt>
                      <c:pt idx="103" formatCode="0">
                        <c:v>9.8896186388092797</c:v>
                      </c:pt>
                      <c:pt idx="104" formatCode="0">
                        <c:v>10.878580502690209</c:v>
                      </c:pt>
                    </c:numCache>
                  </c:numRef>
                </c:val>
                <c:smooth val="0"/>
                <c:extLst xmlns:c15="http://schemas.microsoft.com/office/drawing/2012/chart">
                  <c:ext xmlns:c16="http://schemas.microsoft.com/office/drawing/2014/chart" uri="{C3380CC4-5D6E-409C-BE32-E72D297353CC}">
                    <c16:uniqueId val="{0000000B-85F1-4E93-8343-9A44188D74B0}"/>
                  </c:ext>
                </c:extLst>
              </c15:ser>
            </c15:filteredLineSeries>
            <c15:filteredLineSeries>
              <c15:ser>
                <c:idx val="8"/>
                <c:order val="8"/>
                <c:tx>
                  <c:strRef>
                    <c:extLst xmlns:c15="http://schemas.microsoft.com/office/drawing/2012/chart">
                      <c:ext xmlns:c15="http://schemas.microsoft.com/office/drawing/2012/chart" uri="{02D57815-91ED-43cb-92C2-25804820EDAC}">
                        <c15:formulaRef>
                          <c15:sqref>'Table for graphs 24-25 '!$A$10</c15:sqref>
                        </c15:formulaRef>
                      </c:ext>
                    </c:extLst>
                    <c:strCache>
                      <c:ptCount val="1"/>
                      <c:pt idx="0">
                        <c:v>Lung - Trajectory 63- 103 days</c:v>
                      </c:pt>
                    </c:strCache>
                  </c:strRef>
                </c:tx>
                <c:spPr>
                  <a:ln w="28575" cap="rnd">
                    <a:solidFill>
                      <a:schemeClr val="accent5">
                        <a:shade val="4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'!$B$10:$DB$10</c15:sqref>
                        </c15:formulaRef>
                      </c:ext>
                    </c:extLst>
                    <c:numCache>
                      <c:formatCode>General</c:formatCode>
                      <c:ptCount val="105"/>
                      <c:pt idx="53" formatCode="0">
                        <c:v>7.2</c:v>
                      </c:pt>
                      <c:pt idx="54" formatCode="0">
                        <c:v>7.2</c:v>
                      </c:pt>
                      <c:pt idx="55" formatCode="0">
                        <c:v>7.9200000000000008</c:v>
                      </c:pt>
                      <c:pt idx="56" formatCode="0">
                        <c:v>7.9200000000000008</c:v>
                      </c:pt>
                      <c:pt idx="57" formatCode="0">
                        <c:v>7.9200000000000008</c:v>
                      </c:pt>
                      <c:pt idx="58" formatCode="0">
                        <c:v>7.128000000000001</c:v>
                      </c:pt>
                      <c:pt idx="59" formatCode="0">
                        <c:v>7.128000000000001</c:v>
                      </c:pt>
                      <c:pt idx="60" formatCode="0">
                        <c:v>7.8408000000000015</c:v>
                      </c:pt>
                      <c:pt idx="61" formatCode="0">
                        <c:v>7.8408000000000015</c:v>
                      </c:pt>
                      <c:pt idx="62" formatCode="0">
                        <c:v>7.8408000000000015</c:v>
                      </c:pt>
                      <c:pt idx="63" formatCode="0">
                        <c:v>7.0567200000000012</c:v>
                      </c:pt>
                      <c:pt idx="64" formatCode="0">
                        <c:v>7.0567200000000012</c:v>
                      </c:pt>
                      <c:pt idx="65" formatCode="0">
                        <c:v>6.3510480000000014</c:v>
                      </c:pt>
                      <c:pt idx="66" formatCode="0">
                        <c:v>6.3510480000000014</c:v>
                      </c:pt>
                      <c:pt idx="67" formatCode="0">
                        <c:v>6.3510480000000014</c:v>
                      </c:pt>
                      <c:pt idx="68" formatCode="0">
                        <c:v>6.3510480000000014</c:v>
                      </c:pt>
                      <c:pt idx="69" formatCode="0">
                        <c:v>6.3510480000000014</c:v>
                      </c:pt>
                      <c:pt idx="70" formatCode="0">
                        <c:v>6.3510480000000014</c:v>
                      </c:pt>
                      <c:pt idx="71" formatCode="0">
                        <c:v>6.9861528000000019</c:v>
                      </c:pt>
                      <c:pt idx="72" formatCode="0">
                        <c:v>7.6847680800000031</c:v>
                      </c:pt>
                      <c:pt idx="73" formatCode="0">
                        <c:v>7.6847680800000031</c:v>
                      </c:pt>
                      <c:pt idx="74" formatCode="0">
                        <c:v>8.453244888000004</c:v>
                      </c:pt>
                      <c:pt idx="75" formatCode="0">
                        <c:v>8.453244888000004</c:v>
                      </c:pt>
                      <c:pt idx="76" formatCode="0">
                        <c:v>8.453244888000004</c:v>
                      </c:pt>
                      <c:pt idx="77" formatCode="0">
                        <c:v>7.6079203992000037</c:v>
                      </c:pt>
                      <c:pt idx="78" formatCode="0">
                        <c:v>7.6079203992000037</c:v>
                      </c:pt>
                      <c:pt idx="79" formatCode="0">
                        <c:v>6.8471283592800036</c:v>
                      </c:pt>
                      <c:pt idx="80" formatCode="0">
                        <c:v>6.8471283592800036</c:v>
                      </c:pt>
                      <c:pt idx="81" formatCode="0">
                        <c:v>7.5318411952080044</c:v>
                      </c:pt>
                      <c:pt idx="82" formatCode="0">
                        <c:v>6.778657075687204</c:v>
                      </c:pt>
                      <c:pt idx="83" formatCode="0">
                        <c:v>8.1343884908246444</c:v>
                      </c:pt>
                      <c:pt idx="84" formatCode="0">
                        <c:v>7.7276690662834122</c:v>
                      </c:pt>
                      <c:pt idx="85" formatCode="0">
                        <c:v>8.5004359729117542</c:v>
                      </c:pt>
                      <c:pt idx="86" formatCode="0">
                        <c:v>8.5004359729117542</c:v>
                      </c:pt>
                      <c:pt idx="87" formatCode="0">
                        <c:v>7.6503923756205792</c:v>
                      </c:pt>
                      <c:pt idx="88" formatCode="0">
                        <c:v>7.6503923756205792</c:v>
                      </c:pt>
                      <c:pt idx="89" formatCode="0">
                        <c:v>9.1804708507446939</c:v>
                      </c:pt>
                      <c:pt idx="90" formatCode="0">
                        <c:v>10.098517935819164</c:v>
                      </c:pt>
                      <c:pt idx="91" formatCode="0">
                        <c:v>11.108369729401081</c:v>
                      </c:pt>
                      <c:pt idx="92" formatCode="0">
                        <c:v>12.219206702341191</c:v>
                      </c:pt>
                      <c:pt idx="93" formatCode="0">
                        <c:v>11.608246367224131</c:v>
                      </c:pt>
                      <c:pt idx="94" formatCode="0">
                        <c:v>11.608246367224131</c:v>
                      </c:pt>
                      <c:pt idx="95" formatCode="0">
                        <c:v>11.608246367224131</c:v>
                      </c:pt>
                      <c:pt idx="96" formatCode="0">
                        <c:v>10.447421730501718</c:v>
                      </c:pt>
                      <c:pt idx="97" formatCode="0">
                        <c:v>9.4026795574515472</c:v>
                      </c:pt>
                      <c:pt idx="98" formatCode="0">
                        <c:v>8.4624116017063926</c:v>
                      </c:pt>
                      <c:pt idx="99" formatCode="0">
                        <c:v>8.4624116017063926</c:v>
                      </c:pt>
                      <c:pt idx="100" formatCode="0">
                        <c:v>9.3086527618770329</c:v>
                      </c:pt>
                      <c:pt idx="101" formatCode="0">
                        <c:v>6.9814895714077743</c:v>
                      </c:pt>
                      <c:pt idx="102" formatCode="0">
                        <c:v>6.9814895714077743</c:v>
                      </c:pt>
                      <c:pt idx="103" formatCode="0">
                        <c:v>6.9814895714077743</c:v>
                      </c:pt>
                      <c:pt idx="104" formatCode="0">
                        <c:v>7.6796385285485522</c:v>
                      </c:pt>
                    </c:numCache>
                  </c:numRef>
                </c:val>
                <c:smooth val="0"/>
                <c:extLst xmlns:c15="http://schemas.microsoft.com/office/drawing/2012/chart">
                  <c:ext xmlns:c16="http://schemas.microsoft.com/office/drawing/2014/chart" uri="{C3380CC4-5D6E-409C-BE32-E72D297353CC}">
                    <c16:uniqueId val="{0000000C-85F1-4E93-8343-9A44188D74B0}"/>
                  </c:ext>
                </c:extLst>
              </c15:ser>
            </c15:filteredLineSeries>
            <c15:filteredLineSeries>
              <c15:ser>
                <c:idx val="9"/>
                <c:order val="9"/>
                <c:tx>
                  <c:strRef>
                    <c:extLst xmlns:c15="http://schemas.microsoft.com/office/drawing/2012/chart">
                      <c:ext xmlns:c15="http://schemas.microsoft.com/office/drawing/2012/chart" uri="{02D57815-91ED-43cb-92C2-25804820EDAC}">
                        <c15:formulaRef>
                          <c15:sqref>'Table for graphs 24-25 '!$A$11</c15:sqref>
                        </c15:formulaRef>
                      </c:ext>
                    </c:extLst>
                    <c:strCache>
                      <c:ptCount val="1"/>
                      <c:pt idx="0">
                        <c:v>Other - Trajectory 63- 103 days</c:v>
                      </c:pt>
                    </c:strCache>
                  </c:strRef>
                </c:tx>
                <c:spPr>
                  <a:ln w="28575" cap="rnd">
                    <a:solidFill>
                      <a:schemeClr val="accent5">
                        <a:shade val="4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'!$B$11:$DB$11</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1</c:v>
                      </c:pt>
                      <c:pt idx="66" formatCode="0">
                        <c:v>1</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0D-85F1-4E93-8343-9A44188D74B0}"/>
                  </c:ext>
                </c:extLst>
              </c15:ser>
            </c15:filteredLineSeries>
            <c15:filteredLineSeries>
              <c15:ser>
                <c:idx val="10"/>
                <c:order val="10"/>
                <c:tx>
                  <c:strRef>
                    <c:extLst xmlns:c15="http://schemas.microsoft.com/office/drawing/2012/chart">
                      <c:ext xmlns:c15="http://schemas.microsoft.com/office/drawing/2012/chart" uri="{02D57815-91ED-43cb-92C2-25804820EDAC}">
                        <c15:formulaRef>
                          <c15:sqref>'Table for graphs 24-25 '!$A$12</c15:sqref>
                        </c15:formulaRef>
                      </c:ext>
                    </c:extLst>
                    <c:strCache>
                      <c:ptCount val="1"/>
                      <c:pt idx="0">
                        <c:v>Sarcoma - Trajectory 63- 103 days</c:v>
                      </c:pt>
                    </c:strCache>
                  </c:strRef>
                </c:tx>
                <c:spPr>
                  <a:ln w="28575" cap="rnd">
                    <a:solidFill>
                      <a:schemeClr val="accent5">
                        <a:shade val="4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'!$B$12:$DB$12</c15:sqref>
                        </c15:formulaRef>
                      </c:ext>
                    </c:extLst>
                    <c:numCache>
                      <c:formatCode>General</c:formatCode>
                      <c:ptCount val="105"/>
                      <c:pt idx="53" formatCode="0">
                        <c:v>0</c:v>
                      </c:pt>
                      <c:pt idx="54" formatCode="0">
                        <c:v>1</c:v>
                      </c:pt>
                      <c:pt idx="55" formatCode="0">
                        <c:v>1</c:v>
                      </c:pt>
                      <c:pt idx="56" formatCode="0">
                        <c:v>2</c:v>
                      </c:pt>
                      <c:pt idx="57" formatCode="0">
                        <c:v>2</c:v>
                      </c:pt>
                      <c:pt idx="58" formatCode="0">
                        <c:v>2</c:v>
                      </c:pt>
                      <c:pt idx="59" formatCode="0">
                        <c:v>2</c:v>
                      </c:pt>
                      <c:pt idx="60" formatCode="0">
                        <c:v>3</c:v>
                      </c:pt>
                      <c:pt idx="61" formatCode="0">
                        <c:v>3</c:v>
                      </c:pt>
                      <c:pt idx="62" formatCode="0">
                        <c:v>2</c:v>
                      </c:pt>
                      <c:pt idx="63" formatCode="0">
                        <c:v>1</c:v>
                      </c:pt>
                      <c:pt idx="64" formatCode="0">
                        <c:v>1</c:v>
                      </c:pt>
                      <c:pt idx="65" formatCode="0">
                        <c:v>1</c:v>
                      </c:pt>
                      <c:pt idx="66" formatCode="0">
                        <c:v>1</c:v>
                      </c:pt>
                      <c:pt idx="67" formatCode="0">
                        <c:v>1</c:v>
                      </c:pt>
                      <c:pt idx="68" formatCode="0">
                        <c:v>1</c:v>
                      </c:pt>
                      <c:pt idx="69" formatCode="0">
                        <c:v>2</c:v>
                      </c:pt>
                      <c:pt idx="70" formatCode="0">
                        <c:v>2</c:v>
                      </c:pt>
                      <c:pt idx="71" formatCode="0">
                        <c:v>2</c:v>
                      </c:pt>
                      <c:pt idx="72" formatCode="0">
                        <c:v>2</c:v>
                      </c:pt>
                      <c:pt idx="73" formatCode="0">
                        <c:v>2</c:v>
                      </c:pt>
                      <c:pt idx="74" formatCode="0">
                        <c:v>3</c:v>
                      </c:pt>
                      <c:pt idx="75" formatCode="0">
                        <c:v>4</c:v>
                      </c:pt>
                      <c:pt idx="76" formatCode="0">
                        <c:v>4</c:v>
                      </c:pt>
                      <c:pt idx="77" formatCode="0">
                        <c:v>4</c:v>
                      </c:pt>
                      <c:pt idx="78" formatCode="0">
                        <c:v>4</c:v>
                      </c:pt>
                      <c:pt idx="79" formatCode="0">
                        <c:v>3</c:v>
                      </c:pt>
                      <c:pt idx="80" formatCode="0">
                        <c:v>3</c:v>
                      </c:pt>
                      <c:pt idx="81" formatCode="0">
                        <c:v>3</c:v>
                      </c:pt>
                      <c:pt idx="82" formatCode="0">
                        <c:v>3</c:v>
                      </c:pt>
                      <c:pt idx="83" formatCode="0">
                        <c:v>4</c:v>
                      </c:pt>
                      <c:pt idx="84" formatCode="0">
                        <c:v>4</c:v>
                      </c:pt>
                      <c:pt idx="85" formatCode="0">
                        <c:v>4</c:v>
                      </c:pt>
                      <c:pt idx="86" formatCode="0">
                        <c:v>4</c:v>
                      </c:pt>
                      <c:pt idx="87" formatCode="0">
                        <c:v>4</c:v>
                      </c:pt>
                      <c:pt idx="88" formatCode="0">
                        <c:v>4</c:v>
                      </c:pt>
                      <c:pt idx="89" formatCode="0">
                        <c:v>4</c:v>
                      </c:pt>
                      <c:pt idx="90" formatCode="0">
                        <c:v>4</c:v>
                      </c:pt>
                      <c:pt idx="91" formatCode="0">
                        <c:v>5</c:v>
                      </c:pt>
                      <c:pt idx="92" formatCode="0">
                        <c:v>6</c:v>
                      </c:pt>
                      <c:pt idx="93" formatCode="0">
                        <c:v>5</c:v>
                      </c:pt>
                      <c:pt idx="94" formatCode="0">
                        <c:v>5</c:v>
                      </c:pt>
                      <c:pt idx="95" formatCode="0">
                        <c:v>5</c:v>
                      </c:pt>
                      <c:pt idx="96" formatCode="0">
                        <c:v>4</c:v>
                      </c:pt>
                      <c:pt idx="97" formatCode="0">
                        <c:v>3</c:v>
                      </c:pt>
                      <c:pt idx="98" formatCode="0">
                        <c:v>3</c:v>
                      </c:pt>
                      <c:pt idx="99" formatCode="0">
                        <c:v>3</c:v>
                      </c:pt>
                      <c:pt idx="100" formatCode="0">
                        <c:v>4</c:v>
                      </c:pt>
                      <c:pt idx="101" formatCode="0">
                        <c:v>3</c:v>
                      </c:pt>
                      <c:pt idx="102" formatCode="0">
                        <c:v>3</c:v>
                      </c:pt>
                      <c:pt idx="103" formatCode="0">
                        <c:v>3</c:v>
                      </c:pt>
                      <c:pt idx="104" formatCode="0">
                        <c:v>3</c:v>
                      </c:pt>
                    </c:numCache>
                  </c:numRef>
                </c:val>
                <c:smooth val="0"/>
                <c:extLst xmlns:c15="http://schemas.microsoft.com/office/drawing/2012/chart">
                  <c:ext xmlns:c16="http://schemas.microsoft.com/office/drawing/2014/chart" uri="{C3380CC4-5D6E-409C-BE32-E72D297353CC}">
                    <c16:uniqueId val="{0000000E-85F1-4E93-8343-9A44188D74B0}"/>
                  </c:ext>
                </c:extLst>
              </c15:ser>
            </c15:filteredLineSeries>
            <c15:filteredLineSeries>
              <c15:ser>
                <c:idx val="11"/>
                <c:order val="11"/>
                <c:tx>
                  <c:strRef>
                    <c:extLst xmlns:c15="http://schemas.microsoft.com/office/drawing/2012/chart">
                      <c:ext xmlns:c15="http://schemas.microsoft.com/office/drawing/2012/chart" uri="{02D57815-91ED-43cb-92C2-25804820EDAC}">
                        <c15:formulaRef>
                          <c15:sqref>'Table for graphs 24-25 '!$A$13</c15:sqref>
                        </c15:formulaRef>
                      </c:ext>
                    </c:extLst>
                    <c:strCache>
                      <c:ptCount val="1"/>
                      <c:pt idx="0">
                        <c:v>Skin - Trajectory 63- 103 days</c:v>
                      </c:pt>
                    </c:strCache>
                  </c:strRef>
                </c:tx>
                <c:spPr>
                  <a:ln w="28575" cap="rnd">
                    <a:solidFill>
                      <a:schemeClr val="accent5">
                        <a:shade val="4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'!$B$13:$DB$13</c15:sqref>
                        </c15:formulaRef>
                      </c:ext>
                    </c:extLst>
                    <c:numCache>
                      <c:formatCode>General</c:formatCode>
                      <c:ptCount val="105"/>
                      <c:pt idx="53" formatCode="0">
                        <c:v>11</c:v>
                      </c:pt>
                      <c:pt idx="54" formatCode="0">
                        <c:v>10</c:v>
                      </c:pt>
                      <c:pt idx="55" formatCode="0">
                        <c:v>10</c:v>
                      </c:pt>
                      <c:pt idx="56" formatCode="0">
                        <c:v>11</c:v>
                      </c:pt>
                      <c:pt idx="57" formatCode="0">
                        <c:v>10</c:v>
                      </c:pt>
                      <c:pt idx="58" formatCode="0">
                        <c:v>9</c:v>
                      </c:pt>
                      <c:pt idx="59" formatCode="0">
                        <c:v>9</c:v>
                      </c:pt>
                      <c:pt idx="60" formatCode="0">
                        <c:v>10</c:v>
                      </c:pt>
                      <c:pt idx="61" formatCode="0">
                        <c:v>10</c:v>
                      </c:pt>
                      <c:pt idx="62" formatCode="0">
                        <c:v>10</c:v>
                      </c:pt>
                      <c:pt idx="63" formatCode="0">
                        <c:v>9</c:v>
                      </c:pt>
                      <c:pt idx="64" formatCode="0">
                        <c:v>8</c:v>
                      </c:pt>
                      <c:pt idx="65" formatCode="0">
                        <c:v>8</c:v>
                      </c:pt>
                      <c:pt idx="66" formatCode="0">
                        <c:v>8</c:v>
                      </c:pt>
                      <c:pt idx="67" formatCode="0">
                        <c:v>9</c:v>
                      </c:pt>
                      <c:pt idx="68" formatCode="0">
                        <c:v>10</c:v>
                      </c:pt>
                      <c:pt idx="69" formatCode="0">
                        <c:v>11</c:v>
                      </c:pt>
                      <c:pt idx="70" formatCode="0">
                        <c:v>11</c:v>
                      </c:pt>
                      <c:pt idx="71" formatCode="0">
                        <c:v>13</c:v>
                      </c:pt>
                      <c:pt idx="72" formatCode="0">
                        <c:v>12</c:v>
                      </c:pt>
                      <c:pt idx="73" formatCode="0">
                        <c:v>13</c:v>
                      </c:pt>
                      <c:pt idx="74" formatCode="0">
                        <c:v>11</c:v>
                      </c:pt>
                      <c:pt idx="75" formatCode="0">
                        <c:v>10</c:v>
                      </c:pt>
                      <c:pt idx="76" formatCode="0">
                        <c:v>11</c:v>
                      </c:pt>
                      <c:pt idx="77" formatCode="0">
                        <c:v>11</c:v>
                      </c:pt>
                      <c:pt idx="78" formatCode="0">
                        <c:v>11</c:v>
                      </c:pt>
                      <c:pt idx="79" formatCode="0">
                        <c:v>11</c:v>
                      </c:pt>
                      <c:pt idx="80" formatCode="0">
                        <c:v>11</c:v>
                      </c:pt>
                      <c:pt idx="81" formatCode="0">
                        <c:v>10</c:v>
                      </c:pt>
                      <c:pt idx="82" formatCode="0">
                        <c:v>9</c:v>
                      </c:pt>
                      <c:pt idx="83" formatCode="0">
                        <c:v>9</c:v>
                      </c:pt>
                      <c:pt idx="84" formatCode="0">
                        <c:v>9</c:v>
                      </c:pt>
                      <c:pt idx="85" formatCode="0">
                        <c:v>9</c:v>
                      </c:pt>
                      <c:pt idx="86" formatCode="0">
                        <c:v>9</c:v>
                      </c:pt>
                      <c:pt idx="87" formatCode="0">
                        <c:v>9</c:v>
                      </c:pt>
                      <c:pt idx="88" formatCode="0">
                        <c:v>9</c:v>
                      </c:pt>
                      <c:pt idx="89" formatCode="0">
                        <c:v>10</c:v>
                      </c:pt>
                      <c:pt idx="90" formatCode="0">
                        <c:v>11</c:v>
                      </c:pt>
                      <c:pt idx="91" formatCode="0">
                        <c:v>12</c:v>
                      </c:pt>
                      <c:pt idx="92" formatCode="0">
                        <c:v>13</c:v>
                      </c:pt>
                      <c:pt idx="93" formatCode="0">
                        <c:v>11</c:v>
                      </c:pt>
                      <c:pt idx="94" formatCode="0">
                        <c:v>10</c:v>
                      </c:pt>
                      <c:pt idx="95" formatCode="0">
                        <c:v>9</c:v>
                      </c:pt>
                      <c:pt idx="96" formatCode="0">
                        <c:v>9</c:v>
                      </c:pt>
                      <c:pt idx="97" formatCode="0">
                        <c:v>9</c:v>
                      </c:pt>
                      <c:pt idx="98" formatCode="0">
                        <c:v>9</c:v>
                      </c:pt>
                      <c:pt idx="99" formatCode="0">
                        <c:v>9</c:v>
                      </c:pt>
                      <c:pt idx="100" formatCode="0">
                        <c:v>9</c:v>
                      </c:pt>
                      <c:pt idx="101" formatCode="0">
                        <c:v>9</c:v>
                      </c:pt>
                      <c:pt idx="102" formatCode="0">
                        <c:v>10</c:v>
                      </c:pt>
                      <c:pt idx="103" formatCode="0">
                        <c:v>10</c:v>
                      </c:pt>
                      <c:pt idx="104" formatCode="0">
                        <c:v>11</c:v>
                      </c:pt>
                    </c:numCache>
                  </c:numRef>
                </c:val>
                <c:smooth val="0"/>
                <c:extLst xmlns:c15="http://schemas.microsoft.com/office/drawing/2012/chart">
                  <c:ext xmlns:c16="http://schemas.microsoft.com/office/drawing/2014/chart" uri="{C3380CC4-5D6E-409C-BE32-E72D297353CC}">
                    <c16:uniqueId val="{0000000F-85F1-4E93-8343-9A44188D74B0}"/>
                  </c:ext>
                </c:extLst>
              </c15:ser>
            </c15:filteredLineSeries>
            <c15:filteredLineSeries>
              <c15:ser>
                <c:idx val="12"/>
                <c:order val="12"/>
                <c:tx>
                  <c:strRef>
                    <c:extLst xmlns:c15="http://schemas.microsoft.com/office/drawing/2012/chart">
                      <c:ext xmlns:c15="http://schemas.microsoft.com/office/drawing/2012/chart" uri="{02D57815-91ED-43cb-92C2-25804820EDAC}">
                        <c15:formulaRef>
                          <c15:sqref>'Table for graphs 24-25 '!$A$14</c15:sqref>
                        </c15:formulaRef>
                      </c:ext>
                    </c:extLst>
                    <c:strCache>
                      <c:ptCount val="1"/>
                      <c:pt idx="0">
                        <c:v>Upper Gastrointestinal - Trajectory 63- 103 days</c:v>
                      </c:pt>
                    </c:strCache>
                  </c:strRef>
                </c:tx>
                <c:spPr>
                  <a:ln w="28575" cap="rnd">
                    <a:solidFill>
                      <a:schemeClr val="accent5">
                        <a:shade val="4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'!$B$14:$DB$14</c15:sqref>
                        </c15:formulaRef>
                      </c:ext>
                    </c:extLst>
                    <c:numCache>
                      <c:formatCode>General</c:formatCode>
                      <c:ptCount val="105"/>
                      <c:pt idx="53" formatCode="0">
                        <c:v>11</c:v>
                      </c:pt>
                      <c:pt idx="54" formatCode="0">
                        <c:v>11</c:v>
                      </c:pt>
                      <c:pt idx="55" formatCode="0">
                        <c:v>11</c:v>
                      </c:pt>
                      <c:pt idx="56" formatCode="0">
                        <c:v>11</c:v>
                      </c:pt>
                      <c:pt idx="57" formatCode="0">
                        <c:v>11</c:v>
                      </c:pt>
                      <c:pt idx="58" formatCode="0">
                        <c:v>10</c:v>
                      </c:pt>
                      <c:pt idx="59" formatCode="0">
                        <c:v>10</c:v>
                      </c:pt>
                      <c:pt idx="60" formatCode="0">
                        <c:v>11</c:v>
                      </c:pt>
                      <c:pt idx="61" formatCode="0">
                        <c:v>11</c:v>
                      </c:pt>
                      <c:pt idx="62" formatCode="0">
                        <c:v>10</c:v>
                      </c:pt>
                      <c:pt idx="63" formatCode="0">
                        <c:v>9</c:v>
                      </c:pt>
                      <c:pt idx="64" formatCode="0">
                        <c:v>9</c:v>
                      </c:pt>
                      <c:pt idx="65" formatCode="0">
                        <c:v>9</c:v>
                      </c:pt>
                      <c:pt idx="66" formatCode="0">
                        <c:v>9</c:v>
                      </c:pt>
                      <c:pt idx="67" formatCode="0">
                        <c:v>10</c:v>
                      </c:pt>
                      <c:pt idx="68" formatCode="0">
                        <c:v>10</c:v>
                      </c:pt>
                      <c:pt idx="69" formatCode="0">
                        <c:v>10</c:v>
                      </c:pt>
                      <c:pt idx="70" formatCode="0">
                        <c:v>10</c:v>
                      </c:pt>
                      <c:pt idx="71" formatCode="0">
                        <c:v>11</c:v>
                      </c:pt>
                      <c:pt idx="72" formatCode="0">
                        <c:v>10</c:v>
                      </c:pt>
                      <c:pt idx="73" formatCode="0">
                        <c:v>11</c:v>
                      </c:pt>
                      <c:pt idx="74" formatCode="0">
                        <c:v>11</c:v>
                      </c:pt>
                      <c:pt idx="75" formatCode="0">
                        <c:v>10</c:v>
                      </c:pt>
                      <c:pt idx="76" formatCode="0">
                        <c:v>11</c:v>
                      </c:pt>
                      <c:pt idx="77" formatCode="0">
                        <c:v>12</c:v>
                      </c:pt>
                      <c:pt idx="78" formatCode="0">
                        <c:v>10</c:v>
                      </c:pt>
                      <c:pt idx="79" formatCode="0">
                        <c:v>9</c:v>
                      </c:pt>
                      <c:pt idx="80" formatCode="0">
                        <c:v>9</c:v>
                      </c:pt>
                      <c:pt idx="81" formatCode="0">
                        <c:v>8</c:v>
                      </c:pt>
                      <c:pt idx="82" formatCode="0">
                        <c:v>8</c:v>
                      </c:pt>
                      <c:pt idx="83" formatCode="0">
                        <c:v>8</c:v>
                      </c:pt>
                      <c:pt idx="84" formatCode="0">
                        <c:v>8</c:v>
                      </c:pt>
                      <c:pt idx="85" formatCode="0">
                        <c:v>8</c:v>
                      </c:pt>
                      <c:pt idx="86" formatCode="0">
                        <c:v>7</c:v>
                      </c:pt>
                      <c:pt idx="87" formatCode="0">
                        <c:v>7</c:v>
                      </c:pt>
                      <c:pt idx="88" formatCode="0">
                        <c:v>6</c:v>
                      </c:pt>
                      <c:pt idx="89" formatCode="0">
                        <c:v>6</c:v>
                      </c:pt>
                      <c:pt idx="90" formatCode="0">
                        <c:v>7</c:v>
                      </c:pt>
                      <c:pt idx="91" formatCode="0">
                        <c:v>8</c:v>
                      </c:pt>
                      <c:pt idx="92" formatCode="0">
                        <c:v>8</c:v>
                      </c:pt>
                      <c:pt idx="93" formatCode="0">
                        <c:v>8</c:v>
                      </c:pt>
                      <c:pt idx="94" formatCode="0">
                        <c:v>8</c:v>
                      </c:pt>
                      <c:pt idx="95" formatCode="0">
                        <c:v>7</c:v>
                      </c:pt>
                      <c:pt idx="96" formatCode="0">
                        <c:v>6</c:v>
                      </c:pt>
                      <c:pt idx="97" formatCode="0">
                        <c:v>6</c:v>
                      </c:pt>
                      <c:pt idx="98" formatCode="0">
                        <c:v>6</c:v>
                      </c:pt>
                      <c:pt idx="99" formatCode="0">
                        <c:v>6</c:v>
                      </c:pt>
                      <c:pt idx="100" formatCode="0">
                        <c:v>7</c:v>
                      </c:pt>
                      <c:pt idx="101" formatCode="0">
                        <c:v>7</c:v>
                      </c:pt>
                      <c:pt idx="102" formatCode="0">
                        <c:v>7</c:v>
                      </c:pt>
                      <c:pt idx="103" formatCode="0">
                        <c:v>7</c:v>
                      </c:pt>
                      <c:pt idx="104" formatCode="0">
                        <c:v>8</c:v>
                      </c:pt>
                    </c:numCache>
                  </c:numRef>
                </c:val>
                <c:smooth val="0"/>
                <c:extLst xmlns:c15="http://schemas.microsoft.com/office/drawing/2012/chart">
                  <c:ext xmlns:c16="http://schemas.microsoft.com/office/drawing/2014/chart" uri="{C3380CC4-5D6E-409C-BE32-E72D297353CC}">
                    <c16:uniqueId val="{00000010-85F1-4E93-8343-9A44188D74B0}"/>
                  </c:ext>
                </c:extLst>
              </c15:ser>
            </c15:filteredLineSeries>
            <c15:filteredLineSeries>
              <c15:ser>
                <c:idx val="13"/>
                <c:order val="13"/>
                <c:tx>
                  <c:strRef>
                    <c:extLst xmlns:c15="http://schemas.microsoft.com/office/drawing/2012/chart">
                      <c:ext xmlns:c15="http://schemas.microsoft.com/office/drawing/2012/chart" uri="{02D57815-91ED-43cb-92C2-25804820EDAC}">
                        <c15:formulaRef>
                          <c15:sqref>'Table for graphs 24-25 '!$A$15</c15:sqref>
                        </c15:formulaRef>
                      </c:ext>
                    </c:extLst>
                    <c:strCache>
                      <c:ptCount val="1"/>
                      <c:pt idx="0">
                        <c:v>Urological - Trajectory 63- 103 days</c:v>
                      </c:pt>
                    </c:strCache>
                  </c:strRef>
                </c:tx>
                <c:spPr>
                  <a:ln w="28575" cap="rnd">
                    <a:solidFill>
                      <a:schemeClr val="accent5">
                        <a:shade val="5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'!$B$15:$DB$15</c15:sqref>
                        </c15:formulaRef>
                      </c:ext>
                    </c:extLst>
                    <c:numCache>
                      <c:formatCode>General</c:formatCode>
                      <c:ptCount val="105"/>
                      <c:pt idx="53" formatCode="0">
                        <c:v>24</c:v>
                      </c:pt>
                      <c:pt idx="54" formatCode="0">
                        <c:v>24</c:v>
                      </c:pt>
                      <c:pt idx="55" formatCode="0">
                        <c:v>24</c:v>
                      </c:pt>
                      <c:pt idx="56" formatCode="0">
                        <c:v>24</c:v>
                      </c:pt>
                      <c:pt idx="57" formatCode="0">
                        <c:v>23</c:v>
                      </c:pt>
                      <c:pt idx="58" formatCode="0">
                        <c:v>23</c:v>
                      </c:pt>
                      <c:pt idx="59" formatCode="0">
                        <c:v>22</c:v>
                      </c:pt>
                      <c:pt idx="60" formatCode="0">
                        <c:v>22</c:v>
                      </c:pt>
                      <c:pt idx="61" formatCode="0">
                        <c:v>22</c:v>
                      </c:pt>
                      <c:pt idx="62" formatCode="0">
                        <c:v>21</c:v>
                      </c:pt>
                      <c:pt idx="63" formatCode="0">
                        <c:v>21</c:v>
                      </c:pt>
                      <c:pt idx="64" formatCode="0">
                        <c:v>20</c:v>
                      </c:pt>
                      <c:pt idx="65" formatCode="0">
                        <c:v>20</c:v>
                      </c:pt>
                      <c:pt idx="66" formatCode="0">
                        <c:v>20</c:v>
                      </c:pt>
                      <c:pt idx="67" formatCode="0">
                        <c:v>20</c:v>
                      </c:pt>
                      <c:pt idx="68" formatCode="0">
                        <c:v>21</c:v>
                      </c:pt>
                      <c:pt idx="69" formatCode="0">
                        <c:v>20</c:v>
                      </c:pt>
                      <c:pt idx="70" formatCode="0">
                        <c:v>20</c:v>
                      </c:pt>
                      <c:pt idx="71" formatCode="0">
                        <c:v>21</c:v>
                      </c:pt>
                      <c:pt idx="72" formatCode="0">
                        <c:v>20</c:v>
                      </c:pt>
                      <c:pt idx="73" formatCode="0">
                        <c:v>21</c:v>
                      </c:pt>
                      <c:pt idx="74" formatCode="0">
                        <c:v>21</c:v>
                      </c:pt>
                      <c:pt idx="75" formatCode="0">
                        <c:v>23</c:v>
                      </c:pt>
                      <c:pt idx="76" formatCode="0">
                        <c:v>22</c:v>
                      </c:pt>
                      <c:pt idx="77" formatCode="0">
                        <c:v>21</c:v>
                      </c:pt>
                      <c:pt idx="78" formatCode="0">
                        <c:v>20</c:v>
                      </c:pt>
                      <c:pt idx="79" formatCode="0">
                        <c:v>20</c:v>
                      </c:pt>
                      <c:pt idx="80" formatCode="0">
                        <c:v>20</c:v>
                      </c:pt>
                      <c:pt idx="81" formatCode="0">
                        <c:v>18</c:v>
                      </c:pt>
                      <c:pt idx="82" formatCode="0">
                        <c:v>17</c:v>
                      </c:pt>
                      <c:pt idx="83" formatCode="0">
                        <c:v>17</c:v>
                      </c:pt>
                      <c:pt idx="84" formatCode="0">
                        <c:v>16</c:v>
                      </c:pt>
                      <c:pt idx="85" formatCode="0">
                        <c:v>15</c:v>
                      </c:pt>
                      <c:pt idx="86" formatCode="0">
                        <c:v>14</c:v>
                      </c:pt>
                      <c:pt idx="87" formatCode="0">
                        <c:v>12</c:v>
                      </c:pt>
                      <c:pt idx="88" formatCode="0">
                        <c:v>11</c:v>
                      </c:pt>
                      <c:pt idx="89" formatCode="0">
                        <c:v>11</c:v>
                      </c:pt>
                      <c:pt idx="90" formatCode="0">
                        <c:v>12</c:v>
                      </c:pt>
                      <c:pt idx="91" formatCode="0">
                        <c:v>14</c:v>
                      </c:pt>
                      <c:pt idx="92" formatCode="0">
                        <c:v>14</c:v>
                      </c:pt>
                      <c:pt idx="93" formatCode="0">
                        <c:v>14</c:v>
                      </c:pt>
                      <c:pt idx="94" formatCode="0">
                        <c:v>13</c:v>
                      </c:pt>
                      <c:pt idx="95" formatCode="0">
                        <c:v>13</c:v>
                      </c:pt>
                      <c:pt idx="96" formatCode="0">
                        <c:v>12</c:v>
                      </c:pt>
                      <c:pt idx="97" formatCode="0">
                        <c:v>11</c:v>
                      </c:pt>
                      <c:pt idx="98" formatCode="0">
                        <c:v>10</c:v>
                      </c:pt>
                      <c:pt idx="99" formatCode="0">
                        <c:v>10</c:v>
                      </c:pt>
                      <c:pt idx="100" formatCode="0">
                        <c:v>11</c:v>
                      </c:pt>
                      <c:pt idx="101" formatCode="0">
                        <c:v>9</c:v>
                      </c:pt>
                      <c:pt idx="102" formatCode="0">
                        <c:v>8</c:v>
                      </c:pt>
                      <c:pt idx="103" formatCode="0">
                        <c:v>7</c:v>
                      </c:pt>
                      <c:pt idx="104" formatCode="0">
                        <c:v>7</c:v>
                      </c:pt>
                    </c:numCache>
                  </c:numRef>
                </c:val>
                <c:smooth val="0"/>
                <c:extLst xmlns:c15="http://schemas.microsoft.com/office/drawing/2012/chart">
                  <c:ext xmlns:c16="http://schemas.microsoft.com/office/drawing/2014/chart" uri="{C3380CC4-5D6E-409C-BE32-E72D297353CC}">
                    <c16:uniqueId val="{00000011-85F1-4E93-8343-9A44188D74B0}"/>
                  </c:ext>
                </c:extLst>
              </c15:ser>
            </c15:filteredLineSeries>
            <c15:filteredLineSeries>
              <c15:ser>
                <c:idx val="14"/>
                <c:order val="14"/>
                <c:tx>
                  <c:strRef>
                    <c:extLst xmlns:c15="http://schemas.microsoft.com/office/drawing/2012/chart">
                      <c:ext xmlns:c15="http://schemas.microsoft.com/office/drawing/2012/chart" uri="{02D57815-91ED-43cb-92C2-25804820EDAC}">
                        <c15:formulaRef>
                          <c15:sqref>'Table for graphs 24-25 '!$A$16</c15:sqref>
                        </c15:formulaRef>
                      </c:ext>
                    </c:extLst>
                    <c:strCache>
                      <c:ptCount val="1"/>
                      <c:pt idx="0">
                        <c:v>Trajectory 63 - 103 days All Sites</c:v>
                      </c:pt>
                    </c:strCache>
                  </c:strRef>
                </c:tx>
                <c:spPr>
                  <a:ln w="28575" cap="rnd">
                    <a:solidFill>
                      <a:schemeClr val="accent5">
                        <a:shade val="5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'!$B$16:$DB$16</c15:sqref>
                        </c15:formulaRef>
                      </c:ext>
                    </c:extLst>
                    <c:numCache>
                      <c:formatCode>General</c:formatCode>
                      <c:ptCount val="105"/>
                      <c:pt idx="53" formatCode="0">
                        <c:v>113.2</c:v>
                      </c:pt>
                      <c:pt idx="54" formatCode="0">
                        <c:v>111.05</c:v>
                      </c:pt>
                      <c:pt idx="55" formatCode="0">
                        <c:v>113.9725</c:v>
                      </c:pt>
                      <c:pt idx="56" formatCode="0">
                        <c:v>112.474875</c:v>
                      </c:pt>
                      <c:pt idx="57" formatCode="0">
                        <c:v>108.72463125</c:v>
                      </c:pt>
                      <c:pt idx="58" formatCode="0">
                        <c:v>104.94263124999999</c:v>
                      </c:pt>
                      <c:pt idx="59" formatCode="0">
                        <c:v>105.65309437499999</c:v>
                      </c:pt>
                      <c:pt idx="60" formatCode="0">
                        <c:v>115.0329038125</c:v>
                      </c:pt>
                      <c:pt idx="61" formatCode="0">
                        <c:v>118.30046419375</c:v>
                      </c:pt>
                      <c:pt idx="62" formatCode="0">
                        <c:v>115.31177561312501</c:v>
                      </c:pt>
                      <c:pt idx="63" formatCode="0">
                        <c:v>112.1806636744375</c:v>
                      </c:pt>
                      <c:pt idx="64" formatCode="0">
                        <c:v>112.93538164188125</c:v>
                      </c:pt>
                      <c:pt idx="65" formatCode="0">
                        <c:v>108.24239210978719</c:v>
                      </c:pt>
                      <c:pt idx="66" formatCode="0">
                        <c:v>103.54788426130847</c:v>
                      </c:pt>
                      <c:pt idx="67" formatCode="0">
                        <c:v>104.54788426130847</c:v>
                      </c:pt>
                      <c:pt idx="68" formatCode="0">
                        <c:v>106.54901454611804</c:v>
                      </c:pt>
                      <c:pt idx="69" formatCode="0">
                        <c:v>108.80634377803715</c:v>
                      </c:pt>
                      <c:pt idx="70" formatCode="0">
                        <c:v>110.42999119428626</c:v>
                      </c:pt>
                      <c:pt idx="71" formatCode="0">
                        <c:v>122.24934584115988</c:v>
                      </c:pt>
                      <c:pt idx="72" formatCode="0">
                        <c:v>122.00871055353264</c:v>
                      </c:pt>
                      <c:pt idx="73" formatCode="0">
                        <c:v>124.34473735353264</c:v>
                      </c:pt>
                      <c:pt idx="74" formatCode="0">
                        <c:v>128.12271965111483</c:v>
                      </c:pt>
                      <c:pt idx="75" formatCode="0">
                        <c:v>134.68559982331752</c:v>
                      </c:pt>
                      <c:pt idx="76" formatCode="0">
                        <c:v>128.57669351175429</c:v>
                      </c:pt>
                      <c:pt idx="77" formatCode="0">
                        <c:v>123.32000085391267</c:v>
                      </c:pt>
                      <c:pt idx="78" formatCode="0">
                        <c:v>119.88382504528816</c:v>
                      </c:pt>
                      <c:pt idx="79" formatCode="0">
                        <c:v>112.78152498153898</c:v>
                      </c:pt>
                      <c:pt idx="80" formatCode="0">
                        <c:v>111.46683976486848</c:v>
                      </c:pt>
                      <c:pt idx="81" formatCode="0">
                        <c:v>105.65365068912253</c:v>
                      </c:pt>
                      <c:pt idx="82" formatCode="0">
                        <c:v>97.337078119650272</c:v>
                      </c:pt>
                      <c:pt idx="83" formatCode="0">
                        <c:v>101.83032553548023</c:v>
                      </c:pt>
                      <c:pt idx="84" formatCode="0">
                        <c:v>95.898559875019629</c:v>
                      </c:pt>
                      <c:pt idx="85" formatCode="0">
                        <c:v>95.390316724077962</c:v>
                      </c:pt>
                      <c:pt idx="86" formatCode="0">
                        <c:v>89.52705061775886</c:v>
                      </c:pt>
                      <c:pt idx="87" formatCode="0">
                        <c:v>80.83412439763157</c:v>
                      </c:pt>
                      <c:pt idx="88" formatCode="0">
                        <c:v>78.049041220797591</c:v>
                      </c:pt>
                      <c:pt idx="89" formatCode="0">
                        <c:v>81.458891304856962</c:v>
                      </c:pt>
                      <c:pt idx="90" formatCode="0">
                        <c:v>91.016999998827089</c:v>
                      </c:pt>
                      <c:pt idx="91" formatCode="0">
                        <c:v>105.24287248843667</c:v>
                      </c:pt>
                      <c:pt idx="92" formatCode="0">
                        <c:v>113.22245257334843</c:v>
                      </c:pt>
                      <c:pt idx="93" formatCode="0">
                        <c:v>104.09180035564518</c:v>
                      </c:pt>
                      <c:pt idx="94" formatCode="0">
                        <c:v>100.98371957726802</c:v>
                      </c:pt>
                      <c:pt idx="95" formatCode="0">
                        <c:v>97.557572898135106</c:v>
                      </c:pt>
                      <c:pt idx="96" formatCode="0">
                        <c:v>89.286084929133551</c:v>
                      </c:pt>
                      <c:pt idx="97" formatCode="0">
                        <c:v>84.279945235265373</c:v>
                      </c:pt>
                      <c:pt idx="98" formatCode="0">
                        <c:v>77.446784471097558</c:v>
                      </c:pt>
                      <c:pt idx="99" formatCode="0">
                        <c:v>74.886258095550644</c:v>
                      </c:pt>
                      <c:pt idx="100" formatCode="0">
                        <c:v>84.531880882104247</c:v>
                      </c:pt>
                      <c:pt idx="101" formatCode="0">
                        <c:v>73.903457474498722</c:v>
                      </c:pt>
                      <c:pt idx="102" formatCode="0">
                        <c:v>71.692828693983444</c:v>
                      </c:pt>
                      <c:pt idx="103" formatCode="0">
                        <c:v>69.006981589228531</c:v>
                      </c:pt>
                      <c:pt idx="104" formatCode="0">
                        <c:v>75.382821848139002</c:v>
                      </c:pt>
                    </c:numCache>
                  </c:numRef>
                </c:val>
                <c:smooth val="0"/>
                <c:extLst xmlns:c15="http://schemas.microsoft.com/office/drawing/2012/chart">
                  <c:ext xmlns:c16="http://schemas.microsoft.com/office/drawing/2014/chart" uri="{C3380CC4-5D6E-409C-BE32-E72D297353CC}">
                    <c16:uniqueId val="{00000012-85F1-4E93-8343-9A44188D74B0}"/>
                  </c:ext>
                </c:extLst>
              </c15:ser>
            </c15:filteredLineSeries>
            <c15:filteredLineSeries>
              <c15:ser>
                <c:idx val="15"/>
                <c:order val="15"/>
                <c:tx>
                  <c:strRef>
                    <c:extLst xmlns:c15="http://schemas.microsoft.com/office/drawing/2012/chart">
                      <c:ext xmlns:c15="http://schemas.microsoft.com/office/drawing/2012/chart" uri="{02D57815-91ED-43cb-92C2-25804820EDAC}">
                        <c15:formulaRef>
                          <c15:sqref>'Table for graphs 24-25 '!$A$17</c15:sqref>
                        </c15:formulaRef>
                      </c:ext>
                    </c:extLst>
                    <c:strCache>
                      <c:ptCount val="1"/>
                      <c:pt idx="0">
                        <c:v>Acute Leukaemia - Trajectory &gt;103 days</c:v>
                      </c:pt>
                    </c:strCache>
                  </c:strRef>
                </c:tx>
                <c:spPr>
                  <a:ln w="28575" cap="rnd">
                    <a:solidFill>
                      <a:schemeClr val="accent5">
                        <a:shade val="5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'!$B$17:$DB$17</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3-85F1-4E93-8343-9A44188D74B0}"/>
                  </c:ext>
                </c:extLst>
              </c15:ser>
            </c15:filteredLineSeries>
            <c15:filteredLineSeries>
              <c15:ser>
                <c:idx val="16"/>
                <c:order val="16"/>
                <c:tx>
                  <c:strRef>
                    <c:extLst xmlns:c15="http://schemas.microsoft.com/office/drawing/2012/chart">
                      <c:ext xmlns:c15="http://schemas.microsoft.com/office/drawing/2012/chart" uri="{02D57815-91ED-43cb-92C2-25804820EDAC}">
                        <c15:formulaRef>
                          <c15:sqref>'Table for graphs 24-25 '!$A$18</c15:sqref>
                        </c15:formulaRef>
                      </c:ext>
                    </c:extLst>
                    <c:strCache>
                      <c:ptCount val="1"/>
                      <c:pt idx="0">
                        <c:v>Brain/CNS - Trajectory &gt;103 days</c:v>
                      </c:pt>
                    </c:strCache>
                  </c:strRef>
                </c:tx>
                <c:spPr>
                  <a:ln w="28575" cap="rnd">
                    <a:solidFill>
                      <a:schemeClr val="accent5">
                        <a:shade val="5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'!$B$18:$DB$18</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4-85F1-4E93-8343-9A44188D74B0}"/>
                  </c:ext>
                </c:extLst>
              </c15:ser>
            </c15:filteredLineSeries>
            <c15:filteredLineSeries>
              <c15:ser>
                <c:idx val="17"/>
                <c:order val="17"/>
                <c:tx>
                  <c:strRef>
                    <c:extLst xmlns:c15="http://schemas.microsoft.com/office/drawing/2012/chart">
                      <c:ext xmlns:c15="http://schemas.microsoft.com/office/drawing/2012/chart" uri="{02D57815-91ED-43cb-92C2-25804820EDAC}">
                        <c15:formulaRef>
                          <c15:sqref>'Table for graphs 24-25 '!$A$19</c15:sqref>
                        </c15:formulaRef>
                      </c:ext>
                    </c:extLst>
                    <c:strCache>
                      <c:ptCount val="1"/>
                      <c:pt idx="0">
                        <c:v>Breast - Trajectory &gt;103 days</c:v>
                      </c:pt>
                    </c:strCache>
                  </c:strRef>
                </c:tx>
                <c:spPr>
                  <a:ln w="28575" cap="rnd">
                    <a:solidFill>
                      <a:schemeClr val="accent5">
                        <a:shade val="5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'!$B$19:$DB$19</c15:sqref>
                        </c15:formulaRef>
                      </c:ext>
                    </c:extLst>
                    <c:numCache>
                      <c:formatCode>General</c:formatCode>
                      <c:ptCount val="105"/>
                      <c:pt idx="53" formatCode="0">
                        <c:v>5</c:v>
                      </c:pt>
                      <c:pt idx="54" formatCode="0">
                        <c:v>4.25</c:v>
                      </c:pt>
                      <c:pt idx="55" formatCode="0">
                        <c:v>3.1875</c:v>
                      </c:pt>
                      <c:pt idx="56" formatCode="0">
                        <c:v>2.1356249999999997</c:v>
                      </c:pt>
                      <c:pt idx="57" formatCode="0">
                        <c:v>2.1356249999999997</c:v>
                      </c:pt>
                      <c:pt idx="58" formatCode="0">
                        <c:v>2.1356249999999997</c:v>
                      </c:pt>
                      <c:pt idx="59" formatCode="0">
                        <c:v>2.1356249999999997</c:v>
                      </c:pt>
                      <c:pt idx="60" formatCode="0">
                        <c:v>4.2712499999999993</c:v>
                      </c:pt>
                      <c:pt idx="61" formatCode="0">
                        <c:v>4.2712499999999993</c:v>
                      </c:pt>
                      <c:pt idx="62" formatCode="0">
                        <c:v>4.2712499999999993</c:v>
                      </c:pt>
                      <c:pt idx="63" formatCode="0">
                        <c:v>4.2712499999999993</c:v>
                      </c:pt>
                      <c:pt idx="64" formatCode="0">
                        <c:v>4.2712499999999993</c:v>
                      </c:pt>
                      <c:pt idx="65" formatCode="0">
                        <c:v>4.2712499999999993</c:v>
                      </c:pt>
                      <c:pt idx="66" formatCode="0">
                        <c:v>4.2712499999999993</c:v>
                      </c:pt>
                      <c:pt idx="67" formatCode="0">
                        <c:v>4.6983749999999995</c:v>
                      </c:pt>
                      <c:pt idx="68" formatCode="0">
                        <c:v>4.6983749999999995</c:v>
                      </c:pt>
                      <c:pt idx="69" formatCode="0">
                        <c:v>4.6983749999999995</c:v>
                      </c:pt>
                      <c:pt idx="70" formatCode="0">
                        <c:v>4.6983749999999995</c:v>
                      </c:pt>
                      <c:pt idx="71" formatCode="0">
                        <c:v>5.6380499999999989</c:v>
                      </c:pt>
                      <c:pt idx="72" formatCode="0">
                        <c:v>5.6380499999999989</c:v>
                      </c:pt>
                      <c:pt idx="73" formatCode="0">
                        <c:v>6.7656599999999987</c:v>
                      </c:pt>
                      <c:pt idx="74" formatCode="0">
                        <c:v>6.7656599999999987</c:v>
                      </c:pt>
                      <c:pt idx="75" formatCode="0">
                        <c:v>7.4422259999999989</c:v>
                      </c:pt>
                      <c:pt idx="76" formatCode="0">
                        <c:v>6.6980033999999993</c:v>
                      </c:pt>
                      <c:pt idx="77" formatCode="0">
                        <c:v>6.0282030599999992</c:v>
                      </c:pt>
                      <c:pt idx="78" formatCode="0">
                        <c:v>5.4253827539999993</c:v>
                      </c:pt>
                      <c:pt idx="79" formatCode="0">
                        <c:v>4.3403062031999999</c:v>
                      </c:pt>
                      <c:pt idx="80" formatCode="0">
                        <c:v>4.3403062031999999</c:v>
                      </c:pt>
                      <c:pt idx="81" formatCode="0">
                        <c:v>4.3403062031999999</c:v>
                      </c:pt>
                      <c:pt idx="82" formatCode="0">
                        <c:v>4.3403062031999999</c:v>
                      </c:pt>
                      <c:pt idx="83" formatCode="0">
                        <c:v>4.3403062031999999</c:v>
                      </c:pt>
                      <c:pt idx="84" formatCode="0">
                        <c:v>4.3403062031999999</c:v>
                      </c:pt>
                      <c:pt idx="85" formatCode="0">
                        <c:v>4.3403062031999999</c:v>
                      </c:pt>
                      <c:pt idx="86" formatCode="0">
                        <c:v>3.47224496256</c:v>
                      </c:pt>
                      <c:pt idx="87" formatCode="0">
                        <c:v>2.9514082181759997</c:v>
                      </c:pt>
                      <c:pt idx="88" formatCode="0">
                        <c:v>2.9514082181759997</c:v>
                      </c:pt>
                      <c:pt idx="89" formatCode="0">
                        <c:v>2.9514082181759997</c:v>
                      </c:pt>
                      <c:pt idx="90" formatCode="0">
                        <c:v>2.9514082181759997</c:v>
                      </c:pt>
                      <c:pt idx="91" formatCode="0">
                        <c:v>2.9514082181759997</c:v>
                      </c:pt>
                      <c:pt idx="92" formatCode="0">
                        <c:v>2.9514082181759997</c:v>
                      </c:pt>
                      <c:pt idx="93" formatCode="0">
                        <c:v>2.9514082181759997</c:v>
                      </c:pt>
                      <c:pt idx="94" formatCode="0">
                        <c:v>2.3611265745407999</c:v>
                      </c:pt>
                      <c:pt idx="95" formatCode="0">
                        <c:v>2.3611265745407999</c:v>
                      </c:pt>
                      <c:pt idx="96" formatCode="0">
                        <c:v>1.1805632872703999</c:v>
                      </c:pt>
                      <c:pt idx="97" formatCode="0">
                        <c:v>1.1805632872703999</c:v>
                      </c:pt>
                      <c:pt idx="98" formatCode="0">
                        <c:v>1.1805632872703999</c:v>
                      </c:pt>
                      <c:pt idx="99" formatCode="0">
                        <c:v>1.1805632872703999</c:v>
                      </c:pt>
                      <c:pt idx="100" formatCode="0">
                        <c:v>1.1805632872703999</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5-85F1-4E93-8343-9A44188D74B0}"/>
                  </c:ext>
                </c:extLst>
              </c15:ser>
            </c15:filteredLineSeries>
            <c15:filteredLineSeries>
              <c15:ser>
                <c:idx val="18"/>
                <c:order val="18"/>
                <c:tx>
                  <c:strRef>
                    <c:extLst xmlns:c15="http://schemas.microsoft.com/office/drawing/2012/chart">
                      <c:ext xmlns:c15="http://schemas.microsoft.com/office/drawing/2012/chart" uri="{02D57815-91ED-43cb-92C2-25804820EDAC}">
                        <c15:formulaRef>
                          <c15:sqref>'Table for graphs 24-25 '!$A$20</c15:sqref>
                        </c15:formulaRef>
                      </c:ext>
                    </c:extLst>
                    <c:strCache>
                      <c:ptCount val="1"/>
                      <c:pt idx="0">
                        <c:v>Children's cancer - Trajectory &gt;103 days</c:v>
                      </c:pt>
                    </c:strCache>
                  </c:strRef>
                </c:tx>
                <c:spPr>
                  <a:ln w="28575" cap="rnd">
                    <a:solidFill>
                      <a:schemeClr val="accent5">
                        <a:shade val="5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'!$B$20:$DB$20</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6-85F1-4E93-8343-9A44188D74B0}"/>
                  </c:ext>
                </c:extLst>
              </c15:ser>
            </c15:filteredLineSeries>
            <c15:filteredLineSeries>
              <c15:ser>
                <c:idx val="19"/>
                <c:order val="19"/>
                <c:tx>
                  <c:strRef>
                    <c:extLst xmlns:c15="http://schemas.microsoft.com/office/drawing/2012/chart">
                      <c:ext xmlns:c15="http://schemas.microsoft.com/office/drawing/2012/chart" uri="{02D57815-91ED-43cb-92C2-25804820EDAC}">
                        <c15:formulaRef>
                          <c15:sqref>'Table for graphs 24-25 '!$A$21</c15:sqref>
                        </c15:formulaRef>
                      </c:ext>
                    </c:extLst>
                    <c:strCache>
                      <c:ptCount val="1"/>
                      <c:pt idx="0">
                        <c:v>Gynaecological - Trajectory &gt;103 days</c:v>
                      </c:pt>
                    </c:strCache>
                  </c:strRef>
                </c:tx>
                <c:spPr>
                  <a:ln w="28575" cap="rnd">
                    <a:solidFill>
                      <a:schemeClr val="accent5">
                        <a:shade val="5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'!$B$21:$DB$21</c15:sqref>
                        </c15:formulaRef>
                      </c:ext>
                    </c:extLst>
                    <c:numCache>
                      <c:formatCode>General</c:formatCode>
                      <c:ptCount val="105"/>
                      <c:pt idx="53" formatCode="0">
                        <c:v>10</c:v>
                      </c:pt>
                      <c:pt idx="54" formatCode="0">
                        <c:v>9.8000000000000007</c:v>
                      </c:pt>
                      <c:pt idx="55" formatCode="0">
                        <c:v>9.9960000000000004</c:v>
                      </c:pt>
                      <c:pt idx="56" formatCode="0">
                        <c:v>9.9960000000000004</c:v>
                      </c:pt>
                      <c:pt idx="57" formatCode="0">
                        <c:v>9.9960000000000004</c:v>
                      </c:pt>
                      <c:pt idx="58" formatCode="0">
                        <c:v>8.9964000000000013</c:v>
                      </c:pt>
                      <c:pt idx="59" formatCode="0">
                        <c:v>8.9964000000000013</c:v>
                      </c:pt>
                      <c:pt idx="60" formatCode="0">
                        <c:v>8.9964000000000013</c:v>
                      </c:pt>
                      <c:pt idx="61" formatCode="0">
                        <c:v>8.9964000000000013</c:v>
                      </c:pt>
                      <c:pt idx="62" formatCode="0">
                        <c:v>9.8960400000000028</c:v>
                      </c:pt>
                      <c:pt idx="63" formatCode="0">
                        <c:v>9.8960400000000028</c:v>
                      </c:pt>
                      <c:pt idx="64" formatCode="0">
                        <c:v>9.8960400000000028</c:v>
                      </c:pt>
                      <c:pt idx="65" formatCode="0">
                        <c:v>9.8960400000000028</c:v>
                      </c:pt>
                      <c:pt idx="66" formatCode="0">
                        <c:v>9.8960400000000028</c:v>
                      </c:pt>
                      <c:pt idx="67" formatCode="0">
                        <c:v>9.8960400000000028</c:v>
                      </c:pt>
                      <c:pt idx="68" formatCode="0">
                        <c:v>8.9064360000000029</c:v>
                      </c:pt>
                      <c:pt idx="69" formatCode="0">
                        <c:v>8.9064360000000029</c:v>
                      </c:pt>
                      <c:pt idx="70" formatCode="0">
                        <c:v>9.7970796000000036</c:v>
                      </c:pt>
                      <c:pt idx="71" formatCode="0">
                        <c:v>9.7970796000000036</c:v>
                      </c:pt>
                      <c:pt idx="72" formatCode="0">
                        <c:v>9.7970796000000036</c:v>
                      </c:pt>
                      <c:pt idx="73" formatCode="0">
                        <c:v>9.7970796000000036</c:v>
                      </c:pt>
                      <c:pt idx="74" formatCode="0">
                        <c:v>10.776787560000004</c:v>
                      </c:pt>
                      <c:pt idx="75" formatCode="0">
                        <c:v>10.776787560000004</c:v>
                      </c:pt>
                      <c:pt idx="76" formatCode="0">
                        <c:v>9.6991088040000033</c:v>
                      </c:pt>
                      <c:pt idx="77" formatCode="0">
                        <c:v>9.1171622757600019</c:v>
                      </c:pt>
                      <c:pt idx="78" formatCode="0">
                        <c:v>9.1171622757600019</c:v>
                      </c:pt>
                      <c:pt idx="79" formatCode="0">
                        <c:v>8.2054460481840028</c:v>
                      </c:pt>
                      <c:pt idx="80" formatCode="0">
                        <c:v>8.2054460481840028</c:v>
                      </c:pt>
                      <c:pt idx="81" formatCode="0">
                        <c:v>8.2054460481840028</c:v>
                      </c:pt>
                      <c:pt idx="82" formatCode="0">
                        <c:v>7.9592826667384822</c:v>
                      </c:pt>
                      <c:pt idx="83" formatCode="0">
                        <c:v>8.7552109334123305</c:v>
                      </c:pt>
                      <c:pt idx="84" formatCode="0">
                        <c:v>8.7552109334123305</c:v>
                      </c:pt>
                      <c:pt idx="85" formatCode="0">
                        <c:v>8.7552109334123305</c:v>
                      </c:pt>
                      <c:pt idx="86" formatCode="0">
                        <c:v>8.7552109334123305</c:v>
                      </c:pt>
                      <c:pt idx="87" formatCode="0">
                        <c:v>7.879689840071098</c:v>
                      </c:pt>
                      <c:pt idx="88" formatCode="0">
                        <c:v>7.879689840071098</c:v>
                      </c:pt>
                      <c:pt idx="89" formatCode="0">
                        <c:v>8.6676588240782078</c:v>
                      </c:pt>
                      <c:pt idx="90" formatCode="0">
                        <c:v>8.6676588240782078</c:v>
                      </c:pt>
                      <c:pt idx="91" formatCode="0">
                        <c:v>9.5344247064860301</c:v>
                      </c:pt>
                      <c:pt idx="92" formatCode="0">
                        <c:v>9.5344247064860301</c:v>
                      </c:pt>
                      <c:pt idx="93" formatCode="0">
                        <c:v>9.5344247064860301</c:v>
                      </c:pt>
                      <c:pt idx="94" formatCode="0">
                        <c:v>8.5809822358374266</c:v>
                      </c:pt>
                      <c:pt idx="95" formatCode="0">
                        <c:v>8.5809822358374266</c:v>
                      </c:pt>
                      <c:pt idx="96" formatCode="0">
                        <c:v>8.5809822358374266</c:v>
                      </c:pt>
                      <c:pt idx="97" formatCode="0">
                        <c:v>7.7228840122536839</c:v>
                      </c:pt>
                      <c:pt idx="98" formatCode="0">
                        <c:v>7.7228840122536839</c:v>
                      </c:pt>
                      <c:pt idx="99" formatCode="0">
                        <c:v>7.7228840122536839</c:v>
                      </c:pt>
                      <c:pt idx="100" formatCode="0">
                        <c:v>7.7228840122536839</c:v>
                      </c:pt>
                      <c:pt idx="101" formatCode="0">
                        <c:v>6.9505956110283158</c:v>
                      </c:pt>
                      <c:pt idx="102" formatCode="0">
                        <c:v>6.9505956110283158</c:v>
                      </c:pt>
                      <c:pt idx="103" formatCode="0">
                        <c:v>6.2555360499254844</c:v>
                      </c:pt>
                      <c:pt idx="104" formatCode="0">
                        <c:v>5.3172056424366616</c:v>
                      </c:pt>
                    </c:numCache>
                  </c:numRef>
                </c:val>
                <c:smooth val="0"/>
                <c:extLst xmlns:c15="http://schemas.microsoft.com/office/drawing/2012/chart">
                  <c:ext xmlns:c16="http://schemas.microsoft.com/office/drawing/2014/chart" uri="{C3380CC4-5D6E-409C-BE32-E72D297353CC}">
                    <c16:uniqueId val="{00000017-85F1-4E93-8343-9A44188D74B0}"/>
                  </c:ext>
                </c:extLst>
              </c15:ser>
            </c15:filteredLineSeries>
            <c15:filteredLineSeries>
              <c15:ser>
                <c:idx val="20"/>
                <c:order val="20"/>
                <c:tx>
                  <c:strRef>
                    <c:extLst xmlns:c15="http://schemas.microsoft.com/office/drawing/2012/chart">
                      <c:ext xmlns:c15="http://schemas.microsoft.com/office/drawing/2012/chart" uri="{02D57815-91ED-43cb-92C2-25804820EDAC}">
                        <c15:formulaRef>
                          <c15:sqref>'Table for graphs 24-25 '!$A$22</c15:sqref>
                        </c15:formulaRef>
                      </c:ext>
                    </c:extLst>
                    <c:strCache>
                      <c:ptCount val="1"/>
                      <c:pt idx="0">
                        <c:v>Haematological - Trajectory &gt;103 days</c:v>
                      </c:pt>
                    </c:strCache>
                  </c:strRef>
                </c:tx>
                <c:spPr>
                  <a:ln w="28575" cap="rnd">
                    <a:solidFill>
                      <a:schemeClr val="accent5">
                        <a:shade val="6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'!$B$22:$DB$22</c15:sqref>
                        </c15:formulaRef>
                      </c:ext>
                    </c:extLst>
                    <c:numCache>
                      <c:formatCode>General</c:formatCode>
                      <c:ptCount val="105"/>
                      <c:pt idx="53" formatCode="0">
                        <c:v>4</c:v>
                      </c:pt>
                      <c:pt idx="54" formatCode="0">
                        <c:v>4</c:v>
                      </c:pt>
                      <c:pt idx="55" formatCode="0">
                        <c:v>4</c:v>
                      </c:pt>
                      <c:pt idx="56" formatCode="0">
                        <c:v>4</c:v>
                      </c:pt>
                      <c:pt idx="57" formatCode="0">
                        <c:v>3.4</c:v>
                      </c:pt>
                      <c:pt idx="58" formatCode="0">
                        <c:v>4.25</c:v>
                      </c:pt>
                      <c:pt idx="59" formatCode="0">
                        <c:v>3.1875</c:v>
                      </c:pt>
                      <c:pt idx="60" formatCode="0">
                        <c:v>3.1875</c:v>
                      </c:pt>
                      <c:pt idx="61" formatCode="0">
                        <c:v>3.1875</c:v>
                      </c:pt>
                      <c:pt idx="62" formatCode="0">
                        <c:v>3.1875</c:v>
                      </c:pt>
                      <c:pt idx="63" formatCode="0">
                        <c:v>2.5500000000000003</c:v>
                      </c:pt>
                      <c:pt idx="64" formatCode="0">
                        <c:v>2.5500000000000003</c:v>
                      </c:pt>
                      <c:pt idx="65" formatCode="0">
                        <c:v>3.8250000000000002</c:v>
                      </c:pt>
                      <c:pt idx="66" formatCode="0">
                        <c:v>2.8687500000000004</c:v>
                      </c:pt>
                      <c:pt idx="67" formatCode="0">
                        <c:v>2.8687500000000004</c:v>
                      </c:pt>
                      <c:pt idx="68" formatCode="0">
                        <c:v>2.8687500000000004</c:v>
                      </c:pt>
                      <c:pt idx="69" formatCode="0">
                        <c:v>1.9220625</c:v>
                      </c:pt>
                      <c:pt idx="70" formatCode="0">
                        <c:v>2.1142687500000004</c:v>
                      </c:pt>
                      <c:pt idx="71" formatCode="0">
                        <c:v>2.2199821875000003</c:v>
                      </c:pt>
                      <c:pt idx="72" formatCode="0">
                        <c:v>2.2199821875000003</c:v>
                      </c:pt>
                      <c:pt idx="73" formatCode="0">
                        <c:v>2.2199821875000003</c:v>
                      </c:pt>
                      <c:pt idx="74" formatCode="0">
                        <c:v>2.2199821875000003</c:v>
                      </c:pt>
                      <c:pt idx="75" formatCode="0">
                        <c:v>2.5529795156250001</c:v>
                      </c:pt>
                      <c:pt idx="76" formatCode="0">
                        <c:v>2.1700325882812499</c:v>
                      </c:pt>
                      <c:pt idx="77" formatCode="0">
                        <c:v>2.1700325882812499</c:v>
                      </c:pt>
                      <c:pt idx="78" formatCode="0">
                        <c:v>2.1700325882812499</c:v>
                      </c:pt>
                      <c:pt idx="79" formatCode="0">
                        <c:v>2.1700325882812499</c:v>
                      </c:pt>
                      <c:pt idx="80" formatCode="0">
                        <c:v>2.1700325882812499</c:v>
                      </c:pt>
                      <c:pt idx="81" formatCode="0">
                        <c:v>2.1700325882812499</c:v>
                      </c:pt>
                      <c:pt idx="82" formatCode="0">
                        <c:v>1.4539218341484372</c:v>
                      </c:pt>
                      <c:pt idx="83" formatCode="0">
                        <c:v>1.4539218341484372</c:v>
                      </c:pt>
                      <c:pt idx="84" formatCode="0">
                        <c:v>1.3085296507335935</c:v>
                      </c:pt>
                      <c:pt idx="85" formatCode="0">
                        <c:v>1.1776766856602341</c:v>
                      </c:pt>
                      <c:pt idx="86" formatCode="0">
                        <c:v>1.0599090170942107</c:v>
                      </c:pt>
                      <c:pt idx="87" formatCode="0">
                        <c:v>0.95391811538478966</c:v>
                      </c:pt>
                      <c:pt idx="88" formatCode="0">
                        <c:v>0.85852630384631068</c:v>
                      </c:pt>
                      <c:pt idx="89" formatCode="0">
                        <c:v>0.85852630384631068</c:v>
                      </c:pt>
                      <c:pt idx="90" formatCode="0">
                        <c:v>0.94437893423094177</c:v>
                      </c:pt>
                      <c:pt idx="91" formatCode="0">
                        <c:v>1.13325472107713</c:v>
                      </c:pt>
                      <c:pt idx="92" formatCode="0">
                        <c:v>0.56662736053856499</c:v>
                      </c:pt>
                      <c:pt idx="93" formatCode="0">
                        <c:v>0.56662736053856499</c:v>
                      </c:pt>
                      <c:pt idx="94" formatCode="0">
                        <c:v>0.56662736053856499</c:v>
                      </c:pt>
                      <c:pt idx="95" formatCode="0">
                        <c:v>0.56662736053856499</c:v>
                      </c:pt>
                      <c:pt idx="96" formatCode="0">
                        <c:v>0.56662736053856499</c:v>
                      </c:pt>
                      <c:pt idx="97" formatCode="0">
                        <c:v>0.56662736053856499</c:v>
                      </c:pt>
                      <c:pt idx="98" formatCode="0">
                        <c:v>0.56662736053856499</c:v>
                      </c:pt>
                      <c:pt idx="99" formatCode="0">
                        <c:v>0.56662736053856499</c:v>
                      </c:pt>
                      <c:pt idx="100" formatCode="0">
                        <c:v>1.13325472107713</c:v>
                      </c:pt>
                      <c:pt idx="101" formatCode="0">
                        <c:v>0.56662736053856499</c:v>
                      </c:pt>
                      <c:pt idx="102" formatCode="0">
                        <c:v>0.56662736053856499</c:v>
                      </c:pt>
                      <c:pt idx="103" formatCode="0">
                        <c:v>0.56662736053856499</c:v>
                      </c:pt>
                      <c:pt idx="104" formatCode="0">
                        <c:v>0.56662736053856499</c:v>
                      </c:pt>
                    </c:numCache>
                  </c:numRef>
                </c:val>
                <c:smooth val="0"/>
                <c:extLst xmlns:c15="http://schemas.microsoft.com/office/drawing/2012/chart">
                  <c:ext xmlns:c16="http://schemas.microsoft.com/office/drawing/2014/chart" uri="{C3380CC4-5D6E-409C-BE32-E72D297353CC}">
                    <c16:uniqueId val="{00000018-85F1-4E93-8343-9A44188D74B0}"/>
                  </c:ext>
                </c:extLst>
              </c15:ser>
            </c15:filteredLineSeries>
            <c15:filteredLineSeries>
              <c15:ser>
                <c:idx val="21"/>
                <c:order val="21"/>
                <c:tx>
                  <c:strRef>
                    <c:extLst xmlns:c15="http://schemas.microsoft.com/office/drawing/2012/chart">
                      <c:ext xmlns:c15="http://schemas.microsoft.com/office/drawing/2012/chart" uri="{02D57815-91ED-43cb-92C2-25804820EDAC}">
                        <c15:formulaRef>
                          <c15:sqref>'Table for graphs 24-25 '!$A$23</c15:sqref>
                        </c15:formulaRef>
                      </c:ext>
                    </c:extLst>
                    <c:strCache>
                      <c:ptCount val="1"/>
                      <c:pt idx="0">
                        <c:v>Head and neck - Trajectory &gt;103 days</c:v>
                      </c:pt>
                    </c:strCache>
                  </c:strRef>
                </c:tx>
                <c:spPr>
                  <a:ln w="28575" cap="rnd">
                    <a:solidFill>
                      <a:schemeClr val="accent5">
                        <a:shade val="6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'!$B$23:$DB$23</c15:sqref>
                        </c15:formulaRef>
                      </c:ext>
                    </c:extLst>
                    <c:numCache>
                      <c:formatCode>General</c:formatCode>
                      <c:ptCount val="105"/>
                      <c:pt idx="53" formatCode="0">
                        <c:v>2.25</c:v>
                      </c:pt>
                      <c:pt idx="54" formatCode="0">
                        <c:v>1.8</c:v>
                      </c:pt>
                      <c:pt idx="55" formatCode="0">
                        <c:v>0.9</c:v>
                      </c:pt>
                      <c:pt idx="56" formatCode="0">
                        <c:v>0.9</c:v>
                      </c:pt>
                      <c:pt idx="57" formatCode="0">
                        <c:v>0.9</c:v>
                      </c:pt>
                      <c:pt idx="58" formatCode="0">
                        <c:v>1.8</c:v>
                      </c:pt>
                      <c:pt idx="59" formatCode="0">
                        <c:v>1.8</c:v>
                      </c:pt>
                      <c:pt idx="60" formatCode="0">
                        <c:v>2.7</c:v>
                      </c:pt>
                      <c:pt idx="61" formatCode="0">
                        <c:v>2.7</c:v>
                      </c:pt>
                      <c:pt idx="62" formatCode="0">
                        <c:v>2.7</c:v>
                      </c:pt>
                      <c:pt idx="63" formatCode="0">
                        <c:v>4.0500000000000007</c:v>
                      </c:pt>
                      <c:pt idx="64" formatCode="0">
                        <c:v>4.0500000000000007</c:v>
                      </c:pt>
                      <c:pt idx="65" formatCode="0">
                        <c:v>4.0500000000000007</c:v>
                      </c:pt>
                      <c:pt idx="66" formatCode="0">
                        <c:v>2.7135000000000002</c:v>
                      </c:pt>
                      <c:pt idx="67" formatCode="0">
                        <c:v>2.7135000000000002</c:v>
                      </c:pt>
                      <c:pt idx="68" formatCode="0">
                        <c:v>2.7135000000000002</c:v>
                      </c:pt>
                      <c:pt idx="69" formatCode="0">
                        <c:v>1.8180449999999999</c:v>
                      </c:pt>
                      <c:pt idx="70" formatCode="0">
                        <c:v>1.8180449999999999</c:v>
                      </c:pt>
                      <c:pt idx="71" formatCode="0">
                        <c:v>2.6361652499999999</c:v>
                      </c:pt>
                      <c:pt idx="72" formatCode="0">
                        <c:v>3.6906313499999994</c:v>
                      </c:pt>
                      <c:pt idx="73" formatCode="0">
                        <c:v>3.6906313499999994</c:v>
                      </c:pt>
                      <c:pt idx="74" formatCode="0">
                        <c:v>4.9823523224999997</c:v>
                      </c:pt>
                      <c:pt idx="75" formatCode="0">
                        <c:v>4.9823523224999997</c:v>
                      </c:pt>
                      <c:pt idx="76" formatCode="0">
                        <c:v>3.4876466257499996</c:v>
                      </c:pt>
                      <c:pt idx="77" formatCode="0">
                        <c:v>3.4876466257499996</c:v>
                      </c:pt>
                      <c:pt idx="78" formatCode="0">
                        <c:v>2.3367232392524997</c:v>
                      </c:pt>
                      <c:pt idx="79" formatCode="0">
                        <c:v>2.3367232392524997</c:v>
                      </c:pt>
                      <c:pt idx="80" formatCode="0">
                        <c:v>2.3367232392524997</c:v>
                      </c:pt>
                      <c:pt idx="81" formatCode="0">
                        <c:v>2.3367232392524997</c:v>
                      </c:pt>
                      <c:pt idx="82" formatCode="0">
                        <c:v>2.3367232392524997</c:v>
                      </c:pt>
                      <c:pt idx="83" formatCode="0">
                        <c:v>2.3367232392524997</c:v>
                      </c:pt>
                      <c:pt idx="84" formatCode="0">
                        <c:v>2.3367232392524997</c:v>
                      </c:pt>
                      <c:pt idx="85" formatCode="0">
                        <c:v>2.3367232392524997</c:v>
                      </c:pt>
                      <c:pt idx="86" formatCode="0">
                        <c:v>2.3367232392524997</c:v>
                      </c:pt>
                      <c:pt idx="87" formatCode="0">
                        <c:v>2.3367232392524997</c:v>
                      </c:pt>
                      <c:pt idx="88" formatCode="0">
                        <c:v>2.3367232392524997</c:v>
                      </c:pt>
                      <c:pt idx="89" formatCode="0">
                        <c:v>2.3367232392524997</c:v>
                      </c:pt>
                      <c:pt idx="90" formatCode="0">
                        <c:v>2.3367232392524997</c:v>
                      </c:pt>
                      <c:pt idx="91" formatCode="0">
                        <c:v>3.0377402110282499</c:v>
                      </c:pt>
                      <c:pt idx="92" formatCode="0">
                        <c:v>2.4301921688226003</c:v>
                      </c:pt>
                      <c:pt idx="93" formatCode="0">
                        <c:v>2.4301921688226003</c:v>
                      </c:pt>
                      <c:pt idx="94" formatCode="0">
                        <c:v>2.4301921688226003</c:v>
                      </c:pt>
                      <c:pt idx="95" formatCode="0">
                        <c:v>2.4301921688226003</c:v>
                      </c:pt>
                      <c:pt idx="96" formatCode="0">
                        <c:v>2.1871729519403402</c:v>
                      </c:pt>
                      <c:pt idx="97" formatCode="0">
                        <c:v>2.077814304343323</c:v>
                      </c:pt>
                      <c:pt idx="98" formatCode="0">
                        <c:v>1.9739235891261568</c:v>
                      </c:pt>
                      <c:pt idx="99" formatCode="0">
                        <c:v>1.9739235891261568</c:v>
                      </c:pt>
                      <c:pt idx="100" formatCode="0">
                        <c:v>1.9739235891261568</c:v>
                      </c:pt>
                      <c:pt idx="101" formatCode="0">
                        <c:v>1.9739235891261568</c:v>
                      </c:pt>
                      <c:pt idx="102" formatCode="0">
                        <c:v>1.9739235891261568</c:v>
                      </c:pt>
                      <c:pt idx="103" formatCode="0">
                        <c:v>1.9739235891261568</c:v>
                      </c:pt>
                      <c:pt idx="104" formatCode="0">
                        <c:v>1.9739235891261568</c:v>
                      </c:pt>
                    </c:numCache>
                  </c:numRef>
                </c:val>
                <c:smooth val="0"/>
                <c:extLst xmlns:c15="http://schemas.microsoft.com/office/drawing/2012/chart">
                  <c:ext xmlns:c16="http://schemas.microsoft.com/office/drawing/2014/chart" uri="{C3380CC4-5D6E-409C-BE32-E72D297353CC}">
                    <c16:uniqueId val="{00000019-85F1-4E93-8343-9A44188D74B0}"/>
                  </c:ext>
                </c:extLst>
              </c15:ser>
            </c15:filteredLineSeries>
            <c15:filteredLineSeries>
              <c15:ser>
                <c:idx val="22"/>
                <c:order val="22"/>
                <c:tx>
                  <c:strRef>
                    <c:extLst xmlns:c15="http://schemas.microsoft.com/office/drawing/2012/chart">
                      <c:ext xmlns:c15="http://schemas.microsoft.com/office/drawing/2012/chart" uri="{02D57815-91ED-43cb-92C2-25804820EDAC}">
                        <c15:formulaRef>
                          <c15:sqref>'Table for graphs 24-25 '!$A$24</c15:sqref>
                        </c15:formulaRef>
                      </c:ext>
                    </c:extLst>
                    <c:strCache>
                      <c:ptCount val="1"/>
                      <c:pt idx="0">
                        <c:v>Lower Gastrointestinal - Trajectory &gt;103 days</c:v>
                      </c:pt>
                    </c:strCache>
                  </c:strRef>
                </c:tx>
                <c:spPr>
                  <a:ln w="28575" cap="rnd">
                    <a:solidFill>
                      <a:schemeClr val="accent5">
                        <a:shade val="6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'!$B$24:$DB$24</c15:sqref>
                        </c15:formulaRef>
                      </c:ext>
                    </c:extLst>
                    <c:numCache>
                      <c:formatCode>General</c:formatCode>
                      <c:ptCount val="105"/>
                      <c:pt idx="53" formatCode="0">
                        <c:v>19.95</c:v>
                      </c:pt>
                      <c:pt idx="54" formatCode="0">
                        <c:v>18.952499999999997</c:v>
                      </c:pt>
                      <c:pt idx="55" formatCode="0">
                        <c:v>18.952499999999997</c:v>
                      </c:pt>
                      <c:pt idx="56" formatCode="0">
                        <c:v>18.952499999999997</c:v>
                      </c:pt>
                      <c:pt idx="57" formatCode="0">
                        <c:v>18.952499999999997</c:v>
                      </c:pt>
                      <c:pt idx="58" formatCode="0">
                        <c:v>18.004874999999995</c:v>
                      </c:pt>
                      <c:pt idx="59" formatCode="0">
                        <c:v>18.004874999999995</c:v>
                      </c:pt>
                      <c:pt idx="60" formatCode="0">
                        <c:v>18.905118749999996</c:v>
                      </c:pt>
                      <c:pt idx="61" formatCode="0">
                        <c:v>18.905118749999996</c:v>
                      </c:pt>
                      <c:pt idx="62" formatCode="0">
                        <c:v>18.905118749999996</c:v>
                      </c:pt>
                      <c:pt idx="63" formatCode="0">
                        <c:v>17.959862812499995</c:v>
                      </c:pt>
                      <c:pt idx="64" formatCode="0">
                        <c:v>17.959862812499995</c:v>
                      </c:pt>
                      <c:pt idx="65" formatCode="0">
                        <c:v>16.163876531249997</c:v>
                      </c:pt>
                      <c:pt idx="66" formatCode="0">
                        <c:v>12.931101224999999</c:v>
                      </c:pt>
                      <c:pt idx="67" formatCode="0">
                        <c:v>12.931101224999999</c:v>
                      </c:pt>
                      <c:pt idx="68" formatCode="0">
                        <c:v>11.637991102499999</c:v>
                      </c:pt>
                      <c:pt idx="69" formatCode="0">
                        <c:v>11.056091547374999</c:v>
                      </c:pt>
                      <c:pt idx="70" formatCode="0">
                        <c:v>12.161700702112499</c:v>
                      </c:pt>
                      <c:pt idx="71" formatCode="0">
                        <c:v>12.769785737218125</c:v>
                      </c:pt>
                      <c:pt idx="72" formatCode="0">
                        <c:v>12.769785737218125</c:v>
                      </c:pt>
                      <c:pt idx="73" formatCode="0">
                        <c:v>14.046764310939938</c:v>
                      </c:pt>
                      <c:pt idx="74" formatCode="0">
                        <c:v>14.749102526486936</c:v>
                      </c:pt>
                      <c:pt idx="75" formatCode="0">
                        <c:v>14.749102526486936</c:v>
                      </c:pt>
                      <c:pt idx="76" formatCode="0">
                        <c:v>13.274192273838244</c:v>
                      </c:pt>
                      <c:pt idx="77" formatCode="0">
                        <c:v>12.610482660146332</c:v>
                      </c:pt>
                      <c:pt idx="78" formatCode="0">
                        <c:v>12.610482660146332</c:v>
                      </c:pt>
                      <c:pt idx="79" formatCode="0">
                        <c:v>11.979958527139015</c:v>
                      </c:pt>
                      <c:pt idx="80" formatCode="0">
                        <c:v>11.979958527139015</c:v>
                      </c:pt>
                      <c:pt idx="81" formatCode="0">
                        <c:v>11.979958527139015</c:v>
                      </c:pt>
                      <c:pt idx="82" formatCode="0">
                        <c:v>10.781962674425113</c:v>
                      </c:pt>
                      <c:pt idx="83" formatCode="0">
                        <c:v>10.781962674425113</c:v>
                      </c:pt>
                      <c:pt idx="84" formatCode="0">
                        <c:v>9.7037664069826022</c:v>
                      </c:pt>
                      <c:pt idx="85" formatCode="0">
                        <c:v>9.7037664069826022</c:v>
                      </c:pt>
                      <c:pt idx="86" formatCode="0">
                        <c:v>8.7333897662843416</c:v>
                      </c:pt>
                      <c:pt idx="87" formatCode="0">
                        <c:v>7.860050789655908</c:v>
                      </c:pt>
                      <c:pt idx="88" formatCode="0">
                        <c:v>7.0740457106903172</c:v>
                      </c:pt>
                      <c:pt idx="89" formatCode="0">
                        <c:v>7.0740457106903172</c:v>
                      </c:pt>
                      <c:pt idx="90" formatCode="0">
                        <c:v>7.0740457106903172</c:v>
                      </c:pt>
                      <c:pt idx="91" formatCode="0">
                        <c:v>8.1351525672938649</c:v>
                      </c:pt>
                      <c:pt idx="92" formatCode="0">
                        <c:v>8.0538010416209271</c:v>
                      </c:pt>
                      <c:pt idx="93" formatCode="0">
                        <c:v>8.0538010416209271</c:v>
                      </c:pt>
                      <c:pt idx="94" formatCode="0">
                        <c:v>8.0538010416209271</c:v>
                      </c:pt>
                      <c:pt idx="95" formatCode="0">
                        <c:v>8.0538010416209271</c:v>
                      </c:pt>
                      <c:pt idx="96" formatCode="0">
                        <c:v>6.4430408332967417</c:v>
                      </c:pt>
                      <c:pt idx="97" formatCode="0">
                        <c:v>5.1544326666373941</c:v>
                      </c:pt>
                      <c:pt idx="98" formatCode="0">
                        <c:v>5.1544326666373941</c:v>
                      </c:pt>
                      <c:pt idx="99" formatCode="0">
                        <c:v>5.1544326666373941</c:v>
                      </c:pt>
                      <c:pt idx="100" formatCode="0">
                        <c:v>5.1544326666373941</c:v>
                      </c:pt>
                      <c:pt idx="101" formatCode="0">
                        <c:v>5.1544326666373941</c:v>
                      </c:pt>
                      <c:pt idx="102" formatCode="0">
                        <c:v>4.381267766641785</c:v>
                      </c:pt>
                      <c:pt idx="103" formatCode="0">
                        <c:v>4.381267766641785</c:v>
                      </c:pt>
                      <c:pt idx="104" formatCode="0">
                        <c:v>4.381267766641785</c:v>
                      </c:pt>
                    </c:numCache>
                  </c:numRef>
                </c:val>
                <c:smooth val="0"/>
                <c:extLst xmlns:c15="http://schemas.microsoft.com/office/drawing/2012/chart">
                  <c:ext xmlns:c16="http://schemas.microsoft.com/office/drawing/2014/chart" uri="{C3380CC4-5D6E-409C-BE32-E72D297353CC}">
                    <c16:uniqueId val="{0000001A-85F1-4E93-8343-9A44188D74B0}"/>
                  </c:ext>
                </c:extLst>
              </c15:ser>
            </c15:filteredLineSeries>
            <c15:filteredLineSeries>
              <c15:ser>
                <c:idx val="23"/>
                <c:order val="23"/>
                <c:tx>
                  <c:strRef>
                    <c:extLst xmlns:c15="http://schemas.microsoft.com/office/drawing/2012/chart">
                      <c:ext xmlns:c15="http://schemas.microsoft.com/office/drawing/2012/chart" uri="{02D57815-91ED-43cb-92C2-25804820EDAC}">
                        <c15:formulaRef>
                          <c15:sqref>'Table for graphs 24-25 '!$A$25</c15:sqref>
                        </c15:formulaRef>
                      </c:ext>
                    </c:extLst>
                    <c:strCache>
                      <c:ptCount val="1"/>
                      <c:pt idx="0">
                        <c:v>Lung - Trajectory &gt;103 days</c:v>
                      </c:pt>
                    </c:strCache>
                  </c:strRef>
                </c:tx>
                <c:spPr>
                  <a:ln w="28575" cap="rnd">
                    <a:solidFill>
                      <a:schemeClr val="accent5">
                        <a:shade val="6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'!$B$25:$DB$25</c15:sqref>
                        </c15:formulaRef>
                      </c:ext>
                    </c:extLst>
                    <c:numCache>
                      <c:formatCode>General</c:formatCode>
                      <c:ptCount val="105"/>
                      <c:pt idx="53" formatCode="0">
                        <c:v>10</c:v>
                      </c:pt>
                      <c:pt idx="54" formatCode="0">
                        <c:v>10</c:v>
                      </c:pt>
                      <c:pt idx="55" formatCode="0">
                        <c:v>10</c:v>
                      </c:pt>
                      <c:pt idx="56" formatCode="0">
                        <c:v>11</c:v>
                      </c:pt>
                      <c:pt idx="57" formatCode="0">
                        <c:v>9.9</c:v>
                      </c:pt>
                      <c:pt idx="58" formatCode="0">
                        <c:v>9.9</c:v>
                      </c:pt>
                      <c:pt idx="59" formatCode="0">
                        <c:v>9.9</c:v>
                      </c:pt>
                      <c:pt idx="60" formatCode="0">
                        <c:v>10.89</c:v>
                      </c:pt>
                      <c:pt idx="61" formatCode="0">
                        <c:v>10.89</c:v>
                      </c:pt>
                      <c:pt idx="62" formatCode="0">
                        <c:v>9.8010000000000002</c:v>
                      </c:pt>
                      <c:pt idx="63" formatCode="0">
                        <c:v>8.8209</c:v>
                      </c:pt>
                      <c:pt idx="64" formatCode="0">
                        <c:v>8.8209</c:v>
                      </c:pt>
                      <c:pt idx="65" formatCode="0">
                        <c:v>7.9388100000000001</c:v>
                      </c:pt>
                      <c:pt idx="66" formatCode="0">
                        <c:v>7.1449290000000003</c:v>
                      </c:pt>
                      <c:pt idx="67" formatCode="0">
                        <c:v>7.1449290000000003</c:v>
                      </c:pt>
                      <c:pt idx="68" formatCode="0">
                        <c:v>7.859421900000001</c:v>
                      </c:pt>
                      <c:pt idx="69" formatCode="0">
                        <c:v>8.6453640900000011</c:v>
                      </c:pt>
                      <c:pt idx="70" formatCode="0">
                        <c:v>8.6453640900000011</c:v>
                      </c:pt>
                      <c:pt idx="71" formatCode="0">
                        <c:v>8.6453640900000011</c:v>
                      </c:pt>
                      <c:pt idx="72" formatCode="0">
                        <c:v>8.6453640900000011</c:v>
                      </c:pt>
                      <c:pt idx="73" formatCode="0">
                        <c:v>8.6453640900000011</c:v>
                      </c:pt>
                      <c:pt idx="74" formatCode="0">
                        <c:v>8.6453640900000011</c:v>
                      </c:pt>
                      <c:pt idx="75" formatCode="0">
                        <c:v>10.374436908000002</c:v>
                      </c:pt>
                      <c:pt idx="76" formatCode="0">
                        <c:v>8.2995495264000017</c:v>
                      </c:pt>
                      <c:pt idx="77" formatCode="0">
                        <c:v>7.469594573760002</c:v>
                      </c:pt>
                      <c:pt idx="78" formatCode="0">
                        <c:v>7.469594573760002</c:v>
                      </c:pt>
                      <c:pt idx="79" formatCode="0">
                        <c:v>6.7226351163840024</c:v>
                      </c:pt>
                      <c:pt idx="80" formatCode="0">
                        <c:v>6.7226351163840024</c:v>
                      </c:pt>
                      <c:pt idx="81" formatCode="0">
                        <c:v>6.7226351163840024</c:v>
                      </c:pt>
                      <c:pt idx="82" formatCode="0">
                        <c:v>6.7226351163840024</c:v>
                      </c:pt>
                      <c:pt idx="83" formatCode="0">
                        <c:v>6.7226351163840024</c:v>
                      </c:pt>
                      <c:pt idx="84" formatCode="0">
                        <c:v>6.0503716047456022</c:v>
                      </c:pt>
                      <c:pt idx="85" formatCode="0">
                        <c:v>6.0503716047456022</c:v>
                      </c:pt>
                      <c:pt idx="86" formatCode="0">
                        <c:v>5.4453344442710421</c:v>
                      </c:pt>
                      <c:pt idx="87" formatCode="0">
                        <c:v>4.3562675554168342</c:v>
                      </c:pt>
                      <c:pt idx="88" formatCode="0">
                        <c:v>4.3562675554168342</c:v>
                      </c:pt>
                      <c:pt idx="89" formatCode="0">
                        <c:v>4.3562675554168342</c:v>
                      </c:pt>
                      <c:pt idx="90" formatCode="0">
                        <c:v>4.3562675554168342</c:v>
                      </c:pt>
                      <c:pt idx="91" formatCode="0">
                        <c:v>5.2275210665002012</c:v>
                      </c:pt>
                      <c:pt idx="92" formatCode="0">
                        <c:v>5.7502731731502221</c:v>
                      </c:pt>
                      <c:pt idx="93" formatCode="0">
                        <c:v>5.7502731731502221</c:v>
                      </c:pt>
                      <c:pt idx="94" formatCode="0">
                        <c:v>5.1752458558352004</c:v>
                      </c:pt>
                      <c:pt idx="95" formatCode="0">
                        <c:v>4.3989589774599205</c:v>
                      </c:pt>
                      <c:pt idx="96" formatCode="0">
                        <c:v>3.2992192330949406</c:v>
                      </c:pt>
                      <c:pt idx="97" formatCode="0">
                        <c:v>2.3094534631664581</c:v>
                      </c:pt>
                      <c:pt idx="98" formatCode="0">
                        <c:v>2.3094534631664581</c:v>
                      </c:pt>
                      <c:pt idx="99" formatCode="0">
                        <c:v>2.3094534631664581</c:v>
                      </c:pt>
                      <c:pt idx="100" formatCode="0">
                        <c:v>2.3094534631664581</c:v>
                      </c:pt>
                      <c:pt idx="101" formatCode="0">
                        <c:v>2.3094534631664581</c:v>
                      </c:pt>
                      <c:pt idx="102" formatCode="0">
                        <c:v>2.3094534631664581</c:v>
                      </c:pt>
                      <c:pt idx="103" formatCode="0">
                        <c:v>2.3094534631664581</c:v>
                      </c:pt>
                      <c:pt idx="104" formatCode="0">
                        <c:v>2.3094534631664581</c:v>
                      </c:pt>
                    </c:numCache>
                  </c:numRef>
                </c:val>
                <c:smooth val="0"/>
                <c:extLst xmlns:c15="http://schemas.microsoft.com/office/drawing/2012/chart">
                  <c:ext xmlns:c16="http://schemas.microsoft.com/office/drawing/2014/chart" uri="{C3380CC4-5D6E-409C-BE32-E72D297353CC}">
                    <c16:uniqueId val="{0000001B-85F1-4E93-8343-9A44188D74B0}"/>
                  </c:ext>
                </c:extLst>
              </c15:ser>
            </c15:filteredLineSeries>
            <c15:filteredLineSeries>
              <c15:ser>
                <c:idx val="24"/>
                <c:order val="24"/>
                <c:tx>
                  <c:strRef>
                    <c:extLst xmlns:c15="http://schemas.microsoft.com/office/drawing/2012/chart">
                      <c:ext xmlns:c15="http://schemas.microsoft.com/office/drawing/2012/chart" uri="{02D57815-91ED-43cb-92C2-25804820EDAC}">
                        <c15:formulaRef>
                          <c15:sqref>'Table for graphs 24-25 '!$A$26</c15:sqref>
                        </c15:formulaRef>
                      </c:ext>
                    </c:extLst>
                    <c:strCache>
                      <c:ptCount val="1"/>
                      <c:pt idx="0">
                        <c:v>Other - Trajectory &gt;103 days</c:v>
                      </c:pt>
                    </c:strCache>
                  </c:strRef>
                </c:tx>
                <c:spPr>
                  <a:ln w="28575" cap="rnd">
                    <a:solidFill>
                      <a:schemeClr val="accent5">
                        <a:shade val="6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'!$B$26:$DB$26</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1</c:v>
                      </c:pt>
                      <c:pt idx="75" formatCode="0">
                        <c:v>1</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1C-85F1-4E93-8343-9A44188D74B0}"/>
                  </c:ext>
                </c:extLst>
              </c15:ser>
            </c15:filteredLineSeries>
            <c15:filteredLineSeries>
              <c15:ser>
                <c:idx val="25"/>
                <c:order val="25"/>
                <c:tx>
                  <c:strRef>
                    <c:extLst xmlns:c15="http://schemas.microsoft.com/office/drawing/2012/chart">
                      <c:ext xmlns:c15="http://schemas.microsoft.com/office/drawing/2012/chart" uri="{02D57815-91ED-43cb-92C2-25804820EDAC}">
                        <c15:formulaRef>
                          <c15:sqref>'Table for graphs 24-25 '!$A$27</c15:sqref>
                        </c15:formulaRef>
                      </c:ext>
                    </c:extLst>
                    <c:strCache>
                      <c:ptCount val="1"/>
                      <c:pt idx="0">
                        <c:v>Sarcoma - Trajectory &gt;103 days</c:v>
                      </c:pt>
                    </c:strCache>
                  </c:strRef>
                </c:tx>
                <c:spPr>
                  <a:ln w="28575" cap="rnd">
                    <a:solidFill>
                      <a:schemeClr val="accent5">
                        <a:shade val="6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'!$B$27:$DB$27</c15:sqref>
                        </c15:formulaRef>
                      </c:ext>
                    </c:extLst>
                    <c:numCache>
                      <c:formatCode>General</c:formatCode>
                      <c:ptCount val="105"/>
                      <c:pt idx="53" formatCode="0">
                        <c:v>2</c:v>
                      </c:pt>
                      <c:pt idx="54" formatCode="0">
                        <c:v>1</c:v>
                      </c:pt>
                      <c:pt idx="55" formatCode="0">
                        <c:v>1</c:v>
                      </c:pt>
                      <c:pt idx="56" formatCode="0">
                        <c:v>1</c:v>
                      </c:pt>
                      <c:pt idx="57" formatCode="0">
                        <c:v>0</c:v>
                      </c:pt>
                      <c:pt idx="58" formatCode="0">
                        <c:v>0</c:v>
                      </c:pt>
                      <c:pt idx="59" formatCode="0">
                        <c:v>0</c:v>
                      </c:pt>
                      <c:pt idx="60" formatCode="0">
                        <c:v>0</c:v>
                      </c:pt>
                      <c:pt idx="61" formatCode="0">
                        <c:v>0</c:v>
                      </c:pt>
                      <c:pt idx="62" formatCode="0">
                        <c:v>1</c:v>
                      </c:pt>
                      <c:pt idx="63" formatCode="0">
                        <c:v>1</c:v>
                      </c:pt>
                      <c:pt idx="64" formatCode="0">
                        <c:v>1</c:v>
                      </c:pt>
                      <c:pt idx="65" formatCode="0">
                        <c:v>1</c:v>
                      </c:pt>
                      <c:pt idx="66" formatCode="0">
                        <c:v>1</c:v>
                      </c:pt>
                      <c:pt idx="67" formatCode="0">
                        <c:v>0</c:v>
                      </c:pt>
                      <c:pt idx="68" formatCode="0">
                        <c:v>0</c:v>
                      </c:pt>
                      <c:pt idx="69" formatCode="0">
                        <c:v>0</c:v>
                      </c:pt>
                      <c:pt idx="70" formatCode="0">
                        <c:v>0</c:v>
                      </c:pt>
                      <c:pt idx="71" formatCode="0">
                        <c:v>1</c:v>
                      </c:pt>
                      <c:pt idx="72" formatCode="0">
                        <c:v>1</c:v>
                      </c:pt>
                      <c:pt idx="73" formatCode="0">
                        <c:v>1</c:v>
                      </c:pt>
                      <c:pt idx="74" formatCode="0">
                        <c:v>1</c:v>
                      </c:pt>
                      <c:pt idx="75" formatCode="0">
                        <c:v>1</c:v>
                      </c:pt>
                      <c:pt idx="76" formatCode="0">
                        <c:v>1</c:v>
                      </c:pt>
                      <c:pt idx="77" formatCode="0">
                        <c:v>1</c:v>
                      </c:pt>
                      <c:pt idx="78" formatCode="0">
                        <c:v>1</c:v>
                      </c:pt>
                      <c:pt idx="79" formatCode="0">
                        <c:v>1</c:v>
                      </c:pt>
                      <c:pt idx="80" formatCode="0">
                        <c:v>1</c:v>
                      </c:pt>
                      <c:pt idx="81" formatCode="0">
                        <c:v>1</c:v>
                      </c:pt>
                      <c:pt idx="82" formatCode="0">
                        <c:v>1</c:v>
                      </c:pt>
                      <c:pt idx="83" formatCode="0">
                        <c:v>1</c:v>
                      </c:pt>
                      <c:pt idx="84" formatCode="0">
                        <c:v>1</c:v>
                      </c:pt>
                      <c:pt idx="85" formatCode="0">
                        <c:v>1</c:v>
                      </c:pt>
                      <c:pt idx="86" formatCode="0">
                        <c:v>1</c:v>
                      </c:pt>
                      <c:pt idx="87" formatCode="0">
                        <c:v>0</c:v>
                      </c:pt>
                      <c:pt idx="88" formatCode="0">
                        <c:v>0</c:v>
                      </c:pt>
                      <c:pt idx="89" formatCode="0">
                        <c:v>0</c:v>
                      </c:pt>
                      <c:pt idx="90" formatCode="0">
                        <c:v>1</c:v>
                      </c:pt>
                      <c:pt idx="91" formatCode="0">
                        <c:v>1</c:v>
                      </c:pt>
                      <c:pt idx="92" formatCode="0">
                        <c:v>1</c:v>
                      </c:pt>
                      <c:pt idx="93" formatCode="0">
                        <c:v>1</c:v>
                      </c:pt>
                      <c:pt idx="94" formatCode="0">
                        <c:v>1</c:v>
                      </c:pt>
                      <c:pt idx="95" formatCode="0">
                        <c:v>1</c:v>
                      </c:pt>
                      <c:pt idx="96" formatCode="0">
                        <c:v>1</c:v>
                      </c:pt>
                      <c:pt idx="97" formatCode="0">
                        <c:v>1</c:v>
                      </c:pt>
                      <c:pt idx="98" formatCode="0">
                        <c:v>1</c:v>
                      </c:pt>
                      <c:pt idx="99" formatCode="0">
                        <c:v>1</c:v>
                      </c:pt>
                      <c:pt idx="100" formatCode="0">
                        <c:v>1</c:v>
                      </c:pt>
                      <c:pt idx="101" formatCode="0">
                        <c:v>1</c:v>
                      </c:pt>
                      <c:pt idx="102" formatCode="0">
                        <c:v>1</c:v>
                      </c:pt>
                      <c:pt idx="103" formatCode="0">
                        <c:v>1</c:v>
                      </c:pt>
                      <c:pt idx="104" formatCode="0">
                        <c:v>1</c:v>
                      </c:pt>
                    </c:numCache>
                  </c:numRef>
                </c:val>
                <c:smooth val="0"/>
                <c:extLst xmlns:c15="http://schemas.microsoft.com/office/drawing/2012/chart">
                  <c:ext xmlns:c16="http://schemas.microsoft.com/office/drawing/2014/chart" uri="{C3380CC4-5D6E-409C-BE32-E72D297353CC}">
                    <c16:uniqueId val="{0000001D-85F1-4E93-8343-9A44188D74B0}"/>
                  </c:ext>
                </c:extLst>
              </c15:ser>
            </c15:filteredLineSeries>
            <c15:filteredLineSeries>
              <c15:ser>
                <c:idx val="26"/>
                <c:order val="26"/>
                <c:tx>
                  <c:strRef>
                    <c:extLst xmlns:c15="http://schemas.microsoft.com/office/drawing/2012/chart">
                      <c:ext xmlns:c15="http://schemas.microsoft.com/office/drawing/2012/chart" uri="{02D57815-91ED-43cb-92C2-25804820EDAC}">
                        <c15:formulaRef>
                          <c15:sqref>'Table for graphs 24-25 '!$A$28</c15:sqref>
                        </c15:formulaRef>
                      </c:ext>
                    </c:extLst>
                    <c:strCache>
                      <c:ptCount val="1"/>
                      <c:pt idx="0">
                        <c:v>Skin - Trajectory &gt;103 days</c:v>
                      </c:pt>
                    </c:strCache>
                  </c:strRef>
                </c:tx>
                <c:spPr>
                  <a:ln w="28575" cap="rnd">
                    <a:solidFill>
                      <a:schemeClr val="accent5">
                        <a:shade val="69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'!$B$28:$DB$28</c15:sqref>
                        </c15:formulaRef>
                      </c:ext>
                    </c:extLst>
                    <c:numCache>
                      <c:formatCode>General</c:formatCode>
                      <c:ptCount val="105"/>
                      <c:pt idx="53" formatCode="0">
                        <c:v>7</c:v>
                      </c:pt>
                      <c:pt idx="54" formatCode="0">
                        <c:v>6</c:v>
                      </c:pt>
                      <c:pt idx="55" formatCode="0">
                        <c:v>5</c:v>
                      </c:pt>
                      <c:pt idx="56" formatCode="0">
                        <c:v>4</c:v>
                      </c:pt>
                      <c:pt idx="57" formatCode="0">
                        <c:v>4</c:v>
                      </c:pt>
                      <c:pt idx="58" formatCode="0">
                        <c:v>4</c:v>
                      </c:pt>
                      <c:pt idx="59" formatCode="0">
                        <c:v>3</c:v>
                      </c:pt>
                      <c:pt idx="60" formatCode="0">
                        <c:v>4</c:v>
                      </c:pt>
                      <c:pt idx="61" formatCode="0">
                        <c:v>4</c:v>
                      </c:pt>
                      <c:pt idx="62" formatCode="0">
                        <c:v>3</c:v>
                      </c:pt>
                      <c:pt idx="63" formatCode="0">
                        <c:v>3</c:v>
                      </c:pt>
                      <c:pt idx="64" formatCode="0">
                        <c:v>3</c:v>
                      </c:pt>
                      <c:pt idx="65" formatCode="0">
                        <c:v>3</c:v>
                      </c:pt>
                      <c:pt idx="66" formatCode="0">
                        <c:v>3</c:v>
                      </c:pt>
                      <c:pt idx="67" formatCode="0">
                        <c:v>3</c:v>
                      </c:pt>
                      <c:pt idx="68" formatCode="0">
                        <c:v>3</c:v>
                      </c:pt>
                      <c:pt idx="69" formatCode="0">
                        <c:v>2</c:v>
                      </c:pt>
                      <c:pt idx="70" formatCode="0">
                        <c:v>3</c:v>
                      </c:pt>
                      <c:pt idx="71" formatCode="0">
                        <c:v>3</c:v>
                      </c:pt>
                      <c:pt idx="72" formatCode="0">
                        <c:v>3</c:v>
                      </c:pt>
                      <c:pt idx="73" formatCode="0">
                        <c:v>3</c:v>
                      </c:pt>
                      <c:pt idx="74" formatCode="0">
                        <c:v>4</c:v>
                      </c:pt>
                      <c:pt idx="75" formatCode="0">
                        <c:v>4</c:v>
                      </c:pt>
                      <c:pt idx="76" formatCode="0">
                        <c:v>4</c:v>
                      </c:pt>
                      <c:pt idx="77" formatCode="0">
                        <c:v>4</c:v>
                      </c:pt>
                      <c:pt idx="78" formatCode="0">
                        <c:v>4</c:v>
                      </c:pt>
                      <c:pt idx="79" formatCode="0">
                        <c:v>4</c:v>
                      </c:pt>
                      <c:pt idx="80" formatCode="0">
                        <c:v>4</c:v>
                      </c:pt>
                      <c:pt idx="81" formatCode="0">
                        <c:v>4</c:v>
                      </c:pt>
                      <c:pt idx="82" formatCode="0">
                        <c:v>4</c:v>
                      </c:pt>
                      <c:pt idx="83" formatCode="0">
                        <c:v>4</c:v>
                      </c:pt>
                      <c:pt idx="84" formatCode="0">
                        <c:v>3</c:v>
                      </c:pt>
                      <c:pt idx="85" formatCode="0">
                        <c:v>2</c:v>
                      </c:pt>
                      <c:pt idx="86" formatCode="0">
                        <c:v>2</c:v>
                      </c:pt>
                      <c:pt idx="87" formatCode="0">
                        <c:v>1</c:v>
                      </c:pt>
                      <c:pt idx="88" formatCode="0">
                        <c:v>1</c:v>
                      </c:pt>
                      <c:pt idx="89" formatCode="0">
                        <c:v>1</c:v>
                      </c:pt>
                      <c:pt idx="90" formatCode="0">
                        <c:v>1</c:v>
                      </c:pt>
                      <c:pt idx="91" formatCode="0">
                        <c:v>1</c:v>
                      </c:pt>
                      <c:pt idx="92" formatCode="0">
                        <c:v>1</c:v>
                      </c:pt>
                      <c:pt idx="93" formatCode="0">
                        <c:v>1</c:v>
                      </c:pt>
                      <c:pt idx="94" formatCode="0">
                        <c:v>1</c:v>
                      </c:pt>
                      <c:pt idx="95" formatCode="0">
                        <c:v>1</c:v>
                      </c:pt>
                      <c:pt idx="96" formatCode="0">
                        <c:v>1</c:v>
                      </c:pt>
                      <c:pt idx="97" formatCode="0">
                        <c:v>1</c:v>
                      </c:pt>
                      <c:pt idx="98" formatCode="0">
                        <c:v>1</c:v>
                      </c:pt>
                      <c:pt idx="99" formatCode="0">
                        <c:v>1</c:v>
                      </c:pt>
                      <c:pt idx="100" formatCode="0">
                        <c:v>1</c:v>
                      </c:pt>
                      <c:pt idx="101" formatCode="0">
                        <c:v>2</c:v>
                      </c:pt>
                      <c:pt idx="102" formatCode="0">
                        <c:v>1</c:v>
                      </c:pt>
                      <c:pt idx="103" formatCode="0">
                        <c:v>1</c:v>
                      </c:pt>
                      <c:pt idx="104" formatCode="0">
                        <c:v>1</c:v>
                      </c:pt>
                    </c:numCache>
                  </c:numRef>
                </c:val>
                <c:smooth val="0"/>
                <c:extLst xmlns:c15="http://schemas.microsoft.com/office/drawing/2012/chart">
                  <c:ext xmlns:c16="http://schemas.microsoft.com/office/drawing/2014/chart" uri="{C3380CC4-5D6E-409C-BE32-E72D297353CC}">
                    <c16:uniqueId val="{0000001E-85F1-4E93-8343-9A44188D74B0}"/>
                  </c:ext>
                </c:extLst>
              </c15:ser>
            </c15:filteredLineSeries>
            <c15:filteredLineSeries>
              <c15:ser>
                <c:idx val="27"/>
                <c:order val="27"/>
                <c:tx>
                  <c:strRef>
                    <c:extLst xmlns:c15="http://schemas.microsoft.com/office/drawing/2012/chart">
                      <c:ext xmlns:c15="http://schemas.microsoft.com/office/drawing/2012/chart" uri="{02D57815-91ED-43cb-92C2-25804820EDAC}">
                        <c15:formulaRef>
                          <c15:sqref>'Table for graphs 24-25 '!$A$29</c15:sqref>
                        </c15:formulaRef>
                      </c:ext>
                    </c:extLst>
                    <c:strCache>
                      <c:ptCount val="1"/>
                      <c:pt idx="0">
                        <c:v>Upper Gastrointestinal - Trajectory &gt;103 days</c:v>
                      </c:pt>
                    </c:strCache>
                  </c:strRef>
                </c:tx>
                <c:spPr>
                  <a:ln w="28575" cap="rnd">
                    <a:solidFill>
                      <a:schemeClr val="accent5">
                        <a:shade val="7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'!$B$29:$DB$29</c15:sqref>
                        </c15:formulaRef>
                      </c:ext>
                    </c:extLst>
                    <c:numCache>
                      <c:formatCode>General</c:formatCode>
                      <c:ptCount val="105"/>
                      <c:pt idx="53" formatCode="0">
                        <c:v>9</c:v>
                      </c:pt>
                      <c:pt idx="54" formatCode="0">
                        <c:v>8</c:v>
                      </c:pt>
                      <c:pt idx="55" formatCode="0">
                        <c:v>8</c:v>
                      </c:pt>
                      <c:pt idx="56" formatCode="0">
                        <c:v>7</c:v>
                      </c:pt>
                      <c:pt idx="57" formatCode="0">
                        <c:v>7</c:v>
                      </c:pt>
                      <c:pt idx="58" formatCode="0">
                        <c:v>7</c:v>
                      </c:pt>
                      <c:pt idx="59" formatCode="0">
                        <c:v>7</c:v>
                      </c:pt>
                      <c:pt idx="60" formatCode="0">
                        <c:v>7</c:v>
                      </c:pt>
                      <c:pt idx="61" formatCode="0">
                        <c:v>7</c:v>
                      </c:pt>
                      <c:pt idx="62" formatCode="0">
                        <c:v>8</c:v>
                      </c:pt>
                      <c:pt idx="63" formatCode="0">
                        <c:v>8</c:v>
                      </c:pt>
                      <c:pt idx="64" formatCode="0">
                        <c:v>7</c:v>
                      </c:pt>
                      <c:pt idx="65" formatCode="0">
                        <c:v>6</c:v>
                      </c:pt>
                      <c:pt idx="66" formatCode="0">
                        <c:v>6</c:v>
                      </c:pt>
                      <c:pt idx="67" formatCode="0">
                        <c:v>6</c:v>
                      </c:pt>
                      <c:pt idx="68" formatCode="0">
                        <c:v>6</c:v>
                      </c:pt>
                      <c:pt idx="69" formatCode="0">
                        <c:v>6</c:v>
                      </c:pt>
                      <c:pt idx="70" formatCode="0">
                        <c:v>6</c:v>
                      </c:pt>
                      <c:pt idx="71" formatCode="0">
                        <c:v>6</c:v>
                      </c:pt>
                      <c:pt idx="72" formatCode="0">
                        <c:v>7</c:v>
                      </c:pt>
                      <c:pt idx="73" formatCode="0">
                        <c:v>7</c:v>
                      </c:pt>
                      <c:pt idx="74" formatCode="0">
                        <c:v>7</c:v>
                      </c:pt>
                      <c:pt idx="75" formatCode="0">
                        <c:v>7</c:v>
                      </c:pt>
                      <c:pt idx="76" formatCode="0">
                        <c:v>7</c:v>
                      </c:pt>
                      <c:pt idx="77" formatCode="0">
                        <c:v>7</c:v>
                      </c:pt>
                      <c:pt idx="78" formatCode="0">
                        <c:v>7</c:v>
                      </c:pt>
                      <c:pt idx="79" formatCode="0">
                        <c:v>7</c:v>
                      </c:pt>
                      <c:pt idx="80" formatCode="0">
                        <c:v>6</c:v>
                      </c:pt>
                      <c:pt idx="81" formatCode="0">
                        <c:v>5</c:v>
                      </c:pt>
                      <c:pt idx="82" formatCode="0">
                        <c:v>5</c:v>
                      </c:pt>
                      <c:pt idx="83" formatCode="0">
                        <c:v>6</c:v>
                      </c:pt>
                      <c:pt idx="84" formatCode="0">
                        <c:v>6</c:v>
                      </c:pt>
                      <c:pt idx="85" formatCode="0">
                        <c:v>6</c:v>
                      </c:pt>
                      <c:pt idx="86" formatCode="0">
                        <c:v>6</c:v>
                      </c:pt>
                      <c:pt idx="87" formatCode="0">
                        <c:v>6</c:v>
                      </c:pt>
                      <c:pt idx="88" formatCode="0">
                        <c:v>6</c:v>
                      </c:pt>
                      <c:pt idx="89" formatCode="0">
                        <c:v>5</c:v>
                      </c:pt>
                      <c:pt idx="90" formatCode="0">
                        <c:v>6</c:v>
                      </c:pt>
                      <c:pt idx="91" formatCode="0">
                        <c:v>6</c:v>
                      </c:pt>
                      <c:pt idx="92" formatCode="0">
                        <c:v>4</c:v>
                      </c:pt>
                      <c:pt idx="93" formatCode="0">
                        <c:v>4</c:v>
                      </c:pt>
                      <c:pt idx="94" formatCode="0">
                        <c:v>4</c:v>
                      </c:pt>
                      <c:pt idx="95" formatCode="0">
                        <c:v>4</c:v>
                      </c:pt>
                      <c:pt idx="96" formatCode="0">
                        <c:v>4</c:v>
                      </c:pt>
                      <c:pt idx="97" formatCode="0">
                        <c:v>3</c:v>
                      </c:pt>
                      <c:pt idx="98" formatCode="0">
                        <c:v>3</c:v>
                      </c:pt>
                      <c:pt idx="99" formatCode="0">
                        <c:v>4</c:v>
                      </c:pt>
                      <c:pt idx="100" formatCode="0">
                        <c:v>3</c:v>
                      </c:pt>
                      <c:pt idx="101" formatCode="0">
                        <c:v>3</c:v>
                      </c:pt>
                      <c:pt idx="102" formatCode="0">
                        <c:v>3</c:v>
                      </c:pt>
                      <c:pt idx="103" formatCode="0">
                        <c:v>3</c:v>
                      </c:pt>
                      <c:pt idx="104" formatCode="0">
                        <c:v>3</c:v>
                      </c:pt>
                    </c:numCache>
                  </c:numRef>
                </c:val>
                <c:smooth val="0"/>
                <c:extLst xmlns:c15="http://schemas.microsoft.com/office/drawing/2012/chart">
                  <c:ext xmlns:c16="http://schemas.microsoft.com/office/drawing/2014/chart" uri="{C3380CC4-5D6E-409C-BE32-E72D297353CC}">
                    <c16:uniqueId val="{0000001F-85F1-4E93-8343-9A44188D74B0}"/>
                  </c:ext>
                </c:extLst>
              </c15:ser>
            </c15:filteredLineSeries>
            <c15:filteredLineSeries>
              <c15:ser>
                <c:idx val="28"/>
                <c:order val="28"/>
                <c:tx>
                  <c:strRef>
                    <c:extLst xmlns:c15="http://schemas.microsoft.com/office/drawing/2012/chart">
                      <c:ext xmlns:c15="http://schemas.microsoft.com/office/drawing/2012/chart" uri="{02D57815-91ED-43cb-92C2-25804820EDAC}">
                        <c15:formulaRef>
                          <c15:sqref>'Table for graphs 24-25 '!$A$30</c15:sqref>
                        </c15:formulaRef>
                      </c:ext>
                    </c:extLst>
                    <c:strCache>
                      <c:ptCount val="1"/>
                      <c:pt idx="0">
                        <c:v>Urological - Trajectory &gt;103 days</c:v>
                      </c:pt>
                    </c:strCache>
                  </c:strRef>
                </c:tx>
                <c:spPr>
                  <a:ln w="28575" cap="rnd">
                    <a:solidFill>
                      <a:schemeClr val="accent5">
                        <a:shade val="72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'!$B$30:$DB$30</c15:sqref>
                        </c15:formulaRef>
                      </c:ext>
                    </c:extLst>
                    <c:numCache>
                      <c:formatCode>General</c:formatCode>
                      <c:ptCount val="105"/>
                      <c:pt idx="53" formatCode="0">
                        <c:v>21</c:v>
                      </c:pt>
                      <c:pt idx="54" formatCode="0">
                        <c:v>20</c:v>
                      </c:pt>
                      <c:pt idx="55" formatCode="0">
                        <c:v>19</c:v>
                      </c:pt>
                      <c:pt idx="56" formatCode="0">
                        <c:v>19</c:v>
                      </c:pt>
                      <c:pt idx="57" formatCode="0">
                        <c:v>20</c:v>
                      </c:pt>
                      <c:pt idx="58" formatCode="0">
                        <c:v>19</c:v>
                      </c:pt>
                      <c:pt idx="59" formatCode="0">
                        <c:v>19</c:v>
                      </c:pt>
                      <c:pt idx="60" formatCode="0">
                        <c:v>19</c:v>
                      </c:pt>
                      <c:pt idx="61" formatCode="0">
                        <c:v>19</c:v>
                      </c:pt>
                      <c:pt idx="62" formatCode="0">
                        <c:v>19</c:v>
                      </c:pt>
                      <c:pt idx="63" formatCode="0">
                        <c:v>18</c:v>
                      </c:pt>
                      <c:pt idx="64" formatCode="0">
                        <c:v>18</c:v>
                      </c:pt>
                      <c:pt idx="65" formatCode="0">
                        <c:v>17</c:v>
                      </c:pt>
                      <c:pt idx="66" formatCode="0">
                        <c:v>17</c:v>
                      </c:pt>
                      <c:pt idx="67" formatCode="0">
                        <c:v>17</c:v>
                      </c:pt>
                      <c:pt idx="68" formatCode="0">
                        <c:v>17</c:v>
                      </c:pt>
                      <c:pt idx="69" formatCode="0">
                        <c:v>16</c:v>
                      </c:pt>
                      <c:pt idx="70" formatCode="0">
                        <c:v>15</c:v>
                      </c:pt>
                      <c:pt idx="71" formatCode="0">
                        <c:v>15</c:v>
                      </c:pt>
                      <c:pt idx="72" formatCode="0">
                        <c:v>15</c:v>
                      </c:pt>
                      <c:pt idx="73" formatCode="0">
                        <c:v>15</c:v>
                      </c:pt>
                      <c:pt idx="74" formatCode="0">
                        <c:v>17</c:v>
                      </c:pt>
                      <c:pt idx="75" formatCode="0">
                        <c:v>18</c:v>
                      </c:pt>
                      <c:pt idx="76" formatCode="0">
                        <c:v>15</c:v>
                      </c:pt>
                      <c:pt idx="77" formatCode="0">
                        <c:v>14</c:v>
                      </c:pt>
                      <c:pt idx="78" formatCode="0">
                        <c:v>14</c:v>
                      </c:pt>
                      <c:pt idx="79" formatCode="0">
                        <c:v>13</c:v>
                      </c:pt>
                      <c:pt idx="80" formatCode="0">
                        <c:v>12</c:v>
                      </c:pt>
                      <c:pt idx="81" formatCode="0">
                        <c:v>11</c:v>
                      </c:pt>
                      <c:pt idx="82" formatCode="0">
                        <c:v>10</c:v>
                      </c:pt>
                      <c:pt idx="83" formatCode="0">
                        <c:v>10</c:v>
                      </c:pt>
                      <c:pt idx="84" formatCode="0">
                        <c:v>9</c:v>
                      </c:pt>
                      <c:pt idx="85" formatCode="0">
                        <c:v>9</c:v>
                      </c:pt>
                      <c:pt idx="86" formatCode="0">
                        <c:v>9</c:v>
                      </c:pt>
                      <c:pt idx="87" formatCode="0">
                        <c:v>9</c:v>
                      </c:pt>
                      <c:pt idx="88" formatCode="0">
                        <c:v>9</c:v>
                      </c:pt>
                      <c:pt idx="89" formatCode="0">
                        <c:v>9</c:v>
                      </c:pt>
                      <c:pt idx="90" formatCode="0">
                        <c:v>9</c:v>
                      </c:pt>
                      <c:pt idx="91" formatCode="0">
                        <c:v>10</c:v>
                      </c:pt>
                      <c:pt idx="92" formatCode="0">
                        <c:v>9</c:v>
                      </c:pt>
                      <c:pt idx="93" formatCode="0">
                        <c:v>9</c:v>
                      </c:pt>
                      <c:pt idx="94" formatCode="0">
                        <c:v>9</c:v>
                      </c:pt>
                      <c:pt idx="95" formatCode="0">
                        <c:v>9</c:v>
                      </c:pt>
                      <c:pt idx="96" formatCode="0">
                        <c:v>8</c:v>
                      </c:pt>
                      <c:pt idx="97" formatCode="0">
                        <c:v>8</c:v>
                      </c:pt>
                      <c:pt idx="98" formatCode="0">
                        <c:v>8</c:v>
                      </c:pt>
                      <c:pt idx="99" formatCode="0">
                        <c:v>7</c:v>
                      </c:pt>
                      <c:pt idx="100" formatCode="0">
                        <c:v>8</c:v>
                      </c:pt>
                      <c:pt idx="101" formatCode="0">
                        <c:v>7</c:v>
                      </c:pt>
                      <c:pt idx="102" formatCode="0">
                        <c:v>6</c:v>
                      </c:pt>
                      <c:pt idx="103" formatCode="0">
                        <c:v>6</c:v>
                      </c:pt>
                      <c:pt idx="104" formatCode="0">
                        <c:v>5</c:v>
                      </c:pt>
                    </c:numCache>
                  </c:numRef>
                </c:val>
                <c:smooth val="0"/>
                <c:extLst xmlns:c15="http://schemas.microsoft.com/office/drawing/2012/chart">
                  <c:ext xmlns:c16="http://schemas.microsoft.com/office/drawing/2014/chart" uri="{C3380CC4-5D6E-409C-BE32-E72D297353CC}">
                    <c16:uniqueId val="{00000020-85F1-4E93-8343-9A44188D74B0}"/>
                  </c:ext>
                </c:extLst>
              </c15:ser>
            </c15:filteredLineSeries>
            <c15:filteredLineSeries>
              <c15:ser>
                <c:idx val="29"/>
                <c:order val="29"/>
                <c:tx>
                  <c:strRef>
                    <c:extLst xmlns:c15="http://schemas.microsoft.com/office/drawing/2012/chart">
                      <c:ext xmlns:c15="http://schemas.microsoft.com/office/drawing/2012/chart" uri="{02D57815-91ED-43cb-92C2-25804820EDAC}">
                        <c15:formulaRef>
                          <c15:sqref>'Table for graphs 24-25 '!$A$31</c15:sqref>
                        </c15:formulaRef>
                      </c:ext>
                    </c:extLst>
                    <c:strCache>
                      <c:ptCount val="1"/>
                      <c:pt idx="0">
                        <c:v>Trajectory &gt;103 days All Sites</c:v>
                      </c:pt>
                    </c:strCache>
                  </c:strRef>
                </c:tx>
                <c:spPr>
                  <a:ln w="28575" cap="rnd">
                    <a:solidFill>
                      <a:schemeClr val="accent5">
                        <a:shade val="7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'!$B$31:$DB$31</c15:sqref>
                        </c15:formulaRef>
                      </c:ext>
                    </c:extLst>
                    <c:numCache>
                      <c:formatCode>General</c:formatCode>
                      <c:ptCount val="105"/>
                      <c:pt idx="53" formatCode="0">
                        <c:v>90.2</c:v>
                      </c:pt>
                      <c:pt idx="54" formatCode="0">
                        <c:v>83.802499999999995</c:v>
                      </c:pt>
                      <c:pt idx="55" formatCode="0">
                        <c:v>80.036000000000001</c:v>
                      </c:pt>
                      <c:pt idx="56" formatCode="0">
                        <c:v>77.984124999999992</c:v>
                      </c:pt>
                      <c:pt idx="57" formatCode="0">
                        <c:v>76.284124999999989</c:v>
                      </c:pt>
                      <c:pt idx="58" formatCode="0">
                        <c:v>75.086899999999986</c:v>
                      </c:pt>
                      <c:pt idx="59" formatCode="0">
                        <c:v>73.024399999999986</c:v>
                      </c:pt>
                      <c:pt idx="60" formatCode="0">
                        <c:v>78.950268749999992</c:v>
                      </c:pt>
                      <c:pt idx="61" formatCode="0">
                        <c:v>78.950268749999992</c:v>
                      </c:pt>
                      <c:pt idx="62" formatCode="0">
                        <c:v>79.760908749999999</c:v>
                      </c:pt>
                      <c:pt idx="63" formatCode="0">
                        <c:v>77.548052812500003</c:v>
                      </c:pt>
                      <c:pt idx="64" formatCode="0">
                        <c:v>76.548052812500003</c:v>
                      </c:pt>
                      <c:pt idx="65" formatCode="0">
                        <c:v>73.144976531249995</c:v>
                      </c:pt>
                      <c:pt idx="66" formatCode="0">
                        <c:v>66.825570225000007</c:v>
                      </c:pt>
                      <c:pt idx="67" formatCode="0">
                        <c:v>66.252695224999997</c:v>
                      </c:pt>
                      <c:pt idx="68" formatCode="0">
                        <c:v>64.684474002499996</c:v>
                      </c:pt>
                      <c:pt idx="69" formatCode="0">
                        <c:v>61.046374137375004</c:v>
                      </c:pt>
                      <c:pt idx="70" formatCode="0">
                        <c:v>63.234833142112507</c:v>
                      </c:pt>
                      <c:pt idx="71" formatCode="0">
                        <c:v>66.706426864718139</c:v>
                      </c:pt>
                      <c:pt idx="72" formatCode="0">
                        <c:v>68.760892964718124</c:v>
                      </c:pt>
                      <c:pt idx="73" formatCode="0">
                        <c:v>71.165481538439934</c:v>
                      </c:pt>
                      <c:pt idx="74" formatCode="0">
                        <c:v>78.139248686486937</c:v>
                      </c:pt>
                      <c:pt idx="75" formatCode="0">
                        <c:v>81.87788483261194</c:v>
                      </c:pt>
                      <c:pt idx="76" formatCode="0">
                        <c:v>70.628533218269496</c:v>
                      </c:pt>
                      <c:pt idx="77" formatCode="0">
                        <c:v>66.88312178369759</c:v>
                      </c:pt>
                      <c:pt idx="78" formatCode="0">
                        <c:v>65.129378091200081</c:v>
                      </c:pt>
                      <c:pt idx="79" formatCode="0">
                        <c:v>60.75510172244077</c:v>
                      </c:pt>
                      <c:pt idx="80" formatCode="0">
                        <c:v>58.75510172244077</c:v>
                      </c:pt>
                      <c:pt idx="81" formatCode="0">
                        <c:v>56.75510172244077</c:v>
                      </c:pt>
                      <c:pt idx="82" formatCode="0">
                        <c:v>53.594831734148535</c:v>
                      </c:pt>
                      <c:pt idx="83" formatCode="0">
                        <c:v>55.390760000822382</c:v>
                      </c:pt>
                      <c:pt idx="84" formatCode="0">
                        <c:v>51.494908038326628</c:v>
                      </c:pt>
                      <c:pt idx="85" formatCode="0">
                        <c:v>50.364055073253269</c:v>
                      </c:pt>
                      <c:pt idx="86" formatCode="0">
                        <c:v>47.80281236287442</c:v>
                      </c:pt>
                      <c:pt idx="87" formatCode="0">
                        <c:v>42.338057757957131</c:v>
                      </c:pt>
                      <c:pt idx="88" formatCode="0">
                        <c:v>41.45666086745306</c:v>
                      </c:pt>
                      <c:pt idx="89" formatCode="0">
                        <c:v>41.244629851460175</c:v>
                      </c:pt>
                      <c:pt idx="90" formatCode="0">
                        <c:v>43.330482481844804</c:v>
                      </c:pt>
                      <c:pt idx="91" formatCode="0">
                        <c:v>48.019501490561481</c:v>
                      </c:pt>
                      <c:pt idx="92" formatCode="0">
                        <c:v>44.286726668794344</c:v>
                      </c:pt>
                      <c:pt idx="93" formatCode="0">
                        <c:v>44.286726668794344</c:v>
                      </c:pt>
                      <c:pt idx="94" formatCode="0">
                        <c:v>42.16797523719552</c:v>
                      </c:pt>
                      <c:pt idx="95" formatCode="0">
                        <c:v>41.39168835882024</c:v>
                      </c:pt>
                      <c:pt idx="96" formatCode="0">
                        <c:v>36.257605901978415</c:v>
                      </c:pt>
                      <c:pt idx="97" formatCode="0">
                        <c:v>32.011775094209824</c:v>
                      </c:pt>
                      <c:pt idx="98" formatCode="0">
                        <c:v>31.907884378992659</c:v>
                      </c:pt>
                      <c:pt idx="99" formatCode="0">
                        <c:v>31.907884378992659</c:v>
                      </c:pt>
                      <c:pt idx="100" formatCode="0">
                        <c:v>32.474511739531223</c:v>
                      </c:pt>
                      <c:pt idx="101" formatCode="0">
                        <c:v>29.955032690496889</c:v>
                      </c:pt>
                      <c:pt idx="102" formatCode="0">
                        <c:v>27.181867790501283</c:v>
                      </c:pt>
                      <c:pt idx="103" formatCode="0">
                        <c:v>26.486808229398449</c:v>
                      </c:pt>
                      <c:pt idx="104" formatCode="0">
                        <c:v>24.548477821909628</c:v>
                      </c:pt>
                    </c:numCache>
                  </c:numRef>
                </c:val>
                <c:smooth val="0"/>
                <c:extLst xmlns:c15="http://schemas.microsoft.com/office/drawing/2012/chart">
                  <c:ext xmlns:c16="http://schemas.microsoft.com/office/drawing/2014/chart" uri="{C3380CC4-5D6E-409C-BE32-E72D297353CC}">
                    <c16:uniqueId val="{00000021-85F1-4E93-8343-9A44188D74B0}"/>
                  </c:ext>
                </c:extLst>
              </c15:ser>
            </c15:filteredLineSeries>
            <c15:filteredLineSeries>
              <c15:ser>
                <c:idx val="30"/>
                <c:order val="30"/>
                <c:tx>
                  <c:strRef>
                    <c:extLst xmlns:c15="http://schemas.microsoft.com/office/drawing/2012/chart">
                      <c:ext xmlns:c15="http://schemas.microsoft.com/office/drawing/2012/chart" uri="{02D57815-91ED-43cb-92C2-25804820EDAC}">
                        <c15:formulaRef>
                          <c15:sqref>'Table for graphs 24-25 '!$A$32</c15:sqref>
                        </c15:formulaRef>
                      </c:ext>
                    </c:extLst>
                    <c:strCache>
                      <c:ptCount val="1"/>
                      <c:pt idx="0">
                        <c:v>Acute Leukaemia - Trajectory Total</c:v>
                      </c:pt>
                    </c:strCache>
                  </c:strRef>
                </c:tx>
                <c:spPr>
                  <a:ln w="28575" cap="rnd">
                    <a:solidFill>
                      <a:schemeClr val="accent5">
                        <a:shade val="75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'!$B$32:$DB$32</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2-85F1-4E93-8343-9A44188D74B0}"/>
                  </c:ext>
                </c:extLst>
              </c15:ser>
            </c15:filteredLineSeries>
            <c15:filteredLineSeries>
              <c15:ser>
                <c:idx val="31"/>
                <c:order val="31"/>
                <c:tx>
                  <c:strRef>
                    <c:extLst xmlns:c15="http://schemas.microsoft.com/office/drawing/2012/chart">
                      <c:ext xmlns:c15="http://schemas.microsoft.com/office/drawing/2012/chart" uri="{02D57815-91ED-43cb-92C2-25804820EDAC}">
                        <c15:formulaRef>
                          <c15:sqref>'Table for graphs 24-25 '!$A$33</c15:sqref>
                        </c15:formulaRef>
                      </c:ext>
                    </c:extLst>
                    <c:strCache>
                      <c:ptCount val="1"/>
                      <c:pt idx="0">
                        <c:v>Brain/CNS - Trajectory Total</c:v>
                      </c:pt>
                    </c:strCache>
                  </c:strRef>
                </c:tx>
                <c:spPr>
                  <a:ln w="28575" cap="rnd">
                    <a:solidFill>
                      <a:schemeClr val="accent5">
                        <a:shade val="7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'!$B$33:$DB$33</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3-85F1-4E93-8343-9A44188D74B0}"/>
                  </c:ext>
                </c:extLst>
              </c15:ser>
            </c15:filteredLineSeries>
            <c15:filteredLineSeries>
              <c15:ser>
                <c:idx val="32"/>
                <c:order val="32"/>
                <c:tx>
                  <c:strRef>
                    <c:extLst xmlns:c15="http://schemas.microsoft.com/office/drawing/2012/chart">
                      <c:ext xmlns:c15="http://schemas.microsoft.com/office/drawing/2012/chart" uri="{02D57815-91ED-43cb-92C2-25804820EDAC}">
                        <c15:formulaRef>
                          <c15:sqref>'Table for graphs 24-25 '!$A$34</c15:sqref>
                        </c15:formulaRef>
                      </c:ext>
                    </c:extLst>
                    <c:strCache>
                      <c:ptCount val="1"/>
                      <c:pt idx="0">
                        <c:v>Breast - Trajectory Total</c:v>
                      </c:pt>
                    </c:strCache>
                  </c:strRef>
                </c:tx>
                <c:spPr>
                  <a:ln w="28575" cap="rnd">
                    <a:solidFill>
                      <a:schemeClr val="accent5">
                        <a:shade val="7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'!$B$34:$DB$34</c15:sqref>
                        </c15:formulaRef>
                      </c:ext>
                    </c:extLst>
                    <c:numCache>
                      <c:formatCode>General</c:formatCode>
                      <c:ptCount val="105"/>
                      <c:pt idx="53" formatCode="0">
                        <c:v>16</c:v>
                      </c:pt>
                      <c:pt idx="54" formatCode="0">
                        <c:v>15.25</c:v>
                      </c:pt>
                      <c:pt idx="55" formatCode="0">
                        <c:v>15.287500000000001</c:v>
                      </c:pt>
                      <c:pt idx="56" formatCode="0">
                        <c:v>14.235625000000001</c:v>
                      </c:pt>
                      <c:pt idx="57" formatCode="0">
                        <c:v>13.025625000000002</c:v>
                      </c:pt>
                      <c:pt idx="58" formatCode="0">
                        <c:v>13.025625000000002</c:v>
                      </c:pt>
                      <c:pt idx="59" formatCode="0">
                        <c:v>13.025625000000002</c:v>
                      </c:pt>
                      <c:pt idx="60" formatCode="0">
                        <c:v>16.250250000000001</c:v>
                      </c:pt>
                      <c:pt idx="61" formatCode="0">
                        <c:v>17.448150000000002</c:v>
                      </c:pt>
                      <c:pt idx="62" formatCode="0">
                        <c:v>16.130460000000003</c:v>
                      </c:pt>
                      <c:pt idx="63" formatCode="0">
                        <c:v>14.944539000000002</c:v>
                      </c:pt>
                      <c:pt idx="64" formatCode="0">
                        <c:v>14.944539000000002</c:v>
                      </c:pt>
                      <c:pt idx="65" formatCode="0">
                        <c:v>13.877210100000003</c:v>
                      </c:pt>
                      <c:pt idx="66" formatCode="0">
                        <c:v>12.916614090000003</c:v>
                      </c:pt>
                      <c:pt idx="67" formatCode="0">
                        <c:v>13.343739090000003</c:v>
                      </c:pt>
                      <c:pt idx="68" formatCode="0">
                        <c:v>14.208275499000003</c:v>
                      </c:pt>
                      <c:pt idx="69" formatCode="0">
                        <c:v>15.159265548900006</c:v>
                      </c:pt>
                      <c:pt idx="70" formatCode="0">
                        <c:v>15.159265548900006</c:v>
                      </c:pt>
                      <c:pt idx="71" formatCode="0">
                        <c:v>17.668074131235006</c:v>
                      </c:pt>
                      <c:pt idx="72" formatCode="0">
                        <c:v>16.465071718111506</c:v>
                      </c:pt>
                      <c:pt idx="73" formatCode="0">
                        <c:v>17.592681718111507</c:v>
                      </c:pt>
                      <c:pt idx="74" formatCode="0">
                        <c:v>18.675383889922657</c:v>
                      </c:pt>
                      <c:pt idx="75" formatCode="0">
                        <c:v>20.542922278914922</c:v>
                      </c:pt>
                      <c:pt idx="76" formatCode="0">
                        <c:v>17.833595237077684</c:v>
                      </c:pt>
                      <c:pt idx="77" formatCode="0">
                        <c:v>16.050235713369915</c:v>
                      </c:pt>
                      <c:pt idx="78" formatCode="0">
                        <c:v>15.447415407369917</c:v>
                      </c:pt>
                      <c:pt idx="79" formatCode="0">
                        <c:v>14.362338856569917</c:v>
                      </c:pt>
                      <c:pt idx="80" formatCode="0">
                        <c:v>14.362338856569917</c:v>
                      </c:pt>
                      <c:pt idx="81" formatCode="0">
                        <c:v>14.362338856569917</c:v>
                      </c:pt>
                      <c:pt idx="82" formatCode="0">
                        <c:v>13.360135591232925</c:v>
                      </c:pt>
                      <c:pt idx="83" formatCode="0">
                        <c:v>13.360135591232925</c:v>
                      </c:pt>
                      <c:pt idx="84" formatCode="0">
                        <c:v>12.458152652429632</c:v>
                      </c:pt>
                      <c:pt idx="85" formatCode="0">
                        <c:v>12.458152652429632</c:v>
                      </c:pt>
                      <c:pt idx="86" formatCode="0">
                        <c:v>10.372414444405187</c:v>
                      </c:pt>
                      <c:pt idx="87" formatCode="0">
                        <c:v>8.8165522777444103</c:v>
                      </c:pt>
                      <c:pt idx="88" formatCode="0">
                        <c:v>8.8165522777444103</c:v>
                      </c:pt>
                      <c:pt idx="89" formatCode="0">
                        <c:v>9.6963238866796715</c:v>
                      </c:pt>
                      <c:pt idx="90" formatCode="0">
                        <c:v>11.045307020380406</c:v>
                      </c:pt>
                      <c:pt idx="91" formatCode="0">
                        <c:v>13.716293625107859</c:v>
                      </c:pt>
                      <c:pt idx="92" formatCode="0">
                        <c:v>17.145367031384826</c:v>
                      </c:pt>
                      <c:pt idx="93" formatCode="0">
                        <c:v>13.716293625107859</c:v>
                      </c:pt>
                      <c:pt idx="94" formatCode="0">
                        <c:v>13.716293625107859</c:v>
                      </c:pt>
                      <c:pt idx="95" formatCode="0">
                        <c:v>12.049523440779474</c:v>
                      </c:pt>
                      <c:pt idx="96" formatCode="0">
                        <c:v>9.4157006235732741</c:v>
                      </c:pt>
                      <c:pt idx="97" formatCode="0">
                        <c:v>8.5921868899429867</c:v>
                      </c:pt>
                      <c:pt idx="98" formatCode="0">
                        <c:v>8.5921868899429867</c:v>
                      </c:pt>
                      <c:pt idx="99" formatCode="0">
                        <c:v>8.5921868899429867</c:v>
                      </c:pt>
                      <c:pt idx="100" formatCode="0">
                        <c:v>9.3333492502102455</c:v>
                      </c:pt>
                      <c:pt idx="101" formatCode="0">
                        <c:v>6.5222287703518766</c:v>
                      </c:pt>
                      <c:pt idx="102" formatCode="0">
                        <c:v>5.870005893316689</c:v>
                      </c:pt>
                      <c:pt idx="103" formatCode="0">
                        <c:v>5.2830053039850204</c:v>
                      </c:pt>
                      <c:pt idx="104" formatCode="0">
                        <c:v>6.6037566299812758</c:v>
                      </c:pt>
                    </c:numCache>
                  </c:numRef>
                </c:val>
                <c:smooth val="0"/>
                <c:extLst xmlns:c15="http://schemas.microsoft.com/office/drawing/2012/chart">
                  <c:ext xmlns:c16="http://schemas.microsoft.com/office/drawing/2014/chart" uri="{C3380CC4-5D6E-409C-BE32-E72D297353CC}">
                    <c16:uniqueId val="{00000024-85F1-4E93-8343-9A44188D74B0}"/>
                  </c:ext>
                </c:extLst>
              </c15:ser>
            </c15:filteredLineSeries>
            <c15:filteredLineSeries>
              <c15:ser>
                <c:idx val="33"/>
                <c:order val="33"/>
                <c:tx>
                  <c:strRef>
                    <c:extLst xmlns:c15="http://schemas.microsoft.com/office/drawing/2012/chart">
                      <c:ext xmlns:c15="http://schemas.microsoft.com/office/drawing/2012/chart" uri="{02D57815-91ED-43cb-92C2-25804820EDAC}">
                        <c15:formulaRef>
                          <c15:sqref>'Table for graphs 24-25 '!$A$35</c15:sqref>
                        </c15:formulaRef>
                      </c:ext>
                    </c:extLst>
                    <c:strCache>
                      <c:ptCount val="1"/>
                      <c:pt idx="0">
                        <c:v>Children's cancer - Trajectory Total</c:v>
                      </c:pt>
                    </c:strCache>
                  </c:strRef>
                </c:tx>
                <c:spPr>
                  <a:ln w="28575" cap="rnd">
                    <a:solidFill>
                      <a:schemeClr val="accent5">
                        <a:shade val="8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'!$B$35:$DB$35</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0</c:v>
                      </c:pt>
                      <c:pt idx="66" formatCode="0">
                        <c:v>0</c:v>
                      </c:pt>
                      <c:pt idx="67" formatCode="0">
                        <c:v>0</c:v>
                      </c:pt>
                      <c:pt idx="68" formatCode="0">
                        <c:v>0</c:v>
                      </c:pt>
                      <c:pt idx="69" formatCode="0">
                        <c:v>0</c:v>
                      </c:pt>
                      <c:pt idx="70" formatCode="0">
                        <c:v>0</c:v>
                      </c:pt>
                      <c:pt idx="71" formatCode="0">
                        <c:v>0</c:v>
                      </c:pt>
                      <c:pt idx="72" formatCode="0">
                        <c:v>0</c:v>
                      </c:pt>
                      <c:pt idx="73" formatCode="0">
                        <c:v>0</c:v>
                      </c:pt>
                      <c:pt idx="74" formatCode="0">
                        <c:v>0</c:v>
                      </c:pt>
                      <c:pt idx="75" formatCode="0">
                        <c:v>0</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5-85F1-4E93-8343-9A44188D74B0}"/>
                  </c:ext>
                </c:extLst>
              </c15:ser>
            </c15:filteredLineSeries>
            <c15:filteredLineSeries>
              <c15:ser>
                <c:idx val="34"/>
                <c:order val="34"/>
                <c:tx>
                  <c:strRef>
                    <c:extLst xmlns:c15="http://schemas.microsoft.com/office/drawing/2012/chart">
                      <c:ext xmlns:c15="http://schemas.microsoft.com/office/drawing/2012/chart" uri="{02D57815-91ED-43cb-92C2-25804820EDAC}">
                        <c15:formulaRef>
                          <c15:sqref>'Table for graphs 24-25 '!$A$36</c15:sqref>
                        </c15:formulaRef>
                      </c:ext>
                    </c:extLst>
                    <c:strCache>
                      <c:ptCount val="1"/>
                      <c:pt idx="0">
                        <c:v>Gynaecological - Trajectory Total</c:v>
                      </c:pt>
                    </c:strCache>
                  </c:strRef>
                </c:tx>
                <c:spPr>
                  <a:ln w="28575" cap="rnd">
                    <a:solidFill>
                      <a:schemeClr val="accent5">
                        <a:shade val="8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'!$B$36:$DB$36</c15:sqref>
                        </c15:formulaRef>
                      </c:ext>
                    </c:extLst>
                    <c:numCache>
                      <c:formatCode>General</c:formatCode>
                      <c:ptCount val="105"/>
                      <c:pt idx="53" formatCode="0">
                        <c:v>29</c:v>
                      </c:pt>
                      <c:pt idx="54" formatCode="0">
                        <c:v>27.85</c:v>
                      </c:pt>
                      <c:pt idx="55" formatCode="0">
                        <c:v>28.948500000000003</c:v>
                      </c:pt>
                      <c:pt idx="56" formatCode="0">
                        <c:v>28.000875000000001</c:v>
                      </c:pt>
                      <c:pt idx="57" formatCode="0">
                        <c:v>27.100631249999999</c:v>
                      </c:pt>
                      <c:pt idx="58" formatCode="0">
                        <c:v>26.101031249999998</c:v>
                      </c:pt>
                      <c:pt idx="59" formatCode="0">
                        <c:v>27.811494374999999</c:v>
                      </c:pt>
                      <c:pt idx="60" formatCode="0">
                        <c:v>29.693003812499999</c:v>
                      </c:pt>
                      <c:pt idx="61" formatCode="0">
                        <c:v>31.762664193750002</c:v>
                      </c:pt>
                      <c:pt idx="62" formatCode="0">
                        <c:v>34.938930613125009</c:v>
                      </c:pt>
                      <c:pt idx="63" formatCode="0">
                        <c:v>37.443219674437508</c:v>
                      </c:pt>
                      <c:pt idx="64" formatCode="0">
                        <c:v>40.197937641881261</c:v>
                      </c:pt>
                      <c:pt idx="65" formatCode="0">
                        <c:v>38.682842759787192</c:v>
                      </c:pt>
                      <c:pt idx="66" formatCode="0">
                        <c:v>35.804162483808476</c:v>
                      </c:pt>
                      <c:pt idx="67" formatCode="0">
                        <c:v>35.804162483808476</c:v>
                      </c:pt>
                      <c:pt idx="68" formatCode="0">
                        <c:v>33.519152359618047</c:v>
                      </c:pt>
                      <c:pt idx="69" formatCode="0">
                        <c:v>32.288516541637151</c:v>
                      </c:pt>
                      <c:pt idx="70" formatCode="0">
                        <c:v>33.880622557886262</c:v>
                      </c:pt>
                      <c:pt idx="71" formatCode="0">
                        <c:v>36.288976853674889</c:v>
                      </c:pt>
                      <c:pt idx="72" formatCode="0">
                        <c:v>37.613571716358635</c:v>
                      </c:pt>
                      <c:pt idx="73" formatCode="0">
                        <c:v>37.613571716358635</c:v>
                      </c:pt>
                      <c:pt idx="74" formatCode="0">
                        <c:v>39.984104282176567</c:v>
                      </c:pt>
                      <c:pt idx="75" formatCode="0">
                        <c:v>41.444470118285395</c:v>
                      </c:pt>
                      <c:pt idx="76" formatCode="0">
                        <c:v>38.833407234371123</c:v>
                      </c:pt>
                      <c:pt idx="77" formatCode="0">
                        <c:v>36.794745784612566</c:v>
                      </c:pt>
                      <c:pt idx="78" formatCode="0">
                        <c:v>36.794745784612566</c:v>
                      </c:pt>
                      <c:pt idx="79" formatCode="0">
                        <c:v>34.499150381593935</c:v>
                      </c:pt>
                      <c:pt idx="80" formatCode="0">
                        <c:v>33.184465164923438</c:v>
                      </c:pt>
                      <c:pt idx="81" formatCode="0">
                        <c:v>30.686563253249496</c:v>
                      </c:pt>
                      <c:pt idx="82" formatCode="0">
                        <c:v>28.192288151297426</c:v>
                      </c:pt>
                      <c:pt idx="83" formatCode="0">
                        <c:v>29.99986669219922</c:v>
                      </c:pt>
                      <c:pt idx="84" formatCode="0">
                        <c:v>27.875401116320532</c:v>
                      </c:pt>
                      <c:pt idx="85" formatCode="0">
                        <c:v>27.875401116320532</c:v>
                      </c:pt>
                      <c:pt idx="86" formatCode="0">
                        <c:v>26.919391607175122</c:v>
                      </c:pt>
                      <c:pt idx="87" formatCode="0">
                        <c:v>24.227452446457612</c:v>
                      </c:pt>
                      <c:pt idx="88" formatCode="0">
                        <c:v>24.227452446457612</c:v>
                      </c:pt>
                      <c:pt idx="89" formatCode="0">
                        <c:v>25.01542143046472</c:v>
                      </c:pt>
                      <c:pt idx="90" formatCode="0">
                        <c:v>25.83280956078405</c:v>
                      </c:pt>
                      <c:pt idx="91" formatCode="0">
                        <c:v>28.416090516862454</c:v>
                      </c:pt>
                      <c:pt idx="92" formatCode="0">
                        <c:v>29.36017380738128</c:v>
                      </c:pt>
                      <c:pt idx="93" formatCode="0">
                        <c:v>27.377598897291755</c:v>
                      </c:pt>
                      <c:pt idx="94" formatCode="0">
                        <c:v>27.377598897291755</c:v>
                      </c:pt>
                      <c:pt idx="95" formatCode="0">
                        <c:v>26.424156426643151</c:v>
                      </c:pt>
                      <c:pt idx="96" formatCode="0">
                        <c:v>25.531997717102861</c:v>
                      </c:pt>
                      <c:pt idx="97" formatCode="0">
                        <c:v>24.673899493519119</c:v>
                      </c:pt>
                      <c:pt idx="98" formatCode="0">
                        <c:v>21.283696397266034</c:v>
                      </c:pt>
                      <c:pt idx="99" formatCode="0">
                        <c:v>20.605655778015414</c:v>
                      </c:pt>
                      <c:pt idx="100" formatCode="0">
                        <c:v>22.538071542879674</c:v>
                      </c:pt>
                      <c:pt idx="101" formatCode="0">
                        <c:v>20.284264388591708</c:v>
                      </c:pt>
                      <c:pt idx="102" formatCode="0">
                        <c:v>18.950897510835368</c:v>
                      </c:pt>
                      <c:pt idx="103" formatCode="0">
                        <c:v>18.255837949732538</c:v>
                      </c:pt>
                      <c:pt idx="104" formatCode="0">
                        <c:v>17.317507542243714</c:v>
                      </c:pt>
                    </c:numCache>
                  </c:numRef>
                </c:val>
                <c:smooth val="0"/>
                <c:extLst xmlns:c15="http://schemas.microsoft.com/office/drawing/2012/chart">
                  <c:ext xmlns:c16="http://schemas.microsoft.com/office/drawing/2014/chart" uri="{C3380CC4-5D6E-409C-BE32-E72D297353CC}">
                    <c16:uniqueId val="{00000026-85F1-4E93-8343-9A44188D74B0}"/>
                  </c:ext>
                </c:extLst>
              </c15:ser>
            </c15:filteredLineSeries>
            <c15:filteredLineSeries>
              <c15:ser>
                <c:idx val="35"/>
                <c:order val="35"/>
                <c:tx>
                  <c:strRef>
                    <c:extLst xmlns:c15="http://schemas.microsoft.com/office/drawing/2012/chart">
                      <c:ext xmlns:c15="http://schemas.microsoft.com/office/drawing/2012/chart" uri="{02D57815-91ED-43cb-92C2-25804820EDAC}">
                        <c15:formulaRef>
                          <c15:sqref>'Table for graphs 24-25 '!$A$37</c15:sqref>
                        </c15:formulaRef>
                      </c:ext>
                    </c:extLst>
                    <c:strCache>
                      <c:ptCount val="1"/>
                      <c:pt idx="0">
                        <c:v>Haematological - Trajectory Total</c:v>
                      </c:pt>
                    </c:strCache>
                  </c:strRef>
                </c:tx>
                <c:spPr>
                  <a:ln w="28575" cap="rnd">
                    <a:solidFill>
                      <a:schemeClr val="accent5">
                        <a:shade val="8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'!$B$37:$DB$37</c15:sqref>
                        </c15:formulaRef>
                      </c:ext>
                    </c:extLst>
                    <c:numCache>
                      <c:formatCode>General</c:formatCode>
                      <c:ptCount val="105"/>
                      <c:pt idx="53" formatCode="0">
                        <c:v>8</c:v>
                      </c:pt>
                      <c:pt idx="54" formatCode="0">
                        <c:v>8</c:v>
                      </c:pt>
                      <c:pt idx="55" formatCode="0">
                        <c:v>8</c:v>
                      </c:pt>
                      <c:pt idx="56" formatCode="0">
                        <c:v>7.6</c:v>
                      </c:pt>
                      <c:pt idx="57" formatCode="0">
                        <c:v>7.36</c:v>
                      </c:pt>
                      <c:pt idx="58" formatCode="0">
                        <c:v>7.2200000000000006</c:v>
                      </c:pt>
                      <c:pt idx="59" formatCode="0">
                        <c:v>6.1575000000000006</c:v>
                      </c:pt>
                      <c:pt idx="60" formatCode="0">
                        <c:v>6.7515000000000001</c:v>
                      </c:pt>
                      <c:pt idx="61" formatCode="0">
                        <c:v>6.7515000000000001</c:v>
                      </c:pt>
                      <c:pt idx="62" formatCode="0">
                        <c:v>6.7515000000000001</c:v>
                      </c:pt>
                      <c:pt idx="63" formatCode="0">
                        <c:v>6.6486000000000001</c:v>
                      </c:pt>
                      <c:pt idx="64" formatCode="0">
                        <c:v>6.6486000000000001</c:v>
                      </c:pt>
                      <c:pt idx="65" formatCode="0">
                        <c:v>6.8989499999999992</c:v>
                      </c:pt>
                      <c:pt idx="66" formatCode="0">
                        <c:v>5.9427000000000003</c:v>
                      </c:pt>
                      <c:pt idx="67" formatCode="0">
                        <c:v>5.9427000000000003</c:v>
                      </c:pt>
                      <c:pt idx="68" formatCode="0">
                        <c:v>5.9427000000000003</c:v>
                      </c:pt>
                      <c:pt idx="69" formatCode="0">
                        <c:v>6.5329874999999991</c:v>
                      </c:pt>
                      <c:pt idx="70" formatCode="0">
                        <c:v>7.6473787499999997</c:v>
                      </c:pt>
                      <c:pt idx="71" formatCode="0">
                        <c:v>8.8597141874999998</c:v>
                      </c:pt>
                      <c:pt idx="72" formatCode="0">
                        <c:v>8.8597141874999998</c:v>
                      </c:pt>
                      <c:pt idx="73" formatCode="0">
                        <c:v>8.1957409874999989</c:v>
                      </c:pt>
                      <c:pt idx="74" formatCode="0">
                        <c:v>8.7933168674999997</c:v>
                      </c:pt>
                      <c:pt idx="75" formatCode="0">
                        <c:v>9.1263141956249996</c:v>
                      </c:pt>
                      <c:pt idx="76" formatCode="0">
                        <c:v>8.7433672682812489</c:v>
                      </c:pt>
                      <c:pt idx="77" formatCode="0">
                        <c:v>8.7433672682812489</c:v>
                      </c:pt>
                      <c:pt idx="78" formatCode="0">
                        <c:v>8.7433672682812489</c:v>
                      </c:pt>
                      <c:pt idx="79" formatCode="0">
                        <c:v>8.086033800281248</c:v>
                      </c:pt>
                      <c:pt idx="80" formatCode="0">
                        <c:v>8.086033800281248</c:v>
                      </c:pt>
                      <c:pt idx="81" formatCode="0">
                        <c:v>8.086033800281248</c:v>
                      </c:pt>
                      <c:pt idx="82" formatCode="0">
                        <c:v>7.3699230461484362</c:v>
                      </c:pt>
                      <c:pt idx="83" formatCode="0">
                        <c:v>7.3699230461484362</c:v>
                      </c:pt>
                      <c:pt idx="84" formatCode="0">
                        <c:v>6.9287308021335914</c:v>
                      </c:pt>
                      <c:pt idx="85" formatCode="0">
                        <c:v>6.5168677794902319</c:v>
                      </c:pt>
                      <c:pt idx="86" formatCode="0">
                        <c:v>6.1321405562327085</c:v>
                      </c:pt>
                      <c:pt idx="87" formatCode="0">
                        <c:v>5.7725380775663622</c:v>
                      </c:pt>
                      <c:pt idx="88" formatCode="0">
                        <c:v>5.4362152679188043</c:v>
                      </c:pt>
                      <c:pt idx="89" formatCode="0">
                        <c:v>5.4362152679188043</c:v>
                      </c:pt>
                      <c:pt idx="90" formatCode="0">
                        <c:v>6.4376056911179349</c:v>
                      </c:pt>
                      <c:pt idx="91" formatCode="0">
                        <c:v>8.2744495050302209</c:v>
                      </c:pt>
                      <c:pt idx="92" formatCode="0">
                        <c:v>7.2032702874372578</c:v>
                      </c:pt>
                      <c:pt idx="93" formatCode="0">
                        <c:v>6.6366429268986922</c:v>
                      </c:pt>
                      <c:pt idx="94" formatCode="0">
                        <c:v>6.6366429268986922</c:v>
                      </c:pt>
                      <c:pt idx="95" formatCode="0">
                        <c:v>6.6366429268986922</c:v>
                      </c:pt>
                      <c:pt idx="96" formatCode="0">
                        <c:v>5.4226398136266667</c:v>
                      </c:pt>
                      <c:pt idx="97" formatCode="0">
                        <c:v>5.4226398136266667</c:v>
                      </c:pt>
                      <c:pt idx="98" formatCode="0">
                        <c:v>5.4226398136266667</c:v>
                      </c:pt>
                      <c:pt idx="99" formatCode="0">
                        <c:v>5.4226398136266667</c:v>
                      </c:pt>
                      <c:pt idx="100" formatCode="0">
                        <c:v>6.9604696647828526</c:v>
                      </c:pt>
                      <c:pt idx="101" formatCode="0">
                        <c:v>6.3938423042442869</c:v>
                      </c:pt>
                      <c:pt idx="102" formatCode="0">
                        <c:v>6.3938423042442869</c:v>
                      </c:pt>
                      <c:pt idx="103" formatCode="0">
                        <c:v>6.3938423042442869</c:v>
                      </c:pt>
                      <c:pt idx="104" formatCode="0">
                        <c:v>7.5592852929854315</c:v>
                      </c:pt>
                    </c:numCache>
                  </c:numRef>
                </c:val>
                <c:smooth val="0"/>
                <c:extLst xmlns:c15="http://schemas.microsoft.com/office/drawing/2012/chart">
                  <c:ext xmlns:c16="http://schemas.microsoft.com/office/drawing/2014/chart" uri="{C3380CC4-5D6E-409C-BE32-E72D297353CC}">
                    <c16:uniqueId val="{00000027-85F1-4E93-8343-9A44188D74B0}"/>
                  </c:ext>
                </c:extLst>
              </c15:ser>
            </c15:filteredLineSeries>
            <c15:filteredLineSeries>
              <c15:ser>
                <c:idx val="36"/>
                <c:order val="36"/>
                <c:tx>
                  <c:strRef>
                    <c:extLst xmlns:c15="http://schemas.microsoft.com/office/drawing/2012/chart">
                      <c:ext xmlns:c15="http://schemas.microsoft.com/office/drawing/2012/chart" uri="{02D57815-91ED-43cb-92C2-25804820EDAC}">
                        <c15:formulaRef>
                          <c15:sqref>'Table for graphs 24-25 '!$A$38</c15:sqref>
                        </c15:formulaRef>
                      </c:ext>
                    </c:extLst>
                    <c:strCache>
                      <c:ptCount val="1"/>
                      <c:pt idx="0">
                        <c:v>Head and neck - Trajectory Total</c:v>
                      </c:pt>
                    </c:strCache>
                  </c:strRef>
                </c:tx>
                <c:spPr>
                  <a:ln w="28575" cap="rnd">
                    <a:solidFill>
                      <a:schemeClr val="accent5">
                        <a:shade val="8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'!$B$38:$DB$38</c15:sqref>
                        </c15:formulaRef>
                      </c:ext>
                    </c:extLst>
                    <c:numCache>
                      <c:formatCode>General</c:formatCode>
                      <c:ptCount val="105"/>
                      <c:pt idx="53" formatCode="0">
                        <c:v>8.25</c:v>
                      </c:pt>
                      <c:pt idx="54" formatCode="0">
                        <c:v>6.6000000000000005</c:v>
                      </c:pt>
                      <c:pt idx="55" formatCode="0">
                        <c:v>6.9000000000000012</c:v>
                      </c:pt>
                      <c:pt idx="56" formatCode="0">
                        <c:v>5.7000000000000011</c:v>
                      </c:pt>
                      <c:pt idx="57" formatCode="0">
                        <c:v>5.7000000000000011</c:v>
                      </c:pt>
                      <c:pt idx="58" formatCode="0">
                        <c:v>6.6000000000000005</c:v>
                      </c:pt>
                      <c:pt idx="59" formatCode="0">
                        <c:v>6.6000000000000005</c:v>
                      </c:pt>
                      <c:pt idx="60" formatCode="0">
                        <c:v>8.7000000000000011</c:v>
                      </c:pt>
                      <c:pt idx="61" formatCode="0">
                        <c:v>8.7000000000000011</c:v>
                      </c:pt>
                      <c:pt idx="62" formatCode="0">
                        <c:v>8.7000000000000011</c:v>
                      </c:pt>
                      <c:pt idx="63" formatCode="0">
                        <c:v>8.8500000000000014</c:v>
                      </c:pt>
                      <c:pt idx="64" formatCode="0">
                        <c:v>8.8500000000000014</c:v>
                      </c:pt>
                      <c:pt idx="65" formatCode="0">
                        <c:v>8.370000000000001</c:v>
                      </c:pt>
                      <c:pt idx="66" formatCode="0">
                        <c:v>7.0335000000000019</c:v>
                      </c:pt>
                      <c:pt idx="67" formatCode="0">
                        <c:v>7.0335000000000019</c:v>
                      </c:pt>
                      <c:pt idx="68" formatCode="0">
                        <c:v>7.4655000000000022</c:v>
                      </c:pt>
                      <c:pt idx="69" formatCode="0">
                        <c:v>6.5700450000000012</c:v>
                      </c:pt>
                      <c:pt idx="70" formatCode="0">
                        <c:v>6.5700450000000012</c:v>
                      </c:pt>
                      <c:pt idx="71" formatCode="0">
                        <c:v>7.8633652500000029</c:v>
                      </c:pt>
                      <c:pt idx="72" formatCode="0">
                        <c:v>9.963271350000003</c:v>
                      </c:pt>
                      <c:pt idx="73" formatCode="0">
                        <c:v>9.963271350000003</c:v>
                      </c:pt>
                      <c:pt idx="74" formatCode="0">
                        <c:v>11.254992322500001</c:v>
                      </c:pt>
                      <c:pt idx="75" formatCode="0">
                        <c:v>12.195888322500002</c:v>
                      </c:pt>
                      <c:pt idx="76" formatCode="0">
                        <c:v>9.2584754257500013</c:v>
                      </c:pt>
                      <c:pt idx="77" formatCode="0">
                        <c:v>8.392851105750001</c:v>
                      </c:pt>
                      <c:pt idx="78" formatCode="0">
                        <c:v>7.7324481672525023</c:v>
                      </c:pt>
                      <c:pt idx="79" formatCode="0">
                        <c:v>7.1928756744525018</c:v>
                      </c:pt>
                      <c:pt idx="80" formatCode="0">
                        <c:v>7.1928756744525018</c:v>
                      </c:pt>
                      <c:pt idx="81" formatCode="0">
                        <c:v>7.1928756744525018</c:v>
                      </c:pt>
                      <c:pt idx="82" formatCode="0">
                        <c:v>6.4644528091725011</c:v>
                      </c:pt>
                      <c:pt idx="83" formatCode="0">
                        <c:v>6.8772257661645018</c:v>
                      </c:pt>
                      <c:pt idx="84" formatCode="0">
                        <c:v>6.4231755134733017</c:v>
                      </c:pt>
                      <c:pt idx="85" formatCode="0">
                        <c:v>6.4231755134733017</c:v>
                      </c:pt>
                      <c:pt idx="86" formatCode="0">
                        <c:v>6.4231755134733017</c:v>
                      </c:pt>
                      <c:pt idx="87" formatCode="0">
                        <c:v>5.6058850586291413</c:v>
                      </c:pt>
                      <c:pt idx="88" formatCode="0">
                        <c:v>5.6058850586291413</c:v>
                      </c:pt>
                      <c:pt idx="89" formatCode="0">
                        <c:v>5.6058850586291413</c:v>
                      </c:pt>
                      <c:pt idx="90" formatCode="0">
                        <c:v>6.0962593315356379</c:v>
                      </c:pt>
                      <c:pt idx="91" formatCode="0">
                        <c:v>7.7371603263821722</c:v>
                      </c:pt>
                      <c:pt idx="92" formatCode="0">
                        <c:v>8.0694963072473058</c:v>
                      </c:pt>
                      <c:pt idx="93" formatCode="0">
                        <c:v>7.2236006864836009</c:v>
                      </c:pt>
                      <c:pt idx="94" formatCode="0">
                        <c:v>7.2236006864836009</c:v>
                      </c:pt>
                      <c:pt idx="95" formatCode="0">
                        <c:v>7.9426119641327508</c:v>
                      </c:pt>
                      <c:pt idx="96" formatCode="0">
                        <c:v>7.1483507677194762</c:v>
                      </c:pt>
                      <c:pt idx="97" formatCode="0">
                        <c:v>6.5428743385445456</c:v>
                      </c:pt>
                      <c:pt idx="98" formatCode="0">
                        <c:v>5.5459716164871349</c:v>
                      </c:pt>
                      <c:pt idx="99" formatCode="0">
                        <c:v>4.4743572082788408</c:v>
                      </c:pt>
                      <c:pt idx="100" formatCode="0">
                        <c:v>4.4743572082788408</c:v>
                      </c:pt>
                      <c:pt idx="101" formatCode="0">
                        <c:v>4.2243138463635734</c:v>
                      </c:pt>
                      <c:pt idx="102" formatCode="0">
                        <c:v>3.9992748206398314</c:v>
                      </c:pt>
                      <c:pt idx="103" formatCode="0">
                        <c:v>3.9992748206398314</c:v>
                      </c:pt>
                      <c:pt idx="104" formatCode="0">
                        <c:v>4.2018099437911989</c:v>
                      </c:pt>
                    </c:numCache>
                  </c:numRef>
                </c:val>
                <c:smooth val="0"/>
                <c:extLst xmlns:c15="http://schemas.microsoft.com/office/drawing/2012/chart">
                  <c:ext xmlns:c16="http://schemas.microsoft.com/office/drawing/2014/chart" uri="{C3380CC4-5D6E-409C-BE32-E72D297353CC}">
                    <c16:uniqueId val="{00000028-85F1-4E93-8343-9A44188D74B0}"/>
                  </c:ext>
                </c:extLst>
              </c15:ser>
            </c15:filteredLineSeries>
            <c15:filteredLineSeries>
              <c15:ser>
                <c:idx val="37"/>
                <c:order val="37"/>
                <c:tx>
                  <c:strRef>
                    <c:extLst xmlns:c15="http://schemas.microsoft.com/office/drawing/2012/chart">
                      <c:ext xmlns:c15="http://schemas.microsoft.com/office/drawing/2012/chart" uri="{02D57815-91ED-43cb-92C2-25804820EDAC}">
                        <c15:formulaRef>
                          <c15:sqref>'Table for graphs 24-25 '!$A$39</c15:sqref>
                        </c15:formulaRef>
                      </c:ext>
                    </c:extLst>
                    <c:strCache>
                      <c:ptCount val="1"/>
                      <c:pt idx="0">
                        <c:v>Lower Gastrointestinal - Trajectory Total</c:v>
                      </c:pt>
                    </c:strCache>
                  </c:strRef>
                </c:tx>
                <c:spPr>
                  <a:ln w="28575" cap="rnd">
                    <a:solidFill>
                      <a:schemeClr val="accent5">
                        <a:shade val="86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'!$B$39:$DB$39</c15:sqref>
                        </c15:formulaRef>
                      </c:ext>
                    </c:extLst>
                    <c:numCache>
                      <c:formatCode>General</c:formatCode>
                      <c:ptCount val="105"/>
                      <c:pt idx="53" formatCode="0">
                        <c:v>39.950000000000003</c:v>
                      </c:pt>
                      <c:pt idx="54" formatCode="0">
                        <c:v>38.952500000000001</c:v>
                      </c:pt>
                      <c:pt idx="55" formatCode="0">
                        <c:v>37.952500000000001</c:v>
                      </c:pt>
                      <c:pt idx="56" formatCode="0">
                        <c:v>37.002499999999998</c:v>
                      </c:pt>
                      <c:pt idx="57" formatCode="0">
                        <c:v>37.002499999999998</c:v>
                      </c:pt>
                      <c:pt idx="58" formatCode="0">
                        <c:v>36.054874999999996</c:v>
                      </c:pt>
                      <c:pt idx="59" formatCode="0">
                        <c:v>36.054874999999996</c:v>
                      </c:pt>
                      <c:pt idx="60" formatCode="0">
                        <c:v>37.85761875</c:v>
                      </c:pt>
                      <c:pt idx="61" formatCode="0">
                        <c:v>37.85761875</c:v>
                      </c:pt>
                      <c:pt idx="62" formatCode="0">
                        <c:v>36.909993749999998</c:v>
                      </c:pt>
                      <c:pt idx="63" formatCode="0">
                        <c:v>35.96473781249999</c:v>
                      </c:pt>
                      <c:pt idx="64" formatCode="0">
                        <c:v>35.96473781249999</c:v>
                      </c:pt>
                      <c:pt idx="65" formatCode="0">
                        <c:v>33.268507781249994</c:v>
                      </c:pt>
                      <c:pt idx="66" formatCode="0">
                        <c:v>29.180500912499994</c:v>
                      </c:pt>
                      <c:pt idx="67" formatCode="0">
                        <c:v>29.180500912499994</c:v>
                      </c:pt>
                      <c:pt idx="68" formatCode="0">
                        <c:v>27.887390789999994</c:v>
                      </c:pt>
                      <c:pt idx="69" formatCode="0">
                        <c:v>27.305491234874992</c:v>
                      </c:pt>
                      <c:pt idx="70" formatCode="0">
                        <c:v>28.411100389612493</c:v>
                      </c:pt>
                      <c:pt idx="71" formatCode="0">
                        <c:v>30.644125393468123</c:v>
                      </c:pt>
                      <c:pt idx="72" formatCode="0">
                        <c:v>31.537842376280622</c:v>
                      </c:pt>
                      <c:pt idx="73" formatCode="0">
                        <c:v>32.814820950002435</c:v>
                      </c:pt>
                      <c:pt idx="74" formatCode="0">
                        <c:v>34.455561997502556</c:v>
                      </c:pt>
                      <c:pt idx="75" formatCode="0">
                        <c:v>36.426207944604123</c:v>
                      </c:pt>
                      <c:pt idx="76" formatCode="0">
                        <c:v>32.78358715014371</c:v>
                      </c:pt>
                      <c:pt idx="77" formatCode="0">
                        <c:v>31.144407792636525</c:v>
                      </c:pt>
                      <c:pt idx="78" formatCode="0">
                        <c:v>30.217711536012015</c:v>
                      </c:pt>
                      <c:pt idx="79" formatCode="0">
                        <c:v>27.826464515418131</c:v>
                      </c:pt>
                      <c:pt idx="80" formatCode="0">
                        <c:v>27.826464515418131</c:v>
                      </c:pt>
                      <c:pt idx="81" formatCode="0">
                        <c:v>27.826464515418131</c:v>
                      </c:pt>
                      <c:pt idx="82" formatCode="0">
                        <c:v>25.043818063876316</c:v>
                      </c:pt>
                      <c:pt idx="83" formatCode="0">
                        <c:v>25.756910833348879</c:v>
                      </c:pt>
                      <c:pt idx="84" formatCode="0">
                        <c:v>23.929967157960178</c:v>
                      </c:pt>
                      <c:pt idx="85" formatCode="0">
                        <c:v>23.929967157960178</c:v>
                      </c:pt>
                      <c:pt idx="86" formatCode="0">
                        <c:v>21.536970442164161</c:v>
                      </c:pt>
                      <c:pt idx="87" formatCode="0">
                        <c:v>18.743094364153755</c:v>
                      </c:pt>
                      <c:pt idx="88" formatCode="0">
                        <c:v>17.412937106463271</c:v>
                      </c:pt>
                      <c:pt idx="89" formatCode="0">
                        <c:v>17.412937106463271</c:v>
                      </c:pt>
                      <c:pt idx="90" formatCode="0">
                        <c:v>19.480715385617863</c:v>
                      </c:pt>
                      <c:pt idx="91" formatCode="0">
                        <c:v>21.782489209714164</c:v>
                      </c:pt>
                      <c:pt idx="92" formatCode="0">
                        <c:v>23.960738130685584</c:v>
                      </c:pt>
                      <c:pt idx="93" formatCode="0">
                        <c:v>23.06587134828326</c:v>
                      </c:pt>
                      <c:pt idx="94" formatCode="0">
                        <c:v>23.06587134828326</c:v>
                      </c:pt>
                      <c:pt idx="95" formatCode="0">
                        <c:v>20.889121153817221</c:v>
                      </c:pt>
                      <c:pt idx="96" formatCode="0">
                        <c:v>19.278360945493034</c:v>
                      </c:pt>
                      <c:pt idx="97" formatCode="0">
                        <c:v>17.347986773223873</c:v>
                      </c:pt>
                      <c:pt idx="98" formatCode="0">
                        <c:v>16.738309067894548</c:v>
                      </c:pt>
                      <c:pt idx="99" formatCode="0">
                        <c:v>15.927437719806544</c:v>
                      </c:pt>
                      <c:pt idx="100" formatCode="0">
                        <c:v>18.082038730440374</c:v>
                      </c:pt>
                      <c:pt idx="101" formatCode="0">
                        <c:v>16.142897820869926</c:v>
                      </c:pt>
                      <c:pt idx="102" formatCode="0">
                        <c:v>15.369732920874316</c:v>
                      </c:pt>
                      <c:pt idx="103" formatCode="0">
                        <c:v>14.270886405451066</c:v>
                      </c:pt>
                      <c:pt idx="104" formatCode="0">
                        <c:v>15.259848269331993</c:v>
                      </c:pt>
                    </c:numCache>
                  </c:numRef>
                </c:val>
                <c:smooth val="0"/>
                <c:extLst xmlns:c15="http://schemas.microsoft.com/office/drawing/2012/chart">
                  <c:ext xmlns:c16="http://schemas.microsoft.com/office/drawing/2014/chart" uri="{C3380CC4-5D6E-409C-BE32-E72D297353CC}">
                    <c16:uniqueId val="{00000029-85F1-4E93-8343-9A44188D74B0}"/>
                  </c:ext>
                </c:extLst>
              </c15:ser>
            </c15:filteredLineSeries>
            <c15:filteredLineSeries>
              <c15:ser>
                <c:idx val="38"/>
                <c:order val="38"/>
                <c:tx>
                  <c:strRef>
                    <c:extLst xmlns:c15="http://schemas.microsoft.com/office/drawing/2012/chart">
                      <c:ext xmlns:c15="http://schemas.microsoft.com/office/drawing/2012/chart" uri="{02D57815-91ED-43cb-92C2-25804820EDAC}">
                        <c15:formulaRef>
                          <c15:sqref>'Table for graphs 24-25 '!$A$40</c15:sqref>
                        </c15:formulaRef>
                      </c:ext>
                    </c:extLst>
                    <c:strCache>
                      <c:ptCount val="1"/>
                      <c:pt idx="0">
                        <c:v>Lung - Trajectory Total</c:v>
                      </c:pt>
                    </c:strCache>
                  </c:strRef>
                </c:tx>
                <c:spPr>
                  <a:ln w="28575" cap="rnd">
                    <a:solidFill>
                      <a:schemeClr val="accent5">
                        <a:shade val="87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'!$B$40:$DB$40</c15:sqref>
                        </c15:formulaRef>
                      </c:ext>
                    </c:extLst>
                    <c:numCache>
                      <c:formatCode>General</c:formatCode>
                      <c:ptCount val="105"/>
                      <c:pt idx="53" formatCode="0">
                        <c:v>17.2</c:v>
                      </c:pt>
                      <c:pt idx="54" formatCode="0">
                        <c:v>17.2</c:v>
                      </c:pt>
                      <c:pt idx="55" formatCode="0">
                        <c:v>17.920000000000002</c:v>
                      </c:pt>
                      <c:pt idx="56" formatCode="0">
                        <c:v>18.920000000000002</c:v>
                      </c:pt>
                      <c:pt idx="57" formatCode="0">
                        <c:v>17.82</c:v>
                      </c:pt>
                      <c:pt idx="58" formatCode="0">
                        <c:v>17.028000000000002</c:v>
                      </c:pt>
                      <c:pt idx="59" formatCode="0">
                        <c:v>17.028000000000002</c:v>
                      </c:pt>
                      <c:pt idx="60" formatCode="0">
                        <c:v>18.730800000000002</c:v>
                      </c:pt>
                      <c:pt idx="61" formatCode="0">
                        <c:v>18.730800000000002</c:v>
                      </c:pt>
                      <c:pt idx="62" formatCode="0">
                        <c:v>17.641800000000003</c:v>
                      </c:pt>
                      <c:pt idx="63" formatCode="0">
                        <c:v>15.87762</c:v>
                      </c:pt>
                      <c:pt idx="64" formatCode="0">
                        <c:v>15.87762</c:v>
                      </c:pt>
                      <c:pt idx="65" formatCode="0">
                        <c:v>14.289858000000002</c:v>
                      </c:pt>
                      <c:pt idx="66" formatCode="0">
                        <c:v>13.495977000000002</c:v>
                      </c:pt>
                      <c:pt idx="67" formatCode="0">
                        <c:v>13.495977000000002</c:v>
                      </c:pt>
                      <c:pt idx="68" formatCode="0">
                        <c:v>14.210469900000003</c:v>
                      </c:pt>
                      <c:pt idx="69" formatCode="0">
                        <c:v>14.996412090000003</c:v>
                      </c:pt>
                      <c:pt idx="70" formatCode="0">
                        <c:v>14.996412090000003</c:v>
                      </c:pt>
                      <c:pt idx="71" formatCode="0">
                        <c:v>15.631516890000004</c:v>
                      </c:pt>
                      <c:pt idx="72" formatCode="0">
                        <c:v>16.330132170000006</c:v>
                      </c:pt>
                      <c:pt idx="73" formatCode="0">
                        <c:v>16.330132170000006</c:v>
                      </c:pt>
                      <c:pt idx="74" formatCode="0">
                        <c:v>17.098608978000005</c:v>
                      </c:pt>
                      <c:pt idx="75" formatCode="0">
                        <c:v>18.827681796000007</c:v>
                      </c:pt>
                      <c:pt idx="76" formatCode="0">
                        <c:v>16.752794414400007</c:v>
                      </c:pt>
                      <c:pt idx="77" formatCode="0">
                        <c:v>15.077514972960007</c:v>
                      </c:pt>
                      <c:pt idx="78" formatCode="0">
                        <c:v>15.077514972960007</c:v>
                      </c:pt>
                      <c:pt idx="79" formatCode="0">
                        <c:v>13.569763475664006</c:v>
                      </c:pt>
                      <c:pt idx="80" formatCode="0">
                        <c:v>13.569763475664006</c:v>
                      </c:pt>
                      <c:pt idx="81" formatCode="0">
                        <c:v>14.254476311592008</c:v>
                      </c:pt>
                      <c:pt idx="82" formatCode="0">
                        <c:v>13.501292192071206</c:v>
                      </c:pt>
                      <c:pt idx="83" formatCode="0">
                        <c:v>14.857023607208646</c:v>
                      </c:pt>
                      <c:pt idx="84" formatCode="0">
                        <c:v>13.778040671029014</c:v>
                      </c:pt>
                      <c:pt idx="85" formatCode="0">
                        <c:v>14.550807577657356</c:v>
                      </c:pt>
                      <c:pt idx="86" formatCode="0">
                        <c:v>13.945770417182796</c:v>
                      </c:pt>
                      <c:pt idx="87" formatCode="0">
                        <c:v>12.006659931037413</c:v>
                      </c:pt>
                      <c:pt idx="88" formatCode="0">
                        <c:v>12.006659931037413</c:v>
                      </c:pt>
                      <c:pt idx="89" formatCode="0">
                        <c:v>13.536738406161529</c:v>
                      </c:pt>
                      <c:pt idx="90" formatCode="0">
                        <c:v>14.454785491235999</c:v>
                      </c:pt>
                      <c:pt idx="91" formatCode="0">
                        <c:v>16.335890795901282</c:v>
                      </c:pt>
                      <c:pt idx="92" formatCode="0">
                        <c:v>17.969479875491412</c:v>
                      </c:pt>
                      <c:pt idx="93" formatCode="0">
                        <c:v>17.358519540374353</c:v>
                      </c:pt>
                      <c:pt idx="94" formatCode="0">
                        <c:v>17.358519540374353</c:v>
                      </c:pt>
                      <c:pt idx="95" formatCode="0">
                        <c:v>16.007205344684053</c:v>
                      </c:pt>
                      <c:pt idx="96" formatCode="0">
                        <c:v>13.746640963596658</c:v>
                      </c:pt>
                      <c:pt idx="97" formatCode="0">
                        <c:v>11.712133020618005</c:v>
                      </c:pt>
                      <c:pt idx="98" formatCode="0">
                        <c:v>10.77186506487285</c:v>
                      </c:pt>
                      <c:pt idx="99" formatCode="0">
                        <c:v>10.77186506487285</c:v>
                      </c:pt>
                      <c:pt idx="100" formatCode="0">
                        <c:v>11.618106225043491</c:v>
                      </c:pt>
                      <c:pt idx="101" formatCode="0">
                        <c:v>9.2909430345742319</c:v>
                      </c:pt>
                      <c:pt idx="102" formatCode="0">
                        <c:v>9.2909430345742319</c:v>
                      </c:pt>
                      <c:pt idx="103" formatCode="0">
                        <c:v>9.2909430345742319</c:v>
                      </c:pt>
                      <c:pt idx="104" formatCode="0">
                        <c:v>9.9890919917150107</c:v>
                      </c:pt>
                    </c:numCache>
                  </c:numRef>
                </c:val>
                <c:smooth val="0"/>
                <c:extLst xmlns:c15="http://schemas.microsoft.com/office/drawing/2012/chart">
                  <c:ext xmlns:c16="http://schemas.microsoft.com/office/drawing/2014/chart" uri="{C3380CC4-5D6E-409C-BE32-E72D297353CC}">
                    <c16:uniqueId val="{0000002A-85F1-4E93-8343-9A44188D74B0}"/>
                  </c:ext>
                </c:extLst>
              </c15:ser>
            </c15:filteredLineSeries>
            <c15:filteredLineSeries>
              <c15:ser>
                <c:idx val="39"/>
                <c:order val="39"/>
                <c:tx>
                  <c:strRef>
                    <c:extLst xmlns:c15="http://schemas.microsoft.com/office/drawing/2012/chart">
                      <c:ext xmlns:c15="http://schemas.microsoft.com/office/drawing/2012/chart" uri="{02D57815-91ED-43cb-92C2-25804820EDAC}">
                        <c15:formulaRef>
                          <c15:sqref>'Table for graphs 24-25 '!$A$41</c15:sqref>
                        </c15:formulaRef>
                      </c:ext>
                    </c:extLst>
                    <c:strCache>
                      <c:ptCount val="1"/>
                      <c:pt idx="0">
                        <c:v>Other - Trajectory Total</c:v>
                      </c:pt>
                    </c:strCache>
                  </c:strRef>
                </c:tx>
                <c:spPr>
                  <a:ln w="28575" cap="rnd">
                    <a:solidFill>
                      <a:schemeClr val="accent5">
                        <a:shade val="88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'!$B$41:$DB$41</c15:sqref>
                        </c15:formulaRef>
                      </c:ext>
                    </c:extLst>
                    <c:numCache>
                      <c:formatCode>General</c:formatCode>
                      <c:ptCount val="105"/>
                      <c:pt idx="53" formatCode="0">
                        <c:v>0</c:v>
                      </c:pt>
                      <c:pt idx="54" formatCode="0">
                        <c:v>0</c:v>
                      </c:pt>
                      <c:pt idx="55" formatCode="0">
                        <c:v>0</c:v>
                      </c:pt>
                      <c:pt idx="56" formatCode="0">
                        <c:v>0</c:v>
                      </c:pt>
                      <c:pt idx="57" formatCode="0">
                        <c:v>0</c:v>
                      </c:pt>
                      <c:pt idx="58" formatCode="0">
                        <c:v>0</c:v>
                      </c:pt>
                      <c:pt idx="59" formatCode="0">
                        <c:v>0</c:v>
                      </c:pt>
                      <c:pt idx="60" formatCode="0">
                        <c:v>0</c:v>
                      </c:pt>
                      <c:pt idx="61" formatCode="0">
                        <c:v>0</c:v>
                      </c:pt>
                      <c:pt idx="62" formatCode="0">
                        <c:v>0</c:v>
                      </c:pt>
                      <c:pt idx="63" formatCode="0">
                        <c:v>0</c:v>
                      </c:pt>
                      <c:pt idx="64" formatCode="0">
                        <c:v>0</c:v>
                      </c:pt>
                      <c:pt idx="65" formatCode="0">
                        <c:v>1</c:v>
                      </c:pt>
                      <c:pt idx="66" formatCode="0">
                        <c:v>1</c:v>
                      </c:pt>
                      <c:pt idx="67" formatCode="0">
                        <c:v>0</c:v>
                      </c:pt>
                      <c:pt idx="68" formatCode="0">
                        <c:v>0</c:v>
                      </c:pt>
                      <c:pt idx="69" formatCode="0">
                        <c:v>0</c:v>
                      </c:pt>
                      <c:pt idx="70" formatCode="0">
                        <c:v>0</c:v>
                      </c:pt>
                      <c:pt idx="71" formatCode="0">
                        <c:v>0</c:v>
                      </c:pt>
                      <c:pt idx="72" formatCode="0">
                        <c:v>0</c:v>
                      </c:pt>
                      <c:pt idx="73" formatCode="0">
                        <c:v>0</c:v>
                      </c:pt>
                      <c:pt idx="74" formatCode="0">
                        <c:v>1</c:v>
                      </c:pt>
                      <c:pt idx="75" formatCode="0">
                        <c:v>1</c:v>
                      </c:pt>
                      <c:pt idx="76" formatCode="0">
                        <c:v>0</c:v>
                      </c:pt>
                      <c:pt idx="77" formatCode="0">
                        <c:v>0</c:v>
                      </c:pt>
                      <c:pt idx="78" formatCode="0">
                        <c:v>0</c:v>
                      </c:pt>
                      <c:pt idx="79" formatCode="0">
                        <c:v>0</c:v>
                      </c:pt>
                      <c:pt idx="80" formatCode="0">
                        <c:v>0</c:v>
                      </c:pt>
                      <c:pt idx="81" formatCode="0">
                        <c:v>0</c:v>
                      </c:pt>
                      <c:pt idx="82" formatCode="0">
                        <c:v>0</c:v>
                      </c:pt>
                      <c:pt idx="83" formatCode="0">
                        <c:v>0</c:v>
                      </c:pt>
                      <c:pt idx="84" formatCode="0">
                        <c:v>0</c:v>
                      </c:pt>
                      <c:pt idx="85" formatCode="0">
                        <c:v>0</c:v>
                      </c:pt>
                      <c:pt idx="86" formatCode="0">
                        <c:v>0</c:v>
                      </c:pt>
                      <c:pt idx="87" formatCode="0">
                        <c:v>0</c:v>
                      </c:pt>
                      <c:pt idx="88" formatCode="0">
                        <c:v>0</c:v>
                      </c:pt>
                      <c:pt idx="89" formatCode="0">
                        <c:v>0</c:v>
                      </c:pt>
                      <c:pt idx="90" formatCode="0">
                        <c:v>0</c:v>
                      </c:pt>
                      <c:pt idx="91" formatCode="0">
                        <c:v>0</c:v>
                      </c:pt>
                      <c:pt idx="92" formatCode="0">
                        <c:v>0</c:v>
                      </c:pt>
                      <c:pt idx="93" formatCode="0">
                        <c:v>0</c:v>
                      </c:pt>
                      <c:pt idx="94" formatCode="0">
                        <c:v>0</c:v>
                      </c:pt>
                      <c:pt idx="95" formatCode="0">
                        <c:v>0</c:v>
                      </c:pt>
                      <c:pt idx="96" formatCode="0">
                        <c:v>0</c:v>
                      </c:pt>
                      <c:pt idx="97" formatCode="0">
                        <c:v>0</c:v>
                      </c:pt>
                      <c:pt idx="98" formatCode="0">
                        <c:v>0</c:v>
                      </c:pt>
                      <c:pt idx="99" formatCode="0">
                        <c:v>0</c:v>
                      </c:pt>
                      <c:pt idx="100" formatCode="0">
                        <c:v>0</c:v>
                      </c:pt>
                      <c:pt idx="101" formatCode="0">
                        <c:v>0</c:v>
                      </c:pt>
                      <c:pt idx="102" formatCode="0">
                        <c:v>0</c:v>
                      </c:pt>
                      <c:pt idx="103" formatCode="0">
                        <c:v>0</c:v>
                      </c:pt>
                      <c:pt idx="104" formatCode="0">
                        <c:v>0</c:v>
                      </c:pt>
                    </c:numCache>
                  </c:numRef>
                </c:val>
                <c:smooth val="0"/>
                <c:extLst xmlns:c15="http://schemas.microsoft.com/office/drawing/2012/chart">
                  <c:ext xmlns:c16="http://schemas.microsoft.com/office/drawing/2014/chart" uri="{C3380CC4-5D6E-409C-BE32-E72D297353CC}">
                    <c16:uniqueId val="{0000002B-85F1-4E93-8343-9A44188D74B0}"/>
                  </c:ext>
                </c:extLst>
              </c15:ser>
            </c15:filteredLineSeries>
            <c15:filteredLineSeries>
              <c15:ser>
                <c:idx val="40"/>
                <c:order val="40"/>
                <c:tx>
                  <c:strRef>
                    <c:extLst xmlns:c15="http://schemas.microsoft.com/office/drawing/2012/chart">
                      <c:ext xmlns:c15="http://schemas.microsoft.com/office/drawing/2012/chart" uri="{02D57815-91ED-43cb-92C2-25804820EDAC}">
                        <c15:formulaRef>
                          <c15:sqref>'Table for graphs 24-25 '!$A$42</c15:sqref>
                        </c15:formulaRef>
                      </c:ext>
                    </c:extLst>
                    <c:strCache>
                      <c:ptCount val="1"/>
                      <c:pt idx="0">
                        <c:v>Sarcoma - Trajectory Total</c:v>
                      </c:pt>
                    </c:strCache>
                  </c:strRef>
                </c:tx>
                <c:spPr>
                  <a:ln w="28575" cap="rnd">
                    <a:solidFill>
                      <a:schemeClr val="accent5">
                        <a:shade val="90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'!$B$42:$DB$42</c15:sqref>
                        </c15:formulaRef>
                      </c:ext>
                    </c:extLst>
                    <c:numCache>
                      <c:formatCode>General</c:formatCode>
                      <c:ptCount val="105"/>
                      <c:pt idx="53" formatCode="0">
                        <c:v>2</c:v>
                      </c:pt>
                      <c:pt idx="54" formatCode="0">
                        <c:v>2</c:v>
                      </c:pt>
                      <c:pt idx="55" formatCode="0">
                        <c:v>2</c:v>
                      </c:pt>
                      <c:pt idx="56" formatCode="0">
                        <c:v>3</c:v>
                      </c:pt>
                      <c:pt idx="57" formatCode="0">
                        <c:v>2</c:v>
                      </c:pt>
                      <c:pt idx="58" formatCode="0">
                        <c:v>2</c:v>
                      </c:pt>
                      <c:pt idx="59" formatCode="0">
                        <c:v>2</c:v>
                      </c:pt>
                      <c:pt idx="60" formatCode="0">
                        <c:v>3</c:v>
                      </c:pt>
                      <c:pt idx="61" formatCode="0">
                        <c:v>3</c:v>
                      </c:pt>
                      <c:pt idx="62" formatCode="0">
                        <c:v>3</c:v>
                      </c:pt>
                      <c:pt idx="63" formatCode="0">
                        <c:v>2</c:v>
                      </c:pt>
                      <c:pt idx="64" formatCode="0">
                        <c:v>2</c:v>
                      </c:pt>
                      <c:pt idx="65" formatCode="0">
                        <c:v>2</c:v>
                      </c:pt>
                      <c:pt idx="66" formatCode="0">
                        <c:v>2</c:v>
                      </c:pt>
                      <c:pt idx="67" formatCode="0">
                        <c:v>1</c:v>
                      </c:pt>
                      <c:pt idx="68" formatCode="0">
                        <c:v>1</c:v>
                      </c:pt>
                      <c:pt idx="69" formatCode="0">
                        <c:v>2</c:v>
                      </c:pt>
                      <c:pt idx="70" formatCode="0">
                        <c:v>2</c:v>
                      </c:pt>
                      <c:pt idx="71" formatCode="0">
                        <c:v>3</c:v>
                      </c:pt>
                      <c:pt idx="72" formatCode="0">
                        <c:v>3</c:v>
                      </c:pt>
                      <c:pt idx="73" formatCode="0">
                        <c:v>3</c:v>
                      </c:pt>
                      <c:pt idx="74" formatCode="0">
                        <c:v>4</c:v>
                      </c:pt>
                      <c:pt idx="75" formatCode="0">
                        <c:v>5</c:v>
                      </c:pt>
                      <c:pt idx="76" formatCode="0">
                        <c:v>5</c:v>
                      </c:pt>
                      <c:pt idx="77" formatCode="0">
                        <c:v>5</c:v>
                      </c:pt>
                      <c:pt idx="78" formatCode="0">
                        <c:v>5</c:v>
                      </c:pt>
                      <c:pt idx="79" formatCode="0">
                        <c:v>4</c:v>
                      </c:pt>
                      <c:pt idx="80" formatCode="0">
                        <c:v>4</c:v>
                      </c:pt>
                      <c:pt idx="81" formatCode="0">
                        <c:v>4</c:v>
                      </c:pt>
                      <c:pt idx="82" formatCode="0">
                        <c:v>4</c:v>
                      </c:pt>
                      <c:pt idx="83" formatCode="0">
                        <c:v>5</c:v>
                      </c:pt>
                      <c:pt idx="84" formatCode="0">
                        <c:v>5</c:v>
                      </c:pt>
                      <c:pt idx="85" formatCode="0">
                        <c:v>5</c:v>
                      </c:pt>
                      <c:pt idx="86" formatCode="0">
                        <c:v>5</c:v>
                      </c:pt>
                      <c:pt idx="87" formatCode="0">
                        <c:v>4</c:v>
                      </c:pt>
                      <c:pt idx="88" formatCode="0">
                        <c:v>4</c:v>
                      </c:pt>
                      <c:pt idx="89" formatCode="0">
                        <c:v>4</c:v>
                      </c:pt>
                      <c:pt idx="90" formatCode="0">
                        <c:v>5</c:v>
                      </c:pt>
                      <c:pt idx="91" formatCode="0">
                        <c:v>6</c:v>
                      </c:pt>
                      <c:pt idx="92" formatCode="0">
                        <c:v>7</c:v>
                      </c:pt>
                      <c:pt idx="93" formatCode="0">
                        <c:v>6</c:v>
                      </c:pt>
                      <c:pt idx="94" formatCode="0">
                        <c:v>6</c:v>
                      </c:pt>
                      <c:pt idx="95" formatCode="0">
                        <c:v>6</c:v>
                      </c:pt>
                      <c:pt idx="96" formatCode="0">
                        <c:v>5</c:v>
                      </c:pt>
                      <c:pt idx="97" formatCode="0">
                        <c:v>4</c:v>
                      </c:pt>
                      <c:pt idx="98" formatCode="0">
                        <c:v>4</c:v>
                      </c:pt>
                      <c:pt idx="99" formatCode="0">
                        <c:v>4</c:v>
                      </c:pt>
                      <c:pt idx="100" formatCode="0">
                        <c:v>5</c:v>
                      </c:pt>
                      <c:pt idx="101" formatCode="0">
                        <c:v>4</c:v>
                      </c:pt>
                      <c:pt idx="102" formatCode="0">
                        <c:v>4</c:v>
                      </c:pt>
                      <c:pt idx="103" formatCode="0">
                        <c:v>4</c:v>
                      </c:pt>
                      <c:pt idx="104" formatCode="0">
                        <c:v>4</c:v>
                      </c:pt>
                    </c:numCache>
                  </c:numRef>
                </c:val>
                <c:smooth val="0"/>
                <c:extLst xmlns:c15="http://schemas.microsoft.com/office/drawing/2012/chart">
                  <c:ext xmlns:c16="http://schemas.microsoft.com/office/drawing/2014/chart" uri="{C3380CC4-5D6E-409C-BE32-E72D297353CC}">
                    <c16:uniqueId val="{0000002C-85F1-4E93-8343-9A44188D74B0}"/>
                  </c:ext>
                </c:extLst>
              </c15:ser>
            </c15:filteredLineSeries>
            <c15:filteredLineSeries>
              <c15:ser>
                <c:idx val="41"/>
                <c:order val="41"/>
                <c:tx>
                  <c:strRef>
                    <c:extLst xmlns:c15="http://schemas.microsoft.com/office/drawing/2012/chart">
                      <c:ext xmlns:c15="http://schemas.microsoft.com/office/drawing/2012/chart" uri="{02D57815-91ED-43cb-92C2-25804820EDAC}">
                        <c15:formulaRef>
                          <c15:sqref>'Table for graphs 24-25 '!$A$43</c15:sqref>
                        </c15:formulaRef>
                      </c:ext>
                    </c:extLst>
                    <c:strCache>
                      <c:ptCount val="1"/>
                      <c:pt idx="0">
                        <c:v>Skin - Trajectory Total</c:v>
                      </c:pt>
                    </c:strCache>
                  </c:strRef>
                </c:tx>
                <c:spPr>
                  <a:ln w="28575" cap="rnd">
                    <a:solidFill>
                      <a:schemeClr val="accent5">
                        <a:shade val="91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'!$B$43:$DB$43</c15:sqref>
                        </c15:formulaRef>
                      </c:ext>
                    </c:extLst>
                    <c:numCache>
                      <c:formatCode>General</c:formatCode>
                      <c:ptCount val="105"/>
                      <c:pt idx="53" formatCode="0">
                        <c:v>18</c:v>
                      </c:pt>
                      <c:pt idx="54" formatCode="0">
                        <c:v>16</c:v>
                      </c:pt>
                      <c:pt idx="55" formatCode="0">
                        <c:v>15</c:v>
                      </c:pt>
                      <c:pt idx="56" formatCode="0">
                        <c:v>15</c:v>
                      </c:pt>
                      <c:pt idx="57" formatCode="0">
                        <c:v>14</c:v>
                      </c:pt>
                      <c:pt idx="58" formatCode="0">
                        <c:v>13</c:v>
                      </c:pt>
                      <c:pt idx="59" formatCode="0">
                        <c:v>12</c:v>
                      </c:pt>
                      <c:pt idx="60" formatCode="0">
                        <c:v>14</c:v>
                      </c:pt>
                      <c:pt idx="61" formatCode="0">
                        <c:v>14</c:v>
                      </c:pt>
                      <c:pt idx="62" formatCode="0">
                        <c:v>13</c:v>
                      </c:pt>
                      <c:pt idx="63" formatCode="0">
                        <c:v>12</c:v>
                      </c:pt>
                      <c:pt idx="64" formatCode="0">
                        <c:v>11</c:v>
                      </c:pt>
                      <c:pt idx="65" formatCode="0">
                        <c:v>11</c:v>
                      </c:pt>
                      <c:pt idx="66" formatCode="0">
                        <c:v>11</c:v>
                      </c:pt>
                      <c:pt idx="67" formatCode="0">
                        <c:v>12</c:v>
                      </c:pt>
                      <c:pt idx="68" formatCode="0">
                        <c:v>13</c:v>
                      </c:pt>
                      <c:pt idx="69" formatCode="0">
                        <c:v>13</c:v>
                      </c:pt>
                      <c:pt idx="70" formatCode="0">
                        <c:v>14</c:v>
                      </c:pt>
                      <c:pt idx="71" formatCode="0">
                        <c:v>16</c:v>
                      </c:pt>
                      <c:pt idx="72" formatCode="0">
                        <c:v>15</c:v>
                      </c:pt>
                      <c:pt idx="73" formatCode="0">
                        <c:v>16</c:v>
                      </c:pt>
                      <c:pt idx="74" formatCode="0">
                        <c:v>15</c:v>
                      </c:pt>
                      <c:pt idx="75" formatCode="0">
                        <c:v>14</c:v>
                      </c:pt>
                      <c:pt idx="76" formatCode="0">
                        <c:v>15</c:v>
                      </c:pt>
                      <c:pt idx="77" formatCode="0">
                        <c:v>15</c:v>
                      </c:pt>
                      <c:pt idx="78" formatCode="0">
                        <c:v>15</c:v>
                      </c:pt>
                      <c:pt idx="79" formatCode="0">
                        <c:v>15</c:v>
                      </c:pt>
                      <c:pt idx="80" formatCode="0">
                        <c:v>15</c:v>
                      </c:pt>
                      <c:pt idx="81" formatCode="0">
                        <c:v>14</c:v>
                      </c:pt>
                      <c:pt idx="82" formatCode="0">
                        <c:v>13</c:v>
                      </c:pt>
                      <c:pt idx="83" formatCode="0">
                        <c:v>13</c:v>
                      </c:pt>
                      <c:pt idx="84" formatCode="0">
                        <c:v>12</c:v>
                      </c:pt>
                      <c:pt idx="85" formatCode="0">
                        <c:v>11</c:v>
                      </c:pt>
                      <c:pt idx="86" formatCode="0">
                        <c:v>11</c:v>
                      </c:pt>
                      <c:pt idx="87" formatCode="0">
                        <c:v>10</c:v>
                      </c:pt>
                      <c:pt idx="88" formatCode="0">
                        <c:v>10</c:v>
                      </c:pt>
                      <c:pt idx="89" formatCode="0">
                        <c:v>11</c:v>
                      </c:pt>
                      <c:pt idx="90" formatCode="0">
                        <c:v>12</c:v>
                      </c:pt>
                      <c:pt idx="91" formatCode="0">
                        <c:v>13</c:v>
                      </c:pt>
                      <c:pt idx="92" formatCode="0">
                        <c:v>15</c:v>
                      </c:pt>
                      <c:pt idx="93" formatCode="0">
                        <c:v>12</c:v>
                      </c:pt>
                      <c:pt idx="94" formatCode="0">
                        <c:v>12</c:v>
                      </c:pt>
                      <c:pt idx="95" formatCode="0">
                        <c:v>10</c:v>
                      </c:pt>
                      <c:pt idx="96" formatCode="0">
                        <c:v>10</c:v>
                      </c:pt>
                      <c:pt idx="97" formatCode="0">
                        <c:v>10</c:v>
                      </c:pt>
                      <c:pt idx="98" formatCode="0">
                        <c:v>10</c:v>
                      </c:pt>
                      <c:pt idx="99" formatCode="0">
                        <c:v>10</c:v>
                      </c:pt>
                      <c:pt idx="100" formatCode="0">
                        <c:v>10</c:v>
                      </c:pt>
                      <c:pt idx="101" formatCode="0">
                        <c:v>11</c:v>
                      </c:pt>
                      <c:pt idx="102" formatCode="0">
                        <c:v>11</c:v>
                      </c:pt>
                      <c:pt idx="103" formatCode="0">
                        <c:v>11</c:v>
                      </c:pt>
                      <c:pt idx="104" formatCode="0">
                        <c:v>12</c:v>
                      </c:pt>
                    </c:numCache>
                  </c:numRef>
                </c:val>
                <c:smooth val="0"/>
                <c:extLst xmlns:c15="http://schemas.microsoft.com/office/drawing/2012/chart">
                  <c:ext xmlns:c16="http://schemas.microsoft.com/office/drawing/2014/chart" uri="{C3380CC4-5D6E-409C-BE32-E72D297353CC}">
                    <c16:uniqueId val="{0000002D-85F1-4E93-8343-9A44188D74B0}"/>
                  </c:ext>
                </c:extLst>
              </c15:ser>
            </c15:filteredLineSeries>
            <c15:filteredLineSeries>
              <c15:ser>
                <c:idx val="42"/>
                <c:order val="42"/>
                <c:tx>
                  <c:strRef>
                    <c:extLst xmlns:c15="http://schemas.microsoft.com/office/drawing/2012/chart">
                      <c:ext xmlns:c15="http://schemas.microsoft.com/office/drawing/2012/chart" uri="{02D57815-91ED-43cb-92C2-25804820EDAC}">
                        <c15:formulaRef>
                          <c15:sqref>'Table for graphs 24-25 '!$A$44</c15:sqref>
                        </c15:formulaRef>
                      </c:ext>
                    </c:extLst>
                    <c:strCache>
                      <c:ptCount val="1"/>
                      <c:pt idx="0">
                        <c:v>Upper Gastrointestinal - Trajectory Total</c:v>
                      </c:pt>
                    </c:strCache>
                  </c:strRef>
                </c:tx>
                <c:spPr>
                  <a:ln w="28575" cap="rnd">
                    <a:solidFill>
                      <a:schemeClr val="accent5">
                        <a:shade val="93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'!$B$44:$DB$44</c15:sqref>
                        </c15:formulaRef>
                      </c:ext>
                    </c:extLst>
                    <c:numCache>
                      <c:formatCode>General</c:formatCode>
                      <c:ptCount val="105"/>
                      <c:pt idx="53" formatCode="0">
                        <c:v>20</c:v>
                      </c:pt>
                      <c:pt idx="54" formatCode="0">
                        <c:v>19</c:v>
                      </c:pt>
                      <c:pt idx="55" formatCode="0">
                        <c:v>19</c:v>
                      </c:pt>
                      <c:pt idx="56" formatCode="0">
                        <c:v>18</c:v>
                      </c:pt>
                      <c:pt idx="57" formatCode="0">
                        <c:v>18</c:v>
                      </c:pt>
                      <c:pt idx="58" formatCode="0">
                        <c:v>17</c:v>
                      </c:pt>
                      <c:pt idx="59" formatCode="0">
                        <c:v>17</c:v>
                      </c:pt>
                      <c:pt idx="60" formatCode="0">
                        <c:v>18</c:v>
                      </c:pt>
                      <c:pt idx="61" formatCode="0">
                        <c:v>18</c:v>
                      </c:pt>
                      <c:pt idx="62" formatCode="0">
                        <c:v>18</c:v>
                      </c:pt>
                      <c:pt idx="63" formatCode="0">
                        <c:v>17</c:v>
                      </c:pt>
                      <c:pt idx="64" formatCode="0">
                        <c:v>16</c:v>
                      </c:pt>
                      <c:pt idx="65" formatCode="0">
                        <c:v>15</c:v>
                      </c:pt>
                      <c:pt idx="66" formatCode="0">
                        <c:v>15</c:v>
                      </c:pt>
                      <c:pt idx="67" formatCode="0">
                        <c:v>16</c:v>
                      </c:pt>
                      <c:pt idx="68" formatCode="0">
                        <c:v>16</c:v>
                      </c:pt>
                      <c:pt idx="69" formatCode="0">
                        <c:v>16</c:v>
                      </c:pt>
                      <c:pt idx="70" formatCode="0">
                        <c:v>16</c:v>
                      </c:pt>
                      <c:pt idx="71" formatCode="0">
                        <c:v>17</c:v>
                      </c:pt>
                      <c:pt idx="72" formatCode="0">
                        <c:v>17</c:v>
                      </c:pt>
                      <c:pt idx="73" formatCode="0">
                        <c:v>18</c:v>
                      </c:pt>
                      <c:pt idx="74" formatCode="0">
                        <c:v>18</c:v>
                      </c:pt>
                      <c:pt idx="75" formatCode="0">
                        <c:v>17</c:v>
                      </c:pt>
                      <c:pt idx="76" formatCode="0">
                        <c:v>18</c:v>
                      </c:pt>
                      <c:pt idx="77" formatCode="0">
                        <c:v>19</c:v>
                      </c:pt>
                      <c:pt idx="78" formatCode="0">
                        <c:v>17</c:v>
                      </c:pt>
                      <c:pt idx="79" formatCode="0">
                        <c:v>16</c:v>
                      </c:pt>
                      <c:pt idx="80" formatCode="0">
                        <c:v>15</c:v>
                      </c:pt>
                      <c:pt idx="81" formatCode="0">
                        <c:v>13</c:v>
                      </c:pt>
                      <c:pt idx="82" formatCode="0">
                        <c:v>13</c:v>
                      </c:pt>
                      <c:pt idx="83" formatCode="0">
                        <c:v>14</c:v>
                      </c:pt>
                      <c:pt idx="84" formatCode="0">
                        <c:v>14</c:v>
                      </c:pt>
                      <c:pt idx="85" formatCode="0">
                        <c:v>14</c:v>
                      </c:pt>
                      <c:pt idx="86" formatCode="0">
                        <c:v>13</c:v>
                      </c:pt>
                      <c:pt idx="87" formatCode="0">
                        <c:v>13</c:v>
                      </c:pt>
                      <c:pt idx="88" formatCode="0">
                        <c:v>12</c:v>
                      </c:pt>
                      <c:pt idx="89" formatCode="0">
                        <c:v>11</c:v>
                      </c:pt>
                      <c:pt idx="90" formatCode="0">
                        <c:v>13</c:v>
                      </c:pt>
                      <c:pt idx="91" formatCode="0">
                        <c:v>14</c:v>
                      </c:pt>
                      <c:pt idx="92" formatCode="0">
                        <c:v>13</c:v>
                      </c:pt>
                      <c:pt idx="93" formatCode="0">
                        <c:v>12</c:v>
                      </c:pt>
                      <c:pt idx="94" formatCode="0">
                        <c:v>12</c:v>
                      </c:pt>
                      <c:pt idx="95" formatCode="0">
                        <c:v>11</c:v>
                      </c:pt>
                      <c:pt idx="96" formatCode="0">
                        <c:v>10</c:v>
                      </c:pt>
                      <c:pt idx="97" formatCode="0">
                        <c:v>9</c:v>
                      </c:pt>
                      <c:pt idx="98" formatCode="0">
                        <c:v>9</c:v>
                      </c:pt>
                      <c:pt idx="99" formatCode="0">
                        <c:v>10</c:v>
                      </c:pt>
                      <c:pt idx="100" formatCode="0">
                        <c:v>10</c:v>
                      </c:pt>
                      <c:pt idx="101" formatCode="0">
                        <c:v>10</c:v>
                      </c:pt>
                      <c:pt idx="102" formatCode="0">
                        <c:v>10</c:v>
                      </c:pt>
                      <c:pt idx="103" formatCode="0">
                        <c:v>10</c:v>
                      </c:pt>
                      <c:pt idx="104" formatCode="0">
                        <c:v>11</c:v>
                      </c:pt>
                    </c:numCache>
                  </c:numRef>
                </c:val>
                <c:smooth val="0"/>
                <c:extLst xmlns:c15="http://schemas.microsoft.com/office/drawing/2012/chart">
                  <c:ext xmlns:c16="http://schemas.microsoft.com/office/drawing/2014/chart" uri="{C3380CC4-5D6E-409C-BE32-E72D297353CC}">
                    <c16:uniqueId val="{0000002E-85F1-4E93-8343-9A44188D74B0}"/>
                  </c:ext>
                </c:extLst>
              </c15:ser>
            </c15:filteredLineSeries>
            <c15:filteredLineSeries>
              <c15:ser>
                <c:idx val="43"/>
                <c:order val="43"/>
                <c:tx>
                  <c:strRef>
                    <c:extLst xmlns:c15="http://schemas.microsoft.com/office/drawing/2012/chart">
                      <c:ext xmlns:c15="http://schemas.microsoft.com/office/drawing/2012/chart" uri="{02D57815-91ED-43cb-92C2-25804820EDAC}">
                        <c15:formulaRef>
                          <c15:sqref>'Table for graphs 24-25 '!$A$45</c15:sqref>
                        </c15:formulaRef>
                      </c:ext>
                    </c:extLst>
                    <c:strCache>
                      <c:ptCount val="1"/>
                      <c:pt idx="0">
                        <c:v>Urological - Trajectory Total</c:v>
                      </c:pt>
                    </c:strCache>
                  </c:strRef>
                </c:tx>
                <c:spPr>
                  <a:ln w="28575" cap="rnd">
                    <a:solidFill>
                      <a:schemeClr val="accent5">
                        <a:shade val="94000"/>
                      </a:schemeClr>
                    </a:solidFill>
                    <a:round/>
                  </a:ln>
                  <a:effectLst/>
                </c:spPr>
                <c:marker>
                  <c:symbol val="none"/>
                </c:marker>
                <c:cat>
                  <c:numRef>
                    <c:extLst xmlns:c15="http://schemas.microsoft.com/office/drawing/2012/chart">
                      <c:ext xmlns:c15="http://schemas.microsoft.com/office/drawing/2012/chart" uri="{02D57815-91ED-43cb-92C2-25804820EDAC}">
                        <c15:formulaRef>
                          <c15:sqref>'Table for graphs 24-25 '!$B$1:$DB$1</c15:sqref>
                        </c15:formulaRef>
                      </c:ext>
                    </c:extLst>
                    <c:numCache>
                      <c:formatCode>m/d/yyyy</c:formatCode>
                      <c:ptCount val="105"/>
                      <c:pt idx="0">
                        <c:v>45018</c:v>
                      </c:pt>
                      <c:pt idx="1">
                        <c:v>45025</c:v>
                      </c:pt>
                      <c:pt idx="2">
                        <c:v>45032</c:v>
                      </c:pt>
                      <c:pt idx="3">
                        <c:v>45039</c:v>
                      </c:pt>
                      <c:pt idx="4">
                        <c:v>45046</c:v>
                      </c:pt>
                      <c:pt idx="5">
                        <c:v>45053</c:v>
                      </c:pt>
                      <c:pt idx="6">
                        <c:v>45060</c:v>
                      </c:pt>
                      <c:pt idx="7">
                        <c:v>45067</c:v>
                      </c:pt>
                      <c:pt idx="8">
                        <c:v>45074</c:v>
                      </c:pt>
                      <c:pt idx="9">
                        <c:v>45081</c:v>
                      </c:pt>
                      <c:pt idx="10">
                        <c:v>45088</c:v>
                      </c:pt>
                      <c:pt idx="11">
                        <c:v>45095</c:v>
                      </c:pt>
                      <c:pt idx="12">
                        <c:v>45102</c:v>
                      </c:pt>
                      <c:pt idx="13">
                        <c:v>45109</c:v>
                      </c:pt>
                      <c:pt idx="14">
                        <c:v>45116</c:v>
                      </c:pt>
                      <c:pt idx="15">
                        <c:v>45123</c:v>
                      </c:pt>
                      <c:pt idx="16">
                        <c:v>45130</c:v>
                      </c:pt>
                      <c:pt idx="17">
                        <c:v>45137</c:v>
                      </c:pt>
                      <c:pt idx="18">
                        <c:v>45144</c:v>
                      </c:pt>
                      <c:pt idx="19">
                        <c:v>45151</c:v>
                      </c:pt>
                      <c:pt idx="20">
                        <c:v>45158</c:v>
                      </c:pt>
                      <c:pt idx="21">
                        <c:v>45165</c:v>
                      </c:pt>
                      <c:pt idx="22">
                        <c:v>45172</c:v>
                      </c:pt>
                      <c:pt idx="23">
                        <c:v>45179</c:v>
                      </c:pt>
                      <c:pt idx="24">
                        <c:v>45186</c:v>
                      </c:pt>
                      <c:pt idx="25">
                        <c:v>45193</c:v>
                      </c:pt>
                      <c:pt idx="26">
                        <c:v>45200</c:v>
                      </c:pt>
                      <c:pt idx="27">
                        <c:v>45207</c:v>
                      </c:pt>
                      <c:pt idx="28">
                        <c:v>45214</c:v>
                      </c:pt>
                      <c:pt idx="29">
                        <c:v>45221</c:v>
                      </c:pt>
                      <c:pt idx="30">
                        <c:v>45228</c:v>
                      </c:pt>
                      <c:pt idx="31">
                        <c:v>45235</c:v>
                      </c:pt>
                      <c:pt idx="32">
                        <c:v>45242</c:v>
                      </c:pt>
                      <c:pt idx="33">
                        <c:v>45249</c:v>
                      </c:pt>
                      <c:pt idx="34">
                        <c:v>45256</c:v>
                      </c:pt>
                      <c:pt idx="35">
                        <c:v>45263</c:v>
                      </c:pt>
                      <c:pt idx="36">
                        <c:v>45270</c:v>
                      </c:pt>
                      <c:pt idx="37">
                        <c:v>45277</c:v>
                      </c:pt>
                      <c:pt idx="38">
                        <c:v>45284</c:v>
                      </c:pt>
                      <c:pt idx="39">
                        <c:v>45291</c:v>
                      </c:pt>
                      <c:pt idx="40">
                        <c:v>45298</c:v>
                      </c:pt>
                      <c:pt idx="41">
                        <c:v>45305</c:v>
                      </c:pt>
                      <c:pt idx="42">
                        <c:v>45312</c:v>
                      </c:pt>
                      <c:pt idx="43">
                        <c:v>45319</c:v>
                      </c:pt>
                      <c:pt idx="44">
                        <c:v>45326</c:v>
                      </c:pt>
                      <c:pt idx="45">
                        <c:v>45333</c:v>
                      </c:pt>
                      <c:pt idx="46">
                        <c:v>45340</c:v>
                      </c:pt>
                      <c:pt idx="47">
                        <c:v>45347</c:v>
                      </c:pt>
                      <c:pt idx="48">
                        <c:v>45354</c:v>
                      </c:pt>
                      <c:pt idx="49">
                        <c:v>45361</c:v>
                      </c:pt>
                      <c:pt idx="50">
                        <c:v>45368</c:v>
                      </c:pt>
                      <c:pt idx="51">
                        <c:v>45375</c:v>
                      </c:pt>
                      <c:pt idx="52">
                        <c:v>45382</c:v>
                      </c:pt>
                      <c:pt idx="53">
                        <c:v>45389</c:v>
                      </c:pt>
                      <c:pt idx="54">
                        <c:v>45396</c:v>
                      </c:pt>
                      <c:pt idx="55">
                        <c:v>45403</c:v>
                      </c:pt>
                      <c:pt idx="56">
                        <c:v>45410</c:v>
                      </c:pt>
                      <c:pt idx="57">
                        <c:v>45417</c:v>
                      </c:pt>
                      <c:pt idx="58">
                        <c:v>45424</c:v>
                      </c:pt>
                      <c:pt idx="59">
                        <c:v>45431</c:v>
                      </c:pt>
                      <c:pt idx="60">
                        <c:v>45438</c:v>
                      </c:pt>
                      <c:pt idx="61">
                        <c:v>45445</c:v>
                      </c:pt>
                      <c:pt idx="62">
                        <c:v>45452</c:v>
                      </c:pt>
                      <c:pt idx="63">
                        <c:v>45459</c:v>
                      </c:pt>
                      <c:pt idx="64">
                        <c:v>45466</c:v>
                      </c:pt>
                      <c:pt idx="65">
                        <c:v>45473</c:v>
                      </c:pt>
                      <c:pt idx="66">
                        <c:v>45480</c:v>
                      </c:pt>
                      <c:pt idx="67">
                        <c:v>45487</c:v>
                      </c:pt>
                      <c:pt idx="68">
                        <c:v>45494</c:v>
                      </c:pt>
                      <c:pt idx="69">
                        <c:v>45501</c:v>
                      </c:pt>
                      <c:pt idx="70">
                        <c:v>45508</c:v>
                      </c:pt>
                      <c:pt idx="71">
                        <c:v>45515</c:v>
                      </c:pt>
                      <c:pt idx="72">
                        <c:v>45522</c:v>
                      </c:pt>
                      <c:pt idx="73">
                        <c:v>45529</c:v>
                      </c:pt>
                      <c:pt idx="74">
                        <c:v>45536</c:v>
                      </c:pt>
                      <c:pt idx="75">
                        <c:v>45543</c:v>
                      </c:pt>
                      <c:pt idx="76">
                        <c:v>45550</c:v>
                      </c:pt>
                      <c:pt idx="77">
                        <c:v>45557</c:v>
                      </c:pt>
                      <c:pt idx="78">
                        <c:v>45564</c:v>
                      </c:pt>
                      <c:pt idx="79">
                        <c:v>45571</c:v>
                      </c:pt>
                      <c:pt idx="80">
                        <c:v>45578</c:v>
                      </c:pt>
                      <c:pt idx="81">
                        <c:v>45585</c:v>
                      </c:pt>
                      <c:pt idx="82">
                        <c:v>45592</c:v>
                      </c:pt>
                      <c:pt idx="83">
                        <c:v>45599</c:v>
                      </c:pt>
                      <c:pt idx="84">
                        <c:v>45606</c:v>
                      </c:pt>
                      <c:pt idx="85">
                        <c:v>45613</c:v>
                      </c:pt>
                      <c:pt idx="86">
                        <c:v>45620</c:v>
                      </c:pt>
                      <c:pt idx="87">
                        <c:v>45627</c:v>
                      </c:pt>
                      <c:pt idx="88">
                        <c:v>45634</c:v>
                      </c:pt>
                      <c:pt idx="89">
                        <c:v>45641</c:v>
                      </c:pt>
                      <c:pt idx="90">
                        <c:v>45648</c:v>
                      </c:pt>
                      <c:pt idx="91">
                        <c:v>45655</c:v>
                      </c:pt>
                      <c:pt idx="92">
                        <c:v>45662</c:v>
                      </c:pt>
                      <c:pt idx="93">
                        <c:v>45669</c:v>
                      </c:pt>
                      <c:pt idx="94">
                        <c:v>45676</c:v>
                      </c:pt>
                      <c:pt idx="95">
                        <c:v>45683</c:v>
                      </c:pt>
                      <c:pt idx="96">
                        <c:v>45690</c:v>
                      </c:pt>
                      <c:pt idx="97">
                        <c:v>45697</c:v>
                      </c:pt>
                      <c:pt idx="98">
                        <c:v>45704</c:v>
                      </c:pt>
                      <c:pt idx="99">
                        <c:v>45711</c:v>
                      </c:pt>
                      <c:pt idx="100">
                        <c:v>45718</c:v>
                      </c:pt>
                      <c:pt idx="101">
                        <c:v>45725</c:v>
                      </c:pt>
                      <c:pt idx="102">
                        <c:v>45732</c:v>
                      </c:pt>
                      <c:pt idx="103">
                        <c:v>45739</c:v>
                      </c:pt>
                      <c:pt idx="104">
                        <c:v>45746</c:v>
                      </c:pt>
                    </c:numCache>
                  </c:numRef>
                </c:cat>
                <c:val>
                  <c:numRef>
                    <c:extLst xmlns:c15="http://schemas.microsoft.com/office/drawing/2012/chart">
                      <c:ext xmlns:c15="http://schemas.microsoft.com/office/drawing/2012/chart" uri="{02D57815-91ED-43cb-92C2-25804820EDAC}">
                        <c15:formulaRef>
                          <c15:sqref>'Table for graphs 24-25 '!$B$45:$DB$45</c15:sqref>
                        </c15:formulaRef>
                      </c:ext>
                    </c:extLst>
                    <c:numCache>
                      <c:formatCode>General</c:formatCode>
                      <c:ptCount val="105"/>
                      <c:pt idx="53" formatCode="0">
                        <c:v>45</c:v>
                      </c:pt>
                      <c:pt idx="54" formatCode="0">
                        <c:v>44</c:v>
                      </c:pt>
                      <c:pt idx="55" formatCode="0">
                        <c:v>43</c:v>
                      </c:pt>
                      <c:pt idx="56" formatCode="0">
                        <c:v>43</c:v>
                      </c:pt>
                      <c:pt idx="57" formatCode="0">
                        <c:v>43</c:v>
                      </c:pt>
                      <c:pt idx="58" formatCode="0">
                        <c:v>42</c:v>
                      </c:pt>
                      <c:pt idx="59" formatCode="0">
                        <c:v>41</c:v>
                      </c:pt>
                      <c:pt idx="60" formatCode="0">
                        <c:v>41</c:v>
                      </c:pt>
                      <c:pt idx="61" formatCode="0">
                        <c:v>41</c:v>
                      </c:pt>
                      <c:pt idx="62" formatCode="0">
                        <c:v>40</c:v>
                      </c:pt>
                      <c:pt idx="63" formatCode="0">
                        <c:v>39</c:v>
                      </c:pt>
                      <c:pt idx="64" formatCode="0">
                        <c:v>38</c:v>
                      </c:pt>
                      <c:pt idx="65" formatCode="0">
                        <c:v>37</c:v>
                      </c:pt>
                      <c:pt idx="66" formatCode="0">
                        <c:v>37</c:v>
                      </c:pt>
                      <c:pt idx="67" formatCode="0">
                        <c:v>37</c:v>
                      </c:pt>
                      <c:pt idx="68" formatCode="0">
                        <c:v>38</c:v>
                      </c:pt>
                      <c:pt idx="69" formatCode="0">
                        <c:v>36</c:v>
                      </c:pt>
                      <c:pt idx="70" formatCode="0">
                        <c:v>35</c:v>
                      </c:pt>
                      <c:pt idx="71" formatCode="0">
                        <c:v>36</c:v>
                      </c:pt>
                      <c:pt idx="72" formatCode="0">
                        <c:v>35</c:v>
                      </c:pt>
                      <c:pt idx="73" formatCode="0">
                        <c:v>36</c:v>
                      </c:pt>
                      <c:pt idx="74" formatCode="0">
                        <c:v>38</c:v>
                      </c:pt>
                      <c:pt idx="75" formatCode="0">
                        <c:v>41</c:v>
                      </c:pt>
                      <c:pt idx="76" formatCode="0">
                        <c:v>37</c:v>
                      </c:pt>
                      <c:pt idx="77" formatCode="0">
                        <c:v>35</c:v>
                      </c:pt>
                      <c:pt idx="78" formatCode="0">
                        <c:v>34</c:v>
                      </c:pt>
                      <c:pt idx="79" formatCode="0">
                        <c:v>33</c:v>
                      </c:pt>
                      <c:pt idx="80" formatCode="0">
                        <c:v>32</c:v>
                      </c:pt>
                      <c:pt idx="81" formatCode="0">
                        <c:v>29</c:v>
                      </c:pt>
                      <c:pt idx="82" formatCode="0">
                        <c:v>27</c:v>
                      </c:pt>
                      <c:pt idx="83" formatCode="0">
                        <c:v>27</c:v>
                      </c:pt>
                      <c:pt idx="84" formatCode="0">
                        <c:v>25</c:v>
                      </c:pt>
                      <c:pt idx="85" formatCode="0">
                        <c:v>24</c:v>
                      </c:pt>
                      <c:pt idx="86" formatCode="0">
                        <c:v>23</c:v>
                      </c:pt>
                      <c:pt idx="87" formatCode="0">
                        <c:v>21</c:v>
                      </c:pt>
                      <c:pt idx="88" formatCode="0">
                        <c:v>20</c:v>
                      </c:pt>
                      <c:pt idx="89" formatCode="0">
                        <c:v>20</c:v>
                      </c:pt>
                      <c:pt idx="90" formatCode="0">
                        <c:v>21</c:v>
                      </c:pt>
                      <c:pt idx="91" formatCode="0">
                        <c:v>24</c:v>
                      </c:pt>
                      <c:pt idx="92" formatCode="0">
                        <c:v>24</c:v>
                      </c:pt>
                      <c:pt idx="93" formatCode="0">
                        <c:v>23</c:v>
                      </c:pt>
                      <c:pt idx="94" formatCode="0">
                        <c:v>23</c:v>
                      </c:pt>
                      <c:pt idx="95" formatCode="0">
                        <c:v>22</c:v>
                      </c:pt>
                      <c:pt idx="96" formatCode="0">
                        <c:v>20</c:v>
                      </c:pt>
                      <c:pt idx="97" formatCode="0">
                        <c:v>19</c:v>
                      </c:pt>
                      <c:pt idx="98" formatCode="0">
                        <c:v>18</c:v>
                      </c:pt>
                      <c:pt idx="99" formatCode="0">
                        <c:v>17</c:v>
                      </c:pt>
                      <c:pt idx="100" formatCode="0">
                        <c:v>19</c:v>
                      </c:pt>
                      <c:pt idx="101" formatCode="0">
                        <c:v>16</c:v>
                      </c:pt>
                      <c:pt idx="102" formatCode="0">
                        <c:v>14</c:v>
                      </c:pt>
                      <c:pt idx="103" formatCode="0">
                        <c:v>13</c:v>
                      </c:pt>
                      <c:pt idx="104" formatCode="0">
                        <c:v>12</c:v>
                      </c:pt>
                    </c:numCache>
                  </c:numRef>
                </c:val>
                <c:smooth val="0"/>
                <c:extLst xmlns:c15="http://schemas.microsoft.com/office/drawing/2012/chart">
                  <c:ext xmlns:c16="http://schemas.microsoft.com/office/drawing/2014/chart" uri="{C3380CC4-5D6E-409C-BE32-E72D297353CC}">
                    <c16:uniqueId val="{0000002F-85F1-4E93-8343-9A44188D74B0}"/>
                  </c:ext>
                </c:extLst>
              </c15:ser>
            </c15:filteredLineSeries>
          </c:ext>
        </c:extLst>
      </c:lineChart>
      <c:dateAx>
        <c:axId val="545995631"/>
        <c:scaling>
          <c:orientation val="minMax"/>
        </c:scaling>
        <c:delete val="0"/>
        <c:axPos val="b"/>
        <c:numFmt formatCode="m/d/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500" b="0" i="0" u="none" strike="noStrike" kern="1200" baseline="0">
                <a:solidFill>
                  <a:schemeClr val="tx1">
                    <a:lumMod val="65000"/>
                    <a:lumOff val="35000"/>
                  </a:schemeClr>
                </a:solidFill>
                <a:latin typeface="+mn-lt"/>
                <a:ea typeface="+mn-ea"/>
                <a:cs typeface="+mn-cs"/>
              </a:defRPr>
            </a:pPr>
            <a:endParaRPr lang="en-US"/>
          </a:p>
        </c:txPr>
        <c:crossAx val="545998543"/>
        <c:crosses val="autoZero"/>
        <c:auto val="1"/>
        <c:lblOffset val="100"/>
        <c:baseTimeUnit val="days"/>
        <c:majorUnit val="14"/>
        <c:majorTimeUnit val="days"/>
        <c:minorUnit val="7"/>
        <c:minorTimeUnit val="days"/>
      </c:dateAx>
      <c:valAx>
        <c:axId val="545998543"/>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45995631"/>
        <c:crosses val="autoZero"/>
        <c:crossBetween val="between"/>
        <c:majorUnit val="100"/>
      </c:valAx>
      <c:spPr>
        <a:noFill/>
        <a:ln>
          <a:noFill/>
        </a:ln>
        <a:effectLst/>
      </c:spPr>
    </c:plotArea>
    <c:legend>
      <c:legendPos val="b"/>
      <c:layout>
        <c:manualLayout>
          <c:xMode val="edge"/>
          <c:yMode val="edge"/>
          <c:x val="1.7743230814096955E-2"/>
          <c:y val="0.95564448279581493"/>
          <c:w val="0.96211775868718619"/>
          <c:h val="3.2506964236832352E-2"/>
        </c:manualLayout>
      </c:layout>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3175" cap="flat" cmpd="sng" algn="ctr">
      <a:solidFill>
        <a:schemeClr val="tx1">
          <a:lumMod val="50000"/>
          <a:lumOff val="50000"/>
        </a:schemeClr>
      </a:solidFill>
      <a:round/>
    </a:ln>
    <a:effectLst/>
  </c:spPr>
  <c:txPr>
    <a:bodyPr/>
    <a:lstStyle/>
    <a:p>
      <a:pPr>
        <a:defRPr/>
      </a:pPr>
      <a:endParaRPr lang="en-US"/>
    </a:p>
  </c:txPr>
  <c:externalData r:id="rId3">
    <c:autoUpdate val="0"/>
  </c:externalData>
  <c:userShapes r:id="rId4"/>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000" b="1" i="0" u="none" strike="noStrike" kern="1200" spc="0" baseline="0">
                <a:solidFill>
                  <a:schemeClr val="tx1">
                    <a:lumMod val="65000"/>
                    <a:lumOff val="35000"/>
                  </a:schemeClr>
                </a:solidFill>
                <a:latin typeface="+mn-lt"/>
                <a:ea typeface="+mn-ea"/>
                <a:cs typeface="+mn-cs"/>
              </a:defRPr>
            </a:pPr>
            <a:r>
              <a:rPr lang="en-GB" sz="1000" b="1"/>
              <a:t>POS to DTT - 31 days</a:t>
            </a:r>
          </a:p>
          <a:p>
            <a:pPr>
              <a:defRPr sz="1000" b="1"/>
            </a:pPr>
            <a:r>
              <a:rPr lang="en-GB" sz="1000" b="1"/>
              <a:t>All Tumour</a:t>
            </a:r>
            <a:r>
              <a:rPr lang="en-GB" sz="1000" b="1" baseline="0"/>
              <a:t> Sites</a:t>
            </a:r>
            <a:endParaRPr lang="en-GB" sz="1000" b="1"/>
          </a:p>
        </c:rich>
      </c:tx>
      <c:overlay val="0"/>
      <c:spPr>
        <a:noFill/>
        <a:ln>
          <a:noFill/>
        </a:ln>
        <a:effectLst/>
      </c:spPr>
      <c:txPr>
        <a:bodyPr rot="0" spcFirstLastPara="1" vertOverflow="ellipsis" vert="horz" wrap="square" anchor="ctr" anchorCtr="1"/>
        <a:lstStyle/>
        <a:p>
          <a:pPr>
            <a:defRPr sz="1000" b="1"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1491157590263625E-2"/>
          <c:y val="0.22774358974358974"/>
          <c:w val="0.8733978365486269"/>
          <c:h val="0.50239410458308087"/>
        </c:manualLayout>
      </c:layout>
      <c:barChart>
        <c:barDir val="col"/>
        <c:grouping val="clustered"/>
        <c:varyColors val="0"/>
        <c:ser>
          <c:idx val="9"/>
          <c:order val="9"/>
          <c:tx>
            <c:strRef>
              <c:f>'POS to DTT (2)'!$A$15</c:f>
              <c:strCache>
                <c:ptCount val="1"/>
                <c:pt idx="0">
                  <c:v>All Sites - Median Days</c:v>
                </c:pt>
              </c:strCache>
            </c:strRef>
          </c:tx>
          <c:spPr>
            <a:solidFill>
              <a:schemeClr val="accent5">
                <a:lumMod val="20000"/>
                <a:lumOff val="8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'POS to DTT (2)'!$B$1:$T$1</c:f>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f>'POS to DTT (2)'!$B$15:$T$15</c:f>
              <c:numCache>
                <c:formatCode>General</c:formatCode>
                <c:ptCount val="19"/>
                <c:pt idx="0">
                  <c:v>48</c:v>
                </c:pt>
                <c:pt idx="1">
                  <c:v>45</c:v>
                </c:pt>
                <c:pt idx="2">
                  <c:v>45</c:v>
                </c:pt>
                <c:pt idx="3">
                  <c:v>36</c:v>
                </c:pt>
                <c:pt idx="4">
                  <c:v>42</c:v>
                </c:pt>
                <c:pt idx="5">
                  <c:v>36</c:v>
                </c:pt>
                <c:pt idx="6">
                  <c:v>36</c:v>
                </c:pt>
                <c:pt idx="7">
                  <c:v>34</c:v>
                </c:pt>
              </c:numCache>
            </c:numRef>
          </c:val>
          <c:extLst>
            <c:ext xmlns:c16="http://schemas.microsoft.com/office/drawing/2014/chart" uri="{C3380CC4-5D6E-409C-BE32-E72D297353CC}">
              <c16:uniqueId val="{00000000-D361-46A9-9DDB-EDA24F202B30}"/>
            </c:ext>
          </c:extLst>
        </c:ser>
        <c:dLbls>
          <c:showLegendKey val="0"/>
          <c:showVal val="0"/>
          <c:showCatName val="0"/>
          <c:showSerName val="0"/>
          <c:showPercent val="0"/>
          <c:showBubbleSize val="0"/>
        </c:dLbls>
        <c:gapWidth val="150"/>
        <c:axId val="1835663232"/>
        <c:axId val="1835660320"/>
        <c:extLst>
          <c:ext xmlns:c15="http://schemas.microsoft.com/office/drawing/2012/chart" uri="{02D57815-91ED-43cb-92C2-25804820EDAC}">
            <c15:filteredBarSeries>
              <c15:ser>
                <c:idx val="0"/>
                <c:order val="0"/>
                <c:tx>
                  <c:strRef>
                    <c:extLst>
                      <c:ext uri="{02D57815-91ED-43cb-92C2-25804820EDAC}">
                        <c15:formulaRef>
                          <c15:sqref>'POS to DTT (2)'!$A$2</c15:sqref>
                        </c15:formulaRef>
                      </c:ext>
                    </c:extLst>
                    <c:strCache>
                      <c:ptCount val="1"/>
                      <c:pt idx="0">
                        <c:v>Breast - Median Days</c:v>
                      </c:pt>
                    </c:strCache>
                  </c:strRef>
                </c:tx>
                <c:spPr>
                  <a:solidFill>
                    <a:schemeClr val="accent1">
                      <a:tint val="35000"/>
                    </a:schemeClr>
                  </a:solidFill>
                  <a:ln>
                    <a:noFill/>
                  </a:ln>
                  <a:effectLst/>
                </c:spPr>
                <c:invertIfNegative val="0"/>
                <c:cat>
                  <c:numRef>
                    <c:extLst>
                      <c:ex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c:ext uri="{02D57815-91ED-43cb-92C2-25804820EDAC}">
                        <c15:formulaRef>
                          <c15:sqref>'POS to DTT (2)'!$B$2:$T$2</c15:sqref>
                        </c15:formulaRef>
                      </c:ext>
                    </c:extLst>
                    <c:numCache>
                      <c:formatCode>General</c:formatCode>
                      <c:ptCount val="19"/>
                      <c:pt idx="0">
                        <c:v>39</c:v>
                      </c:pt>
                      <c:pt idx="1">
                        <c:v>36</c:v>
                      </c:pt>
                      <c:pt idx="2">
                        <c:v>45</c:v>
                      </c:pt>
                      <c:pt idx="3">
                        <c:v>33</c:v>
                      </c:pt>
                      <c:pt idx="4">
                        <c:v>36</c:v>
                      </c:pt>
                      <c:pt idx="5">
                        <c:v>35</c:v>
                      </c:pt>
                      <c:pt idx="6">
                        <c:v>34</c:v>
                      </c:pt>
                      <c:pt idx="7">
                        <c:v>35</c:v>
                      </c:pt>
                    </c:numCache>
                  </c:numRef>
                </c:val>
                <c:extLst>
                  <c:ext xmlns:c16="http://schemas.microsoft.com/office/drawing/2014/chart" uri="{C3380CC4-5D6E-409C-BE32-E72D297353CC}">
                    <c16:uniqueId val="{00000002-D361-46A9-9DDB-EDA24F202B30}"/>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'POS to DTT (2)'!$A$4</c15:sqref>
                        </c15:formulaRef>
                      </c:ext>
                    </c:extLst>
                    <c:strCache>
                      <c:ptCount val="1"/>
                      <c:pt idx="0">
                        <c:v>Gynaecological - Median Days</c:v>
                      </c:pt>
                    </c:strCache>
                  </c:strRef>
                </c:tx>
                <c:spPr>
                  <a:solidFill>
                    <a:schemeClr val="accent1">
                      <a:tint val="40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(2)'!$B$4:$T$4</c15:sqref>
                        </c15:formulaRef>
                      </c:ext>
                    </c:extLst>
                    <c:numCache>
                      <c:formatCode>General</c:formatCode>
                      <c:ptCount val="19"/>
                      <c:pt idx="0">
                        <c:v>54</c:v>
                      </c:pt>
                      <c:pt idx="1">
                        <c:v>48</c:v>
                      </c:pt>
                      <c:pt idx="2">
                        <c:v>97</c:v>
                      </c:pt>
                      <c:pt idx="3">
                        <c:v>89</c:v>
                      </c:pt>
                      <c:pt idx="4">
                        <c:v>83</c:v>
                      </c:pt>
                      <c:pt idx="5">
                        <c:v>48</c:v>
                      </c:pt>
                      <c:pt idx="6">
                        <c:v>74</c:v>
                      </c:pt>
                      <c:pt idx="7">
                        <c:v>79</c:v>
                      </c:pt>
                    </c:numCache>
                  </c:numRef>
                </c:val>
                <c:extLst xmlns:c15="http://schemas.microsoft.com/office/drawing/2012/chart">
                  <c:ext xmlns:c16="http://schemas.microsoft.com/office/drawing/2014/chart" uri="{C3380CC4-5D6E-409C-BE32-E72D297353CC}">
                    <c16:uniqueId val="{00000003-D361-46A9-9DDB-EDA24F202B30}"/>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'POS to DTT (2)'!$A$5</c15:sqref>
                        </c15:formulaRef>
                      </c:ext>
                    </c:extLst>
                    <c:strCache>
                      <c:ptCount val="1"/>
                      <c:pt idx="0">
                        <c:v>Haematological &amp; Acute Leukaemia - Median Days</c:v>
                      </c:pt>
                    </c:strCache>
                  </c:strRef>
                </c:tx>
                <c:spPr>
                  <a:solidFill>
                    <a:schemeClr val="accent1">
                      <a:tint val="44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(2)'!$B$5:$T$5</c15:sqref>
                        </c15:formulaRef>
                      </c:ext>
                    </c:extLst>
                    <c:numCache>
                      <c:formatCode>General</c:formatCode>
                      <c:ptCount val="19"/>
                      <c:pt idx="0">
                        <c:v>58</c:v>
                      </c:pt>
                      <c:pt idx="1">
                        <c:v>54</c:v>
                      </c:pt>
                      <c:pt idx="2">
                        <c:v>84</c:v>
                      </c:pt>
                      <c:pt idx="3">
                        <c:v>58</c:v>
                      </c:pt>
                      <c:pt idx="4">
                        <c:v>85</c:v>
                      </c:pt>
                      <c:pt idx="5">
                        <c:v>54</c:v>
                      </c:pt>
                      <c:pt idx="6">
                        <c:v>35</c:v>
                      </c:pt>
                      <c:pt idx="7">
                        <c:v>64</c:v>
                      </c:pt>
                    </c:numCache>
                  </c:numRef>
                </c:val>
                <c:extLst xmlns:c15="http://schemas.microsoft.com/office/drawing/2012/chart">
                  <c:ext xmlns:c16="http://schemas.microsoft.com/office/drawing/2014/chart" uri="{C3380CC4-5D6E-409C-BE32-E72D297353CC}">
                    <c16:uniqueId val="{00000004-D361-46A9-9DDB-EDA24F202B30}"/>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'POS to DTT (2)'!$A$6</c15:sqref>
                        </c15:formulaRef>
                      </c:ext>
                    </c:extLst>
                    <c:strCache>
                      <c:ptCount val="1"/>
                      <c:pt idx="0">
                        <c:v>Head &amp; Neck - Median Days</c:v>
                      </c:pt>
                    </c:strCache>
                  </c:strRef>
                </c:tx>
                <c:spPr>
                  <a:solidFill>
                    <a:schemeClr val="accent1">
                      <a:tint val="49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(2)'!$B$6:$T$6</c15:sqref>
                        </c15:formulaRef>
                      </c:ext>
                    </c:extLst>
                    <c:numCache>
                      <c:formatCode>General</c:formatCode>
                      <c:ptCount val="19"/>
                      <c:pt idx="0">
                        <c:v>46</c:v>
                      </c:pt>
                      <c:pt idx="1">
                        <c:v>51</c:v>
                      </c:pt>
                      <c:pt idx="2">
                        <c:v>36</c:v>
                      </c:pt>
                      <c:pt idx="3">
                        <c:v>41</c:v>
                      </c:pt>
                      <c:pt idx="4">
                        <c:v>24</c:v>
                      </c:pt>
                      <c:pt idx="5">
                        <c:v>35</c:v>
                      </c:pt>
                      <c:pt idx="6">
                        <c:v>35</c:v>
                      </c:pt>
                      <c:pt idx="7">
                        <c:v>43</c:v>
                      </c:pt>
                    </c:numCache>
                  </c:numRef>
                </c:val>
                <c:extLst xmlns:c15="http://schemas.microsoft.com/office/drawing/2012/chart">
                  <c:ext xmlns:c16="http://schemas.microsoft.com/office/drawing/2014/chart" uri="{C3380CC4-5D6E-409C-BE32-E72D297353CC}">
                    <c16:uniqueId val="{00000005-D361-46A9-9DDB-EDA24F202B30}"/>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'POS to DTT (2)'!$A$8</c15:sqref>
                        </c15:formulaRef>
                      </c:ext>
                    </c:extLst>
                    <c:strCache>
                      <c:ptCount val="1"/>
                      <c:pt idx="0">
                        <c:v>Lung - Median Days</c:v>
                      </c:pt>
                    </c:strCache>
                  </c:strRef>
                </c:tx>
                <c:spPr>
                  <a:solidFill>
                    <a:schemeClr val="accent1">
                      <a:tint val="53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(2)'!$B$8:$T$8</c15:sqref>
                        </c15:formulaRef>
                      </c:ext>
                    </c:extLst>
                    <c:numCache>
                      <c:formatCode>General</c:formatCode>
                      <c:ptCount val="19"/>
                      <c:pt idx="0">
                        <c:v>38</c:v>
                      </c:pt>
                      <c:pt idx="1">
                        <c:v>47</c:v>
                      </c:pt>
                      <c:pt idx="2">
                        <c:v>40</c:v>
                      </c:pt>
                      <c:pt idx="3">
                        <c:v>59</c:v>
                      </c:pt>
                      <c:pt idx="4">
                        <c:v>61</c:v>
                      </c:pt>
                      <c:pt idx="5">
                        <c:v>64</c:v>
                      </c:pt>
                      <c:pt idx="6">
                        <c:v>68</c:v>
                      </c:pt>
                      <c:pt idx="7">
                        <c:v>59</c:v>
                      </c:pt>
                    </c:numCache>
                  </c:numRef>
                </c:val>
                <c:extLst xmlns:c15="http://schemas.microsoft.com/office/drawing/2012/chart">
                  <c:ext xmlns:c16="http://schemas.microsoft.com/office/drawing/2014/chart" uri="{C3380CC4-5D6E-409C-BE32-E72D297353CC}">
                    <c16:uniqueId val="{00000006-D361-46A9-9DDB-EDA24F202B30}"/>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'POS to DTT (2)'!$A$7</c15:sqref>
                        </c15:formulaRef>
                      </c:ext>
                    </c:extLst>
                    <c:strCache>
                      <c:ptCount val="1"/>
                      <c:pt idx="0">
                        <c:v>Lower GI - Median Days</c:v>
                      </c:pt>
                    </c:strCache>
                  </c:strRef>
                </c:tx>
                <c:spPr>
                  <a:solidFill>
                    <a:schemeClr val="accent1">
                      <a:tint val="58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(2)'!$B$7:$T$7</c15:sqref>
                        </c15:formulaRef>
                      </c:ext>
                    </c:extLst>
                    <c:numCache>
                      <c:formatCode>General</c:formatCode>
                      <c:ptCount val="19"/>
                      <c:pt idx="0">
                        <c:v>50</c:v>
                      </c:pt>
                      <c:pt idx="1">
                        <c:v>63</c:v>
                      </c:pt>
                      <c:pt idx="2">
                        <c:v>51</c:v>
                      </c:pt>
                      <c:pt idx="3">
                        <c:v>57</c:v>
                      </c:pt>
                      <c:pt idx="4">
                        <c:v>82</c:v>
                      </c:pt>
                      <c:pt idx="5">
                        <c:v>54</c:v>
                      </c:pt>
                      <c:pt idx="6">
                        <c:v>42</c:v>
                      </c:pt>
                      <c:pt idx="7">
                        <c:v>47</c:v>
                      </c:pt>
                    </c:numCache>
                  </c:numRef>
                </c:val>
                <c:extLst xmlns:c15="http://schemas.microsoft.com/office/drawing/2012/chart">
                  <c:ext xmlns:c16="http://schemas.microsoft.com/office/drawing/2014/chart" uri="{C3380CC4-5D6E-409C-BE32-E72D297353CC}">
                    <c16:uniqueId val="{00000007-D361-46A9-9DDB-EDA24F202B30}"/>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'POS to DTT (2)'!$A$11</c15:sqref>
                        </c15:formulaRef>
                      </c:ext>
                    </c:extLst>
                    <c:strCache>
                      <c:ptCount val="1"/>
                      <c:pt idx="0">
                        <c:v>Skin - Median Days</c:v>
                      </c:pt>
                    </c:strCache>
                  </c:strRef>
                </c:tx>
                <c:spPr>
                  <a:solidFill>
                    <a:schemeClr val="accent1">
                      <a:tint val="62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(2)'!$B$11:$T$11</c15:sqref>
                        </c15:formulaRef>
                      </c:ext>
                    </c:extLst>
                    <c:numCache>
                      <c:formatCode>General</c:formatCode>
                      <c:ptCount val="19"/>
                      <c:pt idx="0">
                        <c:v>32</c:v>
                      </c:pt>
                      <c:pt idx="1">
                        <c:v>22</c:v>
                      </c:pt>
                      <c:pt idx="2">
                        <c:v>29</c:v>
                      </c:pt>
                      <c:pt idx="3">
                        <c:v>14</c:v>
                      </c:pt>
                      <c:pt idx="4">
                        <c:v>10</c:v>
                      </c:pt>
                      <c:pt idx="5">
                        <c:v>7</c:v>
                      </c:pt>
                      <c:pt idx="6">
                        <c:v>13</c:v>
                      </c:pt>
                      <c:pt idx="7">
                        <c:v>18</c:v>
                      </c:pt>
                    </c:numCache>
                  </c:numRef>
                </c:val>
                <c:extLst xmlns:c15="http://schemas.microsoft.com/office/drawing/2012/chart">
                  <c:ext xmlns:c16="http://schemas.microsoft.com/office/drawing/2014/chart" uri="{C3380CC4-5D6E-409C-BE32-E72D297353CC}">
                    <c16:uniqueId val="{00000008-D361-46A9-9DDB-EDA24F202B30}"/>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'POS to DTT (2)'!$A$13</c15:sqref>
                        </c15:formulaRef>
                      </c:ext>
                    </c:extLst>
                    <c:strCache>
                      <c:ptCount val="1"/>
                      <c:pt idx="0">
                        <c:v>Upper GI - Median Days</c:v>
                      </c:pt>
                    </c:strCache>
                  </c:strRef>
                </c:tx>
                <c:spPr>
                  <a:solidFill>
                    <a:schemeClr val="accent1">
                      <a:tint val="67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(2)'!$B$13:$T$13</c15:sqref>
                        </c15:formulaRef>
                      </c:ext>
                    </c:extLst>
                    <c:numCache>
                      <c:formatCode>General</c:formatCode>
                      <c:ptCount val="19"/>
                      <c:pt idx="0">
                        <c:v>60</c:v>
                      </c:pt>
                      <c:pt idx="1">
                        <c:v>42</c:v>
                      </c:pt>
                      <c:pt idx="2">
                        <c:v>43</c:v>
                      </c:pt>
                      <c:pt idx="3">
                        <c:v>32</c:v>
                      </c:pt>
                      <c:pt idx="4">
                        <c:v>46</c:v>
                      </c:pt>
                      <c:pt idx="5">
                        <c:v>58</c:v>
                      </c:pt>
                      <c:pt idx="6">
                        <c:v>65</c:v>
                      </c:pt>
                      <c:pt idx="7">
                        <c:v>33</c:v>
                      </c:pt>
                    </c:numCache>
                  </c:numRef>
                </c:val>
                <c:extLst xmlns:c15="http://schemas.microsoft.com/office/drawing/2012/chart">
                  <c:ext xmlns:c16="http://schemas.microsoft.com/office/drawing/2014/chart" uri="{C3380CC4-5D6E-409C-BE32-E72D297353CC}">
                    <c16:uniqueId val="{00000009-D361-46A9-9DDB-EDA24F202B30}"/>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'POS to DTT (2)'!$A$14</c15:sqref>
                        </c15:formulaRef>
                      </c:ext>
                    </c:extLst>
                    <c:strCache>
                      <c:ptCount val="1"/>
                      <c:pt idx="0">
                        <c:v>Urological - Median Days</c:v>
                      </c:pt>
                    </c:strCache>
                  </c:strRef>
                </c:tx>
                <c:spPr>
                  <a:solidFill>
                    <a:schemeClr val="accent1">
                      <a:tint val="71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(2)'!$B$14:$T$14</c15:sqref>
                        </c15:formulaRef>
                      </c:ext>
                    </c:extLst>
                    <c:numCache>
                      <c:formatCode>General</c:formatCode>
                      <c:ptCount val="19"/>
                      <c:pt idx="0">
                        <c:v>57</c:v>
                      </c:pt>
                      <c:pt idx="1">
                        <c:v>86</c:v>
                      </c:pt>
                      <c:pt idx="2">
                        <c:v>64</c:v>
                      </c:pt>
                      <c:pt idx="3">
                        <c:v>64</c:v>
                      </c:pt>
                      <c:pt idx="4">
                        <c:v>69</c:v>
                      </c:pt>
                      <c:pt idx="5">
                        <c:v>83</c:v>
                      </c:pt>
                      <c:pt idx="6">
                        <c:v>70</c:v>
                      </c:pt>
                      <c:pt idx="7">
                        <c:v>56</c:v>
                      </c:pt>
                    </c:numCache>
                  </c:numRef>
                </c:val>
                <c:extLst xmlns:c15="http://schemas.microsoft.com/office/drawing/2012/chart">
                  <c:ext xmlns:c16="http://schemas.microsoft.com/office/drawing/2014/chart" uri="{C3380CC4-5D6E-409C-BE32-E72D297353CC}">
                    <c16:uniqueId val="{0000000A-D361-46A9-9DDB-EDA24F202B30}"/>
                  </c:ext>
                </c:extLst>
              </c15:ser>
            </c15:filteredBarSeries>
            <c15:filteredBarSeries>
              <c15:ser>
                <c:idx val="10"/>
                <c:order val="10"/>
                <c:tx>
                  <c:strRef>
                    <c:extLst xmlns:c15="http://schemas.microsoft.com/office/drawing/2012/chart">
                      <c:ext xmlns:c15="http://schemas.microsoft.com/office/drawing/2012/chart" uri="{02D57815-91ED-43cb-92C2-25804820EDAC}">
                        <c15:formulaRef>
                          <c15:sqref>'POS to DTT (2)'!$A$16</c15:sqref>
                        </c15:formulaRef>
                      </c:ext>
                    </c:extLst>
                    <c:strCache>
                      <c:ptCount val="1"/>
                      <c:pt idx="0">
                        <c:v>Breast - 75th Centile</c:v>
                      </c:pt>
                    </c:strCache>
                  </c:strRef>
                </c:tx>
                <c:spPr>
                  <a:solidFill>
                    <a:schemeClr val="accent1">
                      <a:tint val="80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(2)'!$B$16:$T$16</c15:sqref>
                        </c15:formulaRef>
                      </c:ext>
                    </c:extLst>
                    <c:numCache>
                      <c:formatCode>General</c:formatCode>
                      <c:ptCount val="19"/>
                      <c:pt idx="0">
                        <c:v>60</c:v>
                      </c:pt>
                      <c:pt idx="1">
                        <c:v>50</c:v>
                      </c:pt>
                      <c:pt idx="2">
                        <c:v>52</c:v>
                      </c:pt>
                      <c:pt idx="3">
                        <c:v>41</c:v>
                      </c:pt>
                      <c:pt idx="4">
                        <c:v>48</c:v>
                      </c:pt>
                      <c:pt idx="5">
                        <c:v>45</c:v>
                      </c:pt>
                      <c:pt idx="6">
                        <c:v>36</c:v>
                      </c:pt>
                      <c:pt idx="7">
                        <c:v>38</c:v>
                      </c:pt>
                    </c:numCache>
                  </c:numRef>
                </c:val>
                <c:extLst xmlns:c15="http://schemas.microsoft.com/office/drawing/2012/chart">
                  <c:ext xmlns:c16="http://schemas.microsoft.com/office/drawing/2014/chart" uri="{C3380CC4-5D6E-409C-BE32-E72D297353CC}">
                    <c16:uniqueId val="{0000000B-D361-46A9-9DDB-EDA24F202B30}"/>
                  </c:ext>
                </c:extLst>
              </c15:ser>
            </c15:filteredBarSeries>
            <c15:filteredBarSeries>
              <c15:ser>
                <c:idx val="11"/>
                <c:order val="11"/>
                <c:tx>
                  <c:strRef>
                    <c:extLst xmlns:c15="http://schemas.microsoft.com/office/drawing/2012/chart">
                      <c:ext xmlns:c15="http://schemas.microsoft.com/office/drawing/2012/chart" uri="{02D57815-91ED-43cb-92C2-25804820EDAC}">
                        <c15:formulaRef>
                          <c15:sqref>'POS to DTT (2)'!$A$18</c15:sqref>
                        </c15:formulaRef>
                      </c:ext>
                    </c:extLst>
                    <c:strCache>
                      <c:ptCount val="1"/>
                      <c:pt idx="0">
                        <c:v>Gynaecological - 75th Centile</c:v>
                      </c:pt>
                    </c:strCache>
                  </c:strRef>
                </c:tx>
                <c:spPr>
                  <a:solidFill>
                    <a:schemeClr val="accent1">
                      <a:tint val="85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(2)'!$B$18:$T$18</c15:sqref>
                        </c15:formulaRef>
                      </c:ext>
                    </c:extLst>
                    <c:numCache>
                      <c:formatCode>General</c:formatCode>
                      <c:ptCount val="19"/>
                      <c:pt idx="0">
                        <c:v>84</c:v>
                      </c:pt>
                      <c:pt idx="1">
                        <c:v>100</c:v>
                      </c:pt>
                      <c:pt idx="2">
                        <c:v>118</c:v>
                      </c:pt>
                      <c:pt idx="3">
                        <c:v>129</c:v>
                      </c:pt>
                      <c:pt idx="4">
                        <c:v>129</c:v>
                      </c:pt>
                      <c:pt idx="5">
                        <c:v>68</c:v>
                      </c:pt>
                      <c:pt idx="6">
                        <c:v>142</c:v>
                      </c:pt>
                      <c:pt idx="7">
                        <c:v>123</c:v>
                      </c:pt>
                    </c:numCache>
                  </c:numRef>
                </c:val>
                <c:extLst xmlns:c15="http://schemas.microsoft.com/office/drawing/2012/chart">
                  <c:ext xmlns:c16="http://schemas.microsoft.com/office/drawing/2014/chart" uri="{C3380CC4-5D6E-409C-BE32-E72D297353CC}">
                    <c16:uniqueId val="{0000000C-D361-46A9-9DDB-EDA24F202B30}"/>
                  </c:ext>
                </c:extLst>
              </c15:ser>
            </c15:filteredBarSeries>
            <c15:filteredBarSeries>
              <c15:ser>
                <c:idx val="12"/>
                <c:order val="12"/>
                <c:tx>
                  <c:strRef>
                    <c:extLst xmlns:c15="http://schemas.microsoft.com/office/drawing/2012/chart">
                      <c:ext xmlns:c15="http://schemas.microsoft.com/office/drawing/2012/chart" uri="{02D57815-91ED-43cb-92C2-25804820EDAC}">
                        <c15:formulaRef>
                          <c15:sqref>'POS to DTT (2)'!$A$19</c15:sqref>
                        </c15:formulaRef>
                      </c:ext>
                    </c:extLst>
                    <c:strCache>
                      <c:ptCount val="1"/>
                      <c:pt idx="0">
                        <c:v>Haematological &amp; Acute Leukaemia - 75th Centile</c:v>
                      </c:pt>
                    </c:strCache>
                  </c:strRef>
                </c:tx>
                <c:spPr>
                  <a:solidFill>
                    <a:schemeClr val="accent1">
                      <a:tint val="89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(2)'!$B$19:$T$19</c15:sqref>
                        </c15:formulaRef>
                      </c:ext>
                    </c:extLst>
                    <c:numCache>
                      <c:formatCode>General</c:formatCode>
                      <c:ptCount val="19"/>
                      <c:pt idx="0">
                        <c:v>141</c:v>
                      </c:pt>
                      <c:pt idx="1">
                        <c:v>86</c:v>
                      </c:pt>
                      <c:pt idx="2">
                        <c:v>125</c:v>
                      </c:pt>
                      <c:pt idx="3">
                        <c:v>77</c:v>
                      </c:pt>
                      <c:pt idx="4">
                        <c:v>152</c:v>
                      </c:pt>
                      <c:pt idx="5">
                        <c:v>82</c:v>
                      </c:pt>
                      <c:pt idx="6">
                        <c:v>55</c:v>
                      </c:pt>
                      <c:pt idx="7">
                        <c:v>89</c:v>
                      </c:pt>
                    </c:numCache>
                  </c:numRef>
                </c:val>
                <c:extLst xmlns:c15="http://schemas.microsoft.com/office/drawing/2012/chart">
                  <c:ext xmlns:c16="http://schemas.microsoft.com/office/drawing/2014/chart" uri="{C3380CC4-5D6E-409C-BE32-E72D297353CC}">
                    <c16:uniqueId val="{0000000D-D361-46A9-9DDB-EDA24F202B30}"/>
                  </c:ext>
                </c:extLst>
              </c15:ser>
            </c15:filteredBarSeries>
            <c15:filteredBarSeries>
              <c15:ser>
                <c:idx val="13"/>
                <c:order val="13"/>
                <c:tx>
                  <c:strRef>
                    <c:extLst xmlns:c15="http://schemas.microsoft.com/office/drawing/2012/chart">
                      <c:ext xmlns:c15="http://schemas.microsoft.com/office/drawing/2012/chart" uri="{02D57815-91ED-43cb-92C2-25804820EDAC}">
                        <c15:formulaRef>
                          <c15:sqref>'POS to DTT (2)'!$A$20</c15:sqref>
                        </c15:formulaRef>
                      </c:ext>
                    </c:extLst>
                    <c:strCache>
                      <c:ptCount val="1"/>
                      <c:pt idx="0">
                        <c:v>Head &amp; Neck - 75th Centile</c:v>
                      </c:pt>
                    </c:strCache>
                  </c:strRef>
                </c:tx>
                <c:spPr>
                  <a:solidFill>
                    <a:schemeClr val="accent1">
                      <a:tint val="94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(2)'!$B$20:$T$20</c15:sqref>
                        </c15:formulaRef>
                      </c:ext>
                    </c:extLst>
                    <c:numCache>
                      <c:formatCode>General</c:formatCode>
                      <c:ptCount val="19"/>
                      <c:pt idx="0">
                        <c:v>61</c:v>
                      </c:pt>
                      <c:pt idx="1">
                        <c:v>65</c:v>
                      </c:pt>
                      <c:pt idx="2">
                        <c:v>41</c:v>
                      </c:pt>
                      <c:pt idx="3">
                        <c:v>51</c:v>
                      </c:pt>
                      <c:pt idx="4">
                        <c:v>31</c:v>
                      </c:pt>
                      <c:pt idx="5">
                        <c:v>42</c:v>
                      </c:pt>
                      <c:pt idx="6">
                        <c:v>45</c:v>
                      </c:pt>
                      <c:pt idx="7">
                        <c:v>50</c:v>
                      </c:pt>
                    </c:numCache>
                  </c:numRef>
                </c:val>
                <c:extLst xmlns:c15="http://schemas.microsoft.com/office/drawing/2012/chart">
                  <c:ext xmlns:c16="http://schemas.microsoft.com/office/drawing/2014/chart" uri="{C3380CC4-5D6E-409C-BE32-E72D297353CC}">
                    <c16:uniqueId val="{0000000E-D361-46A9-9DDB-EDA24F202B30}"/>
                  </c:ext>
                </c:extLst>
              </c15:ser>
            </c15:filteredBarSeries>
            <c15:filteredBarSeries>
              <c15:ser>
                <c:idx val="14"/>
                <c:order val="14"/>
                <c:tx>
                  <c:strRef>
                    <c:extLst xmlns:c15="http://schemas.microsoft.com/office/drawing/2012/chart">
                      <c:ext xmlns:c15="http://schemas.microsoft.com/office/drawing/2012/chart" uri="{02D57815-91ED-43cb-92C2-25804820EDAC}">
                        <c15:formulaRef>
                          <c15:sqref>'POS to DTT (2)'!$A$22</c15:sqref>
                        </c15:formulaRef>
                      </c:ext>
                    </c:extLst>
                    <c:strCache>
                      <c:ptCount val="1"/>
                      <c:pt idx="0">
                        <c:v>Lung - 75th Centile</c:v>
                      </c:pt>
                    </c:strCache>
                  </c:strRef>
                </c:tx>
                <c:spPr>
                  <a:solidFill>
                    <a:schemeClr val="accent1">
                      <a:tint val="98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(2)'!$B$22:$T$22</c15:sqref>
                        </c15:formulaRef>
                      </c:ext>
                    </c:extLst>
                    <c:numCache>
                      <c:formatCode>General</c:formatCode>
                      <c:ptCount val="19"/>
                      <c:pt idx="0">
                        <c:v>83</c:v>
                      </c:pt>
                      <c:pt idx="1">
                        <c:v>74</c:v>
                      </c:pt>
                      <c:pt idx="2">
                        <c:v>57</c:v>
                      </c:pt>
                      <c:pt idx="3">
                        <c:v>81</c:v>
                      </c:pt>
                      <c:pt idx="4">
                        <c:v>86</c:v>
                      </c:pt>
                      <c:pt idx="5">
                        <c:v>103</c:v>
                      </c:pt>
                      <c:pt idx="6">
                        <c:v>117</c:v>
                      </c:pt>
                      <c:pt idx="7">
                        <c:v>95</c:v>
                      </c:pt>
                    </c:numCache>
                  </c:numRef>
                </c:val>
                <c:extLst xmlns:c15="http://schemas.microsoft.com/office/drawing/2012/chart">
                  <c:ext xmlns:c16="http://schemas.microsoft.com/office/drawing/2014/chart" uri="{C3380CC4-5D6E-409C-BE32-E72D297353CC}">
                    <c16:uniqueId val="{0000000F-D361-46A9-9DDB-EDA24F202B30}"/>
                  </c:ext>
                </c:extLst>
              </c15:ser>
            </c15:filteredBarSeries>
            <c15:filteredBarSeries>
              <c15:ser>
                <c:idx val="15"/>
                <c:order val="15"/>
                <c:tx>
                  <c:strRef>
                    <c:extLst xmlns:c15="http://schemas.microsoft.com/office/drawing/2012/chart">
                      <c:ext xmlns:c15="http://schemas.microsoft.com/office/drawing/2012/chart" uri="{02D57815-91ED-43cb-92C2-25804820EDAC}">
                        <c15:formulaRef>
                          <c15:sqref>'POS to DTT (2)'!$A$21</c15:sqref>
                        </c15:formulaRef>
                      </c:ext>
                    </c:extLst>
                    <c:strCache>
                      <c:ptCount val="1"/>
                      <c:pt idx="0">
                        <c:v>Lower GI - 75th Centile</c:v>
                      </c:pt>
                    </c:strCache>
                  </c:strRef>
                </c:tx>
                <c:spPr>
                  <a:solidFill>
                    <a:schemeClr val="accent1">
                      <a:shade val="97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(2)'!$B$21:$T$21</c15:sqref>
                        </c15:formulaRef>
                      </c:ext>
                    </c:extLst>
                    <c:numCache>
                      <c:formatCode>General</c:formatCode>
                      <c:ptCount val="19"/>
                      <c:pt idx="0">
                        <c:v>99</c:v>
                      </c:pt>
                      <c:pt idx="1">
                        <c:v>94</c:v>
                      </c:pt>
                      <c:pt idx="2">
                        <c:v>67</c:v>
                      </c:pt>
                      <c:pt idx="3">
                        <c:v>70</c:v>
                      </c:pt>
                      <c:pt idx="4">
                        <c:v>109</c:v>
                      </c:pt>
                      <c:pt idx="5">
                        <c:v>76</c:v>
                      </c:pt>
                      <c:pt idx="6">
                        <c:v>74</c:v>
                      </c:pt>
                      <c:pt idx="7">
                        <c:v>77</c:v>
                      </c:pt>
                    </c:numCache>
                  </c:numRef>
                </c:val>
                <c:extLst xmlns:c15="http://schemas.microsoft.com/office/drawing/2012/chart">
                  <c:ext xmlns:c16="http://schemas.microsoft.com/office/drawing/2014/chart" uri="{C3380CC4-5D6E-409C-BE32-E72D297353CC}">
                    <c16:uniqueId val="{00000010-D361-46A9-9DDB-EDA24F202B30}"/>
                  </c:ext>
                </c:extLst>
              </c15:ser>
            </c15:filteredBarSeries>
            <c15:filteredBarSeries>
              <c15:ser>
                <c:idx val="16"/>
                <c:order val="16"/>
                <c:tx>
                  <c:strRef>
                    <c:extLst xmlns:c15="http://schemas.microsoft.com/office/drawing/2012/chart">
                      <c:ext xmlns:c15="http://schemas.microsoft.com/office/drawing/2012/chart" uri="{02D57815-91ED-43cb-92C2-25804820EDAC}">
                        <c15:formulaRef>
                          <c15:sqref>'POS to DTT (2)'!$A$25</c15:sqref>
                        </c15:formulaRef>
                      </c:ext>
                    </c:extLst>
                    <c:strCache>
                      <c:ptCount val="1"/>
                      <c:pt idx="0">
                        <c:v>Skin - 75th Centile</c:v>
                      </c:pt>
                    </c:strCache>
                  </c:strRef>
                </c:tx>
                <c:spPr>
                  <a:solidFill>
                    <a:schemeClr val="accent1">
                      <a:shade val="93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(2)'!$B$25:$T$25</c15:sqref>
                        </c15:formulaRef>
                      </c:ext>
                    </c:extLst>
                    <c:numCache>
                      <c:formatCode>General</c:formatCode>
                      <c:ptCount val="19"/>
                      <c:pt idx="0">
                        <c:v>57</c:v>
                      </c:pt>
                      <c:pt idx="1">
                        <c:v>50</c:v>
                      </c:pt>
                      <c:pt idx="2">
                        <c:v>53</c:v>
                      </c:pt>
                      <c:pt idx="3">
                        <c:v>26</c:v>
                      </c:pt>
                      <c:pt idx="4">
                        <c:v>21</c:v>
                      </c:pt>
                      <c:pt idx="5">
                        <c:v>21</c:v>
                      </c:pt>
                      <c:pt idx="6">
                        <c:v>19</c:v>
                      </c:pt>
                      <c:pt idx="7">
                        <c:v>27</c:v>
                      </c:pt>
                    </c:numCache>
                  </c:numRef>
                </c:val>
                <c:extLst xmlns:c15="http://schemas.microsoft.com/office/drawing/2012/chart">
                  <c:ext xmlns:c16="http://schemas.microsoft.com/office/drawing/2014/chart" uri="{C3380CC4-5D6E-409C-BE32-E72D297353CC}">
                    <c16:uniqueId val="{00000011-D361-46A9-9DDB-EDA24F202B30}"/>
                  </c:ext>
                </c:extLst>
              </c15:ser>
            </c15:filteredBarSeries>
            <c15:filteredBarSeries>
              <c15:ser>
                <c:idx val="17"/>
                <c:order val="17"/>
                <c:tx>
                  <c:strRef>
                    <c:extLst xmlns:c15="http://schemas.microsoft.com/office/drawing/2012/chart">
                      <c:ext xmlns:c15="http://schemas.microsoft.com/office/drawing/2012/chart" uri="{02D57815-91ED-43cb-92C2-25804820EDAC}">
                        <c15:formulaRef>
                          <c15:sqref>'POS to DTT (2)'!$A$27</c15:sqref>
                        </c15:formulaRef>
                      </c:ext>
                    </c:extLst>
                    <c:strCache>
                      <c:ptCount val="1"/>
                      <c:pt idx="0">
                        <c:v>Upper GI - 75th Centile</c:v>
                      </c:pt>
                    </c:strCache>
                  </c:strRef>
                </c:tx>
                <c:spPr>
                  <a:solidFill>
                    <a:schemeClr val="accent1">
                      <a:shade val="88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(2)'!$B$27:$T$27</c15:sqref>
                        </c15:formulaRef>
                      </c:ext>
                    </c:extLst>
                    <c:numCache>
                      <c:formatCode>General</c:formatCode>
                      <c:ptCount val="19"/>
                      <c:pt idx="0">
                        <c:v>77</c:v>
                      </c:pt>
                      <c:pt idx="1">
                        <c:v>92</c:v>
                      </c:pt>
                      <c:pt idx="2">
                        <c:v>51</c:v>
                      </c:pt>
                      <c:pt idx="3">
                        <c:v>66</c:v>
                      </c:pt>
                      <c:pt idx="4">
                        <c:v>127</c:v>
                      </c:pt>
                      <c:pt idx="5">
                        <c:v>85</c:v>
                      </c:pt>
                      <c:pt idx="6">
                        <c:v>87</c:v>
                      </c:pt>
                      <c:pt idx="7">
                        <c:v>48</c:v>
                      </c:pt>
                    </c:numCache>
                  </c:numRef>
                </c:val>
                <c:extLst xmlns:c15="http://schemas.microsoft.com/office/drawing/2012/chart">
                  <c:ext xmlns:c16="http://schemas.microsoft.com/office/drawing/2014/chart" uri="{C3380CC4-5D6E-409C-BE32-E72D297353CC}">
                    <c16:uniqueId val="{00000012-D361-46A9-9DDB-EDA24F202B30}"/>
                  </c:ext>
                </c:extLst>
              </c15:ser>
            </c15:filteredBarSeries>
            <c15:filteredBarSeries>
              <c15:ser>
                <c:idx val="18"/>
                <c:order val="18"/>
                <c:tx>
                  <c:strRef>
                    <c:extLst xmlns:c15="http://schemas.microsoft.com/office/drawing/2012/chart">
                      <c:ext xmlns:c15="http://schemas.microsoft.com/office/drawing/2012/chart" uri="{02D57815-91ED-43cb-92C2-25804820EDAC}">
                        <c15:formulaRef>
                          <c15:sqref>'POS to DTT (2)'!$A$28</c15:sqref>
                        </c15:formulaRef>
                      </c:ext>
                    </c:extLst>
                    <c:strCache>
                      <c:ptCount val="1"/>
                      <c:pt idx="0">
                        <c:v>Urological - 75th Centile</c:v>
                      </c:pt>
                    </c:strCache>
                  </c:strRef>
                </c:tx>
                <c:spPr>
                  <a:solidFill>
                    <a:schemeClr val="accent1">
                      <a:shade val="84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(2)'!$B$28:$T$28</c15:sqref>
                        </c15:formulaRef>
                      </c:ext>
                    </c:extLst>
                    <c:numCache>
                      <c:formatCode>General</c:formatCode>
                      <c:ptCount val="19"/>
                      <c:pt idx="0">
                        <c:v>87</c:v>
                      </c:pt>
                      <c:pt idx="1">
                        <c:v>109</c:v>
                      </c:pt>
                      <c:pt idx="2">
                        <c:v>94</c:v>
                      </c:pt>
                      <c:pt idx="3">
                        <c:v>85</c:v>
                      </c:pt>
                      <c:pt idx="4">
                        <c:v>80</c:v>
                      </c:pt>
                      <c:pt idx="5">
                        <c:v>103</c:v>
                      </c:pt>
                      <c:pt idx="6">
                        <c:v>94</c:v>
                      </c:pt>
                      <c:pt idx="7">
                        <c:v>85</c:v>
                      </c:pt>
                    </c:numCache>
                  </c:numRef>
                </c:val>
                <c:extLst xmlns:c15="http://schemas.microsoft.com/office/drawing/2012/chart">
                  <c:ext xmlns:c16="http://schemas.microsoft.com/office/drawing/2014/chart" uri="{C3380CC4-5D6E-409C-BE32-E72D297353CC}">
                    <c16:uniqueId val="{00000013-D361-46A9-9DDB-EDA24F202B30}"/>
                  </c:ext>
                </c:extLst>
              </c15:ser>
            </c15:filteredBarSeries>
            <c15:filteredBarSeries>
              <c15:ser>
                <c:idx val="19"/>
                <c:order val="19"/>
                <c:tx>
                  <c:strRef>
                    <c:extLst xmlns:c15="http://schemas.microsoft.com/office/drawing/2012/chart">
                      <c:ext xmlns:c15="http://schemas.microsoft.com/office/drawing/2012/chart" uri="{02D57815-91ED-43cb-92C2-25804820EDAC}">
                        <c15:formulaRef>
                          <c15:sqref>'POS to DTT (2)'!$A$29</c15:sqref>
                        </c15:formulaRef>
                      </c:ext>
                    </c:extLst>
                    <c:strCache>
                      <c:ptCount val="1"/>
                      <c:pt idx="0">
                        <c:v>All Sites - 75th Centile</c:v>
                      </c:pt>
                    </c:strCache>
                  </c:strRef>
                </c:tx>
                <c:spPr>
                  <a:solidFill>
                    <a:schemeClr val="accent1">
                      <a:shade val="79000"/>
                    </a:schemeClr>
                  </a:solidFill>
                  <a:ln>
                    <a:noFill/>
                  </a:ln>
                  <a:effectLst/>
                </c:spPr>
                <c:invertIfNegative val="0"/>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(2)'!$B$29:$T$29</c15:sqref>
                        </c15:formulaRef>
                      </c:ext>
                    </c:extLst>
                    <c:numCache>
                      <c:formatCode>General</c:formatCode>
                      <c:ptCount val="19"/>
                      <c:pt idx="0">
                        <c:v>77</c:v>
                      </c:pt>
                      <c:pt idx="1">
                        <c:v>73</c:v>
                      </c:pt>
                      <c:pt idx="2">
                        <c:v>70</c:v>
                      </c:pt>
                      <c:pt idx="3">
                        <c:v>67</c:v>
                      </c:pt>
                      <c:pt idx="4">
                        <c:v>78</c:v>
                      </c:pt>
                      <c:pt idx="5">
                        <c:v>68</c:v>
                      </c:pt>
                      <c:pt idx="6">
                        <c:v>70</c:v>
                      </c:pt>
                      <c:pt idx="7">
                        <c:v>63</c:v>
                      </c:pt>
                    </c:numCache>
                  </c:numRef>
                </c:val>
                <c:extLst xmlns:c15="http://schemas.microsoft.com/office/drawing/2012/chart">
                  <c:ext xmlns:c16="http://schemas.microsoft.com/office/drawing/2014/chart" uri="{C3380CC4-5D6E-409C-BE32-E72D297353CC}">
                    <c16:uniqueId val="{00000014-D361-46A9-9DDB-EDA24F202B30}"/>
                  </c:ext>
                </c:extLst>
              </c15:ser>
            </c15:filteredBarSeries>
          </c:ext>
        </c:extLst>
      </c:barChart>
      <c:lineChart>
        <c:grouping val="standard"/>
        <c:varyColors val="0"/>
        <c:ser>
          <c:idx val="29"/>
          <c:order val="29"/>
          <c:tx>
            <c:strRef>
              <c:f>'POS to DTT (2)'!$A$43</c:f>
              <c:strCache>
                <c:ptCount val="1"/>
                <c:pt idx="0">
                  <c:v>All Sites - % in 31 days</c:v>
                </c:pt>
              </c:strCache>
            </c:strRef>
          </c:tx>
          <c:spPr>
            <a:ln w="28575" cap="rnd">
              <a:solidFill>
                <a:schemeClr val="accent1">
                  <a:shade val="34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accent5">
                        <a:lumMod val="7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'POS to DTT (2)'!$B$1:$T$1</c:f>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f>'POS to DTT (2)'!$B$43:$T$43</c:f>
              <c:numCache>
                <c:formatCode>0%</c:formatCode>
                <c:ptCount val="19"/>
                <c:pt idx="0">
                  <c:v>0.31</c:v>
                </c:pt>
                <c:pt idx="1">
                  <c:v>0.33</c:v>
                </c:pt>
                <c:pt idx="2">
                  <c:v>0.32</c:v>
                </c:pt>
                <c:pt idx="3">
                  <c:v>0.41</c:v>
                </c:pt>
                <c:pt idx="4">
                  <c:v>0.39</c:v>
                </c:pt>
                <c:pt idx="5">
                  <c:v>0.45</c:v>
                </c:pt>
                <c:pt idx="6">
                  <c:v>0.44</c:v>
                </c:pt>
                <c:pt idx="7">
                  <c:v>0.48</c:v>
                </c:pt>
              </c:numCache>
            </c:numRef>
          </c:val>
          <c:smooth val="0"/>
          <c:extLst>
            <c:ext xmlns:c16="http://schemas.microsoft.com/office/drawing/2014/chart" uri="{C3380CC4-5D6E-409C-BE32-E72D297353CC}">
              <c16:uniqueId val="{00000001-D361-46A9-9DDB-EDA24F202B30}"/>
            </c:ext>
          </c:extLst>
        </c:ser>
        <c:dLbls>
          <c:showLegendKey val="0"/>
          <c:showVal val="0"/>
          <c:showCatName val="0"/>
          <c:showSerName val="0"/>
          <c:showPercent val="0"/>
          <c:showBubbleSize val="0"/>
        </c:dLbls>
        <c:marker val="1"/>
        <c:smooth val="0"/>
        <c:axId val="1857015824"/>
        <c:axId val="1856997104"/>
        <c:extLst>
          <c:ext xmlns:c15="http://schemas.microsoft.com/office/drawing/2012/chart" uri="{02D57815-91ED-43cb-92C2-25804820EDAC}">
            <c15:filteredLineSeries>
              <c15:ser>
                <c:idx val="20"/>
                <c:order val="20"/>
                <c:tx>
                  <c:strRef>
                    <c:extLst>
                      <c:ext uri="{02D57815-91ED-43cb-92C2-25804820EDAC}">
                        <c15:formulaRef>
                          <c15:sqref>'POS to DTT (2)'!$A$30</c15:sqref>
                        </c15:formulaRef>
                      </c:ext>
                    </c:extLst>
                    <c:strCache>
                      <c:ptCount val="1"/>
                      <c:pt idx="0">
                        <c:v>Breast - % in 31 days</c:v>
                      </c:pt>
                    </c:strCache>
                  </c:strRef>
                </c:tx>
                <c:spPr>
                  <a:ln w="28575" cap="rnd">
                    <a:solidFill>
                      <a:schemeClr val="accent1">
                        <a:shade val="75000"/>
                      </a:schemeClr>
                    </a:solidFill>
                    <a:round/>
                  </a:ln>
                  <a:effectLst/>
                </c:spPr>
                <c:marker>
                  <c:symbol val="none"/>
                </c:marker>
                <c:cat>
                  <c:numRef>
                    <c:extLst>
                      <c:ex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c:ext uri="{02D57815-91ED-43cb-92C2-25804820EDAC}">
                        <c15:formulaRef>
                          <c15:sqref>'POS to DTT (2)'!$B$30:$T$30</c15:sqref>
                        </c15:formulaRef>
                      </c:ext>
                    </c:extLst>
                    <c:numCache>
                      <c:formatCode>0%</c:formatCode>
                      <c:ptCount val="19"/>
                      <c:pt idx="0">
                        <c:v>0.35</c:v>
                      </c:pt>
                      <c:pt idx="1">
                        <c:v>0.31</c:v>
                      </c:pt>
                      <c:pt idx="2">
                        <c:v>0.1</c:v>
                      </c:pt>
                      <c:pt idx="3">
                        <c:v>0.37</c:v>
                      </c:pt>
                      <c:pt idx="4">
                        <c:v>0.27</c:v>
                      </c:pt>
                      <c:pt idx="5">
                        <c:v>0.41</c:v>
                      </c:pt>
                      <c:pt idx="6">
                        <c:v>0.48</c:v>
                      </c:pt>
                      <c:pt idx="7">
                        <c:v>0.47</c:v>
                      </c:pt>
                    </c:numCache>
                  </c:numRef>
                </c:val>
                <c:smooth val="0"/>
                <c:extLst>
                  <c:ext xmlns:c16="http://schemas.microsoft.com/office/drawing/2014/chart" uri="{C3380CC4-5D6E-409C-BE32-E72D297353CC}">
                    <c16:uniqueId val="{00000015-D361-46A9-9DDB-EDA24F202B30}"/>
                  </c:ext>
                </c:extLst>
              </c15:ser>
            </c15:filteredLineSeries>
            <c15:filteredLineSeries>
              <c15:ser>
                <c:idx val="21"/>
                <c:order val="21"/>
                <c:tx>
                  <c:strRef>
                    <c:extLst xmlns:c15="http://schemas.microsoft.com/office/drawing/2012/chart">
                      <c:ext xmlns:c15="http://schemas.microsoft.com/office/drawing/2012/chart" uri="{02D57815-91ED-43cb-92C2-25804820EDAC}">
                        <c15:formulaRef>
                          <c15:sqref>'POS to DTT (2)'!$A$32</c15:sqref>
                        </c15:formulaRef>
                      </c:ext>
                    </c:extLst>
                    <c:strCache>
                      <c:ptCount val="1"/>
                      <c:pt idx="0">
                        <c:v>Gynaecological - % in 31 days</c:v>
                      </c:pt>
                    </c:strCache>
                  </c:strRef>
                </c:tx>
                <c:spPr>
                  <a:ln w="28575" cap="rnd">
                    <a:solidFill>
                      <a:schemeClr val="accent1">
                        <a:shade val="70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(2)'!$B$32:$T$32</c15:sqref>
                        </c15:formulaRef>
                      </c:ext>
                    </c:extLst>
                    <c:numCache>
                      <c:formatCode>0%</c:formatCode>
                      <c:ptCount val="19"/>
                      <c:pt idx="0">
                        <c:v>0</c:v>
                      </c:pt>
                      <c:pt idx="1">
                        <c:v>0.2</c:v>
                      </c:pt>
                      <c:pt idx="2">
                        <c:v>0</c:v>
                      </c:pt>
                      <c:pt idx="3">
                        <c:v>0.14000000000000001</c:v>
                      </c:pt>
                      <c:pt idx="4">
                        <c:v>0.08</c:v>
                      </c:pt>
                      <c:pt idx="5">
                        <c:v>0.21</c:v>
                      </c:pt>
                      <c:pt idx="6">
                        <c:v>0.11</c:v>
                      </c:pt>
                      <c:pt idx="7">
                        <c:v>0.25</c:v>
                      </c:pt>
                    </c:numCache>
                  </c:numRef>
                </c:val>
                <c:smooth val="0"/>
                <c:extLst xmlns:c15="http://schemas.microsoft.com/office/drawing/2012/chart">
                  <c:ext xmlns:c16="http://schemas.microsoft.com/office/drawing/2014/chart" uri="{C3380CC4-5D6E-409C-BE32-E72D297353CC}">
                    <c16:uniqueId val="{00000016-D361-46A9-9DDB-EDA24F202B30}"/>
                  </c:ext>
                </c:extLst>
              </c15:ser>
            </c15:filteredLineSeries>
            <c15:filteredLineSeries>
              <c15:ser>
                <c:idx val="22"/>
                <c:order val="22"/>
                <c:tx>
                  <c:strRef>
                    <c:extLst xmlns:c15="http://schemas.microsoft.com/office/drawing/2012/chart">
                      <c:ext xmlns:c15="http://schemas.microsoft.com/office/drawing/2012/chart" uri="{02D57815-91ED-43cb-92C2-25804820EDAC}">
                        <c15:formulaRef>
                          <c15:sqref>'POS to DTT (2)'!$A$33</c15:sqref>
                        </c15:formulaRef>
                      </c:ext>
                    </c:extLst>
                    <c:strCache>
                      <c:ptCount val="1"/>
                      <c:pt idx="0">
                        <c:v>Haematological &amp; Acute Leukaemia - % in 31 days</c:v>
                      </c:pt>
                    </c:strCache>
                  </c:strRef>
                </c:tx>
                <c:spPr>
                  <a:ln w="28575" cap="rnd">
                    <a:solidFill>
                      <a:schemeClr val="accent1">
                        <a:shade val="66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(2)'!$B$33:$T$33</c15:sqref>
                        </c15:formulaRef>
                      </c:ext>
                    </c:extLst>
                    <c:numCache>
                      <c:formatCode>0%</c:formatCode>
                      <c:ptCount val="19"/>
                      <c:pt idx="0">
                        <c:v>0.23</c:v>
                      </c:pt>
                      <c:pt idx="1">
                        <c:v>0.23</c:v>
                      </c:pt>
                      <c:pt idx="2">
                        <c:v>0.21</c:v>
                      </c:pt>
                      <c:pt idx="3">
                        <c:v>0.43</c:v>
                      </c:pt>
                      <c:pt idx="4">
                        <c:v>7.0000000000000007E-2</c:v>
                      </c:pt>
                      <c:pt idx="5">
                        <c:v>0.33</c:v>
                      </c:pt>
                      <c:pt idx="6">
                        <c:v>0.44</c:v>
                      </c:pt>
                      <c:pt idx="7">
                        <c:v>0.25</c:v>
                      </c:pt>
                    </c:numCache>
                  </c:numRef>
                </c:val>
                <c:smooth val="0"/>
                <c:extLst xmlns:c15="http://schemas.microsoft.com/office/drawing/2012/chart">
                  <c:ext xmlns:c16="http://schemas.microsoft.com/office/drawing/2014/chart" uri="{C3380CC4-5D6E-409C-BE32-E72D297353CC}">
                    <c16:uniqueId val="{00000017-D361-46A9-9DDB-EDA24F202B30}"/>
                  </c:ext>
                </c:extLst>
              </c15:ser>
            </c15:filteredLineSeries>
            <c15:filteredLineSeries>
              <c15:ser>
                <c:idx val="23"/>
                <c:order val="23"/>
                <c:tx>
                  <c:strRef>
                    <c:extLst xmlns:c15="http://schemas.microsoft.com/office/drawing/2012/chart">
                      <c:ext xmlns:c15="http://schemas.microsoft.com/office/drawing/2012/chart" uri="{02D57815-91ED-43cb-92C2-25804820EDAC}">
                        <c15:formulaRef>
                          <c15:sqref>'POS to DTT (2)'!$A$34</c15:sqref>
                        </c15:formulaRef>
                      </c:ext>
                    </c:extLst>
                    <c:strCache>
                      <c:ptCount val="1"/>
                      <c:pt idx="0">
                        <c:v>Head &amp; Neck - % in 31 days</c:v>
                      </c:pt>
                    </c:strCache>
                  </c:strRef>
                </c:tx>
                <c:spPr>
                  <a:ln w="28575" cap="rnd">
                    <a:solidFill>
                      <a:schemeClr val="accent1">
                        <a:shade val="61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(2)'!$B$34:$T$34</c15:sqref>
                        </c15:formulaRef>
                      </c:ext>
                    </c:extLst>
                    <c:numCache>
                      <c:formatCode>0%</c:formatCode>
                      <c:ptCount val="19"/>
                      <c:pt idx="0">
                        <c:v>0.15</c:v>
                      </c:pt>
                      <c:pt idx="1">
                        <c:v>0.23</c:v>
                      </c:pt>
                      <c:pt idx="2">
                        <c:v>0.21</c:v>
                      </c:pt>
                      <c:pt idx="3">
                        <c:v>0.31</c:v>
                      </c:pt>
                      <c:pt idx="4">
                        <c:v>0.77</c:v>
                      </c:pt>
                      <c:pt idx="5">
                        <c:v>0.47</c:v>
                      </c:pt>
                      <c:pt idx="6">
                        <c:v>0.33</c:v>
                      </c:pt>
                      <c:pt idx="7">
                        <c:v>0.21</c:v>
                      </c:pt>
                    </c:numCache>
                  </c:numRef>
                </c:val>
                <c:smooth val="0"/>
                <c:extLst xmlns:c15="http://schemas.microsoft.com/office/drawing/2012/chart">
                  <c:ext xmlns:c16="http://schemas.microsoft.com/office/drawing/2014/chart" uri="{C3380CC4-5D6E-409C-BE32-E72D297353CC}">
                    <c16:uniqueId val="{00000018-D361-46A9-9DDB-EDA24F202B30}"/>
                  </c:ext>
                </c:extLst>
              </c15:ser>
            </c15:filteredLineSeries>
            <c15:filteredLineSeries>
              <c15:ser>
                <c:idx val="24"/>
                <c:order val="24"/>
                <c:tx>
                  <c:strRef>
                    <c:extLst xmlns:c15="http://schemas.microsoft.com/office/drawing/2012/chart">
                      <c:ext xmlns:c15="http://schemas.microsoft.com/office/drawing/2012/chart" uri="{02D57815-91ED-43cb-92C2-25804820EDAC}">
                        <c15:formulaRef>
                          <c15:sqref>'POS to DTT (2)'!$A$36</c15:sqref>
                        </c15:formulaRef>
                      </c:ext>
                    </c:extLst>
                    <c:strCache>
                      <c:ptCount val="1"/>
                      <c:pt idx="0">
                        <c:v>Lung - % in 31 days</c:v>
                      </c:pt>
                    </c:strCache>
                  </c:strRef>
                </c:tx>
                <c:spPr>
                  <a:ln w="28575" cap="rnd">
                    <a:solidFill>
                      <a:schemeClr val="accent1">
                        <a:shade val="57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(2)'!$B$36:$T$36</c15:sqref>
                        </c15:formulaRef>
                      </c:ext>
                    </c:extLst>
                    <c:numCache>
                      <c:formatCode>0%</c:formatCode>
                      <c:ptCount val="19"/>
                      <c:pt idx="0">
                        <c:v>0.28999999999999998</c:v>
                      </c:pt>
                      <c:pt idx="1">
                        <c:v>0.25</c:v>
                      </c:pt>
                      <c:pt idx="2">
                        <c:v>0.39</c:v>
                      </c:pt>
                      <c:pt idx="3">
                        <c:v>7.0000000000000007E-2</c:v>
                      </c:pt>
                      <c:pt idx="4">
                        <c:v>0.23</c:v>
                      </c:pt>
                      <c:pt idx="5">
                        <c:v>0.28999999999999998</c:v>
                      </c:pt>
                      <c:pt idx="6">
                        <c:v>0.19</c:v>
                      </c:pt>
                      <c:pt idx="7">
                        <c:v>0.33</c:v>
                      </c:pt>
                    </c:numCache>
                  </c:numRef>
                </c:val>
                <c:smooth val="0"/>
                <c:extLst xmlns:c15="http://schemas.microsoft.com/office/drawing/2012/chart">
                  <c:ext xmlns:c16="http://schemas.microsoft.com/office/drawing/2014/chart" uri="{C3380CC4-5D6E-409C-BE32-E72D297353CC}">
                    <c16:uniqueId val="{00000019-D361-46A9-9DDB-EDA24F202B30}"/>
                  </c:ext>
                </c:extLst>
              </c15:ser>
            </c15:filteredLineSeries>
            <c15:filteredLineSeries>
              <c15:ser>
                <c:idx val="25"/>
                <c:order val="25"/>
                <c:tx>
                  <c:strRef>
                    <c:extLst xmlns:c15="http://schemas.microsoft.com/office/drawing/2012/chart">
                      <c:ext xmlns:c15="http://schemas.microsoft.com/office/drawing/2012/chart" uri="{02D57815-91ED-43cb-92C2-25804820EDAC}">
                        <c15:formulaRef>
                          <c15:sqref>'POS to DTT (2)'!$A$35</c15:sqref>
                        </c15:formulaRef>
                      </c:ext>
                    </c:extLst>
                    <c:strCache>
                      <c:ptCount val="1"/>
                      <c:pt idx="0">
                        <c:v>Lower GI - % in 31 days</c:v>
                      </c:pt>
                    </c:strCache>
                  </c:strRef>
                </c:tx>
                <c:spPr>
                  <a:ln w="28575" cap="rnd">
                    <a:solidFill>
                      <a:schemeClr val="accent1">
                        <a:shade val="52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(2)'!$B$35:$T$35</c15:sqref>
                        </c15:formulaRef>
                      </c:ext>
                    </c:extLst>
                    <c:numCache>
                      <c:formatCode>0%</c:formatCode>
                      <c:ptCount val="19"/>
                      <c:pt idx="0">
                        <c:v>0.28999999999999998</c:v>
                      </c:pt>
                      <c:pt idx="1">
                        <c:v>0.21</c:v>
                      </c:pt>
                      <c:pt idx="2">
                        <c:v>0.26</c:v>
                      </c:pt>
                      <c:pt idx="3">
                        <c:v>0.21</c:v>
                      </c:pt>
                      <c:pt idx="4">
                        <c:v>0.05</c:v>
                      </c:pt>
                      <c:pt idx="5">
                        <c:v>0.21</c:v>
                      </c:pt>
                      <c:pt idx="6">
                        <c:v>0.43</c:v>
                      </c:pt>
                      <c:pt idx="7">
                        <c:v>0.15</c:v>
                      </c:pt>
                    </c:numCache>
                  </c:numRef>
                </c:val>
                <c:smooth val="0"/>
                <c:extLst xmlns:c15="http://schemas.microsoft.com/office/drawing/2012/chart">
                  <c:ext xmlns:c16="http://schemas.microsoft.com/office/drawing/2014/chart" uri="{C3380CC4-5D6E-409C-BE32-E72D297353CC}">
                    <c16:uniqueId val="{0000001A-D361-46A9-9DDB-EDA24F202B30}"/>
                  </c:ext>
                </c:extLst>
              </c15:ser>
            </c15:filteredLineSeries>
            <c15:filteredLineSeries>
              <c15:ser>
                <c:idx val="26"/>
                <c:order val="26"/>
                <c:tx>
                  <c:strRef>
                    <c:extLst xmlns:c15="http://schemas.microsoft.com/office/drawing/2012/chart">
                      <c:ext xmlns:c15="http://schemas.microsoft.com/office/drawing/2012/chart" uri="{02D57815-91ED-43cb-92C2-25804820EDAC}">
                        <c15:formulaRef>
                          <c15:sqref>'POS to DTT (2)'!$A$39</c15:sqref>
                        </c15:formulaRef>
                      </c:ext>
                    </c:extLst>
                    <c:strCache>
                      <c:ptCount val="1"/>
                      <c:pt idx="0">
                        <c:v>Skin - % in 31 days</c:v>
                      </c:pt>
                    </c:strCache>
                  </c:strRef>
                </c:tx>
                <c:spPr>
                  <a:ln w="28575" cap="rnd">
                    <a:solidFill>
                      <a:schemeClr val="accent1">
                        <a:shade val="48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(2)'!$B$39:$T$39</c15:sqref>
                        </c15:formulaRef>
                      </c:ext>
                    </c:extLst>
                    <c:numCache>
                      <c:formatCode>0%</c:formatCode>
                      <c:ptCount val="19"/>
                      <c:pt idx="0">
                        <c:v>0.47</c:v>
                      </c:pt>
                      <c:pt idx="1">
                        <c:v>0.56999999999999995</c:v>
                      </c:pt>
                      <c:pt idx="2">
                        <c:v>0.56000000000000005</c:v>
                      </c:pt>
                      <c:pt idx="3">
                        <c:v>0.76</c:v>
                      </c:pt>
                      <c:pt idx="4">
                        <c:v>0.82</c:v>
                      </c:pt>
                      <c:pt idx="5">
                        <c:v>0.86</c:v>
                      </c:pt>
                      <c:pt idx="6">
                        <c:v>0.93</c:v>
                      </c:pt>
                      <c:pt idx="7">
                        <c:v>0.87</c:v>
                      </c:pt>
                    </c:numCache>
                  </c:numRef>
                </c:val>
                <c:smooth val="0"/>
                <c:extLst xmlns:c15="http://schemas.microsoft.com/office/drawing/2012/chart">
                  <c:ext xmlns:c16="http://schemas.microsoft.com/office/drawing/2014/chart" uri="{C3380CC4-5D6E-409C-BE32-E72D297353CC}">
                    <c16:uniqueId val="{0000001B-D361-46A9-9DDB-EDA24F202B30}"/>
                  </c:ext>
                </c:extLst>
              </c15:ser>
            </c15:filteredLineSeries>
            <c15:filteredLineSeries>
              <c15:ser>
                <c:idx val="27"/>
                <c:order val="27"/>
                <c:tx>
                  <c:strRef>
                    <c:extLst xmlns:c15="http://schemas.microsoft.com/office/drawing/2012/chart">
                      <c:ext xmlns:c15="http://schemas.microsoft.com/office/drawing/2012/chart" uri="{02D57815-91ED-43cb-92C2-25804820EDAC}">
                        <c15:formulaRef>
                          <c15:sqref>'POS to DTT (2)'!$A$41</c15:sqref>
                        </c15:formulaRef>
                      </c:ext>
                    </c:extLst>
                    <c:strCache>
                      <c:ptCount val="1"/>
                      <c:pt idx="0">
                        <c:v>Upper GI - % in 31 days</c:v>
                      </c:pt>
                    </c:strCache>
                  </c:strRef>
                </c:tx>
                <c:spPr>
                  <a:ln w="28575" cap="rnd">
                    <a:solidFill>
                      <a:schemeClr val="accent1">
                        <a:shade val="43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(2)'!$B$41:$T$41</c15:sqref>
                        </c15:formulaRef>
                      </c:ext>
                    </c:extLst>
                    <c:numCache>
                      <c:formatCode>0%</c:formatCode>
                      <c:ptCount val="19"/>
                      <c:pt idx="0">
                        <c:v>0.2</c:v>
                      </c:pt>
                      <c:pt idx="1">
                        <c:v>0.24</c:v>
                      </c:pt>
                      <c:pt idx="2">
                        <c:v>0.23</c:v>
                      </c:pt>
                      <c:pt idx="3">
                        <c:v>0.56000000000000005</c:v>
                      </c:pt>
                      <c:pt idx="4">
                        <c:v>0.33</c:v>
                      </c:pt>
                      <c:pt idx="5">
                        <c:v>0.25</c:v>
                      </c:pt>
                      <c:pt idx="6">
                        <c:v>0.28999999999999998</c:v>
                      </c:pt>
                      <c:pt idx="7">
                        <c:v>0.5</c:v>
                      </c:pt>
                    </c:numCache>
                  </c:numRef>
                </c:val>
                <c:smooth val="0"/>
                <c:extLst xmlns:c15="http://schemas.microsoft.com/office/drawing/2012/chart">
                  <c:ext xmlns:c16="http://schemas.microsoft.com/office/drawing/2014/chart" uri="{C3380CC4-5D6E-409C-BE32-E72D297353CC}">
                    <c16:uniqueId val="{0000001C-D361-46A9-9DDB-EDA24F202B30}"/>
                  </c:ext>
                </c:extLst>
              </c15:ser>
            </c15:filteredLineSeries>
            <c15:filteredLineSeries>
              <c15:ser>
                <c:idx val="28"/>
                <c:order val="28"/>
                <c:tx>
                  <c:strRef>
                    <c:extLst xmlns:c15="http://schemas.microsoft.com/office/drawing/2012/chart">
                      <c:ext xmlns:c15="http://schemas.microsoft.com/office/drawing/2012/chart" uri="{02D57815-91ED-43cb-92C2-25804820EDAC}">
                        <c15:formulaRef>
                          <c15:sqref>'POS to DTT (2)'!$A$42</c15:sqref>
                        </c15:formulaRef>
                      </c:ext>
                    </c:extLst>
                    <c:strCache>
                      <c:ptCount val="1"/>
                      <c:pt idx="0">
                        <c:v>Urological - % in 31 days</c:v>
                      </c:pt>
                    </c:strCache>
                  </c:strRef>
                </c:tx>
                <c:spPr>
                  <a:ln w="28575" cap="rnd">
                    <a:solidFill>
                      <a:schemeClr val="accent1">
                        <a:shade val="39000"/>
                      </a:schemeClr>
                    </a:solidFill>
                    <a:round/>
                  </a:ln>
                  <a:effectLst/>
                </c:spPr>
                <c:marker>
                  <c:symbol val="none"/>
                </c:marker>
                <c:cat>
                  <c:numRef>
                    <c:extLst xmlns:c15="http://schemas.microsoft.com/office/drawing/2012/chart">
                      <c:ext xmlns:c15="http://schemas.microsoft.com/office/drawing/2012/chart" uri="{02D57815-91ED-43cb-92C2-25804820EDAC}">
                        <c15:formulaRef>
                          <c15:sqref>'POS to DTT (2)'!$B$1:$T$1</c15:sqref>
                        </c15:formulaRef>
                      </c:ext>
                    </c:extLst>
                    <c:numCache>
                      <c:formatCode>mmm\-yy</c:formatCode>
                      <c:ptCount val="19"/>
                      <c:pt idx="0">
                        <c:v>45170</c:v>
                      </c:pt>
                      <c:pt idx="1">
                        <c:v>45200</c:v>
                      </c:pt>
                      <c:pt idx="2">
                        <c:v>45231</c:v>
                      </c:pt>
                      <c:pt idx="3">
                        <c:v>45261</c:v>
                      </c:pt>
                      <c:pt idx="4">
                        <c:v>45292</c:v>
                      </c:pt>
                      <c:pt idx="5">
                        <c:v>45323</c:v>
                      </c:pt>
                      <c:pt idx="6">
                        <c:v>45352</c:v>
                      </c:pt>
                      <c:pt idx="7">
                        <c:v>45383</c:v>
                      </c:pt>
                      <c:pt idx="8">
                        <c:v>45413</c:v>
                      </c:pt>
                      <c:pt idx="9">
                        <c:v>45444</c:v>
                      </c:pt>
                      <c:pt idx="10">
                        <c:v>45474</c:v>
                      </c:pt>
                      <c:pt idx="11">
                        <c:v>45505</c:v>
                      </c:pt>
                      <c:pt idx="12">
                        <c:v>45536</c:v>
                      </c:pt>
                      <c:pt idx="13">
                        <c:v>45566</c:v>
                      </c:pt>
                      <c:pt idx="14">
                        <c:v>45597</c:v>
                      </c:pt>
                      <c:pt idx="15">
                        <c:v>45627</c:v>
                      </c:pt>
                      <c:pt idx="16">
                        <c:v>45658</c:v>
                      </c:pt>
                      <c:pt idx="17">
                        <c:v>45689</c:v>
                      </c:pt>
                      <c:pt idx="18">
                        <c:v>45717</c:v>
                      </c:pt>
                    </c:numCache>
                  </c:numRef>
                </c:cat>
                <c:val>
                  <c:numRef>
                    <c:extLst xmlns:c15="http://schemas.microsoft.com/office/drawing/2012/chart">
                      <c:ext xmlns:c15="http://schemas.microsoft.com/office/drawing/2012/chart" uri="{02D57815-91ED-43cb-92C2-25804820EDAC}">
                        <c15:formulaRef>
                          <c15:sqref>'POS to DTT (2)'!$B$42:$T$42</c15:sqref>
                        </c15:formulaRef>
                      </c:ext>
                    </c:extLst>
                    <c:numCache>
                      <c:formatCode>0%</c:formatCode>
                      <c:ptCount val="19"/>
                      <c:pt idx="0">
                        <c:v>0.14000000000000001</c:v>
                      </c:pt>
                      <c:pt idx="1">
                        <c:v>0.27</c:v>
                      </c:pt>
                      <c:pt idx="2">
                        <c:v>0.26</c:v>
                      </c:pt>
                      <c:pt idx="3">
                        <c:v>0.16</c:v>
                      </c:pt>
                      <c:pt idx="4">
                        <c:v>0.17</c:v>
                      </c:pt>
                      <c:pt idx="5">
                        <c:v>0.12</c:v>
                      </c:pt>
                      <c:pt idx="6">
                        <c:v>0.05</c:v>
                      </c:pt>
                      <c:pt idx="7">
                        <c:v>0.28999999999999998</c:v>
                      </c:pt>
                    </c:numCache>
                  </c:numRef>
                </c:val>
                <c:smooth val="0"/>
                <c:extLst xmlns:c15="http://schemas.microsoft.com/office/drawing/2012/chart">
                  <c:ext xmlns:c16="http://schemas.microsoft.com/office/drawing/2014/chart" uri="{C3380CC4-5D6E-409C-BE32-E72D297353CC}">
                    <c16:uniqueId val="{0000001D-D361-46A9-9DDB-EDA24F202B30}"/>
                  </c:ext>
                </c:extLst>
              </c15:ser>
            </c15:filteredLineSeries>
          </c:ext>
        </c:extLst>
      </c:lineChart>
      <c:dateAx>
        <c:axId val="1835663232"/>
        <c:scaling>
          <c:orientation val="minMax"/>
        </c:scaling>
        <c:delete val="0"/>
        <c:axPos val="b"/>
        <c:numFmt formatCode="mmm\-yy"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5660320"/>
        <c:crosses val="autoZero"/>
        <c:auto val="1"/>
        <c:lblOffset val="100"/>
        <c:baseTimeUnit val="months"/>
      </c:dateAx>
      <c:valAx>
        <c:axId val="1835660320"/>
        <c:scaling>
          <c:orientation val="minMax"/>
          <c:max val="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35663232"/>
        <c:crosses val="autoZero"/>
        <c:crossBetween val="between"/>
      </c:valAx>
      <c:valAx>
        <c:axId val="1856997104"/>
        <c:scaling>
          <c:orientation val="minMax"/>
          <c:max val="1"/>
        </c:scaling>
        <c:delete val="0"/>
        <c:axPos val="r"/>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57015824"/>
        <c:crosses val="max"/>
        <c:crossBetween val="between"/>
      </c:valAx>
      <c:dateAx>
        <c:axId val="1857015824"/>
        <c:scaling>
          <c:orientation val="minMax"/>
        </c:scaling>
        <c:delete val="1"/>
        <c:axPos val="b"/>
        <c:numFmt formatCode="mmm\-yy" sourceLinked="1"/>
        <c:majorTickMark val="out"/>
        <c:minorTickMark val="none"/>
        <c:tickLblPos val="nextTo"/>
        <c:crossAx val="1856997104"/>
        <c:crosses val="autoZero"/>
        <c:auto val="1"/>
        <c:lblOffset val="100"/>
        <c:baseTimeUnit val="months"/>
      </c:date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sng" strike="noStrike" kern="1200" spc="0" baseline="0">
                <a:solidFill>
                  <a:schemeClr val="tx1">
                    <a:lumMod val="65000"/>
                    <a:lumOff val="35000"/>
                  </a:schemeClr>
                </a:solidFill>
                <a:latin typeface="+mn-lt"/>
                <a:ea typeface="+mn-ea"/>
                <a:cs typeface="+mn-cs"/>
              </a:defRPr>
            </a:pPr>
            <a:r>
              <a:rPr lang="en-GB" u="sng"/>
              <a:t>Pathology turnaround times</a:t>
            </a:r>
          </a:p>
        </c:rich>
      </c:tx>
      <c:overlay val="0"/>
      <c:spPr>
        <a:noFill/>
        <a:ln>
          <a:noFill/>
        </a:ln>
        <a:effectLst/>
      </c:spPr>
      <c:txPr>
        <a:bodyPr rot="0" spcFirstLastPara="1" vertOverflow="ellipsis" vert="horz" wrap="square" anchor="ctr" anchorCtr="1"/>
        <a:lstStyle/>
        <a:p>
          <a:pPr>
            <a:defRPr sz="1400" b="0" i="0" u="sng"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Sheet1!$B$24</c:f>
              <c:strCache>
                <c:ptCount val="1"/>
                <c:pt idx="0">
                  <c:v>Specimens</c:v>
                </c:pt>
              </c:strCache>
            </c:strRef>
          </c:tx>
          <c:spPr>
            <a:solidFill>
              <a:schemeClr val="accent5">
                <a:lumMod val="60000"/>
                <a:lumOff val="40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Sheet1!$A$25:$A$42</c:f>
              <c:strCache>
                <c:ptCount val="18"/>
                <c:pt idx="0">
                  <c:v>2022 | 11</c:v>
                </c:pt>
                <c:pt idx="1">
                  <c:v>2022 | 12</c:v>
                </c:pt>
                <c:pt idx="2">
                  <c:v>2023 | 01</c:v>
                </c:pt>
                <c:pt idx="3">
                  <c:v>2023 | 02</c:v>
                </c:pt>
                <c:pt idx="4">
                  <c:v>2023 | 03</c:v>
                </c:pt>
                <c:pt idx="5">
                  <c:v>2023 | 04</c:v>
                </c:pt>
                <c:pt idx="6">
                  <c:v>2023 | 05</c:v>
                </c:pt>
                <c:pt idx="7">
                  <c:v>2023 | 06</c:v>
                </c:pt>
                <c:pt idx="8">
                  <c:v>2023 | 07</c:v>
                </c:pt>
                <c:pt idx="9">
                  <c:v>2023 | 08</c:v>
                </c:pt>
                <c:pt idx="10">
                  <c:v>2023 | 09</c:v>
                </c:pt>
                <c:pt idx="11">
                  <c:v>2023 | 10</c:v>
                </c:pt>
                <c:pt idx="12">
                  <c:v>2023 | 11</c:v>
                </c:pt>
                <c:pt idx="13">
                  <c:v>2023 | 12</c:v>
                </c:pt>
                <c:pt idx="14">
                  <c:v>2024 | 01</c:v>
                </c:pt>
                <c:pt idx="15">
                  <c:v>2024 | 02</c:v>
                </c:pt>
                <c:pt idx="16">
                  <c:v>2024 | 03</c:v>
                </c:pt>
                <c:pt idx="17">
                  <c:v>2024 | 04</c:v>
                </c:pt>
              </c:strCache>
              <c:extLst/>
            </c:strRef>
          </c:cat>
          <c:val>
            <c:numRef>
              <c:f>Sheet1!$B$25:$B$42</c:f>
              <c:numCache>
                <c:formatCode>General</c:formatCode>
                <c:ptCount val="18"/>
                <c:pt idx="0">
                  <c:v>2352</c:v>
                </c:pt>
                <c:pt idx="1">
                  <c:v>1818</c:v>
                </c:pt>
                <c:pt idx="2">
                  <c:v>2141</c:v>
                </c:pt>
                <c:pt idx="3">
                  <c:v>2212</c:v>
                </c:pt>
                <c:pt idx="4">
                  <c:v>2374</c:v>
                </c:pt>
                <c:pt idx="5">
                  <c:v>2357</c:v>
                </c:pt>
                <c:pt idx="6">
                  <c:v>2588</c:v>
                </c:pt>
                <c:pt idx="7">
                  <c:v>2530</c:v>
                </c:pt>
                <c:pt idx="8">
                  <c:v>2699</c:v>
                </c:pt>
                <c:pt idx="9">
                  <c:v>2572</c:v>
                </c:pt>
                <c:pt idx="10">
                  <c:v>2701</c:v>
                </c:pt>
                <c:pt idx="11">
                  <c:v>2773</c:v>
                </c:pt>
                <c:pt idx="12">
                  <c:v>3090</c:v>
                </c:pt>
                <c:pt idx="13">
                  <c:v>2517</c:v>
                </c:pt>
                <c:pt idx="14">
                  <c:v>2843</c:v>
                </c:pt>
                <c:pt idx="15">
                  <c:v>2734</c:v>
                </c:pt>
                <c:pt idx="16">
                  <c:v>2486</c:v>
                </c:pt>
                <c:pt idx="17">
                  <c:v>2580</c:v>
                </c:pt>
              </c:numCache>
              <c:extLst/>
            </c:numRef>
          </c:val>
          <c:extLst>
            <c:ext xmlns:c16="http://schemas.microsoft.com/office/drawing/2014/chart" uri="{C3380CC4-5D6E-409C-BE32-E72D297353CC}">
              <c16:uniqueId val="{00000000-3BA0-458B-83D7-857E32B835E8}"/>
            </c:ext>
          </c:extLst>
        </c:ser>
        <c:dLbls>
          <c:showLegendKey val="0"/>
          <c:showVal val="0"/>
          <c:showCatName val="0"/>
          <c:showSerName val="0"/>
          <c:showPercent val="0"/>
          <c:showBubbleSize val="0"/>
        </c:dLbls>
        <c:gapWidth val="150"/>
        <c:axId val="688511711"/>
        <c:axId val="688504639"/>
        <c:extLst>
          <c:ext xmlns:c15="http://schemas.microsoft.com/office/drawing/2012/chart" uri="{02D57815-91ED-43cb-92C2-25804820EDAC}">
            <c15:filteredBarSeries>
              <c15:ser>
                <c:idx val="2"/>
                <c:order val="2"/>
                <c:tx>
                  <c:strRef>
                    <c:extLst>
                      <c:ext uri="{02D57815-91ED-43cb-92C2-25804820EDAC}">
                        <c15:formulaRef>
                          <c15:sqref>Sheet1!$D$24</c15:sqref>
                        </c15:formulaRef>
                      </c:ext>
                    </c:extLst>
                    <c:strCache>
                      <c:ptCount val="1"/>
                      <c:pt idx="0">
                        <c:v> &lt;=3 days</c:v>
                      </c:pt>
                    </c:strCache>
                  </c:strRef>
                </c:tx>
                <c:spPr>
                  <a:solidFill>
                    <a:schemeClr val="accent3"/>
                  </a:solidFill>
                  <a:ln>
                    <a:noFill/>
                  </a:ln>
                  <a:effectLst/>
                </c:spPr>
                <c:invertIfNegative val="0"/>
                <c:cat>
                  <c:strRef>
                    <c:extLst>
                      <c:ext uri="{02D57815-91ED-43cb-92C2-25804820EDAC}">
                        <c15:formulaRef>
                          <c15:sqref>Sheet1!$A$25:$A$42</c15:sqref>
                        </c15:formulaRef>
                      </c:ext>
                    </c:extLst>
                    <c:strCache>
                      <c:ptCount val="18"/>
                      <c:pt idx="0">
                        <c:v>2022 | 11</c:v>
                      </c:pt>
                      <c:pt idx="1">
                        <c:v>2022 | 12</c:v>
                      </c:pt>
                      <c:pt idx="2">
                        <c:v>2023 | 01</c:v>
                      </c:pt>
                      <c:pt idx="3">
                        <c:v>2023 | 02</c:v>
                      </c:pt>
                      <c:pt idx="4">
                        <c:v>2023 | 03</c:v>
                      </c:pt>
                      <c:pt idx="5">
                        <c:v>2023 | 04</c:v>
                      </c:pt>
                      <c:pt idx="6">
                        <c:v>2023 | 05</c:v>
                      </c:pt>
                      <c:pt idx="7">
                        <c:v>2023 | 06</c:v>
                      </c:pt>
                      <c:pt idx="8">
                        <c:v>2023 | 07</c:v>
                      </c:pt>
                      <c:pt idx="9">
                        <c:v>2023 | 08</c:v>
                      </c:pt>
                      <c:pt idx="10">
                        <c:v>2023 | 09</c:v>
                      </c:pt>
                      <c:pt idx="11">
                        <c:v>2023 | 10</c:v>
                      </c:pt>
                      <c:pt idx="12">
                        <c:v>2023 | 11</c:v>
                      </c:pt>
                      <c:pt idx="13">
                        <c:v>2023 | 12</c:v>
                      </c:pt>
                      <c:pt idx="14">
                        <c:v>2024 | 01</c:v>
                      </c:pt>
                      <c:pt idx="15">
                        <c:v>2024 | 02</c:v>
                      </c:pt>
                      <c:pt idx="16">
                        <c:v>2024 | 03</c:v>
                      </c:pt>
                      <c:pt idx="17">
                        <c:v>2024 | 04</c:v>
                      </c:pt>
                    </c:strCache>
                  </c:strRef>
                </c:cat>
                <c:val>
                  <c:numRef>
                    <c:extLst>
                      <c:ext uri="{02D57815-91ED-43cb-92C2-25804820EDAC}">
                        <c15:formulaRef>
                          <c15:sqref>Sheet1!$D$25:$D$42</c15:sqref>
                        </c15:formulaRef>
                      </c:ext>
                    </c:extLst>
                    <c:numCache>
                      <c:formatCode>General</c:formatCode>
                      <c:ptCount val="18"/>
                      <c:pt idx="0">
                        <c:v>201</c:v>
                      </c:pt>
                      <c:pt idx="1">
                        <c:v>57</c:v>
                      </c:pt>
                      <c:pt idx="2">
                        <c:v>138</c:v>
                      </c:pt>
                      <c:pt idx="3">
                        <c:v>118</c:v>
                      </c:pt>
                      <c:pt idx="4">
                        <c:v>172</c:v>
                      </c:pt>
                      <c:pt idx="5">
                        <c:v>173</c:v>
                      </c:pt>
                      <c:pt idx="6">
                        <c:v>204</c:v>
                      </c:pt>
                      <c:pt idx="7">
                        <c:v>163</c:v>
                      </c:pt>
                      <c:pt idx="8">
                        <c:v>115</c:v>
                      </c:pt>
                      <c:pt idx="9">
                        <c:v>132</c:v>
                      </c:pt>
                      <c:pt idx="10">
                        <c:v>88</c:v>
                      </c:pt>
                      <c:pt idx="11">
                        <c:v>127</c:v>
                      </c:pt>
                      <c:pt idx="12">
                        <c:v>280</c:v>
                      </c:pt>
                      <c:pt idx="13">
                        <c:v>99</c:v>
                      </c:pt>
                      <c:pt idx="14">
                        <c:v>158</c:v>
                      </c:pt>
                      <c:pt idx="15">
                        <c:v>162</c:v>
                      </c:pt>
                      <c:pt idx="16">
                        <c:v>100</c:v>
                      </c:pt>
                      <c:pt idx="17">
                        <c:v>204</c:v>
                      </c:pt>
                    </c:numCache>
                  </c:numRef>
                </c:val>
                <c:extLst>
                  <c:ext xmlns:c16="http://schemas.microsoft.com/office/drawing/2014/chart" uri="{C3380CC4-5D6E-409C-BE32-E72D297353CC}">
                    <c16:uniqueId val="{00000003-3BA0-458B-83D7-857E32B835E8}"/>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Sheet1!$E$24</c15:sqref>
                        </c15:formulaRef>
                      </c:ext>
                    </c:extLst>
                    <c:strCache>
                      <c:ptCount val="1"/>
                      <c:pt idx="0">
                        <c:v>&lt;=5 days</c:v>
                      </c:pt>
                    </c:strCache>
                  </c:strRef>
                </c:tx>
                <c:spPr>
                  <a:solidFill>
                    <a:schemeClr val="accent4"/>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2022 | 11</c:v>
                      </c:pt>
                      <c:pt idx="1">
                        <c:v>2022 | 12</c:v>
                      </c:pt>
                      <c:pt idx="2">
                        <c:v>2023 | 01</c:v>
                      </c:pt>
                      <c:pt idx="3">
                        <c:v>2023 | 02</c:v>
                      </c:pt>
                      <c:pt idx="4">
                        <c:v>2023 | 03</c:v>
                      </c:pt>
                      <c:pt idx="5">
                        <c:v>2023 | 04</c:v>
                      </c:pt>
                      <c:pt idx="6">
                        <c:v>2023 | 05</c:v>
                      </c:pt>
                      <c:pt idx="7">
                        <c:v>2023 | 06</c:v>
                      </c:pt>
                      <c:pt idx="8">
                        <c:v>2023 | 07</c:v>
                      </c:pt>
                      <c:pt idx="9">
                        <c:v>2023 | 08</c:v>
                      </c:pt>
                      <c:pt idx="10">
                        <c:v>2023 | 09</c:v>
                      </c:pt>
                      <c:pt idx="11">
                        <c:v>2023 | 10</c:v>
                      </c:pt>
                      <c:pt idx="12">
                        <c:v>2023 | 11</c:v>
                      </c:pt>
                      <c:pt idx="13">
                        <c:v>2023 | 12</c:v>
                      </c:pt>
                      <c:pt idx="14">
                        <c:v>2024 | 01</c:v>
                      </c:pt>
                      <c:pt idx="15">
                        <c:v>2024 | 02</c:v>
                      </c:pt>
                      <c:pt idx="16">
                        <c:v>2024 | 03</c:v>
                      </c:pt>
                      <c:pt idx="17">
                        <c:v>2024 | 04</c:v>
                      </c:pt>
                    </c:strCache>
                  </c:strRef>
                </c:cat>
                <c:val>
                  <c:numRef>
                    <c:extLst xmlns:c15="http://schemas.microsoft.com/office/drawing/2012/chart">
                      <c:ext xmlns:c15="http://schemas.microsoft.com/office/drawing/2012/chart" uri="{02D57815-91ED-43cb-92C2-25804820EDAC}">
                        <c15:formulaRef>
                          <c15:sqref>Sheet1!$E$25:$E$42</c15:sqref>
                        </c15:formulaRef>
                      </c:ext>
                    </c:extLst>
                    <c:numCache>
                      <c:formatCode>General</c:formatCode>
                      <c:ptCount val="18"/>
                      <c:pt idx="0">
                        <c:v>331</c:v>
                      </c:pt>
                      <c:pt idx="1">
                        <c:v>108</c:v>
                      </c:pt>
                      <c:pt idx="2">
                        <c:v>241</c:v>
                      </c:pt>
                      <c:pt idx="3">
                        <c:v>204</c:v>
                      </c:pt>
                      <c:pt idx="4">
                        <c:v>312</c:v>
                      </c:pt>
                      <c:pt idx="5">
                        <c:v>229</c:v>
                      </c:pt>
                      <c:pt idx="6">
                        <c:v>290</c:v>
                      </c:pt>
                      <c:pt idx="7">
                        <c:v>264</c:v>
                      </c:pt>
                      <c:pt idx="8">
                        <c:v>194</c:v>
                      </c:pt>
                      <c:pt idx="9">
                        <c:v>192</c:v>
                      </c:pt>
                      <c:pt idx="10">
                        <c:v>174</c:v>
                      </c:pt>
                      <c:pt idx="11">
                        <c:v>220</c:v>
                      </c:pt>
                      <c:pt idx="12">
                        <c:v>383</c:v>
                      </c:pt>
                      <c:pt idx="13">
                        <c:v>184</c:v>
                      </c:pt>
                      <c:pt idx="14">
                        <c:v>309</c:v>
                      </c:pt>
                      <c:pt idx="15">
                        <c:v>350</c:v>
                      </c:pt>
                      <c:pt idx="16">
                        <c:v>191</c:v>
                      </c:pt>
                      <c:pt idx="17">
                        <c:v>275</c:v>
                      </c:pt>
                    </c:numCache>
                  </c:numRef>
                </c:val>
                <c:extLst xmlns:c15="http://schemas.microsoft.com/office/drawing/2012/chart">
                  <c:ext xmlns:c16="http://schemas.microsoft.com/office/drawing/2014/chart" uri="{C3380CC4-5D6E-409C-BE32-E72D297353CC}">
                    <c16:uniqueId val="{00000004-3BA0-458B-83D7-857E32B835E8}"/>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Sheet1!$F$24</c15:sqref>
                        </c15:formulaRef>
                      </c:ext>
                    </c:extLst>
                    <c:strCache>
                      <c:ptCount val="1"/>
                      <c:pt idx="0">
                        <c:v> &lt;=7 days</c:v>
                      </c:pt>
                    </c:strCache>
                  </c:strRef>
                </c:tx>
                <c:spPr>
                  <a:solidFill>
                    <a:schemeClr val="accent5"/>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2022 | 11</c:v>
                      </c:pt>
                      <c:pt idx="1">
                        <c:v>2022 | 12</c:v>
                      </c:pt>
                      <c:pt idx="2">
                        <c:v>2023 | 01</c:v>
                      </c:pt>
                      <c:pt idx="3">
                        <c:v>2023 | 02</c:v>
                      </c:pt>
                      <c:pt idx="4">
                        <c:v>2023 | 03</c:v>
                      </c:pt>
                      <c:pt idx="5">
                        <c:v>2023 | 04</c:v>
                      </c:pt>
                      <c:pt idx="6">
                        <c:v>2023 | 05</c:v>
                      </c:pt>
                      <c:pt idx="7">
                        <c:v>2023 | 06</c:v>
                      </c:pt>
                      <c:pt idx="8">
                        <c:v>2023 | 07</c:v>
                      </c:pt>
                      <c:pt idx="9">
                        <c:v>2023 | 08</c:v>
                      </c:pt>
                      <c:pt idx="10">
                        <c:v>2023 | 09</c:v>
                      </c:pt>
                      <c:pt idx="11">
                        <c:v>2023 | 10</c:v>
                      </c:pt>
                      <c:pt idx="12">
                        <c:v>2023 | 11</c:v>
                      </c:pt>
                      <c:pt idx="13">
                        <c:v>2023 | 12</c:v>
                      </c:pt>
                      <c:pt idx="14">
                        <c:v>2024 | 01</c:v>
                      </c:pt>
                      <c:pt idx="15">
                        <c:v>2024 | 02</c:v>
                      </c:pt>
                      <c:pt idx="16">
                        <c:v>2024 | 03</c:v>
                      </c:pt>
                      <c:pt idx="17">
                        <c:v>2024 | 04</c:v>
                      </c:pt>
                    </c:strCache>
                  </c:strRef>
                </c:cat>
                <c:val>
                  <c:numRef>
                    <c:extLst xmlns:c15="http://schemas.microsoft.com/office/drawing/2012/chart">
                      <c:ext xmlns:c15="http://schemas.microsoft.com/office/drawing/2012/chart" uri="{02D57815-91ED-43cb-92C2-25804820EDAC}">
                        <c15:formulaRef>
                          <c15:sqref>Sheet1!$F$25:$F$42</c15:sqref>
                        </c15:formulaRef>
                      </c:ext>
                    </c:extLst>
                    <c:numCache>
                      <c:formatCode>General</c:formatCode>
                      <c:ptCount val="18"/>
                      <c:pt idx="0">
                        <c:v>620</c:v>
                      </c:pt>
                      <c:pt idx="1">
                        <c:v>202</c:v>
                      </c:pt>
                      <c:pt idx="2">
                        <c:v>565</c:v>
                      </c:pt>
                      <c:pt idx="3">
                        <c:v>283</c:v>
                      </c:pt>
                      <c:pt idx="4">
                        <c:v>445</c:v>
                      </c:pt>
                      <c:pt idx="5">
                        <c:v>355</c:v>
                      </c:pt>
                      <c:pt idx="6">
                        <c:v>402</c:v>
                      </c:pt>
                      <c:pt idx="7">
                        <c:v>394</c:v>
                      </c:pt>
                      <c:pt idx="8">
                        <c:v>363</c:v>
                      </c:pt>
                      <c:pt idx="9">
                        <c:v>343</c:v>
                      </c:pt>
                      <c:pt idx="10">
                        <c:v>424</c:v>
                      </c:pt>
                      <c:pt idx="11">
                        <c:v>324</c:v>
                      </c:pt>
                      <c:pt idx="12">
                        <c:v>689</c:v>
                      </c:pt>
                      <c:pt idx="13">
                        <c:v>319</c:v>
                      </c:pt>
                      <c:pt idx="14">
                        <c:v>684</c:v>
                      </c:pt>
                      <c:pt idx="15">
                        <c:v>561</c:v>
                      </c:pt>
                      <c:pt idx="16">
                        <c:v>355</c:v>
                      </c:pt>
                      <c:pt idx="17">
                        <c:v>442</c:v>
                      </c:pt>
                    </c:numCache>
                  </c:numRef>
                </c:val>
                <c:extLst xmlns:c15="http://schemas.microsoft.com/office/drawing/2012/chart">
                  <c:ext xmlns:c16="http://schemas.microsoft.com/office/drawing/2014/chart" uri="{C3380CC4-5D6E-409C-BE32-E72D297353CC}">
                    <c16:uniqueId val="{00000005-3BA0-458B-83D7-857E32B835E8}"/>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Sheet1!$G$24</c15:sqref>
                        </c15:formulaRef>
                      </c:ext>
                    </c:extLst>
                    <c:strCache>
                      <c:ptCount val="1"/>
                      <c:pt idx="0">
                        <c:v>&lt;=8 work days</c:v>
                      </c:pt>
                    </c:strCache>
                  </c:strRef>
                </c:tx>
                <c:spPr>
                  <a:solidFill>
                    <a:schemeClr val="accent6"/>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2022 | 11</c:v>
                      </c:pt>
                      <c:pt idx="1">
                        <c:v>2022 | 12</c:v>
                      </c:pt>
                      <c:pt idx="2">
                        <c:v>2023 | 01</c:v>
                      </c:pt>
                      <c:pt idx="3">
                        <c:v>2023 | 02</c:v>
                      </c:pt>
                      <c:pt idx="4">
                        <c:v>2023 | 03</c:v>
                      </c:pt>
                      <c:pt idx="5">
                        <c:v>2023 | 04</c:v>
                      </c:pt>
                      <c:pt idx="6">
                        <c:v>2023 | 05</c:v>
                      </c:pt>
                      <c:pt idx="7">
                        <c:v>2023 | 06</c:v>
                      </c:pt>
                      <c:pt idx="8">
                        <c:v>2023 | 07</c:v>
                      </c:pt>
                      <c:pt idx="9">
                        <c:v>2023 | 08</c:v>
                      </c:pt>
                      <c:pt idx="10">
                        <c:v>2023 | 09</c:v>
                      </c:pt>
                      <c:pt idx="11">
                        <c:v>2023 | 10</c:v>
                      </c:pt>
                      <c:pt idx="12">
                        <c:v>2023 | 11</c:v>
                      </c:pt>
                      <c:pt idx="13">
                        <c:v>2023 | 12</c:v>
                      </c:pt>
                      <c:pt idx="14">
                        <c:v>2024 | 01</c:v>
                      </c:pt>
                      <c:pt idx="15">
                        <c:v>2024 | 02</c:v>
                      </c:pt>
                      <c:pt idx="16">
                        <c:v>2024 | 03</c:v>
                      </c:pt>
                      <c:pt idx="17">
                        <c:v>2024 | 04</c:v>
                      </c:pt>
                    </c:strCache>
                  </c:strRef>
                </c:cat>
                <c:val>
                  <c:numRef>
                    <c:extLst xmlns:c15="http://schemas.microsoft.com/office/drawing/2012/chart">
                      <c:ext xmlns:c15="http://schemas.microsoft.com/office/drawing/2012/chart" uri="{02D57815-91ED-43cb-92C2-25804820EDAC}">
                        <c15:formulaRef>
                          <c15:sqref>Sheet1!$G$25:$G$42</c15:sqref>
                        </c15:formulaRef>
                      </c:ext>
                    </c:extLst>
                    <c:numCache>
                      <c:formatCode>General</c:formatCode>
                      <c:ptCount val="18"/>
                      <c:pt idx="0">
                        <c:v>1117</c:v>
                      </c:pt>
                      <c:pt idx="1">
                        <c:v>486</c:v>
                      </c:pt>
                      <c:pt idx="2">
                        <c:v>1231</c:v>
                      </c:pt>
                      <c:pt idx="3">
                        <c:v>433</c:v>
                      </c:pt>
                      <c:pt idx="4">
                        <c:v>588</c:v>
                      </c:pt>
                      <c:pt idx="5">
                        <c:v>855</c:v>
                      </c:pt>
                      <c:pt idx="6">
                        <c:v>620</c:v>
                      </c:pt>
                      <c:pt idx="7">
                        <c:v>647</c:v>
                      </c:pt>
                      <c:pt idx="8">
                        <c:v>688</c:v>
                      </c:pt>
                      <c:pt idx="9">
                        <c:v>729</c:v>
                      </c:pt>
                      <c:pt idx="10">
                        <c:v>1247</c:v>
                      </c:pt>
                      <c:pt idx="11">
                        <c:v>844</c:v>
                      </c:pt>
                      <c:pt idx="12">
                        <c:v>1599</c:v>
                      </c:pt>
                      <c:pt idx="13">
                        <c:v>824</c:v>
                      </c:pt>
                      <c:pt idx="14">
                        <c:v>1464</c:v>
                      </c:pt>
                      <c:pt idx="15">
                        <c:v>1155</c:v>
                      </c:pt>
                      <c:pt idx="16">
                        <c:v>677</c:v>
                      </c:pt>
                      <c:pt idx="17">
                        <c:v>962</c:v>
                      </c:pt>
                    </c:numCache>
                  </c:numRef>
                </c:val>
                <c:extLst xmlns:c15="http://schemas.microsoft.com/office/drawing/2012/chart">
                  <c:ext xmlns:c16="http://schemas.microsoft.com/office/drawing/2014/chart" uri="{C3380CC4-5D6E-409C-BE32-E72D297353CC}">
                    <c16:uniqueId val="{00000006-3BA0-458B-83D7-857E32B835E8}"/>
                  </c:ext>
                </c:extLst>
              </c15:ser>
            </c15:filteredBarSeries>
            <c15:filteredBarSeries>
              <c15:ser>
                <c:idx val="6"/>
                <c:order val="6"/>
                <c:tx>
                  <c:strRef>
                    <c:extLst xmlns:c15="http://schemas.microsoft.com/office/drawing/2012/chart">
                      <c:ext xmlns:c15="http://schemas.microsoft.com/office/drawing/2012/chart" uri="{02D57815-91ED-43cb-92C2-25804820EDAC}">
                        <c15:formulaRef>
                          <c15:sqref>Sheet1!$H$24</c15:sqref>
                        </c15:formulaRef>
                      </c:ext>
                    </c:extLst>
                    <c:strCache>
                      <c:ptCount val="1"/>
                      <c:pt idx="0">
                        <c:v> &lt;=10 days</c:v>
                      </c:pt>
                    </c:strCache>
                  </c:strRef>
                </c:tx>
                <c:spPr>
                  <a:solidFill>
                    <a:schemeClr val="accent1">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2022 | 11</c:v>
                      </c:pt>
                      <c:pt idx="1">
                        <c:v>2022 | 12</c:v>
                      </c:pt>
                      <c:pt idx="2">
                        <c:v>2023 | 01</c:v>
                      </c:pt>
                      <c:pt idx="3">
                        <c:v>2023 | 02</c:v>
                      </c:pt>
                      <c:pt idx="4">
                        <c:v>2023 | 03</c:v>
                      </c:pt>
                      <c:pt idx="5">
                        <c:v>2023 | 04</c:v>
                      </c:pt>
                      <c:pt idx="6">
                        <c:v>2023 | 05</c:v>
                      </c:pt>
                      <c:pt idx="7">
                        <c:v>2023 | 06</c:v>
                      </c:pt>
                      <c:pt idx="8">
                        <c:v>2023 | 07</c:v>
                      </c:pt>
                      <c:pt idx="9">
                        <c:v>2023 | 08</c:v>
                      </c:pt>
                      <c:pt idx="10">
                        <c:v>2023 | 09</c:v>
                      </c:pt>
                      <c:pt idx="11">
                        <c:v>2023 | 10</c:v>
                      </c:pt>
                      <c:pt idx="12">
                        <c:v>2023 | 11</c:v>
                      </c:pt>
                      <c:pt idx="13">
                        <c:v>2023 | 12</c:v>
                      </c:pt>
                      <c:pt idx="14">
                        <c:v>2024 | 01</c:v>
                      </c:pt>
                      <c:pt idx="15">
                        <c:v>2024 | 02</c:v>
                      </c:pt>
                      <c:pt idx="16">
                        <c:v>2024 | 03</c:v>
                      </c:pt>
                      <c:pt idx="17">
                        <c:v>2024 | 04</c:v>
                      </c:pt>
                    </c:strCache>
                  </c:strRef>
                </c:cat>
                <c:val>
                  <c:numRef>
                    <c:extLst xmlns:c15="http://schemas.microsoft.com/office/drawing/2012/chart">
                      <c:ext xmlns:c15="http://schemas.microsoft.com/office/drawing/2012/chart" uri="{02D57815-91ED-43cb-92C2-25804820EDAC}">
                        <c15:formulaRef>
                          <c15:sqref>Sheet1!$H$25:$H$42</c15:sqref>
                        </c15:formulaRef>
                      </c:ext>
                    </c:extLst>
                    <c:numCache>
                      <c:formatCode>General</c:formatCode>
                      <c:ptCount val="18"/>
                      <c:pt idx="0">
                        <c:v>960</c:v>
                      </c:pt>
                      <c:pt idx="1">
                        <c:v>328</c:v>
                      </c:pt>
                      <c:pt idx="2">
                        <c:v>1002</c:v>
                      </c:pt>
                      <c:pt idx="3">
                        <c:v>389</c:v>
                      </c:pt>
                      <c:pt idx="4">
                        <c:v>497</c:v>
                      </c:pt>
                      <c:pt idx="5">
                        <c:v>605</c:v>
                      </c:pt>
                      <c:pt idx="6">
                        <c:v>490</c:v>
                      </c:pt>
                      <c:pt idx="7">
                        <c:v>541</c:v>
                      </c:pt>
                      <c:pt idx="8">
                        <c:v>566</c:v>
                      </c:pt>
                      <c:pt idx="9">
                        <c:v>553</c:v>
                      </c:pt>
                      <c:pt idx="10">
                        <c:v>994</c:v>
                      </c:pt>
                      <c:pt idx="11">
                        <c:v>642</c:v>
                      </c:pt>
                      <c:pt idx="12">
                        <c:v>1251</c:v>
                      </c:pt>
                      <c:pt idx="13">
                        <c:v>521</c:v>
                      </c:pt>
                      <c:pt idx="14">
                        <c:v>1245</c:v>
                      </c:pt>
                      <c:pt idx="15">
                        <c:v>932</c:v>
                      </c:pt>
                      <c:pt idx="16">
                        <c:v>553</c:v>
                      </c:pt>
                      <c:pt idx="17">
                        <c:v>801</c:v>
                      </c:pt>
                    </c:numCache>
                  </c:numRef>
                </c:val>
                <c:extLst xmlns:c15="http://schemas.microsoft.com/office/drawing/2012/chart">
                  <c:ext xmlns:c16="http://schemas.microsoft.com/office/drawing/2014/chart" uri="{C3380CC4-5D6E-409C-BE32-E72D297353CC}">
                    <c16:uniqueId val="{00000007-3BA0-458B-83D7-857E32B835E8}"/>
                  </c:ext>
                </c:extLst>
              </c15:ser>
            </c15:filteredBarSeries>
            <c15:filteredBarSeries>
              <c15:ser>
                <c:idx val="7"/>
                <c:order val="7"/>
                <c:tx>
                  <c:strRef>
                    <c:extLst xmlns:c15="http://schemas.microsoft.com/office/drawing/2012/chart">
                      <c:ext xmlns:c15="http://schemas.microsoft.com/office/drawing/2012/chart" uri="{02D57815-91ED-43cb-92C2-25804820EDAC}">
                        <c15:formulaRef>
                          <c15:sqref>Sheet1!$I$24</c15:sqref>
                        </c15:formulaRef>
                      </c:ext>
                    </c:extLst>
                    <c:strCache>
                      <c:ptCount val="1"/>
                      <c:pt idx="0">
                        <c:v> &gt;20 days</c:v>
                      </c:pt>
                    </c:strCache>
                  </c:strRef>
                </c:tx>
                <c:spPr>
                  <a:solidFill>
                    <a:schemeClr val="accent2">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2022 | 11</c:v>
                      </c:pt>
                      <c:pt idx="1">
                        <c:v>2022 | 12</c:v>
                      </c:pt>
                      <c:pt idx="2">
                        <c:v>2023 | 01</c:v>
                      </c:pt>
                      <c:pt idx="3">
                        <c:v>2023 | 02</c:v>
                      </c:pt>
                      <c:pt idx="4">
                        <c:v>2023 | 03</c:v>
                      </c:pt>
                      <c:pt idx="5">
                        <c:v>2023 | 04</c:v>
                      </c:pt>
                      <c:pt idx="6">
                        <c:v>2023 | 05</c:v>
                      </c:pt>
                      <c:pt idx="7">
                        <c:v>2023 | 06</c:v>
                      </c:pt>
                      <c:pt idx="8">
                        <c:v>2023 | 07</c:v>
                      </c:pt>
                      <c:pt idx="9">
                        <c:v>2023 | 08</c:v>
                      </c:pt>
                      <c:pt idx="10">
                        <c:v>2023 | 09</c:v>
                      </c:pt>
                      <c:pt idx="11">
                        <c:v>2023 | 10</c:v>
                      </c:pt>
                      <c:pt idx="12">
                        <c:v>2023 | 11</c:v>
                      </c:pt>
                      <c:pt idx="13">
                        <c:v>2023 | 12</c:v>
                      </c:pt>
                      <c:pt idx="14">
                        <c:v>2024 | 01</c:v>
                      </c:pt>
                      <c:pt idx="15">
                        <c:v>2024 | 02</c:v>
                      </c:pt>
                      <c:pt idx="16">
                        <c:v>2024 | 03</c:v>
                      </c:pt>
                      <c:pt idx="17">
                        <c:v>2024 | 04</c:v>
                      </c:pt>
                    </c:strCache>
                  </c:strRef>
                </c:cat>
                <c:val>
                  <c:numRef>
                    <c:extLst xmlns:c15="http://schemas.microsoft.com/office/drawing/2012/chart">
                      <c:ext xmlns:c15="http://schemas.microsoft.com/office/drawing/2012/chart" uri="{02D57815-91ED-43cb-92C2-25804820EDAC}">
                        <c15:formulaRef>
                          <c15:sqref>Sheet1!$I$25:$I$42</c15:sqref>
                        </c15:formulaRef>
                      </c:ext>
                    </c:extLst>
                    <c:numCache>
                      <c:formatCode>General</c:formatCode>
                      <c:ptCount val="18"/>
                      <c:pt idx="0">
                        <c:v>458</c:v>
                      </c:pt>
                      <c:pt idx="1">
                        <c:v>673</c:v>
                      </c:pt>
                      <c:pt idx="2">
                        <c:v>338</c:v>
                      </c:pt>
                      <c:pt idx="3">
                        <c:v>924</c:v>
                      </c:pt>
                      <c:pt idx="4">
                        <c:v>1326</c:v>
                      </c:pt>
                      <c:pt idx="5">
                        <c:v>904</c:v>
                      </c:pt>
                      <c:pt idx="6">
                        <c:v>1363</c:v>
                      </c:pt>
                      <c:pt idx="7">
                        <c:v>1169</c:v>
                      </c:pt>
                      <c:pt idx="8">
                        <c:v>1612</c:v>
                      </c:pt>
                      <c:pt idx="9">
                        <c:v>1283</c:v>
                      </c:pt>
                      <c:pt idx="10">
                        <c:v>440</c:v>
                      </c:pt>
                      <c:pt idx="11">
                        <c:v>610</c:v>
                      </c:pt>
                      <c:pt idx="12">
                        <c:v>481</c:v>
                      </c:pt>
                      <c:pt idx="13">
                        <c:v>936</c:v>
                      </c:pt>
                      <c:pt idx="14">
                        <c:v>432</c:v>
                      </c:pt>
                      <c:pt idx="15">
                        <c:v>573</c:v>
                      </c:pt>
                      <c:pt idx="16">
                        <c:v>1093</c:v>
                      </c:pt>
                      <c:pt idx="17">
                        <c:v>658</c:v>
                      </c:pt>
                    </c:numCache>
                  </c:numRef>
                </c:val>
                <c:extLst xmlns:c15="http://schemas.microsoft.com/office/drawing/2012/chart">
                  <c:ext xmlns:c16="http://schemas.microsoft.com/office/drawing/2014/chart" uri="{C3380CC4-5D6E-409C-BE32-E72D297353CC}">
                    <c16:uniqueId val="{00000008-3BA0-458B-83D7-857E32B835E8}"/>
                  </c:ext>
                </c:extLst>
              </c15:ser>
            </c15:filteredBarSeries>
            <c15:filteredBarSeries>
              <c15:ser>
                <c:idx val="8"/>
                <c:order val="8"/>
                <c:tx>
                  <c:strRef>
                    <c:extLst xmlns:c15="http://schemas.microsoft.com/office/drawing/2012/chart">
                      <c:ext xmlns:c15="http://schemas.microsoft.com/office/drawing/2012/chart" uri="{02D57815-91ED-43cb-92C2-25804820EDAC}">
                        <c15:formulaRef>
                          <c15:sqref>Sheet1!$J$24</c15:sqref>
                        </c15:formulaRef>
                      </c:ext>
                    </c:extLst>
                    <c:strCache>
                      <c:ptCount val="1"/>
                      <c:pt idx="0">
                        <c:v>% &lt;=3 days</c:v>
                      </c:pt>
                    </c:strCache>
                  </c:strRef>
                </c:tx>
                <c:spPr>
                  <a:solidFill>
                    <a:schemeClr val="accent3">
                      <a:lumMod val="60000"/>
                    </a:schemeClr>
                  </a:solidFill>
                  <a:ln>
                    <a:noFill/>
                  </a:ln>
                  <a:effectLst/>
                </c:spPr>
                <c:invertIfNegative val="0"/>
                <c:cat>
                  <c:strRef>
                    <c:extLst xmlns:c15="http://schemas.microsoft.com/office/drawing/2012/chart">
                      <c:ext xmlns:c15="http://schemas.microsoft.com/office/drawing/2012/chart" uri="{02D57815-91ED-43cb-92C2-25804820EDAC}">
                        <c15:formulaRef>
                          <c15:sqref>Sheet1!$A$25:$A$42</c15:sqref>
                        </c15:formulaRef>
                      </c:ext>
                    </c:extLst>
                    <c:strCache>
                      <c:ptCount val="18"/>
                      <c:pt idx="0">
                        <c:v>2022 | 11</c:v>
                      </c:pt>
                      <c:pt idx="1">
                        <c:v>2022 | 12</c:v>
                      </c:pt>
                      <c:pt idx="2">
                        <c:v>2023 | 01</c:v>
                      </c:pt>
                      <c:pt idx="3">
                        <c:v>2023 | 02</c:v>
                      </c:pt>
                      <c:pt idx="4">
                        <c:v>2023 | 03</c:v>
                      </c:pt>
                      <c:pt idx="5">
                        <c:v>2023 | 04</c:v>
                      </c:pt>
                      <c:pt idx="6">
                        <c:v>2023 | 05</c:v>
                      </c:pt>
                      <c:pt idx="7">
                        <c:v>2023 | 06</c:v>
                      </c:pt>
                      <c:pt idx="8">
                        <c:v>2023 | 07</c:v>
                      </c:pt>
                      <c:pt idx="9">
                        <c:v>2023 | 08</c:v>
                      </c:pt>
                      <c:pt idx="10">
                        <c:v>2023 | 09</c:v>
                      </c:pt>
                      <c:pt idx="11">
                        <c:v>2023 | 10</c:v>
                      </c:pt>
                      <c:pt idx="12">
                        <c:v>2023 | 11</c:v>
                      </c:pt>
                      <c:pt idx="13">
                        <c:v>2023 | 12</c:v>
                      </c:pt>
                      <c:pt idx="14">
                        <c:v>2024 | 01</c:v>
                      </c:pt>
                      <c:pt idx="15">
                        <c:v>2024 | 02</c:v>
                      </c:pt>
                      <c:pt idx="16">
                        <c:v>2024 | 03</c:v>
                      </c:pt>
                      <c:pt idx="17">
                        <c:v>2024 | 04</c:v>
                      </c:pt>
                    </c:strCache>
                  </c:strRef>
                </c:cat>
                <c:val>
                  <c:numRef>
                    <c:extLst xmlns:c15="http://schemas.microsoft.com/office/drawing/2012/chart">
                      <c:ext xmlns:c15="http://schemas.microsoft.com/office/drawing/2012/chart" uri="{02D57815-91ED-43cb-92C2-25804820EDAC}">
                        <c15:formulaRef>
                          <c15:sqref>Sheet1!$J$25:$J$42</c15:sqref>
                        </c15:formulaRef>
                      </c:ext>
                    </c:extLst>
                    <c:numCache>
                      <c:formatCode>0.0</c:formatCode>
                      <c:ptCount val="18"/>
                      <c:pt idx="0">
                        <c:v>8.545918367346939</c:v>
                      </c:pt>
                      <c:pt idx="1">
                        <c:v>3.1353135313531353</c:v>
                      </c:pt>
                      <c:pt idx="2">
                        <c:v>6.4455861746847267</c:v>
                      </c:pt>
                      <c:pt idx="3">
                        <c:v>5.3345388788426762</c:v>
                      </c:pt>
                      <c:pt idx="4">
                        <c:v>7.2451558550968826</c:v>
                      </c:pt>
                      <c:pt idx="5">
                        <c:v>7.3398387781077643</c:v>
                      </c:pt>
                      <c:pt idx="6">
                        <c:v>7.8825347758887165</c:v>
                      </c:pt>
                      <c:pt idx="7">
                        <c:v>6.4426877470355732</c:v>
                      </c:pt>
                      <c:pt idx="8">
                        <c:v>4.2608373471656167</c:v>
                      </c:pt>
                      <c:pt idx="9">
                        <c:v>5.132192846034215</c:v>
                      </c:pt>
                      <c:pt idx="10">
                        <c:v>3.2580525731210659</c:v>
                      </c:pt>
                      <c:pt idx="11">
                        <c:v>4.5798773891092681</c:v>
                      </c:pt>
                      <c:pt idx="12">
                        <c:v>9.0614886731391593</c:v>
                      </c:pt>
                      <c:pt idx="13">
                        <c:v>3.9332538736591176</c:v>
                      </c:pt>
                      <c:pt idx="14">
                        <c:v>5.5575096728807596</c:v>
                      </c:pt>
                      <c:pt idx="15">
                        <c:v>5.9253840526700801</c:v>
                      </c:pt>
                      <c:pt idx="16">
                        <c:v>4.0225261464199518</c:v>
                      </c:pt>
                      <c:pt idx="17">
                        <c:v>7.9069767441860463</c:v>
                      </c:pt>
                    </c:numCache>
                  </c:numRef>
                </c:val>
                <c:extLst xmlns:c15="http://schemas.microsoft.com/office/drawing/2012/chart">
                  <c:ext xmlns:c16="http://schemas.microsoft.com/office/drawing/2014/chart" uri="{C3380CC4-5D6E-409C-BE32-E72D297353CC}">
                    <c16:uniqueId val="{00000009-3BA0-458B-83D7-857E32B835E8}"/>
                  </c:ext>
                </c:extLst>
              </c15:ser>
            </c15:filteredBarSeries>
          </c:ext>
        </c:extLst>
      </c:barChart>
      <c:lineChart>
        <c:grouping val="standard"/>
        <c:varyColors val="0"/>
        <c:ser>
          <c:idx val="1"/>
          <c:order val="1"/>
          <c:tx>
            <c:strRef>
              <c:f>Sheet1!$C$24</c:f>
              <c:strCache>
                <c:ptCount val="1"/>
                <c:pt idx="0">
                  <c:v> Turnaround (days)</c:v>
                </c:pt>
              </c:strCache>
            </c:strRef>
          </c:tx>
          <c:spPr>
            <a:ln w="28575" cap="rnd">
              <a:solidFill>
                <a:schemeClr val="accent2"/>
              </a:solidFill>
              <a:round/>
            </a:ln>
            <a:effectLst/>
          </c:spPr>
          <c:marker>
            <c:symbol val="none"/>
          </c:marker>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Sheet1!$A$25:$A$42</c:f>
              <c:strCache>
                <c:ptCount val="18"/>
                <c:pt idx="0">
                  <c:v>2022 | 11</c:v>
                </c:pt>
                <c:pt idx="1">
                  <c:v>2022 | 12</c:v>
                </c:pt>
                <c:pt idx="2">
                  <c:v>2023 | 01</c:v>
                </c:pt>
                <c:pt idx="3">
                  <c:v>2023 | 02</c:v>
                </c:pt>
                <c:pt idx="4">
                  <c:v>2023 | 03</c:v>
                </c:pt>
                <c:pt idx="5">
                  <c:v>2023 | 04</c:v>
                </c:pt>
                <c:pt idx="6">
                  <c:v>2023 | 05</c:v>
                </c:pt>
                <c:pt idx="7">
                  <c:v>2023 | 06</c:v>
                </c:pt>
                <c:pt idx="8">
                  <c:v>2023 | 07</c:v>
                </c:pt>
                <c:pt idx="9">
                  <c:v>2023 | 08</c:v>
                </c:pt>
                <c:pt idx="10">
                  <c:v>2023 | 09</c:v>
                </c:pt>
                <c:pt idx="11">
                  <c:v>2023 | 10</c:v>
                </c:pt>
                <c:pt idx="12">
                  <c:v>2023 | 11</c:v>
                </c:pt>
                <c:pt idx="13">
                  <c:v>2023 | 12</c:v>
                </c:pt>
                <c:pt idx="14">
                  <c:v>2024 | 01</c:v>
                </c:pt>
                <c:pt idx="15">
                  <c:v>2024 | 02</c:v>
                </c:pt>
                <c:pt idx="16">
                  <c:v>2024 | 03</c:v>
                </c:pt>
                <c:pt idx="17">
                  <c:v>2024 | 04</c:v>
                </c:pt>
              </c:strCache>
              <c:extLst/>
            </c:strRef>
          </c:cat>
          <c:val>
            <c:numRef>
              <c:f>Sheet1!$C$25:$C$42</c:f>
              <c:numCache>
                <c:formatCode>0.0</c:formatCode>
                <c:ptCount val="18"/>
                <c:pt idx="0">
                  <c:v>14.983843537414966</c:v>
                </c:pt>
                <c:pt idx="1">
                  <c:v>21.254125412541253</c:v>
                </c:pt>
                <c:pt idx="2">
                  <c:v>15.036431574030827</c:v>
                </c:pt>
                <c:pt idx="3">
                  <c:v>21.635623869801083</c:v>
                </c:pt>
                <c:pt idx="4">
                  <c:v>27.020640269587194</c:v>
                </c:pt>
                <c:pt idx="5">
                  <c:v>19.870598218073823</c:v>
                </c:pt>
                <c:pt idx="6">
                  <c:v>26.119010819165378</c:v>
                </c:pt>
                <c:pt idx="7">
                  <c:v>30.839130434782607</c:v>
                </c:pt>
                <c:pt idx="8">
                  <c:v>36.580585402000743</c:v>
                </c:pt>
                <c:pt idx="9">
                  <c:v>27.522939346811821</c:v>
                </c:pt>
                <c:pt idx="10">
                  <c:v>14.559422436134765</c:v>
                </c:pt>
                <c:pt idx="11">
                  <c:v>16.544536602957088</c:v>
                </c:pt>
                <c:pt idx="12">
                  <c:v>13.901618122977347</c:v>
                </c:pt>
                <c:pt idx="13">
                  <c:v>18.790226460071512</c:v>
                </c:pt>
                <c:pt idx="14">
                  <c:v>13.368976433345058</c:v>
                </c:pt>
                <c:pt idx="15">
                  <c:v>14.786027798098026</c:v>
                </c:pt>
                <c:pt idx="16">
                  <c:v>18.916733708769108</c:v>
                </c:pt>
                <c:pt idx="17">
                  <c:v>14.780620155038759</c:v>
                </c:pt>
              </c:numCache>
              <c:extLst/>
            </c:numRef>
          </c:val>
          <c:smooth val="0"/>
          <c:extLst>
            <c:ext xmlns:c16="http://schemas.microsoft.com/office/drawing/2014/chart" uri="{C3380CC4-5D6E-409C-BE32-E72D297353CC}">
              <c16:uniqueId val="{00000001-3BA0-458B-83D7-857E32B835E8}"/>
            </c:ext>
          </c:extLst>
        </c:ser>
        <c:ser>
          <c:idx val="9"/>
          <c:order val="9"/>
          <c:tx>
            <c:strRef>
              <c:f>Sheet1!$K$24</c:f>
              <c:strCache>
                <c:ptCount val="1"/>
                <c:pt idx="0">
                  <c:v>%&lt;=5 days</c:v>
                </c:pt>
              </c:strCache>
            </c:strRef>
          </c:tx>
          <c:spPr>
            <a:ln w="28575" cap="rnd">
              <a:solidFill>
                <a:schemeClr val="accent4">
                  <a:lumMod val="60000"/>
                </a:schemeClr>
              </a:solidFill>
              <a:round/>
            </a:ln>
            <a:effectLst/>
          </c:spPr>
          <c:marker>
            <c:symbol val="none"/>
          </c:marker>
          <c:dLbls>
            <c:numFmt formatCode="#,##0" sourceLinked="0"/>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Sheet1!$A$25:$A$42</c:f>
              <c:strCache>
                <c:ptCount val="18"/>
                <c:pt idx="0">
                  <c:v>2022 | 11</c:v>
                </c:pt>
                <c:pt idx="1">
                  <c:v>2022 | 12</c:v>
                </c:pt>
                <c:pt idx="2">
                  <c:v>2023 | 01</c:v>
                </c:pt>
                <c:pt idx="3">
                  <c:v>2023 | 02</c:v>
                </c:pt>
                <c:pt idx="4">
                  <c:v>2023 | 03</c:v>
                </c:pt>
                <c:pt idx="5">
                  <c:v>2023 | 04</c:v>
                </c:pt>
                <c:pt idx="6">
                  <c:v>2023 | 05</c:v>
                </c:pt>
                <c:pt idx="7">
                  <c:v>2023 | 06</c:v>
                </c:pt>
                <c:pt idx="8">
                  <c:v>2023 | 07</c:v>
                </c:pt>
                <c:pt idx="9">
                  <c:v>2023 | 08</c:v>
                </c:pt>
                <c:pt idx="10">
                  <c:v>2023 | 09</c:v>
                </c:pt>
                <c:pt idx="11">
                  <c:v>2023 | 10</c:v>
                </c:pt>
                <c:pt idx="12">
                  <c:v>2023 | 11</c:v>
                </c:pt>
                <c:pt idx="13">
                  <c:v>2023 | 12</c:v>
                </c:pt>
                <c:pt idx="14">
                  <c:v>2024 | 01</c:v>
                </c:pt>
                <c:pt idx="15">
                  <c:v>2024 | 02</c:v>
                </c:pt>
                <c:pt idx="16">
                  <c:v>2024 | 03</c:v>
                </c:pt>
                <c:pt idx="17">
                  <c:v>2024 | 04</c:v>
                </c:pt>
              </c:strCache>
              <c:extLst/>
            </c:strRef>
          </c:cat>
          <c:val>
            <c:numRef>
              <c:f>Sheet1!$K$25:$K$42</c:f>
              <c:numCache>
                <c:formatCode>0.0</c:formatCode>
                <c:ptCount val="18"/>
                <c:pt idx="0">
                  <c:v>14.073129251700681</c:v>
                </c:pt>
                <c:pt idx="1">
                  <c:v>5.9405940594059405</c:v>
                </c:pt>
                <c:pt idx="2">
                  <c:v>11.256422232601588</c:v>
                </c:pt>
                <c:pt idx="3">
                  <c:v>9.2224231464737798</c:v>
                </c:pt>
                <c:pt idx="4">
                  <c:v>13.142375737152484</c:v>
                </c:pt>
                <c:pt idx="5">
                  <c:v>9.7157403478998727</c:v>
                </c:pt>
                <c:pt idx="6">
                  <c:v>11.205564142194744</c:v>
                </c:pt>
                <c:pt idx="7">
                  <c:v>10.434782608695652</c:v>
                </c:pt>
                <c:pt idx="8">
                  <c:v>7.1878473508706922</c:v>
                </c:pt>
                <c:pt idx="9">
                  <c:v>7.4650077760497675</c:v>
                </c:pt>
                <c:pt idx="10">
                  <c:v>6.4420584968530177</c:v>
                </c:pt>
                <c:pt idx="11">
                  <c:v>7.9336458708979443</c:v>
                </c:pt>
                <c:pt idx="12">
                  <c:v>12.394822006472491</c:v>
                </c:pt>
                <c:pt idx="13">
                  <c:v>7.3102900278108853</c:v>
                </c:pt>
                <c:pt idx="14">
                  <c:v>10.86880056278579</c:v>
                </c:pt>
                <c:pt idx="15">
                  <c:v>12.801755669348939</c:v>
                </c:pt>
                <c:pt idx="16">
                  <c:v>7.6830249396621069</c:v>
                </c:pt>
                <c:pt idx="17">
                  <c:v>10.65891472868217</c:v>
                </c:pt>
              </c:numCache>
              <c:extLst/>
            </c:numRef>
          </c:val>
          <c:smooth val="0"/>
          <c:extLst>
            <c:ext xmlns:c16="http://schemas.microsoft.com/office/drawing/2014/chart" uri="{C3380CC4-5D6E-409C-BE32-E72D297353CC}">
              <c16:uniqueId val="{00000002-3BA0-458B-83D7-857E32B835E8}"/>
            </c:ext>
          </c:extLst>
        </c:ser>
        <c:dLbls>
          <c:showLegendKey val="0"/>
          <c:showVal val="0"/>
          <c:showCatName val="0"/>
          <c:showSerName val="0"/>
          <c:showPercent val="0"/>
          <c:showBubbleSize val="0"/>
        </c:dLbls>
        <c:marker val="1"/>
        <c:smooth val="0"/>
        <c:axId val="688577855"/>
        <c:axId val="688572031"/>
      </c:lineChart>
      <c:catAx>
        <c:axId val="688511711"/>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8504639"/>
        <c:crosses val="autoZero"/>
        <c:auto val="1"/>
        <c:lblAlgn val="ctr"/>
        <c:lblOffset val="100"/>
        <c:noMultiLvlLbl val="0"/>
      </c:catAx>
      <c:valAx>
        <c:axId val="688504639"/>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8511711"/>
        <c:crosses val="autoZero"/>
        <c:crossBetween val="between"/>
      </c:valAx>
      <c:valAx>
        <c:axId val="688572031"/>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688577855"/>
        <c:crosses val="max"/>
        <c:crossBetween val="between"/>
      </c:valAx>
      <c:catAx>
        <c:axId val="688577855"/>
        <c:scaling>
          <c:orientation val="minMax"/>
        </c:scaling>
        <c:delete val="1"/>
        <c:axPos val="b"/>
        <c:numFmt formatCode="General" sourceLinked="1"/>
        <c:majorTickMark val="out"/>
        <c:minorTickMark val="none"/>
        <c:tickLblPos val="nextTo"/>
        <c:crossAx val="688572031"/>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colors2.xml><?xml version="1.0" encoding="utf-8"?>
<cs:colorStyle xmlns:cs="http://schemas.microsoft.com/office/drawing/2012/chartStyle" xmlns:a="http://schemas.openxmlformats.org/drawingml/2006/main" meth="withinLinearReversed" id="21">
  <a:schemeClr val="accent1"/>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0.56048</cdr:x>
      <cdr:y>0.18864</cdr:y>
    </cdr:from>
    <cdr:to>
      <cdr:x>0.56144</cdr:x>
      <cdr:y>0.32764</cdr:y>
    </cdr:to>
    <cdr:cxnSp macro="">
      <cdr:nvCxnSpPr>
        <cdr:cNvPr id="4" name="Straight Arrow Connector 3"/>
        <cdr:cNvCxnSpPr/>
      </cdr:nvCxnSpPr>
      <cdr:spPr>
        <a:xfrm xmlns:a="http://schemas.openxmlformats.org/drawingml/2006/main">
          <a:off x="3203138" y="416134"/>
          <a:ext cx="5476" cy="306626"/>
        </a:xfrm>
        <a:prstGeom xmlns:a="http://schemas.openxmlformats.org/drawingml/2006/main" prst="straightConnector1">
          <a:avLst/>
        </a:prstGeom>
        <a:ln xmlns:a="http://schemas.openxmlformats.org/drawingml/2006/main">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0.54994</cdr:x>
      <cdr:y>0.14148</cdr:y>
    </cdr:from>
    <cdr:to>
      <cdr:x>0.72719</cdr:x>
      <cdr:y>0.31026</cdr:y>
    </cdr:to>
    <cdr:sp macro="" textlink="">
      <cdr:nvSpPr>
        <cdr:cNvPr id="5" name="Text Box 4"/>
        <cdr:cNvSpPr txBox="1"/>
      </cdr:nvSpPr>
      <cdr:spPr>
        <a:xfrm xmlns:a="http://schemas.openxmlformats.org/drawingml/2006/main">
          <a:off x="3142908" y="312101"/>
          <a:ext cx="1012958" cy="37233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GB" sz="800"/>
            <a:t>Introduction</a:t>
          </a:r>
          <a:r>
            <a:rPr lang="en-GB" sz="800" baseline="0"/>
            <a:t> of BSW referrals to PTL</a:t>
          </a:r>
          <a:endParaRPr lang="en-GB" sz="800"/>
        </a:p>
      </cdr:txBody>
    </cdr:sp>
  </cdr:relSizeAnchor>
</c:userShape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2E7994"/>
    <w:rsid w:val="00417826"/>
    <w:rsid w:val="0045583A"/>
    <w:rsid w:val="00463D53"/>
    <w:rsid w:val="005B331C"/>
    <w:rsid w:val="005E70A9"/>
    <w:rsid w:val="00997553"/>
    <w:rsid w:val="00AF33F6"/>
    <w:rsid w:val="00B84040"/>
    <w:rsid w:val="00CC510F"/>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3212</Words>
  <Characters>18310</Characters>
  <Application>Microsoft Office Word</Application>
  <DocSecurity>0</DocSecurity>
  <Lines>152</Lines>
  <Paragraphs>42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21480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Sophie Herbert (Swansea Bay UHB - Corporate Governance )</cp:lastModifiedBy>
  <cp:revision>4</cp:revision>
  <dcterms:created xsi:type="dcterms:W3CDTF">2024-06-17T13:28:00Z</dcterms:created>
  <dcterms:modified xsi:type="dcterms:W3CDTF">2024-06-17T13:28:00Z</dcterms:modified>
</cp:coreProperties>
</file>