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colors2.xml" ContentType="application/vnd.ms-office.chartcolorstyle+xml"/>
  <Override PartName="/word/charts/style2.xml" ContentType="application/vnd.ms-office.chartstyle+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glossary/styles.xml" ContentType="application/vnd.openxmlformats-officedocument.wordprocessingml.styles+xml"/>
  <Override PartName="/customXml/itemProps1.xml" ContentType="application/vnd.openxmlformats-officedocument.customXmlProperties+xml"/>
  <Override PartName="/word/glossary/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12-16T00:00:00Z">
              <w:dateFormat w:val="dd MMMM yyyy"/>
              <w:lid w:val="en-GB"/>
              <w:storeMappedDataAs w:val="dateTime"/>
              <w:calendar w:val="gregorian"/>
            </w:date>
          </w:sdtPr>
          <w:sdtEndPr/>
          <w:sdtContent>
            <w:tc>
              <w:tcPr>
                <w:tcW w:w="3260" w:type="dxa"/>
                <w:gridSpan w:val="2"/>
              </w:tcPr>
              <w:p w14:paraId="6D2903DF" w14:textId="1234811C" w:rsidR="00F5082D" w:rsidRPr="00FA0CA9" w:rsidRDefault="00840586" w:rsidP="00FA0CA9">
                <w:pPr>
                  <w:rPr>
                    <w:rFonts w:ascii="Arial" w:hAnsi="Arial" w:cs="Arial"/>
                    <w:b/>
                    <w:sz w:val="24"/>
                    <w:szCs w:val="24"/>
                  </w:rPr>
                </w:pPr>
                <w:r>
                  <w:rPr>
                    <w:rFonts w:ascii="Arial" w:hAnsi="Arial" w:cs="Arial"/>
                    <w:b/>
                    <w:sz w:val="24"/>
                    <w:szCs w:val="24"/>
                  </w:rPr>
                  <w:t>16 December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6223135" w:rsidR="00F5082D" w:rsidRPr="00FA0CA9" w:rsidRDefault="00F5082D" w:rsidP="00FA0CA9">
            <w:pPr>
              <w:rPr>
                <w:rFonts w:ascii="Arial" w:hAnsi="Arial" w:cs="Arial"/>
                <w:b/>
                <w:sz w:val="24"/>
                <w:szCs w:val="24"/>
              </w:rPr>
            </w:pPr>
          </w:p>
        </w:tc>
      </w:tr>
      <w:tr w:rsidR="0019642E" w:rsidRPr="00034194" w14:paraId="6D2903E5" w14:textId="77777777" w:rsidTr="00DA76AD">
        <w:tc>
          <w:tcPr>
            <w:tcW w:w="2547" w:type="dxa"/>
          </w:tcPr>
          <w:p w14:paraId="6D2903E3" w14:textId="77777777" w:rsidR="0019642E" w:rsidRPr="00FA0CA9" w:rsidRDefault="0019642E" w:rsidP="0019642E">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6E19C97" w:rsidR="0019642E" w:rsidRPr="00FA0CA9" w:rsidRDefault="0019642E" w:rsidP="0019642E">
            <w:pPr>
              <w:rPr>
                <w:rFonts w:ascii="Arial" w:hAnsi="Arial" w:cs="Arial"/>
                <w:b/>
                <w:sz w:val="24"/>
                <w:szCs w:val="24"/>
              </w:rPr>
            </w:pPr>
            <w:r>
              <w:rPr>
                <w:rFonts w:ascii="Arial" w:eastAsia="Arial Unicode MS" w:hAnsi="Arial" w:cs="Arial"/>
                <w:b/>
                <w:sz w:val="24"/>
                <w:szCs w:val="24"/>
                <w:bdr w:val="nil"/>
              </w:rPr>
              <w:t>Cancer Performance Update</w:t>
            </w:r>
          </w:p>
        </w:tc>
      </w:tr>
      <w:tr w:rsidR="0019642E" w:rsidRPr="00034194" w14:paraId="6D2903E8" w14:textId="77777777" w:rsidTr="00DA76AD">
        <w:tc>
          <w:tcPr>
            <w:tcW w:w="2547" w:type="dxa"/>
          </w:tcPr>
          <w:p w14:paraId="6D2903E6" w14:textId="77777777" w:rsidR="0019642E" w:rsidRPr="00FA0CA9" w:rsidRDefault="0019642E" w:rsidP="0019642E">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A074082" w:rsidR="0019642E" w:rsidRPr="00FA0CA9" w:rsidRDefault="0019642E" w:rsidP="0019642E">
            <w:pPr>
              <w:rPr>
                <w:rFonts w:ascii="Arial" w:hAnsi="Arial" w:cs="Arial"/>
                <w:sz w:val="24"/>
                <w:szCs w:val="24"/>
              </w:rPr>
            </w:pPr>
            <w:r>
              <w:rPr>
                <w:rFonts w:ascii="Arial" w:hAnsi="Arial" w:cs="Arial"/>
                <w:sz w:val="24"/>
                <w:szCs w:val="24"/>
              </w:rPr>
              <w:t>Marisa Bennett, Cancer Performance &amp; Information Manager</w:t>
            </w:r>
          </w:p>
        </w:tc>
      </w:tr>
      <w:tr w:rsidR="0019642E" w:rsidRPr="00034194" w14:paraId="6D2903EB" w14:textId="77777777" w:rsidTr="00DA76AD">
        <w:tc>
          <w:tcPr>
            <w:tcW w:w="2547" w:type="dxa"/>
          </w:tcPr>
          <w:p w14:paraId="6D2903E9" w14:textId="77777777" w:rsidR="0019642E" w:rsidRPr="00FA0CA9" w:rsidRDefault="0019642E" w:rsidP="0019642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6126C73D" w:rsidR="0019642E" w:rsidRPr="00FA0CA9" w:rsidRDefault="00840586" w:rsidP="0019642E">
            <w:pPr>
              <w:rPr>
                <w:rFonts w:ascii="Arial" w:hAnsi="Arial" w:cs="Arial"/>
                <w:sz w:val="24"/>
                <w:szCs w:val="24"/>
              </w:rPr>
            </w:pPr>
            <w:r>
              <w:rPr>
                <w:rFonts w:ascii="Arial" w:hAnsi="Arial" w:cs="Arial"/>
                <w:sz w:val="24"/>
                <w:szCs w:val="24"/>
              </w:rPr>
              <w:t>Hannah Parsons, Assistant Director of Operations, Planned Care</w:t>
            </w:r>
          </w:p>
        </w:tc>
      </w:tr>
      <w:tr w:rsidR="0019642E" w:rsidRPr="00034194" w14:paraId="6D2903EE" w14:textId="77777777" w:rsidTr="00DA76AD">
        <w:tc>
          <w:tcPr>
            <w:tcW w:w="2547" w:type="dxa"/>
          </w:tcPr>
          <w:p w14:paraId="6D2903EC" w14:textId="77777777" w:rsidR="0019642E" w:rsidRPr="00FA0CA9" w:rsidRDefault="0019642E" w:rsidP="0019642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7E8FCB3" w:rsidR="0019642E" w:rsidRPr="00FA0CA9" w:rsidRDefault="0019642E" w:rsidP="0019642E">
            <w:pPr>
              <w:rPr>
                <w:rFonts w:ascii="Arial" w:hAnsi="Arial" w:cs="Arial"/>
                <w:sz w:val="24"/>
                <w:szCs w:val="24"/>
              </w:rPr>
            </w:pPr>
          </w:p>
        </w:tc>
      </w:tr>
      <w:tr w:rsidR="0019642E" w:rsidRPr="00034194" w14:paraId="6D2903F1" w14:textId="77777777" w:rsidTr="00DA76AD">
        <w:tc>
          <w:tcPr>
            <w:tcW w:w="2547" w:type="dxa"/>
          </w:tcPr>
          <w:p w14:paraId="6D2903EF" w14:textId="77777777" w:rsidR="0019642E" w:rsidRPr="00FA0CA9" w:rsidRDefault="0019642E" w:rsidP="0019642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57C8681" w:rsidR="0019642E" w:rsidRPr="0019642E" w:rsidRDefault="0019642E" w:rsidP="0019642E">
            <w:pPr>
              <w:rPr>
                <w:rFonts w:ascii="Arial" w:hAnsi="Arial" w:cs="Arial"/>
                <w:sz w:val="24"/>
                <w:szCs w:val="24"/>
              </w:rPr>
            </w:pPr>
            <w:r w:rsidRPr="0019642E">
              <w:rPr>
                <w:rFonts w:ascii="Arial" w:hAnsi="Arial" w:cs="Arial"/>
                <w:sz w:val="24"/>
                <w:szCs w:val="24"/>
              </w:rPr>
              <w:t xml:space="preserve">Open </w:t>
            </w:r>
          </w:p>
        </w:tc>
      </w:tr>
      <w:tr w:rsidR="0019642E" w:rsidRPr="00034194" w14:paraId="6D2903F8" w14:textId="77777777" w:rsidTr="00DA76AD">
        <w:tc>
          <w:tcPr>
            <w:tcW w:w="2547" w:type="dxa"/>
          </w:tcPr>
          <w:p w14:paraId="6D2903F2" w14:textId="77777777" w:rsidR="0019642E" w:rsidRPr="00FA0CA9" w:rsidRDefault="0019642E" w:rsidP="0019642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509C2F4" w14:textId="77777777" w:rsidR="00840586" w:rsidRPr="00840586" w:rsidRDefault="00840586" w:rsidP="00840586">
            <w:pPr>
              <w:pStyle w:val="ListParagraph"/>
              <w:numPr>
                <w:ilvl w:val="0"/>
                <w:numId w:val="26"/>
              </w:numPr>
              <w:ind w:left="323"/>
              <w:jc w:val="both"/>
              <w:rPr>
                <w:rFonts w:ascii="Arial" w:hAnsi="Arial" w:cs="Arial"/>
                <w:color w:val="000000" w:themeColor="text1"/>
                <w:sz w:val="24"/>
                <w:szCs w:val="24"/>
              </w:rPr>
            </w:pPr>
            <w:r w:rsidRPr="00840586">
              <w:rPr>
                <w:rFonts w:ascii="Arial" w:hAnsi="Arial" w:cs="Arial"/>
                <w:color w:val="000000" w:themeColor="text1"/>
                <w:sz w:val="24"/>
                <w:szCs w:val="24"/>
              </w:rPr>
              <w:t xml:space="preserve">A deeper understanding of the performance figures which would include the impact of patient choice on the backlog etc. </w:t>
            </w:r>
          </w:p>
          <w:p w14:paraId="3288D3FF" w14:textId="77777777" w:rsidR="00840586" w:rsidRPr="00840586" w:rsidRDefault="00840586" w:rsidP="00840586">
            <w:pPr>
              <w:pStyle w:val="ListParagraph"/>
              <w:numPr>
                <w:ilvl w:val="0"/>
                <w:numId w:val="26"/>
              </w:numPr>
              <w:ind w:left="323"/>
              <w:jc w:val="both"/>
              <w:rPr>
                <w:rFonts w:ascii="Arial" w:hAnsi="Arial" w:cs="Arial"/>
                <w:color w:val="000000" w:themeColor="text1"/>
                <w:sz w:val="24"/>
                <w:szCs w:val="24"/>
              </w:rPr>
            </w:pPr>
            <w:r w:rsidRPr="00840586">
              <w:rPr>
                <w:rFonts w:ascii="Arial" w:hAnsi="Arial" w:cs="Arial"/>
                <w:color w:val="000000" w:themeColor="text1"/>
                <w:sz w:val="24"/>
                <w:szCs w:val="24"/>
              </w:rPr>
              <w:t>An overview of the action plans in place across each tumour site for improvement/delivery</w:t>
            </w:r>
          </w:p>
          <w:p w14:paraId="6D2903F7" w14:textId="029451C1" w:rsidR="0019642E" w:rsidRPr="00840586" w:rsidRDefault="00840586" w:rsidP="0019642E">
            <w:pPr>
              <w:pStyle w:val="ListParagraph"/>
              <w:numPr>
                <w:ilvl w:val="0"/>
                <w:numId w:val="26"/>
              </w:numPr>
              <w:ind w:left="323"/>
              <w:jc w:val="both"/>
              <w:rPr>
                <w:rFonts w:ascii="Arial" w:hAnsi="Arial" w:cs="Arial"/>
                <w:color w:val="000000" w:themeColor="text1"/>
                <w:sz w:val="24"/>
                <w:szCs w:val="24"/>
              </w:rPr>
            </w:pPr>
            <w:r w:rsidRPr="00840586">
              <w:rPr>
                <w:rFonts w:ascii="Arial" w:hAnsi="Arial" w:cs="Arial"/>
                <w:color w:val="000000" w:themeColor="text1"/>
                <w:sz w:val="24"/>
                <w:szCs w:val="24"/>
              </w:rPr>
              <w:t xml:space="preserve">A deep dive into the Urology Tumour site to outline what is influencing the high figures and detailed plans for recovering the position. </w:t>
            </w:r>
          </w:p>
        </w:tc>
      </w:tr>
      <w:tr w:rsidR="0019642E" w:rsidRPr="00034194" w14:paraId="6D290402" w14:textId="77777777" w:rsidTr="00DA76AD">
        <w:tc>
          <w:tcPr>
            <w:tcW w:w="2547" w:type="dxa"/>
          </w:tcPr>
          <w:p w14:paraId="6D2903F9" w14:textId="77777777" w:rsidR="0019642E" w:rsidRPr="00FA0CA9" w:rsidRDefault="0019642E" w:rsidP="0019642E">
            <w:pPr>
              <w:rPr>
                <w:rFonts w:ascii="Arial" w:hAnsi="Arial" w:cs="Arial"/>
                <w:b/>
                <w:sz w:val="24"/>
                <w:szCs w:val="24"/>
              </w:rPr>
            </w:pPr>
            <w:r w:rsidRPr="00FA0CA9">
              <w:rPr>
                <w:rFonts w:ascii="Arial" w:hAnsi="Arial" w:cs="Arial"/>
                <w:b/>
                <w:sz w:val="24"/>
                <w:szCs w:val="24"/>
              </w:rPr>
              <w:t>Key Issues</w:t>
            </w:r>
          </w:p>
          <w:p w14:paraId="6D2903FA" w14:textId="77777777" w:rsidR="0019642E" w:rsidRPr="00FA0CA9" w:rsidRDefault="0019642E" w:rsidP="0019642E">
            <w:pPr>
              <w:rPr>
                <w:rFonts w:ascii="Arial" w:hAnsi="Arial" w:cs="Arial"/>
                <w:b/>
                <w:sz w:val="24"/>
                <w:szCs w:val="24"/>
              </w:rPr>
            </w:pPr>
          </w:p>
          <w:p w14:paraId="6D2903FB" w14:textId="77777777" w:rsidR="0019642E" w:rsidRPr="00FA0CA9" w:rsidRDefault="0019642E" w:rsidP="0019642E">
            <w:pPr>
              <w:rPr>
                <w:rFonts w:ascii="Arial" w:hAnsi="Arial" w:cs="Arial"/>
                <w:b/>
                <w:sz w:val="24"/>
                <w:szCs w:val="24"/>
              </w:rPr>
            </w:pPr>
          </w:p>
          <w:p w14:paraId="6D2903FC" w14:textId="77777777" w:rsidR="0019642E" w:rsidRPr="00FA0CA9" w:rsidRDefault="0019642E" w:rsidP="0019642E">
            <w:pPr>
              <w:rPr>
                <w:rFonts w:ascii="Arial" w:hAnsi="Arial" w:cs="Arial"/>
                <w:b/>
                <w:sz w:val="24"/>
                <w:szCs w:val="24"/>
              </w:rPr>
            </w:pPr>
          </w:p>
        </w:tc>
        <w:tc>
          <w:tcPr>
            <w:tcW w:w="6469" w:type="dxa"/>
            <w:gridSpan w:val="6"/>
          </w:tcPr>
          <w:p w14:paraId="426AA76D" w14:textId="77777777" w:rsidR="0019642E" w:rsidRDefault="0019642E" w:rsidP="0019642E">
            <w:pPr>
              <w:ind w:right="96"/>
              <w:jc w:val="both"/>
              <w:rPr>
                <w:rFonts w:ascii="Arial" w:hAnsi="Arial" w:cs="Arial"/>
                <w:color w:val="000000" w:themeColor="text1"/>
                <w:sz w:val="24"/>
                <w:szCs w:val="24"/>
              </w:rPr>
            </w:pPr>
            <w:r w:rsidRPr="007564A9">
              <w:rPr>
                <w:rFonts w:ascii="Arial" w:hAnsi="Arial" w:cs="Arial"/>
                <w:color w:val="000000" w:themeColor="text1"/>
                <w:sz w:val="24"/>
                <w:szCs w:val="24"/>
              </w:rPr>
              <w:t xml:space="preserve">This report will highlight </w:t>
            </w:r>
            <w:r>
              <w:rPr>
                <w:rFonts w:ascii="Arial" w:hAnsi="Arial" w:cs="Arial"/>
                <w:color w:val="000000" w:themeColor="text1"/>
                <w:sz w:val="24"/>
                <w:szCs w:val="24"/>
              </w:rPr>
              <w:t>current performance for both backlog and Single Cancer Pathway.</w:t>
            </w:r>
          </w:p>
          <w:p w14:paraId="10A5EAED" w14:textId="77777777" w:rsidR="0019642E" w:rsidRDefault="0019642E" w:rsidP="0019642E">
            <w:pPr>
              <w:ind w:right="96"/>
              <w:jc w:val="both"/>
              <w:rPr>
                <w:rFonts w:ascii="Arial" w:hAnsi="Arial" w:cs="Arial"/>
                <w:color w:val="000000" w:themeColor="text1"/>
                <w:sz w:val="24"/>
                <w:szCs w:val="24"/>
              </w:rPr>
            </w:pPr>
          </w:p>
          <w:p w14:paraId="6D290401" w14:textId="77777777" w:rsidR="0019642E" w:rsidRPr="00FA0CA9" w:rsidRDefault="0019642E" w:rsidP="00840586">
            <w:pPr>
              <w:ind w:right="96"/>
              <w:jc w:val="both"/>
              <w:rPr>
                <w:rFonts w:ascii="Arial" w:hAnsi="Arial" w:cs="Arial"/>
                <w:sz w:val="24"/>
                <w:szCs w:val="24"/>
              </w:rPr>
            </w:pPr>
          </w:p>
        </w:tc>
      </w:tr>
      <w:tr w:rsidR="0019642E" w:rsidRPr="00034194" w14:paraId="6D290409" w14:textId="77777777" w:rsidTr="00DA76AD">
        <w:trPr>
          <w:trHeight w:val="97"/>
        </w:trPr>
        <w:tc>
          <w:tcPr>
            <w:tcW w:w="2547" w:type="dxa"/>
            <w:vMerge w:val="restart"/>
          </w:tcPr>
          <w:p w14:paraId="6D290403" w14:textId="77777777" w:rsidR="0019642E" w:rsidRPr="00FA0CA9" w:rsidRDefault="0019642E" w:rsidP="0019642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19642E" w:rsidRPr="00FA0CA9" w:rsidRDefault="0019642E" w:rsidP="0019642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19642E" w:rsidRPr="00FA0CA9" w:rsidRDefault="0019642E" w:rsidP="0019642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19642E" w:rsidRPr="00FA0CA9" w:rsidRDefault="0019642E" w:rsidP="0019642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19642E" w:rsidRPr="00FA0CA9" w:rsidRDefault="0019642E" w:rsidP="0019642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19642E" w:rsidRPr="00FA0CA9" w:rsidRDefault="0019642E" w:rsidP="0019642E">
            <w:pPr>
              <w:rPr>
                <w:rFonts w:ascii="Arial" w:hAnsi="Arial" w:cs="Arial"/>
                <w:b/>
                <w:sz w:val="24"/>
                <w:szCs w:val="24"/>
              </w:rPr>
            </w:pPr>
            <w:r w:rsidRPr="00FA0CA9">
              <w:rPr>
                <w:rFonts w:ascii="Arial" w:hAnsi="Arial" w:cs="Arial"/>
                <w:b/>
                <w:sz w:val="24"/>
                <w:szCs w:val="24"/>
              </w:rPr>
              <w:t>Approval</w:t>
            </w:r>
          </w:p>
        </w:tc>
      </w:tr>
      <w:tr w:rsidR="0019642E" w:rsidRPr="00034194" w14:paraId="6D29040F" w14:textId="77777777" w:rsidTr="00DA76AD">
        <w:trPr>
          <w:trHeight w:val="96"/>
        </w:trPr>
        <w:tc>
          <w:tcPr>
            <w:tcW w:w="2547" w:type="dxa"/>
            <w:vMerge/>
          </w:tcPr>
          <w:p w14:paraId="6D29040A" w14:textId="77777777" w:rsidR="0019642E" w:rsidRPr="00FA0CA9" w:rsidRDefault="0019642E" w:rsidP="0019642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D218CFE"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2CD8C2C3" w:rsidR="0019642E" w:rsidRPr="00FA0CA9" w:rsidRDefault="00840586"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9642E" w:rsidRPr="00034194" w14:paraId="6D290418" w14:textId="77777777" w:rsidTr="00DA76AD">
        <w:tc>
          <w:tcPr>
            <w:tcW w:w="2547" w:type="dxa"/>
          </w:tcPr>
          <w:p w14:paraId="6D290410" w14:textId="77777777" w:rsidR="0019642E" w:rsidRPr="00FA0CA9" w:rsidRDefault="0019642E" w:rsidP="0019642E">
            <w:pPr>
              <w:rPr>
                <w:rFonts w:ascii="Arial" w:hAnsi="Arial" w:cs="Arial"/>
                <w:b/>
                <w:sz w:val="24"/>
                <w:szCs w:val="24"/>
              </w:rPr>
            </w:pPr>
            <w:r w:rsidRPr="00FA0CA9">
              <w:rPr>
                <w:rFonts w:ascii="Arial" w:hAnsi="Arial" w:cs="Arial"/>
                <w:b/>
                <w:sz w:val="24"/>
                <w:szCs w:val="24"/>
              </w:rPr>
              <w:t>Recommendations</w:t>
            </w:r>
          </w:p>
          <w:p w14:paraId="6D290411" w14:textId="77777777" w:rsidR="0019642E" w:rsidRPr="00FA0CA9" w:rsidRDefault="0019642E" w:rsidP="0019642E">
            <w:pPr>
              <w:rPr>
                <w:rFonts w:ascii="Arial" w:hAnsi="Arial" w:cs="Arial"/>
                <w:b/>
                <w:sz w:val="24"/>
                <w:szCs w:val="24"/>
              </w:rPr>
            </w:pPr>
          </w:p>
        </w:tc>
        <w:tc>
          <w:tcPr>
            <w:tcW w:w="6469" w:type="dxa"/>
            <w:gridSpan w:val="6"/>
          </w:tcPr>
          <w:p w14:paraId="7F09B3CE" w14:textId="77777777" w:rsidR="0019642E" w:rsidRPr="007564A9" w:rsidRDefault="0019642E" w:rsidP="0019642E">
            <w:pPr>
              <w:ind w:right="96"/>
              <w:jc w:val="both"/>
              <w:rPr>
                <w:rFonts w:ascii="Arial" w:hAnsi="Arial" w:cs="Arial"/>
                <w:color w:val="000000" w:themeColor="text1"/>
                <w:sz w:val="24"/>
                <w:szCs w:val="24"/>
              </w:rPr>
            </w:pPr>
            <w:r w:rsidRPr="007564A9">
              <w:rPr>
                <w:rFonts w:ascii="Arial" w:hAnsi="Arial" w:cs="Arial"/>
                <w:color w:val="000000" w:themeColor="text1"/>
                <w:sz w:val="24"/>
                <w:szCs w:val="24"/>
              </w:rPr>
              <w:t>Members are asked to:</w:t>
            </w:r>
          </w:p>
          <w:p w14:paraId="3243D661" w14:textId="77777777" w:rsidR="0019642E" w:rsidRPr="007564A9" w:rsidRDefault="0019642E" w:rsidP="0019642E">
            <w:pPr>
              <w:pStyle w:val="Default"/>
              <w:numPr>
                <w:ilvl w:val="0"/>
                <w:numId w:val="12"/>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performance and backlog volumes in the main tumour sites.</w:t>
            </w:r>
          </w:p>
          <w:p w14:paraId="6F841A7B" w14:textId="77777777" w:rsidR="0019642E" w:rsidRPr="007564A9" w:rsidRDefault="0019642E" w:rsidP="0019642E">
            <w:pPr>
              <w:pStyle w:val="Default"/>
              <w:numPr>
                <w:ilvl w:val="0"/>
                <w:numId w:val="12"/>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additional work required to improve both performance and backlog.</w:t>
            </w:r>
          </w:p>
          <w:p w14:paraId="6D290417" w14:textId="77777777" w:rsidR="0019642E" w:rsidRPr="00FA0CA9" w:rsidRDefault="0019642E" w:rsidP="0019642E">
            <w:pPr>
              <w:pStyle w:val="Default"/>
              <w:rPr>
                <w:rFonts w:ascii="Arial" w:hAnsi="Arial" w:cs="Arial"/>
              </w:rPr>
            </w:pPr>
          </w:p>
        </w:tc>
      </w:tr>
    </w:tbl>
    <w:p w14:paraId="6D290419" w14:textId="77777777" w:rsidR="0020539A" w:rsidRDefault="0020539A"/>
    <w:p w14:paraId="6D29041A" w14:textId="2556C333" w:rsidR="00653AEC" w:rsidRDefault="0020539A" w:rsidP="00653AEC">
      <w:pPr>
        <w:spacing w:after="0" w:line="240" w:lineRule="auto"/>
        <w:jc w:val="center"/>
        <w:rPr>
          <w:rFonts w:ascii="Arial" w:hAnsi="Arial" w:cs="Arial"/>
          <w:b/>
          <w:sz w:val="24"/>
          <w:szCs w:val="24"/>
        </w:rPr>
      </w:pPr>
      <w:r>
        <w:br w:type="page"/>
      </w:r>
      <w:r w:rsidR="0019642E">
        <w:rPr>
          <w:rFonts w:ascii="Arial" w:hAnsi="Arial" w:cs="Arial"/>
          <w:b/>
          <w:sz w:val="24"/>
          <w:szCs w:val="24"/>
        </w:rPr>
        <w:lastRenderedPageBreak/>
        <w:t>CANCER PERFORMANCE UPDATE</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BCC7216" w14:textId="77777777" w:rsidR="003633CB" w:rsidRPr="0072604C" w:rsidRDefault="003633CB" w:rsidP="003633CB">
      <w:pPr>
        <w:pStyle w:val="ListParagraph"/>
        <w:spacing w:after="0" w:line="240" w:lineRule="auto"/>
        <w:rPr>
          <w:rFonts w:ascii="Arial" w:hAnsi="Arial" w:cs="Arial"/>
          <w:b/>
          <w:sz w:val="24"/>
          <w:szCs w:val="24"/>
        </w:rPr>
      </w:pPr>
    </w:p>
    <w:p w14:paraId="10D245C4" w14:textId="7374D220" w:rsidR="00095DB8" w:rsidRDefault="00095DB8" w:rsidP="00095DB8">
      <w:pPr>
        <w:jc w:val="both"/>
        <w:rPr>
          <w:rFonts w:ascii="Arial" w:hAnsi="Arial" w:cs="Arial"/>
          <w:color w:val="000000" w:themeColor="text1"/>
          <w:sz w:val="24"/>
          <w:szCs w:val="24"/>
        </w:rPr>
      </w:pPr>
      <w:r>
        <w:rPr>
          <w:rFonts w:ascii="Arial" w:hAnsi="Arial" w:cs="Arial"/>
          <w:color w:val="000000" w:themeColor="text1"/>
          <w:sz w:val="24"/>
          <w:szCs w:val="24"/>
        </w:rPr>
        <w:t>In October 2022 Welsh Government (WG) initiated the enhanced monitoring (EM) intervention process for the Health Board (HB) due to quality issues relating poor performance and long waiting times.  In January 202</w:t>
      </w:r>
      <w:r w:rsidR="0041506C">
        <w:rPr>
          <w:rFonts w:ascii="Arial" w:hAnsi="Arial" w:cs="Arial"/>
          <w:color w:val="000000" w:themeColor="text1"/>
          <w:sz w:val="24"/>
          <w:szCs w:val="24"/>
        </w:rPr>
        <w:t>4</w:t>
      </w:r>
      <w:r>
        <w:rPr>
          <w:rFonts w:ascii="Arial" w:hAnsi="Arial" w:cs="Arial"/>
          <w:color w:val="000000" w:themeColor="text1"/>
          <w:sz w:val="24"/>
          <w:szCs w:val="24"/>
        </w:rPr>
        <w:t xml:space="preserve"> the HB was escalated to targeted intervention (TI) within several areas, including performance against the Suspected Cancer Pathway (SCP). The HB meets with WG TI on a monthly basis.  The areas of greatest focus both locally and nationally for improvement are:  </w:t>
      </w:r>
    </w:p>
    <w:p w14:paraId="089C23AD" w14:textId="3F3006FE" w:rsidR="00095DB8" w:rsidRDefault="00095DB8" w:rsidP="003633CB">
      <w:pPr>
        <w:pStyle w:val="ListParagraph"/>
        <w:numPr>
          <w:ilvl w:val="0"/>
          <w:numId w:val="11"/>
        </w:numPr>
        <w:spacing w:after="0" w:line="240" w:lineRule="auto"/>
        <w:jc w:val="both"/>
        <w:rPr>
          <w:rFonts w:ascii="Arial" w:hAnsi="Arial" w:cs="Arial"/>
          <w:color w:val="000000" w:themeColor="text1"/>
          <w:sz w:val="24"/>
          <w:szCs w:val="24"/>
        </w:rPr>
      </w:pPr>
      <w:r w:rsidRPr="00DE78E2">
        <w:rPr>
          <w:rFonts w:ascii="Arial" w:hAnsi="Arial" w:cs="Arial"/>
          <w:color w:val="000000" w:themeColor="text1"/>
          <w:sz w:val="24"/>
          <w:szCs w:val="24"/>
        </w:rPr>
        <w:t>Lower Gastrointestinal</w:t>
      </w:r>
      <w:r w:rsidR="003633CB">
        <w:rPr>
          <w:rFonts w:ascii="Arial" w:hAnsi="Arial" w:cs="Arial"/>
          <w:color w:val="000000" w:themeColor="text1"/>
          <w:sz w:val="24"/>
          <w:szCs w:val="24"/>
        </w:rPr>
        <w:t xml:space="preserve">, </w:t>
      </w:r>
      <w:r w:rsidRPr="003633CB">
        <w:rPr>
          <w:rFonts w:ascii="Arial" w:hAnsi="Arial" w:cs="Arial"/>
          <w:color w:val="000000" w:themeColor="text1"/>
          <w:sz w:val="24"/>
          <w:szCs w:val="24"/>
        </w:rPr>
        <w:t>Gynaecological</w:t>
      </w:r>
      <w:r w:rsidR="00840586">
        <w:rPr>
          <w:rFonts w:ascii="Arial" w:hAnsi="Arial" w:cs="Arial"/>
          <w:color w:val="000000" w:themeColor="text1"/>
          <w:sz w:val="24"/>
          <w:szCs w:val="24"/>
        </w:rPr>
        <w:t xml:space="preserve">, </w:t>
      </w:r>
      <w:r w:rsidRPr="003633CB">
        <w:rPr>
          <w:rFonts w:ascii="Arial" w:hAnsi="Arial" w:cs="Arial"/>
          <w:color w:val="000000" w:themeColor="text1"/>
          <w:sz w:val="24"/>
          <w:szCs w:val="24"/>
        </w:rPr>
        <w:t>Urological</w:t>
      </w:r>
      <w:r w:rsidR="00840586">
        <w:rPr>
          <w:rFonts w:ascii="Arial" w:hAnsi="Arial" w:cs="Arial"/>
          <w:color w:val="000000" w:themeColor="text1"/>
          <w:sz w:val="24"/>
          <w:szCs w:val="24"/>
        </w:rPr>
        <w:t>, Skin and Breast</w:t>
      </w:r>
    </w:p>
    <w:p w14:paraId="3226A8C4" w14:textId="77777777" w:rsidR="003633CB" w:rsidRPr="003633CB" w:rsidRDefault="003633CB" w:rsidP="003633CB">
      <w:pPr>
        <w:pStyle w:val="ListParagraph"/>
        <w:spacing w:after="0" w:line="240" w:lineRule="auto"/>
        <w:ind w:left="360"/>
        <w:jc w:val="both"/>
        <w:rPr>
          <w:rFonts w:ascii="Arial" w:hAnsi="Arial" w:cs="Arial"/>
          <w:color w:val="000000" w:themeColor="text1"/>
          <w:sz w:val="24"/>
          <w:szCs w:val="24"/>
        </w:rPr>
      </w:pPr>
    </w:p>
    <w:p w14:paraId="20B8D2BC" w14:textId="743921E8" w:rsidR="00095DB8" w:rsidRPr="00970AB6" w:rsidRDefault="00AE6282" w:rsidP="00095DB8">
      <w:pPr>
        <w:jc w:val="both"/>
        <w:rPr>
          <w:rFonts w:ascii="Arial" w:hAnsi="Arial" w:cs="Arial"/>
          <w:color w:val="000000" w:themeColor="text1"/>
          <w:sz w:val="24"/>
          <w:szCs w:val="24"/>
        </w:rPr>
      </w:pPr>
      <w:r>
        <w:rPr>
          <w:rFonts w:ascii="Arial" w:hAnsi="Arial" w:cs="Arial"/>
          <w:color w:val="000000" w:themeColor="text1"/>
          <w:sz w:val="24"/>
          <w:szCs w:val="24"/>
        </w:rPr>
        <w:t>To</w:t>
      </w:r>
      <w:r w:rsidR="00095DB8">
        <w:rPr>
          <w:rFonts w:ascii="Arial" w:hAnsi="Arial" w:cs="Arial"/>
          <w:color w:val="000000" w:themeColor="text1"/>
          <w:sz w:val="24"/>
          <w:szCs w:val="24"/>
        </w:rPr>
        <w:t xml:space="preserve"> be de-escalated from TI, 60% of patients must be treated within 62 days for three consecutive months</w:t>
      </w:r>
      <w:r w:rsidR="00840586">
        <w:rPr>
          <w:rFonts w:ascii="Arial" w:hAnsi="Arial" w:cs="Arial"/>
          <w:color w:val="000000" w:themeColor="text1"/>
          <w:sz w:val="24"/>
          <w:szCs w:val="24"/>
        </w:rPr>
        <w:t xml:space="preserve">.  The HB has only met this requirement at quarterly resubmission until Summer 2025, when the HB achieved 61%, 61% &amp; 60% respectively between July and September 2025 at first submission.  However, performance fell in October 2025 to 56%. </w:t>
      </w:r>
    </w:p>
    <w:p w14:paraId="22400CCD" w14:textId="77777777" w:rsidR="0019642E" w:rsidRPr="0019642E" w:rsidRDefault="0019642E" w:rsidP="0019642E">
      <w:pPr>
        <w:pStyle w:val="ListParagraph"/>
        <w:spacing w:after="0" w:line="240" w:lineRule="auto"/>
        <w:ind w:left="360"/>
        <w:jc w:val="both"/>
        <w:rPr>
          <w:rFonts w:ascii="Arial" w:hAnsi="Arial" w:cs="Arial"/>
          <w:b/>
          <w:sz w:val="24"/>
          <w:szCs w:val="24"/>
        </w:rPr>
      </w:pPr>
    </w:p>
    <w:p w14:paraId="19ACF9E9" w14:textId="2C4A64A2" w:rsidR="0019642E" w:rsidRDefault="00653AEC" w:rsidP="00C541CF">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3B37107" w14:textId="77777777" w:rsidR="003633CB" w:rsidRPr="00C541CF" w:rsidRDefault="003633CB" w:rsidP="003633CB">
      <w:pPr>
        <w:pStyle w:val="ListParagraph"/>
        <w:spacing w:after="0" w:line="240" w:lineRule="auto"/>
        <w:rPr>
          <w:rFonts w:ascii="Arial" w:hAnsi="Arial" w:cs="Arial"/>
          <w:b/>
          <w:sz w:val="24"/>
          <w:szCs w:val="24"/>
        </w:rPr>
      </w:pPr>
    </w:p>
    <w:p w14:paraId="6F618592" w14:textId="2D510EAE"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The HB monitors two primary metrics for the single cancer pathway:</w:t>
      </w:r>
    </w:p>
    <w:p w14:paraId="0B4E2881" w14:textId="77777777" w:rsidR="0019642E" w:rsidRDefault="0019642E" w:rsidP="0019642E">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 Performance within the 62-day target</w:t>
      </w:r>
    </w:p>
    <w:p w14:paraId="6D290420" w14:textId="18928118" w:rsidR="00653AEC" w:rsidRPr="0019642E" w:rsidRDefault="0019642E" w:rsidP="00653AEC">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Backlog volumes (patients waiting over 62 days)</w:t>
      </w:r>
    </w:p>
    <w:p w14:paraId="44048110" w14:textId="77777777" w:rsidR="00C541CF" w:rsidRDefault="00C541CF" w:rsidP="0019642E">
      <w:pPr>
        <w:spacing w:after="0" w:line="240" w:lineRule="auto"/>
        <w:jc w:val="both"/>
        <w:rPr>
          <w:rFonts w:ascii="Arial" w:hAnsi="Arial" w:cs="Arial"/>
          <w:b/>
          <w:sz w:val="24"/>
          <w:szCs w:val="24"/>
        </w:rPr>
      </w:pPr>
    </w:p>
    <w:p w14:paraId="697C0024" w14:textId="51785F6F" w:rsidR="0019642E" w:rsidRDefault="0019642E" w:rsidP="0019642E">
      <w:pPr>
        <w:spacing w:after="0" w:line="240" w:lineRule="auto"/>
        <w:jc w:val="both"/>
        <w:rPr>
          <w:rFonts w:ascii="Arial" w:hAnsi="Arial" w:cs="Arial"/>
          <w:b/>
          <w:sz w:val="24"/>
          <w:szCs w:val="24"/>
        </w:rPr>
      </w:pPr>
      <w:r w:rsidRPr="00856987">
        <w:rPr>
          <w:rFonts w:ascii="Arial" w:hAnsi="Arial" w:cs="Arial"/>
          <w:b/>
          <w:sz w:val="24"/>
          <w:szCs w:val="24"/>
        </w:rPr>
        <w:t>Performance 20</w:t>
      </w:r>
      <w:r w:rsidR="00AE6282">
        <w:rPr>
          <w:rFonts w:ascii="Arial" w:hAnsi="Arial" w:cs="Arial"/>
          <w:b/>
          <w:sz w:val="24"/>
          <w:szCs w:val="24"/>
        </w:rPr>
        <w:t>24</w:t>
      </w:r>
      <w:r>
        <w:rPr>
          <w:rFonts w:ascii="Arial" w:hAnsi="Arial" w:cs="Arial"/>
          <w:b/>
          <w:sz w:val="24"/>
          <w:szCs w:val="24"/>
        </w:rPr>
        <w:t>/2</w:t>
      </w:r>
      <w:r w:rsidR="00AE6282">
        <w:rPr>
          <w:rFonts w:ascii="Arial" w:hAnsi="Arial" w:cs="Arial"/>
          <w:b/>
          <w:sz w:val="24"/>
          <w:szCs w:val="24"/>
        </w:rPr>
        <w:t>5</w:t>
      </w:r>
    </w:p>
    <w:p w14:paraId="726DF3DE" w14:textId="623B27A8" w:rsidR="00AE6282" w:rsidRDefault="00AE6282" w:rsidP="00AE6282">
      <w:pPr>
        <w:spacing w:after="0" w:line="240" w:lineRule="auto"/>
        <w:jc w:val="both"/>
        <w:rPr>
          <w:rFonts w:ascii="Arial" w:hAnsi="Arial" w:cs="Arial"/>
          <w:bCs/>
          <w:sz w:val="24"/>
          <w:szCs w:val="24"/>
        </w:rPr>
      </w:pPr>
      <w:r w:rsidRPr="0036330B">
        <w:rPr>
          <w:rFonts w:ascii="Arial" w:hAnsi="Arial" w:cs="Arial"/>
          <w:bCs/>
          <w:sz w:val="24"/>
          <w:szCs w:val="24"/>
        </w:rPr>
        <w:t xml:space="preserve">The graph </w:t>
      </w:r>
      <w:r>
        <w:rPr>
          <w:rFonts w:ascii="Arial" w:hAnsi="Arial" w:cs="Arial"/>
          <w:bCs/>
          <w:sz w:val="24"/>
          <w:szCs w:val="24"/>
        </w:rPr>
        <w:t>below</w:t>
      </w:r>
      <w:r w:rsidRPr="0036330B">
        <w:rPr>
          <w:rFonts w:ascii="Arial" w:hAnsi="Arial" w:cs="Arial"/>
          <w:bCs/>
          <w:sz w:val="24"/>
          <w:szCs w:val="24"/>
        </w:rPr>
        <w:t xml:space="preserve"> shows the HB’s SCP performance </w:t>
      </w:r>
      <w:r>
        <w:rPr>
          <w:rFonts w:ascii="Arial" w:hAnsi="Arial" w:cs="Arial"/>
          <w:bCs/>
          <w:sz w:val="24"/>
          <w:szCs w:val="24"/>
        </w:rPr>
        <w:t>since July 2024</w:t>
      </w:r>
      <w:r w:rsidRPr="0036330B">
        <w:rPr>
          <w:rFonts w:ascii="Arial" w:hAnsi="Arial" w:cs="Arial"/>
          <w:bCs/>
          <w:sz w:val="24"/>
          <w:szCs w:val="24"/>
        </w:rPr>
        <w:t xml:space="preserve">.  It represents the patients receiving first definitive treatment (FDT) within the 62-day target against the target of 75%.  </w:t>
      </w:r>
    </w:p>
    <w:p w14:paraId="7BCC949B" w14:textId="77777777" w:rsidR="00AE6282" w:rsidRPr="00856987" w:rsidRDefault="00AE6282" w:rsidP="0019642E">
      <w:pPr>
        <w:spacing w:after="0" w:line="240" w:lineRule="auto"/>
        <w:jc w:val="both"/>
        <w:rPr>
          <w:rFonts w:ascii="Arial" w:hAnsi="Arial" w:cs="Arial"/>
          <w:b/>
          <w:sz w:val="24"/>
          <w:szCs w:val="24"/>
        </w:rPr>
      </w:pPr>
    </w:p>
    <w:p w14:paraId="551E4B48" w14:textId="6148F4AD" w:rsidR="0019642E" w:rsidRDefault="00AE6282" w:rsidP="0019642E">
      <w:pPr>
        <w:spacing w:after="0" w:line="240" w:lineRule="auto"/>
        <w:jc w:val="both"/>
        <w:rPr>
          <w:rFonts w:ascii="Arial" w:hAnsi="Arial" w:cs="Arial"/>
          <w:bCs/>
          <w:sz w:val="24"/>
          <w:szCs w:val="24"/>
        </w:rPr>
      </w:pPr>
      <w:r>
        <w:rPr>
          <w:noProof/>
        </w:rPr>
        <w:drawing>
          <wp:inline distT="0" distB="0" distL="0" distR="0" wp14:anchorId="46DF79F9" wp14:editId="4C031385">
            <wp:extent cx="5716402" cy="2608564"/>
            <wp:effectExtent l="0" t="0" r="17780" b="1905"/>
            <wp:docPr id="1468884201" name="Chart 1">
              <a:extLst xmlns:a="http://schemas.openxmlformats.org/drawingml/2006/main">
                <a:ext uri="{FF2B5EF4-FFF2-40B4-BE49-F238E27FC236}">
                  <a16:creationId xmlns:a16="http://schemas.microsoft.com/office/drawing/2014/main" id="{E42B3CB1-B489-5A75-5AB6-E7C0F23061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63AD9B5" w14:textId="3CBDFE9C" w:rsidR="0019642E" w:rsidRDefault="0019642E" w:rsidP="0019642E">
      <w:pPr>
        <w:spacing w:after="0" w:line="240" w:lineRule="auto"/>
        <w:jc w:val="right"/>
        <w:rPr>
          <w:rFonts w:ascii="Arial" w:hAnsi="Arial" w:cs="Arial"/>
          <w:bCs/>
          <w:sz w:val="16"/>
          <w:szCs w:val="16"/>
        </w:rPr>
      </w:pPr>
      <w:r>
        <w:rPr>
          <w:rFonts w:ascii="Arial" w:hAnsi="Arial" w:cs="Arial"/>
          <w:bCs/>
          <w:sz w:val="16"/>
          <w:szCs w:val="16"/>
        </w:rPr>
        <w:t xml:space="preserve">Graph 1 – SCP Performance </w:t>
      </w:r>
      <w:r w:rsidR="00AE6282">
        <w:rPr>
          <w:rFonts w:ascii="Arial" w:hAnsi="Arial" w:cs="Arial"/>
          <w:bCs/>
          <w:sz w:val="16"/>
          <w:szCs w:val="16"/>
        </w:rPr>
        <w:t>24-25</w:t>
      </w:r>
    </w:p>
    <w:p w14:paraId="4B2B94BC" w14:textId="77777777" w:rsidR="00AE6282" w:rsidRDefault="00AE6282" w:rsidP="0019642E">
      <w:pPr>
        <w:spacing w:after="0" w:line="240" w:lineRule="auto"/>
        <w:jc w:val="both"/>
        <w:rPr>
          <w:rFonts w:ascii="Arial" w:hAnsi="Arial" w:cs="Arial"/>
          <w:bCs/>
          <w:sz w:val="24"/>
          <w:szCs w:val="24"/>
        </w:rPr>
      </w:pPr>
    </w:p>
    <w:p w14:paraId="2B6FC860" w14:textId="77777777" w:rsidR="00AE6282" w:rsidRDefault="00AE6282" w:rsidP="0019642E">
      <w:pPr>
        <w:spacing w:after="0" w:line="240" w:lineRule="auto"/>
        <w:jc w:val="both"/>
        <w:rPr>
          <w:rFonts w:ascii="Arial" w:hAnsi="Arial" w:cs="Arial"/>
          <w:bCs/>
          <w:sz w:val="24"/>
          <w:szCs w:val="24"/>
        </w:rPr>
      </w:pPr>
    </w:p>
    <w:p w14:paraId="541143D0" w14:textId="77777777" w:rsidR="00AE6282" w:rsidRDefault="00AE6282" w:rsidP="0019642E">
      <w:pPr>
        <w:spacing w:after="0" w:line="240" w:lineRule="auto"/>
        <w:jc w:val="both"/>
        <w:rPr>
          <w:rFonts w:ascii="Arial" w:hAnsi="Arial" w:cs="Arial"/>
          <w:bCs/>
          <w:sz w:val="24"/>
          <w:szCs w:val="24"/>
        </w:rPr>
      </w:pPr>
    </w:p>
    <w:p w14:paraId="41411D0E" w14:textId="77777777" w:rsidR="00AE6282" w:rsidRDefault="00AE6282" w:rsidP="0019642E">
      <w:pPr>
        <w:spacing w:after="0" w:line="240" w:lineRule="auto"/>
        <w:jc w:val="both"/>
        <w:rPr>
          <w:rFonts w:ascii="Arial" w:hAnsi="Arial" w:cs="Arial"/>
          <w:bCs/>
          <w:sz w:val="24"/>
          <w:szCs w:val="24"/>
        </w:rPr>
      </w:pPr>
    </w:p>
    <w:p w14:paraId="1ABEB259" w14:textId="267EF896" w:rsidR="0019642E" w:rsidRDefault="00AE6282" w:rsidP="0019642E">
      <w:pPr>
        <w:spacing w:after="0" w:line="240" w:lineRule="auto"/>
        <w:jc w:val="both"/>
        <w:rPr>
          <w:rFonts w:ascii="Arial" w:hAnsi="Arial" w:cs="Arial"/>
          <w:bCs/>
          <w:sz w:val="24"/>
          <w:szCs w:val="24"/>
        </w:rPr>
      </w:pPr>
      <w:r>
        <w:rPr>
          <w:rFonts w:ascii="Arial" w:hAnsi="Arial" w:cs="Arial"/>
          <w:bCs/>
          <w:sz w:val="24"/>
          <w:szCs w:val="24"/>
        </w:rPr>
        <w:t>The table below shows the breach volumes and performance by Tumour Site since April 2025, the top 5 priority tumour sites for Wales highlighted.</w:t>
      </w:r>
    </w:p>
    <w:p w14:paraId="46FC4F9E" w14:textId="22986605" w:rsidR="0041506C" w:rsidRDefault="00AE6282" w:rsidP="0019642E">
      <w:pPr>
        <w:spacing w:after="0" w:line="240" w:lineRule="auto"/>
        <w:jc w:val="both"/>
        <w:rPr>
          <w:rFonts w:ascii="Arial" w:hAnsi="Arial" w:cs="Arial"/>
          <w:bCs/>
          <w:sz w:val="24"/>
          <w:szCs w:val="24"/>
        </w:rPr>
      </w:pPr>
      <w:r w:rsidRPr="00AE6282">
        <w:rPr>
          <w:rFonts w:ascii="Arial" w:hAnsi="Arial" w:cs="Arial"/>
          <w:bCs/>
          <w:noProof/>
          <w:sz w:val="24"/>
          <w:szCs w:val="24"/>
        </w:rPr>
        <w:drawing>
          <wp:inline distT="0" distB="0" distL="0" distR="0" wp14:anchorId="4B8E8ACF" wp14:editId="4DF1F805">
            <wp:extent cx="5731510" cy="1756410"/>
            <wp:effectExtent l="0" t="0" r="2540" b="0"/>
            <wp:docPr id="1868186909" name="Picture 1" descr="A table with numbers and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186909" name="Picture 1" descr="A table with numbers and letters&#10;&#10;AI-generated content may be incorrect."/>
                    <pic:cNvPicPr/>
                  </pic:nvPicPr>
                  <pic:blipFill>
                    <a:blip r:embed="rId9"/>
                    <a:stretch>
                      <a:fillRect/>
                    </a:stretch>
                  </pic:blipFill>
                  <pic:spPr>
                    <a:xfrm>
                      <a:off x="0" y="0"/>
                      <a:ext cx="5731510" cy="1756410"/>
                    </a:xfrm>
                    <a:prstGeom prst="rect">
                      <a:avLst/>
                    </a:prstGeom>
                  </pic:spPr>
                </pic:pic>
              </a:graphicData>
            </a:graphic>
          </wp:inline>
        </w:drawing>
      </w:r>
    </w:p>
    <w:p w14:paraId="7C97282C" w14:textId="0DB28621" w:rsidR="0019642E" w:rsidRDefault="0019642E" w:rsidP="0019642E">
      <w:pPr>
        <w:spacing w:after="0" w:line="240" w:lineRule="auto"/>
        <w:jc w:val="both"/>
        <w:rPr>
          <w:rFonts w:ascii="Arial" w:hAnsi="Arial" w:cs="Arial"/>
          <w:bCs/>
          <w:sz w:val="24"/>
          <w:szCs w:val="24"/>
        </w:rPr>
      </w:pPr>
    </w:p>
    <w:p w14:paraId="15C01DAF" w14:textId="7783CC8E" w:rsidR="00AE6282" w:rsidRDefault="00AE6282" w:rsidP="0019642E">
      <w:pPr>
        <w:spacing w:after="0" w:line="240" w:lineRule="auto"/>
        <w:jc w:val="both"/>
        <w:rPr>
          <w:rFonts w:ascii="Arial" w:hAnsi="Arial" w:cs="Arial"/>
          <w:bCs/>
          <w:sz w:val="24"/>
          <w:szCs w:val="24"/>
        </w:rPr>
      </w:pPr>
      <w:r>
        <w:rPr>
          <w:rFonts w:ascii="Arial" w:hAnsi="Arial" w:cs="Arial"/>
          <w:bCs/>
          <w:sz w:val="24"/>
          <w:szCs w:val="24"/>
        </w:rPr>
        <w:t xml:space="preserve">Although Skin performs well overall, this is largely due to the </w:t>
      </w:r>
      <w:r w:rsidR="00297EF1">
        <w:rPr>
          <w:rFonts w:ascii="Arial" w:hAnsi="Arial" w:cs="Arial"/>
          <w:bCs/>
          <w:sz w:val="24"/>
          <w:szCs w:val="24"/>
        </w:rPr>
        <w:t xml:space="preserve">relative simplicity </w:t>
      </w:r>
      <w:r>
        <w:rPr>
          <w:rFonts w:ascii="Arial" w:hAnsi="Arial" w:cs="Arial"/>
          <w:bCs/>
          <w:sz w:val="24"/>
          <w:szCs w:val="24"/>
        </w:rPr>
        <w:t>of the pathway, many dermatology referrals are first seen in a ‘see and treat’ clinic, meaning that the pathway is</w:t>
      </w:r>
      <w:r w:rsidR="00297EF1">
        <w:rPr>
          <w:rFonts w:ascii="Arial" w:hAnsi="Arial" w:cs="Arial"/>
          <w:bCs/>
          <w:sz w:val="24"/>
          <w:szCs w:val="24"/>
        </w:rPr>
        <w:t xml:space="preserve"> often</w:t>
      </w:r>
      <w:r>
        <w:rPr>
          <w:rFonts w:ascii="Arial" w:hAnsi="Arial" w:cs="Arial"/>
          <w:bCs/>
          <w:sz w:val="24"/>
          <w:szCs w:val="24"/>
        </w:rPr>
        <w:t xml:space="preserve"> concluded at first attendance.  With waits to first assessment increasing over the Summer because of expected seasonal increased demand and reduced activity, this has led to a reduction in performance which in turn impacts overall HB performance.  </w:t>
      </w:r>
    </w:p>
    <w:p w14:paraId="525AA699" w14:textId="77777777" w:rsidR="00AE6282" w:rsidRPr="0036330B" w:rsidRDefault="00AE6282" w:rsidP="0019642E">
      <w:pPr>
        <w:spacing w:after="0" w:line="240" w:lineRule="auto"/>
        <w:jc w:val="both"/>
        <w:rPr>
          <w:rFonts w:ascii="Arial" w:hAnsi="Arial" w:cs="Arial"/>
          <w:bCs/>
          <w:sz w:val="24"/>
          <w:szCs w:val="24"/>
        </w:rPr>
      </w:pPr>
    </w:p>
    <w:p w14:paraId="3853D4AC" w14:textId="3D4D1822" w:rsidR="0019642E" w:rsidRPr="00AE6282" w:rsidRDefault="00AE6282" w:rsidP="0019642E">
      <w:pPr>
        <w:spacing w:after="0" w:line="240" w:lineRule="auto"/>
        <w:jc w:val="both"/>
        <w:rPr>
          <w:rFonts w:ascii="Arial" w:hAnsi="Arial" w:cs="Arial"/>
          <w:b/>
          <w:sz w:val="24"/>
          <w:szCs w:val="24"/>
        </w:rPr>
      </w:pPr>
      <w:r w:rsidRPr="00AE6282">
        <w:rPr>
          <w:rFonts w:ascii="Arial" w:hAnsi="Arial" w:cs="Arial"/>
          <w:b/>
          <w:sz w:val="24"/>
          <w:szCs w:val="24"/>
        </w:rPr>
        <w:t>Backlog</w:t>
      </w:r>
    </w:p>
    <w:p w14:paraId="47620BC3" w14:textId="77777777" w:rsidR="0019642E" w:rsidRDefault="0019642E" w:rsidP="0019642E">
      <w:pPr>
        <w:spacing w:after="0" w:line="240" w:lineRule="auto"/>
        <w:jc w:val="both"/>
        <w:rPr>
          <w:rFonts w:ascii="Arial" w:hAnsi="Arial" w:cs="Arial"/>
          <w:bCs/>
          <w:sz w:val="24"/>
          <w:szCs w:val="24"/>
        </w:rPr>
      </w:pPr>
    </w:p>
    <w:p w14:paraId="36A21971" w14:textId="12E13DFF" w:rsidR="00AE6282" w:rsidRDefault="00AE6282" w:rsidP="00AE6282">
      <w:pPr>
        <w:spacing w:after="0" w:line="240" w:lineRule="auto"/>
        <w:jc w:val="center"/>
        <w:rPr>
          <w:rFonts w:ascii="Arial" w:hAnsi="Arial" w:cs="Arial"/>
          <w:bCs/>
          <w:sz w:val="24"/>
          <w:szCs w:val="24"/>
        </w:rPr>
      </w:pPr>
      <w:r w:rsidRPr="00AE6282">
        <w:rPr>
          <w:rFonts w:ascii="Arial" w:hAnsi="Arial" w:cs="Arial"/>
          <w:bCs/>
          <w:noProof/>
          <w:sz w:val="24"/>
          <w:szCs w:val="24"/>
        </w:rPr>
        <w:drawing>
          <wp:inline distT="0" distB="0" distL="0" distR="0" wp14:anchorId="66141369" wp14:editId="7CF238CA">
            <wp:extent cx="5525030" cy="4653366"/>
            <wp:effectExtent l="0" t="0" r="0" b="0"/>
            <wp:docPr id="1691838671"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838671" name="Picture 1" descr="A screenshot of a graph&#10;&#10;AI-generated content may be incorrect."/>
                    <pic:cNvPicPr/>
                  </pic:nvPicPr>
                  <pic:blipFill>
                    <a:blip r:embed="rId10"/>
                    <a:stretch>
                      <a:fillRect/>
                    </a:stretch>
                  </pic:blipFill>
                  <pic:spPr>
                    <a:xfrm>
                      <a:off x="0" y="0"/>
                      <a:ext cx="5530530" cy="4657998"/>
                    </a:xfrm>
                    <a:prstGeom prst="rect">
                      <a:avLst/>
                    </a:prstGeom>
                  </pic:spPr>
                </pic:pic>
              </a:graphicData>
            </a:graphic>
          </wp:inline>
        </w:drawing>
      </w:r>
    </w:p>
    <w:p w14:paraId="1DB313BD" w14:textId="0C713670" w:rsidR="00AE6282" w:rsidRDefault="00AE6282" w:rsidP="00AE6282">
      <w:pPr>
        <w:spacing w:after="0" w:line="240" w:lineRule="auto"/>
        <w:jc w:val="right"/>
        <w:rPr>
          <w:rFonts w:ascii="Arial" w:hAnsi="Arial" w:cs="Arial"/>
          <w:bCs/>
          <w:color w:val="808080" w:themeColor="background1" w:themeShade="80"/>
        </w:rPr>
      </w:pPr>
      <w:r w:rsidRPr="00AE6282">
        <w:rPr>
          <w:rFonts w:ascii="Arial" w:hAnsi="Arial" w:cs="Arial"/>
          <w:bCs/>
          <w:color w:val="808080" w:themeColor="background1" w:themeShade="80"/>
        </w:rPr>
        <w:t>NHS P&amp;I, Cancer Performance Briefing, SBUHB 23/11/2025</w:t>
      </w:r>
    </w:p>
    <w:p w14:paraId="63C073B1" w14:textId="77777777" w:rsidR="00AE6282" w:rsidRPr="00AE6282" w:rsidRDefault="00AE6282" w:rsidP="00AE6282">
      <w:pPr>
        <w:spacing w:after="0" w:line="240" w:lineRule="auto"/>
        <w:rPr>
          <w:rFonts w:ascii="Arial" w:hAnsi="Arial" w:cs="Arial"/>
          <w:bCs/>
          <w:color w:val="808080" w:themeColor="background1" w:themeShade="80"/>
        </w:rPr>
      </w:pPr>
    </w:p>
    <w:p w14:paraId="319BEE2C" w14:textId="08CC656D" w:rsidR="00AE6282" w:rsidRDefault="00AE6282" w:rsidP="0019642E">
      <w:pPr>
        <w:spacing w:after="0" w:line="240" w:lineRule="auto"/>
        <w:jc w:val="both"/>
        <w:rPr>
          <w:rFonts w:ascii="Arial" w:hAnsi="Arial" w:cs="Arial"/>
          <w:bCs/>
          <w:sz w:val="24"/>
          <w:szCs w:val="24"/>
        </w:rPr>
      </w:pPr>
      <w:r>
        <w:rPr>
          <w:rFonts w:ascii="Arial" w:hAnsi="Arial" w:cs="Arial"/>
          <w:bCs/>
          <w:sz w:val="24"/>
          <w:szCs w:val="24"/>
        </w:rPr>
        <w:t>The above graphs show the backlog position for the HB by pathway stage.  As shown, a significant spike in first OPA volumes over the summer period, which is primarily explained by the dermatology first appointment issue.  Diagnostic volumes and treatment volumes have also been increasing.</w:t>
      </w:r>
    </w:p>
    <w:p w14:paraId="10359605" w14:textId="77777777" w:rsidR="00AE6282" w:rsidRDefault="00AE6282" w:rsidP="0019642E">
      <w:pPr>
        <w:spacing w:after="0" w:line="240" w:lineRule="auto"/>
        <w:jc w:val="both"/>
        <w:rPr>
          <w:rFonts w:ascii="Arial" w:hAnsi="Arial" w:cs="Arial"/>
          <w:bCs/>
          <w:sz w:val="24"/>
          <w:szCs w:val="24"/>
        </w:rPr>
      </w:pPr>
    </w:p>
    <w:p w14:paraId="21A41E82" w14:textId="46DFF7CE" w:rsidR="00AE6282" w:rsidRDefault="00AE6282" w:rsidP="0019642E">
      <w:pPr>
        <w:spacing w:after="0" w:line="240" w:lineRule="auto"/>
        <w:jc w:val="both"/>
        <w:rPr>
          <w:rFonts w:ascii="Arial" w:hAnsi="Arial" w:cs="Arial"/>
          <w:bCs/>
          <w:sz w:val="24"/>
          <w:szCs w:val="24"/>
        </w:rPr>
      </w:pPr>
      <w:r>
        <w:rPr>
          <w:rFonts w:ascii="Arial" w:hAnsi="Arial" w:cs="Arial"/>
          <w:bCs/>
          <w:sz w:val="24"/>
          <w:szCs w:val="24"/>
        </w:rPr>
        <w:t>The table below demonstrates the backlog position on 23</w:t>
      </w:r>
      <w:r w:rsidRPr="00AE6282">
        <w:rPr>
          <w:rFonts w:ascii="Arial" w:hAnsi="Arial" w:cs="Arial"/>
          <w:bCs/>
          <w:sz w:val="24"/>
          <w:szCs w:val="24"/>
          <w:vertAlign w:val="superscript"/>
        </w:rPr>
        <w:t>rd</w:t>
      </w:r>
      <w:r>
        <w:rPr>
          <w:rFonts w:ascii="Arial" w:hAnsi="Arial" w:cs="Arial"/>
          <w:bCs/>
          <w:sz w:val="24"/>
          <w:szCs w:val="24"/>
        </w:rPr>
        <w:t xml:space="preserve"> November 2025 for the top 10 tumour sites.  Lower GI has the largest volume of patients; most patients under Lower GI have presented via the Bowel Screening Wales pathway and are waiting screening colonoscopy.  </w:t>
      </w:r>
    </w:p>
    <w:p w14:paraId="6B9CD7FD" w14:textId="77777777" w:rsidR="00AE6282" w:rsidRDefault="00AE6282" w:rsidP="0019642E">
      <w:pPr>
        <w:spacing w:after="0" w:line="240" w:lineRule="auto"/>
        <w:jc w:val="both"/>
        <w:rPr>
          <w:rFonts w:ascii="Arial" w:hAnsi="Arial" w:cs="Arial"/>
          <w:bCs/>
          <w:sz w:val="24"/>
          <w:szCs w:val="24"/>
        </w:rPr>
      </w:pPr>
    </w:p>
    <w:p w14:paraId="3BCD4B0F" w14:textId="35946AD5" w:rsidR="00AE6282" w:rsidRDefault="00AE6282" w:rsidP="0019642E">
      <w:pPr>
        <w:spacing w:after="0" w:line="240" w:lineRule="auto"/>
        <w:jc w:val="both"/>
        <w:rPr>
          <w:rFonts w:ascii="Arial" w:hAnsi="Arial" w:cs="Arial"/>
          <w:bCs/>
          <w:sz w:val="24"/>
          <w:szCs w:val="24"/>
        </w:rPr>
      </w:pPr>
      <w:r w:rsidRPr="00AE6282">
        <w:rPr>
          <w:rFonts w:ascii="Arial" w:hAnsi="Arial" w:cs="Arial"/>
          <w:bCs/>
          <w:noProof/>
          <w:sz w:val="24"/>
          <w:szCs w:val="24"/>
        </w:rPr>
        <w:drawing>
          <wp:inline distT="0" distB="0" distL="0" distR="0" wp14:anchorId="19D338FC" wp14:editId="52721B5D">
            <wp:extent cx="5731510" cy="2697480"/>
            <wp:effectExtent l="0" t="0" r="2540" b="7620"/>
            <wp:docPr id="282465009" name="Picture 1" descr="A table with numbers and a number in the midd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465009" name="Picture 1" descr="A table with numbers and a number in the middle&#10;&#10;AI-generated content may be incorrect."/>
                    <pic:cNvPicPr/>
                  </pic:nvPicPr>
                  <pic:blipFill>
                    <a:blip r:embed="rId11"/>
                    <a:stretch>
                      <a:fillRect/>
                    </a:stretch>
                  </pic:blipFill>
                  <pic:spPr>
                    <a:xfrm>
                      <a:off x="0" y="0"/>
                      <a:ext cx="5731510" cy="2697480"/>
                    </a:xfrm>
                    <a:prstGeom prst="rect">
                      <a:avLst/>
                    </a:prstGeom>
                  </pic:spPr>
                </pic:pic>
              </a:graphicData>
            </a:graphic>
          </wp:inline>
        </w:drawing>
      </w:r>
    </w:p>
    <w:p w14:paraId="54C726CA" w14:textId="77777777" w:rsidR="00AE6282" w:rsidRDefault="00AE6282" w:rsidP="00AE6282">
      <w:pPr>
        <w:spacing w:after="0" w:line="240" w:lineRule="auto"/>
        <w:jc w:val="right"/>
        <w:rPr>
          <w:rFonts w:ascii="Arial" w:hAnsi="Arial" w:cs="Arial"/>
          <w:bCs/>
          <w:color w:val="808080" w:themeColor="background1" w:themeShade="80"/>
        </w:rPr>
      </w:pPr>
      <w:r w:rsidRPr="00AE6282">
        <w:rPr>
          <w:rFonts w:ascii="Arial" w:hAnsi="Arial" w:cs="Arial"/>
          <w:bCs/>
          <w:color w:val="808080" w:themeColor="background1" w:themeShade="80"/>
        </w:rPr>
        <w:t>NHS P&amp;I, Cancer Performance Briefing, SBUHB 23/11/2025</w:t>
      </w:r>
    </w:p>
    <w:p w14:paraId="74916494" w14:textId="77777777" w:rsidR="00AE6282" w:rsidRDefault="00AE6282" w:rsidP="0019642E">
      <w:pPr>
        <w:spacing w:after="0" w:line="240" w:lineRule="auto"/>
        <w:jc w:val="both"/>
        <w:rPr>
          <w:rFonts w:ascii="Arial" w:hAnsi="Arial" w:cs="Arial"/>
          <w:bCs/>
          <w:sz w:val="24"/>
          <w:szCs w:val="24"/>
        </w:rPr>
      </w:pPr>
    </w:p>
    <w:p w14:paraId="35C0FEF0" w14:textId="77777777" w:rsidR="0019642E" w:rsidRPr="0019642E" w:rsidRDefault="0019642E" w:rsidP="0019642E">
      <w:pPr>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B0E2231" w14:textId="77777777" w:rsidR="0019642E" w:rsidRDefault="0019642E" w:rsidP="00653AEC">
      <w:pPr>
        <w:spacing w:after="0" w:line="240" w:lineRule="auto"/>
        <w:rPr>
          <w:rFonts w:ascii="Arial" w:hAnsi="Arial" w:cs="Arial"/>
          <w:color w:val="FF0000"/>
          <w:sz w:val="24"/>
          <w:szCs w:val="24"/>
        </w:rPr>
      </w:pPr>
    </w:p>
    <w:p w14:paraId="61E7B50E" w14:textId="7754CD41" w:rsidR="00AE6282" w:rsidRPr="00106267" w:rsidRDefault="00AE6282" w:rsidP="00AE6282">
      <w:pPr>
        <w:jc w:val="both"/>
        <w:rPr>
          <w:rFonts w:ascii="Arial" w:hAnsi="Arial" w:cs="Arial"/>
          <w:b/>
          <w:bCs/>
          <w:color w:val="000000" w:themeColor="text1"/>
          <w:sz w:val="28"/>
          <w:szCs w:val="28"/>
        </w:rPr>
      </w:pPr>
      <w:r w:rsidRPr="00106267">
        <w:rPr>
          <w:rFonts w:ascii="Arial" w:hAnsi="Arial" w:cs="Arial"/>
          <w:b/>
          <w:bCs/>
          <w:color w:val="000000" w:themeColor="text1"/>
          <w:sz w:val="28"/>
          <w:szCs w:val="28"/>
        </w:rPr>
        <w:t>Concerns impacting performance</w:t>
      </w:r>
    </w:p>
    <w:p w14:paraId="625432DE" w14:textId="6C6902FA" w:rsidR="00AE6282" w:rsidRDefault="00AE6282" w:rsidP="00AE6282">
      <w:pPr>
        <w:jc w:val="both"/>
        <w:rPr>
          <w:rFonts w:ascii="Arial" w:hAnsi="Arial" w:cs="Arial"/>
          <w:b/>
          <w:bCs/>
          <w:color w:val="000000" w:themeColor="text1"/>
          <w:sz w:val="24"/>
          <w:szCs w:val="24"/>
        </w:rPr>
      </w:pPr>
      <w:r>
        <w:rPr>
          <w:rFonts w:ascii="Arial" w:hAnsi="Arial" w:cs="Arial"/>
          <w:b/>
          <w:bCs/>
          <w:color w:val="000000" w:themeColor="text1"/>
          <w:sz w:val="24"/>
          <w:szCs w:val="24"/>
        </w:rPr>
        <w:t>Patient unavailability</w:t>
      </w:r>
    </w:p>
    <w:p w14:paraId="13145A1F" w14:textId="19048F3D" w:rsidR="00AE6282" w:rsidRDefault="00AE6282" w:rsidP="00AE6282">
      <w:pPr>
        <w:jc w:val="both"/>
        <w:rPr>
          <w:rFonts w:ascii="Arial" w:hAnsi="Arial" w:cs="Arial"/>
          <w:color w:val="000000" w:themeColor="text1"/>
          <w:sz w:val="24"/>
          <w:szCs w:val="24"/>
        </w:rPr>
      </w:pPr>
      <w:r w:rsidRPr="00AE6282">
        <w:rPr>
          <w:rFonts w:ascii="Arial" w:hAnsi="Arial" w:cs="Arial"/>
          <w:color w:val="000000" w:themeColor="text1"/>
          <w:sz w:val="24"/>
          <w:szCs w:val="24"/>
        </w:rPr>
        <w:t xml:space="preserve">CWT </w:t>
      </w:r>
      <w:r>
        <w:rPr>
          <w:rFonts w:ascii="Arial" w:hAnsi="Arial" w:cs="Arial"/>
          <w:color w:val="000000" w:themeColor="text1"/>
          <w:sz w:val="24"/>
          <w:szCs w:val="24"/>
        </w:rPr>
        <w:t xml:space="preserve">(Cancer Waiting Times) </w:t>
      </w:r>
      <w:r w:rsidRPr="00AE6282">
        <w:rPr>
          <w:rFonts w:ascii="Arial" w:hAnsi="Arial" w:cs="Arial"/>
          <w:color w:val="000000" w:themeColor="text1"/>
          <w:sz w:val="24"/>
          <w:szCs w:val="24"/>
        </w:rPr>
        <w:t>performance is the waiting time from referral to start of first definitive treatment without any adjustments</w:t>
      </w:r>
      <w:r>
        <w:rPr>
          <w:rFonts w:ascii="Arial" w:hAnsi="Arial" w:cs="Arial"/>
          <w:color w:val="000000" w:themeColor="text1"/>
          <w:sz w:val="24"/>
          <w:szCs w:val="24"/>
        </w:rPr>
        <w:t>.  As such, patient unavailability whether medical or social, and inability to contact patients can impact performance greatly.  Cancer Trackers are asked to record periods of unavailability to help explain unavoidable delays.</w:t>
      </w:r>
    </w:p>
    <w:p w14:paraId="720997C1" w14:textId="64171605"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t>The graph below demonstrates what our performance would look like considering patient unavailability, typically performance would improve between 2-5%</w:t>
      </w:r>
    </w:p>
    <w:p w14:paraId="2B06E56E" w14:textId="696F90E3" w:rsidR="00AE6282" w:rsidRPr="00AE6282" w:rsidRDefault="00AE6282" w:rsidP="00AE6282">
      <w:pPr>
        <w:jc w:val="both"/>
        <w:rPr>
          <w:rFonts w:ascii="Arial" w:hAnsi="Arial" w:cs="Arial"/>
          <w:color w:val="000000" w:themeColor="text1"/>
          <w:sz w:val="24"/>
          <w:szCs w:val="24"/>
        </w:rPr>
      </w:pPr>
      <w:r>
        <w:rPr>
          <w:noProof/>
        </w:rPr>
        <w:lastRenderedPageBreak/>
        <w:drawing>
          <wp:inline distT="0" distB="0" distL="0" distR="0" wp14:anchorId="78163A84" wp14:editId="02E1FA42">
            <wp:extent cx="5731510" cy="3315970"/>
            <wp:effectExtent l="0" t="0" r="2540" b="17780"/>
            <wp:docPr id="841573174" name="Chart 1">
              <a:extLst xmlns:a="http://schemas.openxmlformats.org/drawingml/2006/main">
                <a:ext uri="{FF2B5EF4-FFF2-40B4-BE49-F238E27FC236}">
                  <a16:creationId xmlns:a16="http://schemas.microsoft.com/office/drawing/2014/main" id="{0C6157FC-D46D-2BC6-EF31-81E40224FA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31EDBD8" w14:textId="5EB4C30A"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t xml:space="preserve">Taking a closer look at October 2025, the most recently reported </w:t>
      </w:r>
      <w:r w:rsidR="00297EF1">
        <w:rPr>
          <w:rFonts w:ascii="Arial" w:hAnsi="Arial" w:cs="Arial"/>
          <w:color w:val="000000" w:themeColor="text1"/>
          <w:sz w:val="24"/>
          <w:szCs w:val="24"/>
        </w:rPr>
        <w:t>position; 18</w:t>
      </w:r>
      <w:r>
        <w:rPr>
          <w:rFonts w:ascii="Arial" w:hAnsi="Arial" w:cs="Arial"/>
          <w:color w:val="000000" w:themeColor="text1"/>
          <w:sz w:val="24"/>
          <w:szCs w:val="24"/>
        </w:rPr>
        <w:t>% (41 individual cases) of newly diagnosed patients receiving FDT had periods of unavailability ranging from 3 to 56 days in total duration.   In totality 794 days were lost on pathway as demonstrated in the table below</w:t>
      </w:r>
      <w:r w:rsidR="00297EF1">
        <w:rPr>
          <w:rFonts w:ascii="Arial" w:hAnsi="Arial" w:cs="Arial"/>
          <w:color w:val="000000" w:themeColor="text1"/>
          <w:sz w:val="24"/>
          <w:szCs w:val="24"/>
        </w:rPr>
        <w:t xml:space="preserve"> by tumour site</w:t>
      </w:r>
      <w:r>
        <w:rPr>
          <w:rFonts w:ascii="Arial" w:hAnsi="Arial" w:cs="Arial"/>
          <w:color w:val="000000" w:themeColor="text1"/>
          <w:sz w:val="24"/>
          <w:szCs w:val="24"/>
        </w:rPr>
        <w:t xml:space="preserve">.  </w:t>
      </w:r>
    </w:p>
    <w:p w14:paraId="39B7FD49" w14:textId="470795DD" w:rsidR="00AE6282" w:rsidRDefault="00AE6282" w:rsidP="00AE6282">
      <w:pPr>
        <w:jc w:val="both"/>
        <w:rPr>
          <w:rFonts w:ascii="Arial" w:hAnsi="Arial" w:cs="Arial"/>
          <w:color w:val="000000" w:themeColor="text1"/>
          <w:sz w:val="24"/>
          <w:szCs w:val="24"/>
        </w:rPr>
      </w:pPr>
      <w:r w:rsidRPr="00AE6282">
        <w:rPr>
          <w:rFonts w:ascii="Arial" w:hAnsi="Arial" w:cs="Arial"/>
          <w:noProof/>
          <w:color w:val="000000" w:themeColor="text1"/>
          <w:sz w:val="24"/>
          <w:szCs w:val="24"/>
        </w:rPr>
        <w:drawing>
          <wp:inline distT="0" distB="0" distL="0" distR="0" wp14:anchorId="090D099E" wp14:editId="05FF9E00">
            <wp:extent cx="5731510" cy="1080135"/>
            <wp:effectExtent l="0" t="0" r="2540" b="5715"/>
            <wp:docPr id="1629042836" name="Picture 1" descr="A white calendar with black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042836" name="Picture 1" descr="A white calendar with black numbers&#10;&#10;AI-generated content may be incorrect."/>
                    <pic:cNvPicPr/>
                  </pic:nvPicPr>
                  <pic:blipFill>
                    <a:blip r:embed="rId13"/>
                    <a:stretch>
                      <a:fillRect/>
                    </a:stretch>
                  </pic:blipFill>
                  <pic:spPr>
                    <a:xfrm>
                      <a:off x="0" y="0"/>
                      <a:ext cx="5731510" cy="1080135"/>
                    </a:xfrm>
                    <a:prstGeom prst="rect">
                      <a:avLst/>
                    </a:prstGeom>
                  </pic:spPr>
                </pic:pic>
              </a:graphicData>
            </a:graphic>
          </wp:inline>
        </w:drawing>
      </w:r>
    </w:p>
    <w:p w14:paraId="76CA840A" w14:textId="177210CD"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t xml:space="preserve">Urological cancers </w:t>
      </w:r>
      <w:r w:rsidR="00106267">
        <w:rPr>
          <w:rFonts w:ascii="Arial" w:hAnsi="Arial" w:cs="Arial"/>
          <w:color w:val="000000" w:themeColor="text1"/>
          <w:sz w:val="24"/>
          <w:szCs w:val="24"/>
        </w:rPr>
        <w:t>had</w:t>
      </w:r>
      <w:r>
        <w:rPr>
          <w:rFonts w:ascii="Arial" w:hAnsi="Arial" w:cs="Arial"/>
          <w:color w:val="000000" w:themeColor="text1"/>
          <w:sz w:val="24"/>
          <w:szCs w:val="24"/>
        </w:rPr>
        <w:t xml:space="preserve"> the most documented adjustments, not necessarily unexpected as prostate patients take time to think, knowing the disease is usually slow growing, they are able to safely take the time to make a considered decision regarding treatment. </w:t>
      </w:r>
    </w:p>
    <w:p w14:paraId="2C70F753" w14:textId="3C263231"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t>Similarly, backlog is also affected by unavailability as shown in the graph below, volumes would reduce by approx. 14%-16% week to week</w:t>
      </w:r>
      <w:r w:rsidR="00297EF1">
        <w:rPr>
          <w:rFonts w:ascii="Arial" w:hAnsi="Arial" w:cs="Arial"/>
          <w:color w:val="000000" w:themeColor="text1"/>
          <w:sz w:val="24"/>
          <w:szCs w:val="24"/>
        </w:rPr>
        <w:t xml:space="preserve"> on an adjusted view</w:t>
      </w:r>
      <w:r>
        <w:rPr>
          <w:rFonts w:ascii="Arial" w:hAnsi="Arial" w:cs="Arial"/>
          <w:color w:val="000000" w:themeColor="text1"/>
          <w:sz w:val="24"/>
          <w:szCs w:val="24"/>
        </w:rPr>
        <w:t xml:space="preserve">.  </w:t>
      </w:r>
    </w:p>
    <w:p w14:paraId="5755E8E7" w14:textId="09D67722" w:rsidR="00AE6282" w:rsidRDefault="00AE6282" w:rsidP="00AE6282">
      <w:pPr>
        <w:jc w:val="center"/>
        <w:rPr>
          <w:rFonts w:ascii="Arial" w:hAnsi="Arial" w:cs="Arial"/>
          <w:color w:val="000000" w:themeColor="text1"/>
          <w:sz w:val="24"/>
          <w:szCs w:val="24"/>
        </w:rPr>
      </w:pPr>
      <w:r w:rsidRPr="00AE6282">
        <w:rPr>
          <w:noProof/>
        </w:rPr>
        <w:drawing>
          <wp:inline distT="0" distB="0" distL="0" distR="0" wp14:anchorId="03A504A9" wp14:editId="5197833F">
            <wp:extent cx="4338928" cy="1963436"/>
            <wp:effectExtent l="0" t="0" r="5080" b="17780"/>
            <wp:docPr id="958399049" name="Chart 1">
              <a:extLst xmlns:a="http://schemas.openxmlformats.org/drawingml/2006/main">
                <a:ext uri="{FF2B5EF4-FFF2-40B4-BE49-F238E27FC236}">
                  <a16:creationId xmlns:a16="http://schemas.microsoft.com/office/drawing/2014/main" id="{74E87F59-9523-299E-560B-DC660BDF9B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420B3BF" w14:textId="4056D346"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lastRenderedPageBreak/>
        <w:t>Even when considering adjusted pathways, backlog volumes remain considerably higher than desired due to other impacting factors.</w:t>
      </w:r>
    </w:p>
    <w:p w14:paraId="62BBBE71" w14:textId="2572F0BC" w:rsidR="00AE6282" w:rsidRPr="00AE6282" w:rsidRDefault="00AE6282" w:rsidP="00AE6282">
      <w:pPr>
        <w:jc w:val="both"/>
        <w:rPr>
          <w:rFonts w:ascii="Arial" w:hAnsi="Arial" w:cs="Arial"/>
          <w:b/>
          <w:bCs/>
          <w:color w:val="000000" w:themeColor="text1"/>
          <w:sz w:val="24"/>
          <w:szCs w:val="24"/>
        </w:rPr>
      </w:pPr>
      <w:r w:rsidRPr="00AE6282">
        <w:rPr>
          <w:rFonts w:ascii="Arial" w:hAnsi="Arial" w:cs="Arial"/>
          <w:b/>
          <w:bCs/>
          <w:color w:val="000000" w:themeColor="text1"/>
          <w:sz w:val="24"/>
          <w:szCs w:val="24"/>
        </w:rPr>
        <w:t>New Outpatient Stage</w:t>
      </w:r>
    </w:p>
    <w:p w14:paraId="475A4EF0" w14:textId="678DDD7C" w:rsidR="00AE6282" w:rsidRDefault="00AE6282" w:rsidP="00AE6282">
      <w:pPr>
        <w:jc w:val="both"/>
        <w:rPr>
          <w:rFonts w:ascii="Arial" w:hAnsi="Arial" w:cs="Arial"/>
          <w:color w:val="000000" w:themeColor="text1"/>
          <w:sz w:val="24"/>
          <w:szCs w:val="24"/>
        </w:rPr>
      </w:pPr>
      <w:r w:rsidRPr="00AE6282">
        <w:rPr>
          <w:rFonts w:ascii="Arial" w:hAnsi="Arial" w:cs="Arial"/>
          <w:noProof/>
          <w:color w:val="000000" w:themeColor="text1"/>
          <w:sz w:val="24"/>
          <w:szCs w:val="24"/>
        </w:rPr>
        <w:drawing>
          <wp:inline distT="0" distB="0" distL="0" distR="0" wp14:anchorId="4876D1F6" wp14:editId="2C9BD99A">
            <wp:extent cx="5731510" cy="1441450"/>
            <wp:effectExtent l="0" t="0" r="2540" b="6350"/>
            <wp:docPr id="254983442"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983442" name="Picture 1" descr="A screenshot of a graph&#10;&#10;AI-generated content may be incorrect."/>
                    <pic:cNvPicPr/>
                  </pic:nvPicPr>
                  <pic:blipFill>
                    <a:blip r:embed="rId15"/>
                    <a:stretch>
                      <a:fillRect/>
                    </a:stretch>
                  </pic:blipFill>
                  <pic:spPr>
                    <a:xfrm>
                      <a:off x="0" y="0"/>
                      <a:ext cx="5731510" cy="1441450"/>
                    </a:xfrm>
                    <a:prstGeom prst="rect">
                      <a:avLst/>
                    </a:prstGeom>
                  </pic:spPr>
                </pic:pic>
              </a:graphicData>
            </a:graphic>
          </wp:inline>
        </w:drawing>
      </w:r>
    </w:p>
    <w:p w14:paraId="15C08854" w14:textId="156728AD" w:rsidR="00AE6282" w:rsidRDefault="00AE6282" w:rsidP="00AE6282">
      <w:pPr>
        <w:spacing w:after="0" w:line="240" w:lineRule="auto"/>
        <w:jc w:val="right"/>
        <w:rPr>
          <w:rFonts w:ascii="Arial" w:hAnsi="Arial" w:cs="Arial"/>
          <w:bCs/>
          <w:color w:val="808080" w:themeColor="background1" w:themeShade="80"/>
        </w:rPr>
      </w:pPr>
      <w:r w:rsidRPr="00AE6282">
        <w:rPr>
          <w:rFonts w:ascii="Arial" w:hAnsi="Arial" w:cs="Arial"/>
          <w:bCs/>
          <w:color w:val="808080" w:themeColor="background1" w:themeShade="80"/>
        </w:rPr>
        <w:t xml:space="preserve">NHS P&amp;I, </w:t>
      </w:r>
      <w:r>
        <w:rPr>
          <w:rFonts w:ascii="Arial" w:hAnsi="Arial" w:cs="Arial"/>
          <w:bCs/>
          <w:color w:val="808080" w:themeColor="background1" w:themeShade="80"/>
        </w:rPr>
        <w:t>SCP Component Wait Dashboard</w:t>
      </w:r>
      <w:r w:rsidRPr="00AE6282">
        <w:rPr>
          <w:rFonts w:ascii="Arial" w:hAnsi="Arial" w:cs="Arial"/>
          <w:bCs/>
          <w:color w:val="808080" w:themeColor="background1" w:themeShade="80"/>
        </w:rPr>
        <w:t>, SBUHB</w:t>
      </w:r>
    </w:p>
    <w:p w14:paraId="190C9E48" w14:textId="77777777" w:rsidR="00AE6282" w:rsidRDefault="00AE6282" w:rsidP="00AE6282">
      <w:pPr>
        <w:jc w:val="both"/>
        <w:rPr>
          <w:rFonts w:ascii="Arial" w:hAnsi="Arial" w:cs="Arial"/>
          <w:color w:val="000000" w:themeColor="text1"/>
          <w:sz w:val="24"/>
          <w:szCs w:val="24"/>
        </w:rPr>
      </w:pPr>
    </w:p>
    <w:p w14:paraId="1E64082F" w14:textId="1DEB4539"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t xml:space="preserve">First outpatient volumes are reducing once more, aided by increased tracking resource following recruitment.  And the number of patients waiting over 14 days for their first appointment has reduced by 58% when compared with end of Q1 24/25.  It is worth noting this number remains high however will include patient unavailability.  </w:t>
      </w:r>
    </w:p>
    <w:p w14:paraId="4DFF322C" w14:textId="4D3ACB75" w:rsidR="00AE6282" w:rsidRDefault="00AE6282" w:rsidP="00AE6282">
      <w:pPr>
        <w:jc w:val="both"/>
        <w:rPr>
          <w:rFonts w:ascii="Arial" w:hAnsi="Arial" w:cs="Arial"/>
          <w:b/>
          <w:bCs/>
          <w:color w:val="000000" w:themeColor="text1"/>
          <w:sz w:val="24"/>
          <w:szCs w:val="24"/>
        </w:rPr>
      </w:pPr>
      <w:r w:rsidRPr="00AE6282">
        <w:rPr>
          <w:rFonts w:ascii="Arial" w:hAnsi="Arial" w:cs="Arial"/>
          <w:b/>
          <w:bCs/>
          <w:color w:val="000000" w:themeColor="text1"/>
          <w:sz w:val="24"/>
          <w:szCs w:val="24"/>
        </w:rPr>
        <w:t>Diagnostic</w:t>
      </w:r>
      <w:r w:rsidR="00106267">
        <w:rPr>
          <w:rFonts w:ascii="Arial" w:hAnsi="Arial" w:cs="Arial"/>
          <w:b/>
          <w:bCs/>
          <w:color w:val="000000" w:themeColor="text1"/>
          <w:sz w:val="24"/>
          <w:szCs w:val="24"/>
        </w:rPr>
        <w:t xml:space="preserve"> stage</w:t>
      </w:r>
    </w:p>
    <w:p w14:paraId="0B736BDD" w14:textId="11FFDFF1" w:rsidR="00AE6282" w:rsidRDefault="00AE6282" w:rsidP="00AE6282">
      <w:pPr>
        <w:jc w:val="both"/>
        <w:rPr>
          <w:rFonts w:ascii="Arial" w:hAnsi="Arial" w:cs="Arial"/>
          <w:b/>
          <w:bCs/>
          <w:color w:val="000000" w:themeColor="text1"/>
          <w:sz w:val="24"/>
          <w:szCs w:val="24"/>
        </w:rPr>
      </w:pPr>
      <w:r w:rsidRPr="00AE6282">
        <w:rPr>
          <w:rFonts w:ascii="Arial" w:hAnsi="Arial" w:cs="Arial"/>
          <w:b/>
          <w:bCs/>
          <w:noProof/>
          <w:color w:val="000000" w:themeColor="text1"/>
          <w:sz w:val="24"/>
          <w:szCs w:val="24"/>
        </w:rPr>
        <w:drawing>
          <wp:inline distT="0" distB="0" distL="0" distR="0" wp14:anchorId="203ED381" wp14:editId="44318F24">
            <wp:extent cx="5731510" cy="1151890"/>
            <wp:effectExtent l="0" t="0" r="2540" b="0"/>
            <wp:docPr id="1240736405"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736405" name="Picture 1" descr="A screenshot of a graph&#10;&#10;AI-generated content may be incorrect."/>
                    <pic:cNvPicPr/>
                  </pic:nvPicPr>
                  <pic:blipFill>
                    <a:blip r:embed="rId16"/>
                    <a:stretch>
                      <a:fillRect/>
                    </a:stretch>
                  </pic:blipFill>
                  <pic:spPr>
                    <a:xfrm>
                      <a:off x="0" y="0"/>
                      <a:ext cx="5731510" cy="1151890"/>
                    </a:xfrm>
                    <a:prstGeom prst="rect">
                      <a:avLst/>
                    </a:prstGeom>
                  </pic:spPr>
                </pic:pic>
              </a:graphicData>
            </a:graphic>
          </wp:inline>
        </w:drawing>
      </w:r>
    </w:p>
    <w:p w14:paraId="77980084" w14:textId="639C350C"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t>In contrast to reducing first appointment waits, diagnostic volumes are increasing and the number of pathways over 28 days in a diagnostic stage are also on the rise.  There is some correlation between the reduction in stage 1 and the increase here, where skin pathways appointed to a ‘see and treat’ type clinic are updated to ‘diagnostic one stop’ for the purpose of tracking.</w:t>
      </w:r>
    </w:p>
    <w:p w14:paraId="74070ED4" w14:textId="24A82151"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t>This administrative transaction is not the only reason for increasing volumes.  Using our local information, we can demonstrate that volumes are increasing across all categories.</w:t>
      </w:r>
    </w:p>
    <w:p w14:paraId="7F22CB37" w14:textId="296B74E5" w:rsidR="00AE6282" w:rsidRDefault="00AE6282" w:rsidP="00AE6282">
      <w:pPr>
        <w:jc w:val="both"/>
        <w:rPr>
          <w:rFonts w:ascii="Arial" w:hAnsi="Arial" w:cs="Arial"/>
          <w:color w:val="000000" w:themeColor="text1"/>
          <w:sz w:val="24"/>
          <w:szCs w:val="24"/>
        </w:rPr>
      </w:pPr>
      <w:r>
        <w:rPr>
          <w:noProof/>
        </w:rPr>
        <w:lastRenderedPageBreak/>
        <w:drawing>
          <wp:inline distT="0" distB="0" distL="0" distR="0" wp14:anchorId="1A703974" wp14:editId="646FB1DD">
            <wp:extent cx="5704933" cy="2092306"/>
            <wp:effectExtent l="0" t="0" r="10160" b="3810"/>
            <wp:docPr id="158685835" name="Chart 1">
              <a:extLst xmlns:a="http://schemas.openxmlformats.org/drawingml/2006/main">
                <a:ext uri="{FF2B5EF4-FFF2-40B4-BE49-F238E27FC236}">
                  <a16:creationId xmlns:a16="http://schemas.microsoft.com/office/drawing/2014/main" id="{43F0566D-6857-44DE-B7B9-74DA573E04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Arial" w:hAnsi="Arial" w:cs="Arial"/>
          <w:color w:val="000000" w:themeColor="text1"/>
          <w:sz w:val="24"/>
          <w:szCs w:val="24"/>
        </w:rPr>
        <w:t xml:space="preserve">  </w:t>
      </w:r>
    </w:p>
    <w:p w14:paraId="65ED4BCE" w14:textId="229ECE56" w:rsidR="00AE6282" w:rsidRPr="00AE6282" w:rsidRDefault="00AE6282" w:rsidP="00AE6282">
      <w:pPr>
        <w:jc w:val="both"/>
        <w:rPr>
          <w:rFonts w:ascii="Arial" w:hAnsi="Arial" w:cs="Arial"/>
          <w:b/>
          <w:bCs/>
          <w:color w:val="000000" w:themeColor="text1"/>
          <w:sz w:val="24"/>
          <w:szCs w:val="24"/>
        </w:rPr>
      </w:pPr>
      <w:r w:rsidRPr="00AE6282">
        <w:rPr>
          <w:rFonts w:ascii="Arial" w:hAnsi="Arial" w:cs="Arial"/>
          <w:b/>
          <w:bCs/>
          <w:color w:val="000000" w:themeColor="text1"/>
          <w:sz w:val="24"/>
          <w:szCs w:val="24"/>
        </w:rPr>
        <w:t>Pathology</w:t>
      </w:r>
    </w:p>
    <w:p w14:paraId="239E6483" w14:textId="77777777" w:rsidR="007122DA" w:rsidRDefault="007122DA" w:rsidP="00AE6282">
      <w:pPr>
        <w:jc w:val="both"/>
        <w:rPr>
          <w:rFonts w:ascii="Arial" w:hAnsi="Arial" w:cs="Arial"/>
          <w:color w:val="000000" w:themeColor="text1"/>
          <w:sz w:val="24"/>
          <w:szCs w:val="24"/>
        </w:rPr>
      </w:pPr>
      <w:r>
        <w:rPr>
          <w:rFonts w:ascii="Arial" w:hAnsi="Arial" w:cs="Arial"/>
          <w:color w:val="000000" w:themeColor="text1"/>
          <w:sz w:val="24"/>
          <w:szCs w:val="24"/>
        </w:rPr>
        <w:t xml:space="preserve">In addition to patient care, pathology reporting turnaround times is a significant risk to our performance.  Not only to decision making in relation to the patients active on pathway, but to the end of month confirmed cancer performance position.  </w:t>
      </w:r>
    </w:p>
    <w:p w14:paraId="7F4BADC8" w14:textId="0E82AD7D" w:rsidR="007122DA" w:rsidRDefault="007122DA" w:rsidP="00AE6282">
      <w:pPr>
        <w:jc w:val="both"/>
        <w:rPr>
          <w:rFonts w:ascii="Arial" w:hAnsi="Arial" w:cs="Arial"/>
          <w:color w:val="000000" w:themeColor="text1"/>
          <w:sz w:val="24"/>
          <w:szCs w:val="24"/>
        </w:rPr>
      </w:pPr>
      <w:r>
        <w:rPr>
          <w:rFonts w:ascii="Arial" w:hAnsi="Arial" w:cs="Arial"/>
          <w:color w:val="000000" w:themeColor="text1"/>
          <w:sz w:val="24"/>
          <w:szCs w:val="24"/>
        </w:rPr>
        <w:t>To declare a closed ‘treated’ pathway for performance purposes, a new diagnosis of cancer must be confirmed. Each month we treat patients surgically without prior histological confirmation of malignancy, the volume of specimens at month close that are still awaiting reporting has been significant.  Inevitably, there will also be unexpected ‘incidental findings’ of cancer on histology that we need to capture.  We do have the ability at quarterly resubmission to reflect the change in position; however, it is noted the SBU uplift is higher than other HB’s.</w:t>
      </w:r>
    </w:p>
    <w:p w14:paraId="15922A26" w14:textId="1DFF5469" w:rsidR="00AE6282" w:rsidRDefault="007122DA" w:rsidP="00AE6282">
      <w:pPr>
        <w:jc w:val="both"/>
        <w:rPr>
          <w:rFonts w:ascii="Arial" w:hAnsi="Arial" w:cs="Arial"/>
          <w:color w:val="000000" w:themeColor="text1"/>
          <w:sz w:val="24"/>
          <w:szCs w:val="24"/>
        </w:rPr>
      </w:pPr>
      <w:r w:rsidRPr="00AE6282">
        <w:rPr>
          <w:rFonts w:ascii="Arial" w:hAnsi="Arial" w:cs="Arial"/>
          <w:noProof/>
          <w:color w:val="000000" w:themeColor="text1"/>
          <w:sz w:val="24"/>
          <w:szCs w:val="24"/>
        </w:rPr>
        <w:drawing>
          <wp:anchor distT="0" distB="0" distL="114300" distR="114300" simplePos="0" relativeHeight="251661312" behindDoc="0" locked="0" layoutInCell="1" allowOverlap="1" wp14:anchorId="2965045F" wp14:editId="0EDC8469">
            <wp:simplePos x="0" y="0"/>
            <wp:positionH relativeFrom="column">
              <wp:posOffset>16510</wp:posOffset>
            </wp:positionH>
            <wp:positionV relativeFrom="paragraph">
              <wp:posOffset>386080</wp:posOffset>
            </wp:positionV>
            <wp:extent cx="2916555" cy="1177925"/>
            <wp:effectExtent l="19050" t="19050" r="17145" b="22225"/>
            <wp:wrapTopAndBottom/>
            <wp:docPr id="678393967" name="Picture 1"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393967" name="Picture 1" descr="A graph of different colored lines&#10;&#10;AI-generated content may be incorrect."/>
                    <pic:cNvPicPr/>
                  </pic:nvPicPr>
                  <pic:blipFill>
                    <a:blip r:embed="rId18">
                      <a:extLst>
                        <a:ext uri="{28A0092B-C50C-407E-A947-70E740481C1C}">
                          <a14:useLocalDpi xmlns:a14="http://schemas.microsoft.com/office/drawing/2010/main" val="0"/>
                        </a:ext>
                      </a:extLst>
                    </a:blip>
                    <a:stretch>
                      <a:fillRect/>
                    </a:stretch>
                  </pic:blipFill>
                  <pic:spPr>
                    <a:xfrm>
                      <a:off x="0" y="0"/>
                      <a:ext cx="2916555" cy="1177925"/>
                    </a:xfrm>
                    <a:prstGeom prst="rect">
                      <a:avLst/>
                    </a:prstGeom>
                    <a:ln>
                      <a:solidFill>
                        <a:schemeClr val="bg1">
                          <a:lumMod val="50000"/>
                        </a:schemeClr>
                      </a:solidFill>
                    </a:ln>
                  </pic:spPr>
                </pic:pic>
              </a:graphicData>
            </a:graphic>
            <wp14:sizeRelH relativeFrom="page">
              <wp14:pctWidth>0</wp14:pctWidth>
            </wp14:sizeRelH>
            <wp14:sizeRelV relativeFrom="page">
              <wp14:pctHeight>0</wp14:pctHeight>
            </wp14:sizeRelV>
          </wp:anchor>
        </w:drawing>
      </w:r>
      <w:r w:rsidRPr="00AE6282">
        <w:rPr>
          <w:rFonts w:ascii="Arial" w:hAnsi="Arial" w:cs="Arial"/>
          <w:noProof/>
          <w:color w:val="000000" w:themeColor="text1"/>
          <w:sz w:val="24"/>
          <w:szCs w:val="24"/>
        </w:rPr>
        <w:drawing>
          <wp:anchor distT="0" distB="0" distL="114300" distR="114300" simplePos="0" relativeHeight="251662336" behindDoc="0" locked="0" layoutInCell="1" allowOverlap="1" wp14:anchorId="72BD9428" wp14:editId="6A991C38">
            <wp:simplePos x="0" y="0"/>
            <wp:positionH relativeFrom="column">
              <wp:posOffset>3000480</wp:posOffset>
            </wp:positionH>
            <wp:positionV relativeFrom="paragraph">
              <wp:posOffset>384565</wp:posOffset>
            </wp:positionV>
            <wp:extent cx="2943860" cy="1175385"/>
            <wp:effectExtent l="19050" t="19050" r="27940" b="24765"/>
            <wp:wrapTopAndBottom/>
            <wp:docPr id="413793604" name="Picture 1"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793604" name="Picture 1" descr="A graph of different colored lines&#10;&#10;AI-generated content may be incorrect."/>
                    <pic:cNvPicPr/>
                  </pic:nvPicPr>
                  <pic:blipFill>
                    <a:blip r:embed="rId19">
                      <a:extLst>
                        <a:ext uri="{28A0092B-C50C-407E-A947-70E740481C1C}">
                          <a14:useLocalDpi xmlns:a14="http://schemas.microsoft.com/office/drawing/2010/main" val="0"/>
                        </a:ext>
                      </a:extLst>
                    </a:blip>
                    <a:stretch>
                      <a:fillRect/>
                    </a:stretch>
                  </pic:blipFill>
                  <pic:spPr>
                    <a:xfrm>
                      <a:off x="0" y="0"/>
                      <a:ext cx="2943860" cy="1175385"/>
                    </a:xfrm>
                    <a:prstGeom prst="rect">
                      <a:avLst/>
                    </a:prstGeom>
                    <a:ln>
                      <a:solidFill>
                        <a:schemeClr val="bg1">
                          <a:lumMod val="50000"/>
                        </a:schemeClr>
                      </a:solidFill>
                    </a:ln>
                  </pic:spPr>
                </pic:pic>
              </a:graphicData>
            </a:graphic>
            <wp14:sizeRelH relativeFrom="page">
              <wp14:pctWidth>0</wp14:pctWidth>
            </wp14:sizeRelH>
            <wp14:sizeRelV relativeFrom="page">
              <wp14:pctHeight>0</wp14:pctHeight>
            </wp14:sizeRelV>
          </wp:anchor>
        </w:drawing>
      </w:r>
      <w:r w:rsidR="00AE6282">
        <w:rPr>
          <w:rFonts w:ascii="Arial" w:hAnsi="Arial" w:cs="Arial"/>
          <w:color w:val="000000" w:themeColor="text1"/>
          <w:sz w:val="24"/>
          <w:szCs w:val="24"/>
        </w:rPr>
        <w:t>The graph on the left side below demonstrates USC demand on our pathology laboratory in comparison to the rest of Wales and total demand</w:t>
      </w:r>
      <w:r w:rsidR="00106267">
        <w:rPr>
          <w:rFonts w:ascii="Arial" w:hAnsi="Arial" w:cs="Arial"/>
          <w:color w:val="000000" w:themeColor="text1"/>
          <w:sz w:val="24"/>
          <w:szCs w:val="24"/>
        </w:rPr>
        <w:t xml:space="preserve"> on the right side.</w:t>
      </w:r>
      <w:r w:rsidR="00AE6282">
        <w:rPr>
          <w:rFonts w:ascii="Arial" w:hAnsi="Arial" w:cs="Arial"/>
          <w:color w:val="000000" w:themeColor="text1"/>
          <w:sz w:val="24"/>
          <w:szCs w:val="24"/>
        </w:rPr>
        <w:t xml:space="preserve">   </w:t>
      </w:r>
    </w:p>
    <w:p w14:paraId="64F1B83C" w14:textId="5E92719F"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t>Since the pandemic, our USC demand is disproportionately higher than any other HB, indicating a possible misuse of the USC priority and the inability to ‘fast track’ reporting of the most appropriate specimens.</w:t>
      </w:r>
    </w:p>
    <w:p w14:paraId="4899CB41" w14:textId="24D622B6"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t xml:space="preserve">The graph below shows the turnaround times from receipt of specimen to first authorised date for USC samples, again demonstrating the HB to be an outlier in this area.  </w:t>
      </w:r>
    </w:p>
    <w:p w14:paraId="1766EDCB" w14:textId="13EFBEAC" w:rsidR="00AE6282" w:rsidRDefault="00AE6282" w:rsidP="00AE6282">
      <w:pPr>
        <w:jc w:val="both"/>
        <w:rPr>
          <w:rFonts w:ascii="Arial" w:hAnsi="Arial" w:cs="Arial"/>
          <w:color w:val="000000" w:themeColor="text1"/>
          <w:sz w:val="24"/>
          <w:szCs w:val="24"/>
        </w:rPr>
      </w:pPr>
      <w:r w:rsidRPr="00AE6282">
        <w:rPr>
          <w:rFonts w:ascii="Arial" w:hAnsi="Arial" w:cs="Arial"/>
          <w:noProof/>
          <w:color w:val="000000" w:themeColor="text1"/>
          <w:sz w:val="24"/>
          <w:szCs w:val="24"/>
        </w:rPr>
        <w:drawing>
          <wp:inline distT="0" distB="0" distL="0" distR="0" wp14:anchorId="6F729516" wp14:editId="32CEE84C">
            <wp:extent cx="5983453" cy="1214457"/>
            <wp:effectExtent l="19050" t="19050" r="17780" b="24130"/>
            <wp:docPr id="1537929121" name="Picture 1"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929121" name="Picture 1" descr="A graph of different colored lines&#10;&#10;AI-generated content may be incorrect."/>
                    <pic:cNvPicPr/>
                  </pic:nvPicPr>
                  <pic:blipFill>
                    <a:blip r:embed="rId20"/>
                    <a:stretch>
                      <a:fillRect/>
                    </a:stretch>
                  </pic:blipFill>
                  <pic:spPr>
                    <a:xfrm>
                      <a:off x="0" y="0"/>
                      <a:ext cx="5993033" cy="1216402"/>
                    </a:xfrm>
                    <a:prstGeom prst="rect">
                      <a:avLst/>
                    </a:prstGeom>
                    <a:ln>
                      <a:solidFill>
                        <a:schemeClr val="bg1">
                          <a:lumMod val="50000"/>
                        </a:schemeClr>
                      </a:solidFill>
                    </a:ln>
                  </pic:spPr>
                </pic:pic>
              </a:graphicData>
            </a:graphic>
          </wp:inline>
        </w:drawing>
      </w:r>
    </w:p>
    <w:p w14:paraId="61FE782A" w14:textId="2A72C865" w:rsidR="00AE6282" w:rsidRDefault="00AE6282" w:rsidP="00AE6282">
      <w:pPr>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Increased outsourcing of reporting was agreed in the Autumn, and the chart </w:t>
      </w:r>
      <w:r w:rsidR="00106267">
        <w:rPr>
          <w:rFonts w:ascii="Arial" w:hAnsi="Arial" w:cs="Arial"/>
          <w:color w:val="000000" w:themeColor="text1"/>
          <w:sz w:val="24"/>
          <w:szCs w:val="24"/>
        </w:rPr>
        <w:t xml:space="preserve">above </w:t>
      </w:r>
      <w:r>
        <w:rPr>
          <w:rFonts w:ascii="Arial" w:hAnsi="Arial" w:cs="Arial"/>
          <w:color w:val="000000" w:themeColor="text1"/>
          <w:sz w:val="24"/>
          <w:szCs w:val="24"/>
        </w:rPr>
        <w:t>would suggest a recovering position, however caution should be taken as the chart below shows large volumes of unreported USC specimens (labelled undetermined) and still high volumes waiting 15 or more days for results.</w:t>
      </w:r>
    </w:p>
    <w:p w14:paraId="075583DF" w14:textId="7211E05D" w:rsidR="00AE6282" w:rsidRPr="00AE6282" w:rsidRDefault="00AE6282" w:rsidP="00AE6282">
      <w:pPr>
        <w:jc w:val="both"/>
        <w:rPr>
          <w:rFonts w:ascii="Arial" w:hAnsi="Arial" w:cs="Arial"/>
          <w:color w:val="000000" w:themeColor="text1"/>
          <w:sz w:val="24"/>
          <w:szCs w:val="24"/>
        </w:rPr>
      </w:pPr>
      <w:r w:rsidRPr="00AE6282">
        <w:rPr>
          <w:rFonts w:ascii="Arial" w:hAnsi="Arial" w:cs="Arial"/>
          <w:noProof/>
          <w:color w:val="000000" w:themeColor="text1"/>
          <w:sz w:val="24"/>
          <w:szCs w:val="24"/>
        </w:rPr>
        <w:drawing>
          <wp:inline distT="0" distB="0" distL="0" distR="0" wp14:anchorId="32D94041" wp14:editId="56F95FF1">
            <wp:extent cx="5994211" cy="1202694"/>
            <wp:effectExtent l="19050" t="19050" r="26035" b="16510"/>
            <wp:docPr id="711649387" name="Picture 1" descr="A graph of different colored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649387" name="Picture 1" descr="A graph of different colored squares&#10;&#10;AI-generated content may be incorrect."/>
                    <pic:cNvPicPr/>
                  </pic:nvPicPr>
                  <pic:blipFill>
                    <a:blip r:embed="rId21"/>
                    <a:stretch>
                      <a:fillRect/>
                    </a:stretch>
                  </pic:blipFill>
                  <pic:spPr>
                    <a:xfrm>
                      <a:off x="0" y="0"/>
                      <a:ext cx="6004329" cy="1204724"/>
                    </a:xfrm>
                    <a:prstGeom prst="rect">
                      <a:avLst/>
                    </a:prstGeom>
                    <a:ln>
                      <a:solidFill>
                        <a:schemeClr val="bg1">
                          <a:lumMod val="50000"/>
                        </a:schemeClr>
                      </a:solidFill>
                    </a:ln>
                  </pic:spPr>
                </pic:pic>
              </a:graphicData>
            </a:graphic>
          </wp:inline>
        </w:drawing>
      </w:r>
    </w:p>
    <w:p w14:paraId="4CA111D4" w14:textId="54B7CF59" w:rsidR="007122DA" w:rsidRDefault="007122DA" w:rsidP="007122DA">
      <w:pPr>
        <w:jc w:val="both"/>
        <w:rPr>
          <w:rFonts w:ascii="Arial" w:hAnsi="Arial" w:cs="Arial"/>
          <w:b/>
          <w:bCs/>
          <w:color w:val="000000" w:themeColor="text1"/>
          <w:sz w:val="24"/>
          <w:szCs w:val="24"/>
        </w:rPr>
      </w:pPr>
      <w:r w:rsidRPr="007122DA">
        <w:rPr>
          <w:rFonts w:ascii="Arial" w:hAnsi="Arial" w:cs="Arial"/>
          <w:b/>
          <w:bCs/>
          <w:color w:val="000000" w:themeColor="text1"/>
          <w:sz w:val="24"/>
          <w:szCs w:val="24"/>
        </w:rPr>
        <w:t>Endoscopy</w:t>
      </w:r>
    </w:p>
    <w:p w14:paraId="7F90A404" w14:textId="5D9E821F" w:rsidR="007122DA" w:rsidRPr="007122DA" w:rsidRDefault="007122DA" w:rsidP="007122DA">
      <w:pPr>
        <w:jc w:val="both"/>
        <w:rPr>
          <w:rFonts w:ascii="Arial" w:hAnsi="Arial" w:cs="Arial"/>
          <w:color w:val="000000" w:themeColor="text1"/>
          <w:sz w:val="24"/>
          <w:szCs w:val="24"/>
        </w:rPr>
      </w:pPr>
      <w:r>
        <w:rPr>
          <w:rFonts w:ascii="Arial" w:hAnsi="Arial" w:cs="Arial"/>
          <w:color w:val="000000" w:themeColor="text1"/>
          <w:sz w:val="24"/>
          <w:szCs w:val="24"/>
        </w:rPr>
        <w:t xml:space="preserve">Waiting times to USC endoscopy (Colonoscopy, Sigmoidoscopy and Gastroscopy) for SBU is shown below.  Most patients are scoped within 2 weeks.  Local scrutiny of waits </w:t>
      </w:r>
      <w:r w:rsidR="00297EF1">
        <w:rPr>
          <w:rFonts w:ascii="Arial" w:hAnsi="Arial" w:cs="Arial"/>
          <w:color w:val="000000" w:themeColor="text1"/>
          <w:sz w:val="24"/>
          <w:szCs w:val="24"/>
        </w:rPr>
        <w:t>indicates</w:t>
      </w:r>
      <w:r>
        <w:rPr>
          <w:rFonts w:ascii="Arial" w:hAnsi="Arial" w:cs="Arial"/>
          <w:color w:val="000000" w:themeColor="text1"/>
          <w:sz w:val="24"/>
          <w:szCs w:val="24"/>
        </w:rPr>
        <w:t xml:space="preserve"> a median wait of approx. 12-14 days, where waiting times exceed two weeks, this has been associated with patient unavailability.  </w:t>
      </w:r>
      <w:r w:rsidRPr="00297EF1">
        <w:rPr>
          <w:rFonts w:ascii="Arial" w:hAnsi="Arial" w:cs="Arial"/>
          <w:color w:val="000000" w:themeColor="text1"/>
          <w:sz w:val="24"/>
          <w:szCs w:val="24"/>
        </w:rPr>
        <w:t>Week to week we also note inability to contact patients affecting pathway</w:t>
      </w:r>
      <w:r w:rsidR="00106267" w:rsidRPr="00297EF1">
        <w:rPr>
          <w:rFonts w:ascii="Arial" w:hAnsi="Arial" w:cs="Arial"/>
          <w:color w:val="000000" w:themeColor="text1"/>
          <w:sz w:val="24"/>
          <w:szCs w:val="24"/>
        </w:rPr>
        <w:t>s</w:t>
      </w:r>
      <w:r w:rsidRPr="00297EF1">
        <w:rPr>
          <w:rFonts w:ascii="Arial" w:hAnsi="Arial" w:cs="Arial"/>
          <w:color w:val="000000" w:themeColor="text1"/>
          <w:sz w:val="24"/>
          <w:szCs w:val="24"/>
        </w:rPr>
        <w:t>.</w:t>
      </w:r>
    </w:p>
    <w:p w14:paraId="3A304F20" w14:textId="737B96F2" w:rsidR="007122DA" w:rsidRPr="007122DA" w:rsidRDefault="007122DA" w:rsidP="007122DA">
      <w:pPr>
        <w:jc w:val="both"/>
        <w:rPr>
          <w:rFonts w:ascii="Arial" w:hAnsi="Arial" w:cs="Arial"/>
          <w:color w:val="000000" w:themeColor="text1"/>
          <w:sz w:val="24"/>
          <w:szCs w:val="24"/>
        </w:rPr>
      </w:pPr>
      <w:r w:rsidRPr="007122DA">
        <w:rPr>
          <w:rFonts w:ascii="Arial" w:hAnsi="Arial" w:cs="Arial"/>
          <w:noProof/>
          <w:color w:val="000000" w:themeColor="text1"/>
          <w:sz w:val="24"/>
          <w:szCs w:val="24"/>
        </w:rPr>
        <w:drawing>
          <wp:inline distT="0" distB="0" distL="0" distR="0" wp14:anchorId="675AB2FB" wp14:editId="2743BF33">
            <wp:extent cx="5731510" cy="2379345"/>
            <wp:effectExtent l="0" t="0" r="2540" b="1905"/>
            <wp:docPr id="925149445" name="Picture 1" descr="A graph of a bar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149445" name="Picture 1" descr="A graph of a bar chart&#10;&#10;AI-generated content may be incorrect."/>
                    <pic:cNvPicPr/>
                  </pic:nvPicPr>
                  <pic:blipFill>
                    <a:blip r:embed="rId22"/>
                    <a:stretch>
                      <a:fillRect/>
                    </a:stretch>
                  </pic:blipFill>
                  <pic:spPr>
                    <a:xfrm>
                      <a:off x="0" y="0"/>
                      <a:ext cx="5731510" cy="2379345"/>
                    </a:xfrm>
                    <a:prstGeom prst="rect">
                      <a:avLst/>
                    </a:prstGeom>
                  </pic:spPr>
                </pic:pic>
              </a:graphicData>
            </a:graphic>
          </wp:inline>
        </w:drawing>
      </w:r>
    </w:p>
    <w:p w14:paraId="3EFC4EB9" w14:textId="059087B1" w:rsidR="00106267" w:rsidRDefault="00106267" w:rsidP="00106267">
      <w:pPr>
        <w:jc w:val="both"/>
        <w:rPr>
          <w:rFonts w:ascii="Arial" w:hAnsi="Arial" w:cs="Arial"/>
          <w:color w:val="000000" w:themeColor="text1"/>
          <w:sz w:val="24"/>
          <w:szCs w:val="24"/>
        </w:rPr>
      </w:pPr>
      <w:r>
        <w:rPr>
          <w:rFonts w:ascii="Arial" w:hAnsi="Arial" w:cs="Arial"/>
          <w:color w:val="000000" w:themeColor="text1"/>
          <w:sz w:val="24"/>
          <w:szCs w:val="24"/>
        </w:rPr>
        <w:t>All HB’s are required to include Bowel Screening Wales (BSW) referrals for their resident population within SCP waiting times data.  Our local information suggests approximately 7% of BSW referrals result in a malignant diagnosis.  The pathway starts on confirmation of a positive FIT result, a letter is issued, telephone contact made, and an appointment arranged with one of the SSP’s.  A referral for endoscopic assessment is added to WPAS and thereafter an appointment with endoscopy arranged.</w:t>
      </w:r>
    </w:p>
    <w:p w14:paraId="262B5D45" w14:textId="0077910F" w:rsidR="00106267" w:rsidRDefault="00106267" w:rsidP="00106267">
      <w:pPr>
        <w:jc w:val="both"/>
        <w:rPr>
          <w:rFonts w:ascii="Arial" w:hAnsi="Arial" w:cs="Arial"/>
          <w:color w:val="000000" w:themeColor="text1"/>
          <w:sz w:val="24"/>
          <w:szCs w:val="24"/>
        </w:rPr>
      </w:pPr>
      <w:r>
        <w:rPr>
          <w:rFonts w:ascii="Arial" w:hAnsi="Arial" w:cs="Arial"/>
          <w:color w:val="000000" w:themeColor="text1"/>
          <w:sz w:val="24"/>
          <w:szCs w:val="24"/>
        </w:rPr>
        <w:t>The screening pathway and SCP are not aligned</w:t>
      </w:r>
      <w:r w:rsidR="005F615D">
        <w:rPr>
          <w:rFonts w:ascii="Arial" w:hAnsi="Arial" w:cs="Arial"/>
          <w:color w:val="000000" w:themeColor="text1"/>
          <w:sz w:val="24"/>
          <w:szCs w:val="24"/>
        </w:rPr>
        <w:t xml:space="preserve"> and the accreditation process to become a </w:t>
      </w:r>
      <w:r w:rsidR="000C4FAE">
        <w:rPr>
          <w:rFonts w:ascii="Arial" w:hAnsi="Arial" w:cs="Arial"/>
          <w:color w:val="000000" w:themeColor="text1"/>
          <w:sz w:val="24"/>
          <w:szCs w:val="24"/>
        </w:rPr>
        <w:t xml:space="preserve">BSW endoscopist does </w:t>
      </w:r>
      <w:r w:rsidR="00D93C96">
        <w:rPr>
          <w:rFonts w:ascii="Arial" w:hAnsi="Arial" w:cs="Arial"/>
          <w:color w:val="000000" w:themeColor="text1"/>
          <w:sz w:val="24"/>
          <w:szCs w:val="24"/>
        </w:rPr>
        <w:t>not support simple waiting list management mitigation</w:t>
      </w:r>
      <w:r>
        <w:rPr>
          <w:rFonts w:ascii="Arial" w:hAnsi="Arial" w:cs="Arial"/>
          <w:color w:val="000000" w:themeColor="text1"/>
          <w:sz w:val="24"/>
          <w:szCs w:val="24"/>
        </w:rPr>
        <w:t>.  Waits across Wales for index colonoscopy are long and increasing, as demonstrated in the chart below for waiting times since April 2025; SBUHB has some of the longest waiting times, beyond that of the whole SCP, explaining the increasing backlog volumes.</w:t>
      </w:r>
      <w:r w:rsidR="00D85123">
        <w:rPr>
          <w:rFonts w:ascii="Arial" w:hAnsi="Arial" w:cs="Arial"/>
          <w:color w:val="000000" w:themeColor="text1"/>
          <w:sz w:val="24"/>
          <w:szCs w:val="24"/>
        </w:rPr>
        <w:t xml:space="preserve">  </w:t>
      </w:r>
    </w:p>
    <w:p w14:paraId="2FD83746" w14:textId="6AFABA1F" w:rsidR="00106267" w:rsidRDefault="00106267" w:rsidP="00106267">
      <w:pPr>
        <w:jc w:val="both"/>
        <w:rPr>
          <w:rFonts w:ascii="Arial" w:hAnsi="Arial" w:cs="Arial"/>
          <w:color w:val="000000" w:themeColor="text1"/>
          <w:sz w:val="24"/>
          <w:szCs w:val="24"/>
        </w:rPr>
      </w:pPr>
      <w:r>
        <w:rPr>
          <w:rFonts w:ascii="Arial" w:hAnsi="Arial" w:cs="Arial"/>
          <w:noProof/>
          <w:color w:val="000000" w:themeColor="text1"/>
          <w:sz w:val="24"/>
          <w:szCs w:val="24"/>
        </w:rPr>
        <w:lastRenderedPageBreak/>
        <w:drawing>
          <wp:inline distT="0" distB="0" distL="0" distR="0" wp14:anchorId="32428644" wp14:editId="12965EE4">
            <wp:extent cx="5720637" cy="1969045"/>
            <wp:effectExtent l="0" t="0" r="0" b="0"/>
            <wp:docPr id="20323871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99311" cy="1996124"/>
                    </a:xfrm>
                    <a:prstGeom prst="rect">
                      <a:avLst/>
                    </a:prstGeom>
                    <a:noFill/>
                  </pic:spPr>
                </pic:pic>
              </a:graphicData>
            </a:graphic>
          </wp:inline>
        </w:drawing>
      </w:r>
    </w:p>
    <w:p w14:paraId="67BDE084" w14:textId="070439E0" w:rsidR="00106267" w:rsidRDefault="00106267" w:rsidP="00106267">
      <w:pPr>
        <w:jc w:val="both"/>
        <w:rPr>
          <w:rFonts w:ascii="Arial" w:hAnsi="Arial" w:cs="Arial"/>
          <w:b/>
          <w:bCs/>
          <w:color w:val="000000" w:themeColor="text1"/>
          <w:sz w:val="24"/>
          <w:szCs w:val="24"/>
        </w:rPr>
      </w:pPr>
      <w:r w:rsidRPr="00106267">
        <w:rPr>
          <w:rFonts w:ascii="Arial" w:hAnsi="Arial" w:cs="Arial"/>
          <w:b/>
          <w:bCs/>
          <w:color w:val="000000" w:themeColor="text1"/>
          <w:sz w:val="24"/>
          <w:szCs w:val="24"/>
        </w:rPr>
        <w:t>Radiology</w:t>
      </w:r>
    </w:p>
    <w:p w14:paraId="58B6E594" w14:textId="4DA92561" w:rsidR="00106267" w:rsidRPr="00106267" w:rsidRDefault="00106267" w:rsidP="00106267">
      <w:pPr>
        <w:jc w:val="both"/>
        <w:rPr>
          <w:rFonts w:ascii="Arial" w:hAnsi="Arial" w:cs="Arial"/>
          <w:color w:val="000000" w:themeColor="text1"/>
          <w:sz w:val="24"/>
          <w:szCs w:val="24"/>
        </w:rPr>
      </w:pPr>
      <w:r>
        <w:rPr>
          <w:rFonts w:ascii="Arial" w:hAnsi="Arial" w:cs="Arial"/>
          <w:color w:val="000000" w:themeColor="text1"/>
          <w:sz w:val="24"/>
          <w:szCs w:val="24"/>
        </w:rPr>
        <w:t>USC waiting times from referral to authorised report are shown below. 59% of scans were performed within 7 days of referral; 41% percent of reports were authorised the same day or day after scan, meaning 34% of USC scans are performed and reported within 7 days and 78% up to 14 days.  Where more than one scan is required for diagnostic and staging, this can easily amount to 28 days within radiology alone.</w:t>
      </w:r>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9026"/>
      </w:tblGrid>
      <w:tr w:rsidR="00106267" w:rsidRPr="00106267" w14:paraId="03F586E6" w14:textId="77777777" w:rsidTr="00106267">
        <w:trPr>
          <w:tblCellSpacing w:w="15" w:type="dxa"/>
        </w:trPr>
        <w:tc>
          <w:tcPr>
            <w:tcW w:w="0" w:type="auto"/>
            <w:vAlign w:val="center"/>
            <w:hideMark/>
          </w:tcPr>
          <w:p w14:paraId="2D6E851D" w14:textId="491EF698" w:rsidR="00106267" w:rsidRPr="00106267" w:rsidRDefault="00106267" w:rsidP="00106267">
            <w:pPr>
              <w:jc w:val="both"/>
              <w:rPr>
                <w:rFonts w:ascii="Arial" w:hAnsi="Arial" w:cs="Arial"/>
                <w:color w:val="000000" w:themeColor="text1"/>
                <w:sz w:val="24"/>
                <w:szCs w:val="24"/>
              </w:rPr>
            </w:pPr>
            <w:r w:rsidRPr="00106267">
              <w:rPr>
                <w:rFonts w:ascii="Arial" w:hAnsi="Arial" w:cs="Arial"/>
                <w:noProof/>
                <w:color w:val="000000" w:themeColor="text1"/>
                <w:sz w:val="24"/>
                <w:szCs w:val="24"/>
                <w:u w:val="single"/>
              </w:rPr>
              <w:drawing>
                <wp:inline distT="0" distB="0" distL="0" distR="0" wp14:anchorId="1069299F" wp14:editId="37656D4D">
                  <wp:extent cx="5731510" cy="2357755"/>
                  <wp:effectExtent l="0" t="0" r="2540" b="4445"/>
                  <wp:docPr id="816139530" name="Picture 4" descr="Monthly Referral to Report Validated Lead-Time (All Examination Groups) - Requests Only">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onthly Referral to Report Validated Lead-Time (All Examination Groups) - Requests Only"/>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1510" cy="2357755"/>
                          </a:xfrm>
                          <a:prstGeom prst="rect">
                            <a:avLst/>
                          </a:prstGeom>
                          <a:noFill/>
                          <a:ln>
                            <a:noFill/>
                          </a:ln>
                        </pic:spPr>
                      </pic:pic>
                    </a:graphicData>
                  </a:graphic>
                </wp:inline>
              </w:drawing>
            </w:r>
          </w:p>
        </w:tc>
      </w:tr>
    </w:tbl>
    <w:p w14:paraId="6E1FD27D" w14:textId="10076EA2" w:rsidR="00106267" w:rsidRDefault="00106267" w:rsidP="00106267">
      <w:pPr>
        <w:jc w:val="both"/>
        <w:rPr>
          <w:rFonts w:ascii="Arial" w:hAnsi="Arial" w:cs="Arial"/>
          <w:color w:val="000000" w:themeColor="text1"/>
          <w:sz w:val="24"/>
          <w:szCs w:val="24"/>
        </w:rPr>
      </w:pPr>
      <w:r>
        <w:rPr>
          <w:rFonts w:ascii="Arial" w:hAnsi="Arial" w:cs="Arial"/>
          <w:color w:val="000000" w:themeColor="text1"/>
          <w:sz w:val="24"/>
          <w:szCs w:val="24"/>
        </w:rPr>
        <w:t xml:space="preserve">Further risk to the SCP is because of non-USC reporting waiting times.  The SCP definition of the point of suspicion for </w:t>
      </w:r>
      <w:r w:rsidRPr="00106267">
        <w:rPr>
          <w:rFonts w:ascii="Arial" w:hAnsi="Arial" w:cs="Arial"/>
          <w:color w:val="000000" w:themeColor="text1"/>
          <w:sz w:val="24"/>
          <w:szCs w:val="24"/>
        </w:rPr>
        <w:t xml:space="preserve">diagnostic imaging which is suspicious of a diagnosis of cancer whereby the original referral or request was not suspicious of cancer </w:t>
      </w:r>
      <w:r>
        <w:rPr>
          <w:rFonts w:ascii="Arial" w:hAnsi="Arial" w:cs="Arial"/>
          <w:color w:val="000000" w:themeColor="text1"/>
          <w:sz w:val="24"/>
          <w:szCs w:val="24"/>
        </w:rPr>
        <w:t>(i.e.</w:t>
      </w:r>
      <w:r w:rsidRPr="00106267">
        <w:rPr>
          <w:rFonts w:ascii="Arial" w:hAnsi="Arial" w:cs="Arial"/>
          <w:color w:val="000000" w:themeColor="text1"/>
          <w:sz w:val="24"/>
          <w:szCs w:val="24"/>
        </w:rPr>
        <w:t xml:space="preserve"> Incidental finding</w:t>
      </w:r>
      <w:r>
        <w:rPr>
          <w:rFonts w:ascii="Arial" w:hAnsi="Arial" w:cs="Arial"/>
          <w:color w:val="000000" w:themeColor="text1"/>
          <w:sz w:val="24"/>
          <w:szCs w:val="24"/>
        </w:rPr>
        <w:t>), is the date of scan.  This is becoming more notably problematic over recent months on the Lung cancer pathway as an example, whereby nodules are kept under radiological surveillance by non-USC repeat CT, reporting times have been noted in the region of 6-8 weeks, if there is evidence of growth or other concerning features, the scan is the point of suspicion</w:t>
      </w:r>
      <w:r w:rsidR="00297EF1">
        <w:rPr>
          <w:rFonts w:ascii="Arial" w:hAnsi="Arial" w:cs="Arial"/>
          <w:color w:val="000000" w:themeColor="text1"/>
          <w:sz w:val="24"/>
          <w:szCs w:val="24"/>
        </w:rPr>
        <w:t xml:space="preserve"> and pathway wait thereafter not recoverable.</w:t>
      </w:r>
    </w:p>
    <w:p w14:paraId="40808933" w14:textId="77777777" w:rsidR="00297EF1" w:rsidRDefault="00297EF1" w:rsidP="00106267">
      <w:pPr>
        <w:jc w:val="both"/>
        <w:rPr>
          <w:rFonts w:ascii="Arial" w:hAnsi="Arial" w:cs="Arial"/>
          <w:color w:val="000000" w:themeColor="text1"/>
          <w:sz w:val="24"/>
          <w:szCs w:val="24"/>
        </w:rPr>
      </w:pPr>
    </w:p>
    <w:p w14:paraId="3C62A98E" w14:textId="4C8B9CEF" w:rsidR="00297EF1" w:rsidRPr="00106267" w:rsidRDefault="00297EF1" w:rsidP="00106267">
      <w:pPr>
        <w:jc w:val="both"/>
        <w:rPr>
          <w:rFonts w:ascii="Arial" w:hAnsi="Arial" w:cs="Arial"/>
          <w:color w:val="000000" w:themeColor="text1"/>
          <w:sz w:val="24"/>
          <w:szCs w:val="24"/>
        </w:rPr>
      </w:pPr>
      <w:r>
        <w:rPr>
          <w:rFonts w:ascii="Arial" w:hAnsi="Arial" w:cs="Arial"/>
          <w:color w:val="000000" w:themeColor="text1"/>
          <w:sz w:val="24"/>
          <w:szCs w:val="24"/>
        </w:rPr>
        <w:t xml:space="preserve">USC radiology waiting times at Hywel Dda </w:t>
      </w:r>
      <w:r w:rsidR="00095844">
        <w:rPr>
          <w:rFonts w:ascii="Arial" w:hAnsi="Arial" w:cs="Arial"/>
          <w:color w:val="000000" w:themeColor="text1"/>
          <w:sz w:val="24"/>
          <w:szCs w:val="24"/>
        </w:rPr>
        <w:t>impact</w:t>
      </w:r>
      <w:r>
        <w:rPr>
          <w:rFonts w:ascii="Arial" w:hAnsi="Arial" w:cs="Arial"/>
          <w:color w:val="000000" w:themeColor="text1"/>
          <w:sz w:val="24"/>
          <w:szCs w:val="24"/>
        </w:rPr>
        <w:t xml:space="preserve"> our own cancer waits, particularly for the H&amp;N pathway for OMFS referrals who are directly referred to SBU by primary care but have their radiological diagnostic/staging scans performed locally.  Waiting </w:t>
      </w:r>
      <w:r>
        <w:rPr>
          <w:rFonts w:ascii="Arial" w:hAnsi="Arial" w:cs="Arial"/>
          <w:color w:val="000000" w:themeColor="text1"/>
          <w:sz w:val="24"/>
          <w:szCs w:val="24"/>
        </w:rPr>
        <w:lastRenderedPageBreak/>
        <w:t>times for USC scans including CT, MRI and US Neck are in the region of 4 weeks currently despite escalation.</w:t>
      </w:r>
    </w:p>
    <w:p w14:paraId="49EF9DC5" w14:textId="01E056A3" w:rsidR="00106267" w:rsidRDefault="00106267" w:rsidP="00106267">
      <w:pPr>
        <w:jc w:val="both"/>
        <w:rPr>
          <w:rFonts w:ascii="Arial" w:hAnsi="Arial" w:cs="Arial"/>
          <w:b/>
          <w:bCs/>
          <w:color w:val="000000" w:themeColor="text1"/>
          <w:sz w:val="28"/>
          <w:szCs w:val="28"/>
        </w:rPr>
      </w:pPr>
      <w:r>
        <w:rPr>
          <w:rFonts w:ascii="Arial" w:hAnsi="Arial" w:cs="Arial"/>
          <w:b/>
          <w:bCs/>
          <w:color w:val="000000" w:themeColor="text1"/>
          <w:sz w:val="28"/>
          <w:szCs w:val="28"/>
        </w:rPr>
        <w:t>Urological Tumour Site</w:t>
      </w:r>
    </w:p>
    <w:p w14:paraId="5FDF9D76" w14:textId="77777777" w:rsidR="00297EF1" w:rsidRDefault="00106267" w:rsidP="00297EF1">
      <w:pPr>
        <w:jc w:val="both"/>
        <w:rPr>
          <w:rFonts w:ascii="Arial" w:hAnsi="Arial" w:cs="Arial"/>
          <w:color w:val="000000" w:themeColor="text1"/>
          <w:sz w:val="24"/>
          <w:szCs w:val="24"/>
        </w:rPr>
      </w:pPr>
      <w:r>
        <w:rPr>
          <w:rFonts w:ascii="Arial" w:hAnsi="Arial" w:cs="Arial"/>
          <w:color w:val="000000" w:themeColor="text1"/>
          <w:sz w:val="24"/>
          <w:szCs w:val="24"/>
        </w:rPr>
        <w:t xml:space="preserve">No HB is performing well in this tumour site across Wales, 41% of patients are treated within target at SBUHB over the past 12 months.  Overall, the tumour site is made up of 5 tumour subsites with Prostate and Bladder the most common cancers, and Prostate and Renal the poorest performing.  </w:t>
      </w:r>
      <w:r w:rsidR="00297EF1">
        <w:rPr>
          <w:rFonts w:ascii="Arial" w:hAnsi="Arial" w:cs="Arial"/>
          <w:color w:val="000000" w:themeColor="text1"/>
          <w:sz w:val="24"/>
          <w:szCs w:val="24"/>
        </w:rPr>
        <w:t>As a high volume, poor performing subsite, the prostate pathway is a key focus area.</w:t>
      </w:r>
    </w:p>
    <w:p w14:paraId="36182A19" w14:textId="6FF22DAE" w:rsidR="00106267" w:rsidRDefault="00106267" w:rsidP="00106267">
      <w:pPr>
        <w:jc w:val="center"/>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70699C98" wp14:editId="5FF0DBD2">
            <wp:extent cx="4552627" cy="2036463"/>
            <wp:effectExtent l="0" t="0" r="635" b="1905"/>
            <wp:docPr id="169472015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52627" cy="2036463"/>
                    </a:xfrm>
                    <a:prstGeom prst="rect">
                      <a:avLst/>
                    </a:prstGeom>
                    <a:noFill/>
                  </pic:spPr>
                </pic:pic>
              </a:graphicData>
            </a:graphic>
          </wp:inline>
        </w:drawing>
      </w:r>
    </w:p>
    <w:p w14:paraId="5B020C69" w14:textId="0AE4F033" w:rsidR="00106267" w:rsidRDefault="00106267" w:rsidP="00106267">
      <w:pPr>
        <w:jc w:val="both"/>
        <w:rPr>
          <w:rFonts w:ascii="Arial" w:hAnsi="Arial" w:cs="Arial"/>
          <w:color w:val="000000" w:themeColor="text1"/>
          <w:sz w:val="24"/>
          <w:szCs w:val="24"/>
        </w:rPr>
      </w:pPr>
      <w:r>
        <w:rPr>
          <w:rFonts w:ascii="Arial" w:hAnsi="Arial" w:cs="Arial"/>
          <w:color w:val="000000" w:themeColor="text1"/>
          <w:sz w:val="24"/>
          <w:szCs w:val="24"/>
        </w:rPr>
        <w:t>The chart below shows a breakdown of 10 prostate breaches as an example of waiting time at each stage against the National Optimal Pathway (NOP) for reference. Typically, the wait up to and including histology result is more than the NOP timeframe of concluding diagnostics by day 28 or the HB standard to reach decision to treat by day 31; often decision to treat is not reached until near to, or after day 62.</w:t>
      </w:r>
    </w:p>
    <w:p w14:paraId="06F98333" w14:textId="77777777" w:rsidR="00297EF1" w:rsidRDefault="00297EF1" w:rsidP="00106267">
      <w:pPr>
        <w:jc w:val="both"/>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7FA7B024" wp14:editId="103E7420">
            <wp:extent cx="5731510" cy="3748352"/>
            <wp:effectExtent l="0" t="0" r="2540" b="5080"/>
            <wp:docPr id="238429170" name="Picture 5" descr="A graph with multiple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429170" name="Picture 5" descr="A graph with multiple colored lines&#10;&#10;AI-generated content may be incorrec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3748352"/>
                    </a:xfrm>
                    <a:prstGeom prst="rect">
                      <a:avLst/>
                    </a:prstGeom>
                    <a:noFill/>
                  </pic:spPr>
                </pic:pic>
              </a:graphicData>
            </a:graphic>
          </wp:inline>
        </w:drawing>
      </w:r>
    </w:p>
    <w:p w14:paraId="221D69C5" w14:textId="77777777" w:rsidR="00297EF1" w:rsidRDefault="00106267" w:rsidP="00106267">
      <w:pPr>
        <w:jc w:val="both"/>
        <w:rPr>
          <w:rFonts w:ascii="Arial" w:hAnsi="Arial" w:cs="Arial"/>
          <w:color w:val="000000" w:themeColor="text1"/>
          <w:sz w:val="24"/>
          <w:szCs w:val="24"/>
        </w:rPr>
      </w:pPr>
      <w:r>
        <w:rPr>
          <w:rFonts w:ascii="Arial" w:hAnsi="Arial" w:cs="Arial"/>
          <w:color w:val="000000" w:themeColor="text1"/>
          <w:sz w:val="24"/>
          <w:szCs w:val="24"/>
        </w:rPr>
        <w:lastRenderedPageBreak/>
        <w:t>Where waits to MDT appear longer than desired, this can be associated with additional investigations such as PET, that is not routinely included as an investigation in all, or even the majority, of cases.</w:t>
      </w:r>
      <w:r w:rsidR="00297EF1">
        <w:rPr>
          <w:rFonts w:ascii="Arial" w:hAnsi="Arial" w:cs="Arial"/>
          <w:color w:val="000000" w:themeColor="text1"/>
          <w:sz w:val="24"/>
          <w:szCs w:val="24"/>
        </w:rPr>
        <w:t xml:space="preserve">  </w:t>
      </w:r>
      <w:r>
        <w:rPr>
          <w:rFonts w:ascii="Arial" w:hAnsi="Arial" w:cs="Arial"/>
          <w:color w:val="000000" w:themeColor="text1"/>
          <w:sz w:val="24"/>
          <w:szCs w:val="24"/>
        </w:rPr>
        <w:t xml:space="preserve">Where there are no green bars in the above chart, treatment was commenced the same day as the decision to treat was made, i.e. Active Monitoring or Hormone Therapy.  </w:t>
      </w:r>
    </w:p>
    <w:p w14:paraId="23A9720B" w14:textId="59D3818A" w:rsidR="00106267" w:rsidRDefault="00106267" w:rsidP="00106267">
      <w:pPr>
        <w:jc w:val="both"/>
        <w:rPr>
          <w:rFonts w:ascii="Arial" w:hAnsi="Arial" w:cs="Arial"/>
          <w:color w:val="000000" w:themeColor="text1"/>
          <w:sz w:val="24"/>
          <w:szCs w:val="24"/>
        </w:rPr>
      </w:pPr>
      <w:r>
        <w:rPr>
          <w:rFonts w:ascii="Arial" w:hAnsi="Arial" w:cs="Arial"/>
          <w:color w:val="000000" w:themeColor="text1"/>
          <w:sz w:val="24"/>
          <w:szCs w:val="24"/>
        </w:rPr>
        <w:t>For treated pathways between April 2025 and October 2025, the majority received hormone therapy or active monitoring, meaning ‘treatment waits’ of decision to treat to treatment are not a significant factor in our pathways</w:t>
      </w:r>
      <w:r w:rsidR="00297EF1">
        <w:rPr>
          <w:rFonts w:ascii="Arial" w:hAnsi="Arial" w:cs="Arial"/>
          <w:color w:val="000000" w:themeColor="text1"/>
          <w:sz w:val="24"/>
          <w:szCs w:val="24"/>
        </w:rPr>
        <w:t>, however, where surgery or radiotherapy is the FDT of choice, overall pathway waiting times are exceptionally long</w:t>
      </w:r>
      <w:r>
        <w:rPr>
          <w:rFonts w:ascii="Arial" w:hAnsi="Arial" w:cs="Arial"/>
          <w:color w:val="000000" w:themeColor="text1"/>
          <w:sz w:val="24"/>
          <w:szCs w:val="24"/>
        </w:rPr>
        <w:t xml:space="preserve">.  </w:t>
      </w:r>
    </w:p>
    <w:tbl>
      <w:tblPr>
        <w:tblW w:w="5949" w:type="dxa"/>
        <w:tblLook w:val="04A0" w:firstRow="1" w:lastRow="0" w:firstColumn="1" w:lastColumn="0" w:noHBand="0" w:noVBand="1"/>
      </w:tblPr>
      <w:tblGrid>
        <w:gridCol w:w="1838"/>
        <w:gridCol w:w="1418"/>
        <w:gridCol w:w="1559"/>
        <w:gridCol w:w="1134"/>
      </w:tblGrid>
      <w:tr w:rsidR="00106267" w:rsidRPr="00106267" w14:paraId="1C389883" w14:textId="77777777" w:rsidTr="00106267">
        <w:trPr>
          <w:trHeight w:val="225"/>
        </w:trPr>
        <w:tc>
          <w:tcPr>
            <w:tcW w:w="183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049D3758"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Treatment</w:t>
            </w:r>
          </w:p>
        </w:tc>
        <w:tc>
          <w:tcPr>
            <w:tcW w:w="1418" w:type="dxa"/>
            <w:tcBorders>
              <w:top w:val="single" w:sz="4" w:space="0" w:color="auto"/>
              <w:left w:val="nil"/>
              <w:bottom w:val="single" w:sz="4" w:space="0" w:color="auto"/>
              <w:right w:val="single" w:sz="4" w:space="0" w:color="auto"/>
            </w:tcBorders>
            <w:shd w:val="clear" w:color="auto" w:fill="BDD6EE" w:themeFill="accent1" w:themeFillTint="66"/>
            <w:hideMark/>
          </w:tcPr>
          <w:p w14:paraId="1E60E617"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Breach</w:t>
            </w:r>
          </w:p>
        </w:tc>
        <w:tc>
          <w:tcPr>
            <w:tcW w:w="1559" w:type="dxa"/>
            <w:tcBorders>
              <w:top w:val="single" w:sz="4" w:space="0" w:color="auto"/>
              <w:left w:val="nil"/>
              <w:bottom w:val="single" w:sz="4" w:space="0" w:color="auto"/>
              <w:right w:val="single" w:sz="4" w:space="0" w:color="auto"/>
            </w:tcBorders>
            <w:shd w:val="clear" w:color="auto" w:fill="BDD6EE" w:themeFill="accent1" w:themeFillTint="66"/>
            <w:hideMark/>
          </w:tcPr>
          <w:p w14:paraId="0667BFE6"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In Target</w:t>
            </w:r>
          </w:p>
        </w:tc>
        <w:tc>
          <w:tcPr>
            <w:tcW w:w="1134" w:type="dxa"/>
            <w:tcBorders>
              <w:top w:val="single" w:sz="4" w:space="0" w:color="auto"/>
              <w:left w:val="nil"/>
              <w:bottom w:val="single" w:sz="4" w:space="0" w:color="auto"/>
              <w:right w:val="single" w:sz="4" w:space="0" w:color="auto"/>
            </w:tcBorders>
            <w:shd w:val="clear" w:color="auto" w:fill="BDD6EE" w:themeFill="accent1" w:themeFillTint="66"/>
            <w:hideMark/>
          </w:tcPr>
          <w:p w14:paraId="55398F3A"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Grand Total</w:t>
            </w:r>
          </w:p>
        </w:tc>
      </w:tr>
      <w:tr w:rsidR="00106267" w:rsidRPr="00106267" w14:paraId="1D4C6980" w14:textId="77777777" w:rsidTr="00106267">
        <w:trPr>
          <w:trHeight w:val="225"/>
        </w:trPr>
        <w:tc>
          <w:tcPr>
            <w:tcW w:w="1838" w:type="dxa"/>
            <w:tcBorders>
              <w:top w:val="nil"/>
              <w:left w:val="single" w:sz="4" w:space="0" w:color="auto"/>
              <w:bottom w:val="single" w:sz="4" w:space="0" w:color="auto"/>
              <w:right w:val="single" w:sz="4" w:space="0" w:color="auto"/>
            </w:tcBorders>
            <w:hideMark/>
          </w:tcPr>
          <w:p w14:paraId="423F9768" w14:textId="77777777" w:rsidR="00106267" w:rsidRPr="00106267" w:rsidRDefault="00106267" w:rsidP="00106267">
            <w:pPr>
              <w:spacing w:after="0" w:line="240" w:lineRule="auto"/>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Hormone Therapy</w:t>
            </w:r>
          </w:p>
        </w:tc>
        <w:tc>
          <w:tcPr>
            <w:tcW w:w="1418" w:type="dxa"/>
            <w:tcBorders>
              <w:top w:val="nil"/>
              <w:left w:val="nil"/>
              <w:bottom w:val="single" w:sz="4" w:space="0" w:color="auto"/>
              <w:right w:val="single" w:sz="4" w:space="0" w:color="auto"/>
            </w:tcBorders>
            <w:hideMark/>
          </w:tcPr>
          <w:p w14:paraId="1CA04501"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75</w:t>
            </w:r>
          </w:p>
        </w:tc>
        <w:tc>
          <w:tcPr>
            <w:tcW w:w="1559" w:type="dxa"/>
            <w:tcBorders>
              <w:top w:val="nil"/>
              <w:left w:val="nil"/>
              <w:bottom w:val="single" w:sz="4" w:space="0" w:color="auto"/>
              <w:right w:val="single" w:sz="4" w:space="0" w:color="auto"/>
            </w:tcBorders>
            <w:hideMark/>
          </w:tcPr>
          <w:p w14:paraId="4B83F122"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40</w:t>
            </w:r>
          </w:p>
        </w:tc>
        <w:tc>
          <w:tcPr>
            <w:tcW w:w="1134" w:type="dxa"/>
            <w:tcBorders>
              <w:top w:val="nil"/>
              <w:left w:val="nil"/>
              <w:bottom w:val="single" w:sz="4" w:space="0" w:color="auto"/>
              <w:right w:val="single" w:sz="4" w:space="0" w:color="auto"/>
            </w:tcBorders>
            <w:hideMark/>
          </w:tcPr>
          <w:p w14:paraId="1FC680EB"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115</w:t>
            </w:r>
          </w:p>
        </w:tc>
      </w:tr>
      <w:tr w:rsidR="00106267" w:rsidRPr="00106267" w14:paraId="3CE54753" w14:textId="77777777" w:rsidTr="00106267">
        <w:trPr>
          <w:trHeight w:val="225"/>
        </w:trPr>
        <w:tc>
          <w:tcPr>
            <w:tcW w:w="1838" w:type="dxa"/>
            <w:tcBorders>
              <w:top w:val="nil"/>
              <w:left w:val="single" w:sz="4" w:space="0" w:color="auto"/>
              <w:bottom w:val="single" w:sz="4" w:space="0" w:color="auto"/>
              <w:right w:val="single" w:sz="4" w:space="0" w:color="auto"/>
            </w:tcBorders>
            <w:hideMark/>
          </w:tcPr>
          <w:p w14:paraId="17781AD6" w14:textId="77777777" w:rsidR="00106267" w:rsidRPr="00106267" w:rsidRDefault="00106267" w:rsidP="00106267">
            <w:pPr>
              <w:spacing w:after="0" w:line="240" w:lineRule="auto"/>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 xml:space="preserve">Active Monitoring </w:t>
            </w:r>
          </w:p>
        </w:tc>
        <w:tc>
          <w:tcPr>
            <w:tcW w:w="1418" w:type="dxa"/>
            <w:tcBorders>
              <w:top w:val="nil"/>
              <w:left w:val="nil"/>
              <w:bottom w:val="single" w:sz="4" w:space="0" w:color="auto"/>
              <w:right w:val="single" w:sz="4" w:space="0" w:color="auto"/>
            </w:tcBorders>
            <w:hideMark/>
          </w:tcPr>
          <w:p w14:paraId="75AA3438"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35</w:t>
            </w:r>
          </w:p>
        </w:tc>
        <w:tc>
          <w:tcPr>
            <w:tcW w:w="1559" w:type="dxa"/>
            <w:tcBorders>
              <w:top w:val="nil"/>
              <w:left w:val="nil"/>
              <w:bottom w:val="single" w:sz="4" w:space="0" w:color="auto"/>
              <w:right w:val="single" w:sz="4" w:space="0" w:color="auto"/>
            </w:tcBorders>
            <w:hideMark/>
          </w:tcPr>
          <w:p w14:paraId="1DA23631"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13</w:t>
            </w:r>
          </w:p>
        </w:tc>
        <w:tc>
          <w:tcPr>
            <w:tcW w:w="1134" w:type="dxa"/>
            <w:tcBorders>
              <w:top w:val="nil"/>
              <w:left w:val="nil"/>
              <w:bottom w:val="single" w:sz="4" w:space="0" w:color="auto"/>
              <w:right w:val="single" w:sz="4" w:space="0" w:color="auto"/>
            </w:tcBorders>
            <w:hideMark/>
          </w:tcPr>
          <w:p w14:paraId="7305B45D"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48</w:t>
            </w:r>
          </w:p>
        </w:tc>
      </w:tr>
      <w:tr w:rsidR="00106267" w:rsidRPr="00106267" w14:paraId="3C0E05C7" w14:textId="77777777" w:rsidTr="00106267">
        <w:trPr>
          <w:trHeight w:val="225"/>
        </w:trPr>
        <w:tc>
          <w:tcPr>
            <w:tcW w:w="1838" w:type="dxa"/>
            <w:tcBorders>
              <w:top w:val="nil"/>
              <w:left w:val="single" w:sz="4" w:space="0" w:color="auto"/>
              <w:bottom w:val="single" w:sz="4" w:space="0" w:color="auto"/>
              <w:right w:val="single" w:sz="4" w:space="0" w:color="auto"/>
            </w:tcBorders>
            <w:hideMark/>
          </w:tcPr>
          <w:p w14:paraId="42EE1897" w14:textId="77777777" w:rsidR="00106267" w:rsidRPr="00106267" w:rsidRDefault="00106267" w:rsidP="00106267">
            <w:pPr>
              <w:spacing w:after="0" w:line="240" w:lineRule="auto"/>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Surgery</w:t>
            </w:r>
          </w:p>
        </w:tc>
        <w:tc>
          <w:tcPr>
            <w:tcW w:w="1418" w:type="dxa"/>
            <w:tcBorders>
              <w:top w:val="nil"/>
              <w:left w:val="nil"/>
              <w:bottom w:val="single" w:sz="4" w:space="0" w:color="auto"/>
              <w:right w:val="single" w:sz="4" w:space="0" w:color="auto"/>
            </w:tcBorders>
            <w:hideMark/>
          </w:tcPr>
          <w:p w14:paraId="43321FBD"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19</w:t>
            </w:r>
          </w:p>
        </w:tc>
        <w:tc>
          <w:tcPr>
            <w:tcW w:w="1559" w:type="dxa"/>
            <w:tcBorders>
              <w:top w:val="nil"/>
              <w:left w:val="nil"/>
              <w:bottom w:val="single" w:sz="4" w:space="0" w:color="auto"/>
              <w:right w:val="single" w:sz="4" w:space="0" w:color="auto"/>
            </w:tcBorders>
            <w:hideMark/>
          </w:tcPr>
          <w:p w14:paraId="74F8690D"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8</w:t>
            </w:r>
          </w:p>
        </w:tc>
        <w:tc>
          <w:tcPr>
            <w:tcW w:w="1134" w:type="dxa"/>
            <w:tcBorders>
              <w:top w:val="nil"/>
              <w:left w:val="nil"/>
              <w:bottom w:val="single" w:sz="4" w:space="0" w:color="auto"/>
              <w:right w:val="single" w:sz="4" w:space="0" w:color="auto"/>
            </w:tcBorders>
            <w:hideMark/>
          </w:tcPr>
          <w:p w14:paraId="78E31E4A"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27</w:t>
            </w:r>
          </w:p>
        </w:tc>
      </w:tr>
      <w:tr w:rsidR="00106267" w:rsidRPr="00106267" w14:paraId="2DCFCF13" w14:textId="77777777" w:rsidTr="00106267">
        <w:trPr>
          <w:trHeight w:val="225"/>
        </w:trPr>
        <w:tc>
          <w:tcPr>
            <w:tcW w:w="1838" w:type="dxa"/>
            <w:tcBorders>
              <w:top w:val="nil"/>
              <w:left w:val="single" w:sz="4" w:space="0" w:color="auto"/>
              <w:bottom w:val="single" w:sz="4" w:space="0" w:color="auto"/>
              <w:right w:val="single" w:sz="4" w:space="0" w:color="auto"/>
            </w:tcBorders>
            <w:hideMark/>
          </w:tcPr>
          <w:p w14:paraId="010077BE" w14:textId="77777777" w:rsidR="00106267" w:rsidRPr="00106267" w:rsidRDefault="00106267" w:rsidP="00106267">
            <w:pPr>
              <w:spacing w:after="0" w:line="240" w:lineRule="auto"/>
              <w:rPr>
                <w:rFonts w:ascii="Tahoma" w:eastAsia="Times New Roman" w:hAnsi="Tahoma" w:cs="Tahoma"/>
                <w:color w:val="000000"/>
                <w:sz w:val="18"/>
                <w:szCs w:val="18"/>
                <w:lang w:eastAsia="en-GB"/>
              </w:rPr>
            </w:pPr>
            <w:r>
              <w:rPr>
                <w:rFonts w:ascii="Tahoma" w:eastAsia="Times New Roman" w:hAnsi="Tahoma" w:cs="Tahoma"/>
                <w:color w:val="000000"/>
                <w:sz w:val="18"/>
                <w:szCs w:val="18"/>
                <w:lang w:eastAsia="en-GB"/>
              </w:rPr>
              <w:t>Radiotherapy</w:t>
            </w:r>
          </w:p>
        </w:tc>
        <w:tc>
          <w:tcPr>
            <w:tcW w:w="1418" w:type="dxa"/>
            <w:tcBorders>
              <w:top w:val="nil"/>
              <w:left w:val="nil"/>
              <w:bottom w:val="single" w:sz="4" w:space="0" w:color="auto"/>
              <w:right w:val="single" w:sz="4" w:space="0" w:color="auto"/>
            </w:tcBorders>
            <w:hideMark/>
          </w:tcPr>
          <w:p w14:paraId="09FE5C57"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8</w:t>
            </w:r>
          </w:p>
        </w:tc>
        <w:tc>
          <w:tcPr>
            <w:tcW w:w="1559" w:type="dxa"/>
            <w:tcBorders>
              <w:top w:val="nil"/>
              <w:left w:val="nil"/>
              <w:bottom w:val="single" w:sz="4" w:space="0" w:color="auto"/>
              <w:right w:val="single" w:sz="4" w:space="0" w:color="auto"/>
            </w:tcBorders>
            <w:hideMark/>
          </w:tcPr>
          <w:p w14:paraId="7E291E70"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2</w:t>
            </w:r>
          </w:p>
        </w:tc>
        <w:tc>
          <w:tcPr>
            <w:tcW w:w="1134" w:type="dxa"/>
            <w:tcBorders>
              <w:top w:val="nil"/>
              <w:left w:val="nil"/>
              <w:bottom w:val="single" w:sz="4" w:space="0" w:color="auto"/>
              <w:right w:val="single" w:sz="4" w:space="0" w:color="auto"/>
            </w:tcBorders>
            <w:hideMark/>
          </w:tcPr>
          <w:p w14:paraId="0A81BA2C"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10</w:t>
            </w:r>
          </w:p>
        </w:tc>
      </w:tr>
      <w:tr w:rsidR="00106267" w:rsidRPr="00106267" w14:paraId="1CF07536" w14:textId="77777777" w:rsidTr="00106267">
        <w:trPr>
          <w:trHeight w:val="225"/>
        </w:trPr>
        <w:tc>
          <w:tcPr>
            <w:tcW w:w="1838" w:type="dxa"/>
            <w:tcBorders>
              <w:top w:val="nil"/>
              <w:left w:val="single" w:sz="4" w:space="0" w:color="auto"/>
              <w:bottom w:val="single" w:sz="4" w:space="0" w:color="auto"/>
              <w:right w:val="single" w:sz="4" w:space="0" w:color="auto"/>
            </w:tcBorders>
            <w:hideMark/>
          </w:tcPr>
          <w:p w14:paraId="1847E25F" w14:textId="77777777" w:rsidR="00106267" w:rsidRPr="00106267" w:rsidRDefault="00106267" w:rsidP="00106267">
            <w:pPr>
              <w:spacing w:after="0" w:line="240" w:lineRule="auto"/>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Brachytherapy</w:t>
            </w:r>
          </w:p>
        </w:tc>
        <w:tc>
          <w:tcPr>
            <w:tcW w:w="1418" w:type="dxa"/>
            <w:tcBorders>
              <w:top w:val="nil"/>
              <w:left w:val="nil"/>
              <w:bottom w:val="single" w:sz="4" w:space="0" w:color="auto"/>
              <w:right w:val="single" w:sz="4" w:space="0" w:color="auto"/>
            </w:tcBorders>
            <w:hideMark/>
          </w:tcPr>
          <w:p w14:paraId="18C42185"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1</w:t>
            </w:r>
          </w:p>
        </w:tc>
        <w:tc>
          <w:tcPr>
            <w:tcW w:w="1559" w:type="dxa"/>
            <w:tcBorders>
              <w:top w:val="nil"/>
              <w:left w:val="nil"/>
              <w:bottom w:val="single" w:sz="4" w:space="0" w:color="auto"/>
              <w:right w:val="single" w:sz="4" w:space="0" w:color="auto"/>
            </w:tcBorders>
            <w:hideMark/>
          </w:tcPr>
          <w:p w14:paraId="374697F9"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 </w:t>
            </w:r>
          </w:p>
        </w:tc>
        <w:tc>
          <w:tcPr>
            <w:tcW w:w="1134" w:type="dxa"/>
            <w:tcBorders>
              <w:top w:val="nil"/>
              <w:left w:val="nil"/>
              <w:bottom w:val="single" w:sz="4" w:space="0" w:color="auto"/>
              <w:right w:val="single" w:sz="4" w:space="0" w:color="auto"/>
            </w:tcBorders>
            <w:hideMark/>
          </w:tcPr>
          <w:p w14:paraId="2A410F30"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1</w:t>
            </w:r>
          </w:p>
        </w:tc>
      </w:tr>
      <w:tr w:rsidR="00106267" w:rsidRPr="00106267" w14:paraId="056987FB" w14:textId="77777777" w:rsidTr="00106267">
        <w:trPr>
          <w:trHeight w:val="225"/>
        </w:trPr>
        <w:tc>
          <w:tcPr>
            <w:tcW w:w="1838" w:type="dxa"/>
            <w:tcBorders>
              <w:top w:val="nil"/>
              <w:left w:val="single" w:sz="4" w:space="0" w:color="auto"/>
              <w:bottom w:val="single" w:sz="4" w:space="0" w:color="auto"/>
              <w:right w:val="single" w:sz="4" w:space="0" w:color="auto"/>
            </w:tcBorders>
            <w:hideMark/>
          </w:tcPr>
          <w:p w14:paraId="5E5880E9" w14:textId="77777777" w:rsidR="00106267" w:rsidRPr="00106267" w:rsidRDefault="00106267" w:rsidP="00106267">
            <w:pPr>
              <w:spacing w:after="0" w:line="240" w:lineRule="auto"/>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Grand Total</w:t>
            </w:r>
          </w:p>
        </w:tc>
        <w:tc>
          <w:tcPr>
            <w:tcW w:w="1418" w:type="dxa"/>
            <w:tcBorders>
              <w:top w:val="nil"/>
              <w:left w:val="nil"/>
              <w:bottom w:val="single" w:sz="4" w:space="0" w:color="auto"/>
              <w:right w:val="single" w:sz="4" w:space="0" w:color="auto"/>
            </w:tcBorders>
            <w:hideMark/>
          </w:tcPr>
          <w:p w14:paraId="04565E56"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138</w:t>
            </w:r>
          </w:p>
        </w:tc>
        <w:tc>
          <w:tcPr>
            <w:tcW w:w="1559" w:type="dxa"/>
            <w:tcBorders>
              <w:top w:val="nil"/>
              <w:left w:val="nil"/>
              <w:bottom w:val="single" w:sz="4" w:space="0" w:color="auto"/>
              <w:right w:val="single" w:sz="4" w:space="0" w:color="auto"/>
            </w:tcBorders>
            <w:hideMark/>
          </w:tcPr>
          <w:p w14:paraId="006DCE1B"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63</w:t>
            </w:r>
          </w:p>
        </w:tc>
        <w:tc>
          <w:tcPr>
            <w:tcW w:w="1134" w:type="dxa"/>
            <w:tcBorders>
              <w:top w:val="nil"/>
              <w:left w:val="nil"/>
              <w:bottom w:val="single" w:sz="4" w:space="0" w:color="auto"/>
              <w:right w:val="single" w:sz="4" w:space="0" w:color="auto"/>
            </w:tcBorders>
            <w:hideMark/>
          </w:tcPr>
          <w:p w14:paraId="0F889284" w14:textId="77777777" w:rsidR="00106267" w:rsidRPr="00106267" w:rsidRDefault="00106267" w:rsidP="00106267">
            <w:pPr>
              <w:spacing w:after="0" w:line="240" w:lineRule="auto"/>
              <w:jc w:val="center"/>
              <w:rPr>
                <w:rFonts w:ascii="Tahoma" w:eastAsia="Times New Roman" w:hAnsi="Tahoma" w:cs="Tahoma"/>
                <w:color w:val="000000"/>
                <w:sz w:val="18"/>
                <w:szCs w:val="18"/>
                <w:lang w:eastAsia="en-GB"/>
              </w:rPr>
            </w:pPr>
            <w:r w:rsidRPr="00106267">
              <w:rPr>
                <w:rFonts w:ascii="Tahoma" w:eastAsia="Times New Roman" w:hAnsi="Tahoma" w:cs="Tahoma"/>
                <w:color w:val="000000"/>
                <w:sz w:val="18"/>
                <w:szCs w:val="18"/>
                <w:lang w:eastAsia="en-GB"/>
              </w:rPr>
              <w:t>201</w:t>
            </w:r>
          </w:p>
        </w:tc>
      </w:tr>
    </w:tbl>
    <w:p w14:paraId="6F7CF12D" w14:textId="77777777" w:rsidR="00106267" w:rsidRDefault="00106267" w:rsidP="00106267">
      <w:pPr>
        <w:jc w:val="both"/>
        <w:rPr>
          <w:rFonts w:ascii="Arial" w:hAnsi="Arial" w:cs="Arial"/>
          <w:color w:val="000000" w:themeColor="text1"/>
          <w:sz w:val="24"/>
          <w:szCs w:val="24"/>
        </w:rPr>
      </w:pPr>
    </w:p>
    <w:p w14:paraId="63E036A5" w14:textId="314E5D5E" w:rsidR="00106267" w:rsidRDefault="00106267" w:rsidP="00106267">
      <w:pPr>
        <w:jc w:val="both"/>
        <w:rPr>
          <w:rFonts w:ascii="Arial" w:hAnsi="Arial" w:cs="Arial"/>
          <w:color w:val="000000" w:themeColor="text1"/>
          <w:sz w:val="24"/>
          <w:szCs w:val="24"/>
        </w:rPr>
      </w:pPr>
      <w:r>
        <w:rPr>
          <w:rFonts w:ascii="Arial" w:hAnsi="Arial" w:cs="Arial"/>
          <w:color w:val="000000" w:themeColor="text1"/>
          <w:sz w:val="24"/>
          <w:szCs w:val="24"/>
        </w:rPr>
        <w:t>All prostatic cancer surgery is undertaken robotically, with SBUHB providing treatment for Hywel Dda and Princess of Wales Hospital also. Whilst the information below indicates median waits are reducing, we have treated fewer patients in the same period, albeit robotic surgery was introduced in house in during May 2024 and there was a short period of time between ceasing operating at UHW and commencement of services at Morriston.  Surgical waits remain far beyond the 21-day NOP recommended maximum wait.</w:t>
      </w:r>
    </w:p>
    <w:p w14:paraId="05601289" w14:textId="08AE717B" w:rsidR="00106267" w:rsidRDefault="00106267" w:rsidP="00106267">
      <w:pPr>
        <w:jc w:val="both"/>
        <w:rPr>
          <w:rFonts w:ascii="Arial" w:hAnsi="Arial" w:cs="Arial"/>
          <w:color w:val="000000" w:themeColor="text1"/>
          <w:sz w:val="24"/>
          <w:szCs w:val="24"/>
        </w:rPr>
      </w:pPr>
      <w:r w:rsidRPr="00106267">
        <w:rPr>
          <w:rFonts w:ascii="Arial" w:hAnsi="Arial" w:cs="Arial"/>
          <w:noProof/>
          <w:color w:val="000000" w:themeColor="text1"/>
          <w:sz w:val="24"/>
          <w:szCs w:val="24"/>
        </w:rPr>
        <w:drawing>
          <wp:inline distT="0" distB="0" distL="0" distR="0" wp14:anchorId="274443C4" wp14:editId="08932531">
            <wp:extent cx="5731510" cy="789305"/>
            <wp:effectExtent l="0" t="0" r="2540" b="0"/>
            <wp:docPr id="1374501374" name="Picture 1" descr="A white rectangular box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501374" name="Picture 1" descr="A white rectangular box with black text&#10;&#10;AI-generated content may be incorrect."/>
                    <pic:cNvPicPr/>
                  </pic:nvPicPr>
                  <pic:blipFill>
                    <a:blip r:embed="rId28"/>
                    <a:stretch>
                      <a:fillRect/>
                    </a:stretch>
                  </pic:blipFill>
                  <pic:spPr>
                    <a:xfrm>
                      <a:off x="0" y="0"/>
                      <a:ext cx="5731510" cy="789305"/>
                    </a:xfrm>
                    <a:prstGeom prst="rect">
                      <a:avLst/>
                    </a:prstGeom>
                  </pic:spPr>
                </pic:pic>
              </a:graphicData>
            </a:graphic>
          </wp:inline>
        </w:drawing>
      </w:r>
    </w:p>
    <w:p w14:paraId="1337AC3D" w14:textId="77777777" w:rsidR="001D3FC0" w:rsidRDefault="007543E2" w:rsidP="00AE628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HB welcomed colleagues from NHS PI to the HB </w:t>
      </w:r>
      <w:r w:rsidR="00463AF8">
        <w:rPr>
          <w:rFonts w:ascii="Arial" w:hAnsi="Arial" w:cs="Arial"/>
          <w:color w:val="000000" w:themeColor="text1"/>
          <w:sz w:val="24"/>
          <w:szCs w:val="24"/>
        </w:rPr>
        <w:t>during October 2025 to undertake a review of the prostate pathway.</w:t>
      </w:r>
      <w:r w:rsidR="001D3FC0">
        <w:rPr>
          <w:rFonts w:ascii="Arial" w:hAnsi="Arial" w:cs="Arial"/>
          <w:color w:val="000000" w:themeColor="text1"/>
          <w:sz w:val="24"/>
          <w:szCs w:val="24"/>
        </w:rPr>
        <w:t xml:space="preserve"> Key findings include:</w:t>
      </w:r>
    </w:p>
    <w:p w14:paraId="6A357C4E" w14:textId="77777777" w:rsidR="001D3FC0" w:rsidRDefault="001D3FC0" w:rsidP="001D3FC0">
      <w:pPr>
        <w:spacing w:after="0" w:line="240" w:lineRule="auto"/>
        <w:jc w:val="both"/>
        <w:rPr>
          <w:rFonts w:ascii="Arial" w:hAnsi="Arial" w:cs="Arial"/>
          <w:color w:val="000000" w:themeColor="text1"/>
          <w:sz w:val="24"/>
          <w:szCs w:val="24"/>
        </w:rPr>
      </w:pPr>
    </w:p>
    <w:p w14:paraId="70DA6A50" w14:textId="4EAD5227" w:rsidR="001D3FC0" w:rsidRPr="001D3FC0" w:rsidRDefault="001D3FC0" w:rsidP="001D3FC0">
      <w:pPr>
        <w:pStyle w:val="ListParagraph"/>
        <w:numPr>
          <w:ilvl w:val="0"/>
          <w:numId w:val="30"/>
        </w:numPr>
        <w:spacing w:after="0" w:line="240" w:lineRule="auto"/>
        <w:jc w:val="both"/>
        <w:rPr>
          <w:rFonts w:ascii="Arial" w:hAnsi="Arial" w:cs="Arial"/>
          <w:color w:val="000000" w:themeColor="text1"/>
          <w:sz w:val="24"/>
          <w:szCs w:val="24"/>
        </w:rPr>
      </w:pPr>
      <w:r w:rsidRPr="001D3FC0">
        <w:rPr>
          <w:rFonts w:ascii="Arial" w:hAnsi="Arial" w:cs="Arial"/>
          <w:color w:val="000000" w:themeColor="text1"/>
          <w:sz w:val="24"/>
          <w:szCs w:val="24"/>
        </w:rPr>
        <w:t>Service Fragility &amp; Workforce Risks</w:t>
      </w:r>
    </w:p>
    <w:p w14:paraId="062D61AC" w14:textId="54F40A6E" w:rsidR="001D3FC0" w:rsidRPr="001D3FC0" w:rsidRDefault="001D3FC0" w:rsidP="001D3FC0">
      <w:pPr>
        <w:numPr>
          <w:ilvl w:val="0"/>
          <w:numId w:val="29"/>
        </w:numPr>
        <w:tabs>
          <w:tab w:val="num" w:pos="720"/>
        </w:tabs>
        <w:spacing w:after="0" w:line="240" w:lineRule="auto"/>
        <w:jc w:val="both"/>
        <w:rPr>
          <w:rFonts w:ascii="Arial" w:hAnsi="Arial" w:cs="Arial"/>
          <w:color w:val="000000" w:themeColor="text1"/>
          <w:sz w:val="24"/>
          <w:szCs w:val="24"/>
        </w:rPr>
      </w:pPr>
      <w:r w:rsidRPr="001D3FC0">
        <w:rPr>
          <w:rFonts w:ascii="Arial" w:hAnsi="Arial" w:cs="Arial"/>
          <w:color w:val="000000" w:themeColor="text1"/>
          <w:sz w:val="24"/>
          <w:szCs w:val="24"/>
        </w:rPr>
        <w:t>The prostate cancer service is highly fragile, with several critical functions reliant on single individuals (CNS triage, booking, tracking, PET scanning/reporting, surgical assistant</w:t>
      </w:r>
      <w:r w:rsidR="002E7EDE">
        <w:rPr>
          <w:rFonts w:ascii="Arial" w:hAnsi="Arial" w:cs="Arial"/>
          <w:color w:val="000000" w:themeColor="text1"/>
          <w:sz w:val="24"/>
          <w:szCs w:val="24"/>
        </w:rPr>
        <w:t xml:space="preserve"> for</w:t>
      </w:r>
      <w:r w:rsidRPr="001D3FC0">
        <w:rPr>
          <w:rFonts w:ascii="Arial" w:hAnsi="Arial" w:cs="Arial"/>
          <w:color w:val="000000" w:themeColor="text1"/>
          <w:sz w:val="24"/>
          <w:szCs w:val="24"/>
        </w:rPr>
        <w:t xml:space="preserve"> robotic surgery).</w:t>
      </w:r>
    </w:p>
    <w:p w14:paraId="1608B876" w14:textId="77777777" w:rsidR="001D3FC0" w:rsidRPr="001D3FC0" w:rsidRDefault="001D3FC0" w:rsidP="001D3FC0">
      <w:pPr>
        <w:numPr>
          <w:ilvl w:val="0"/>
          <w:numId w:val="29"/>
        </w:numPr>
        <w:tabs>
          <w:tab w:val="num" w:pos="720"/>
        </w:tabs>
        <w:spacing w:after="0" w:line="240" w:lineRule="auto"/>
        <w:jc w:val="both"/>
        <w:rPr>
          <w:rFonts w:ascii="Arial" w:hAnsi="Arial" w:cs="Arial"/>
          <w:color w:val="000000" w:themeColor="text1"/>
          <w:sz w:val="24"/>
          <w:szCs w:val="24"/>
        </w:rPr>
      </w:pPr>
      <w:r w:rsidRPr="001D3FC0">
        <w:rPr>
          <w:rFonts w:ascii="Arial" w:hAnsi="Arial" w:cs="Arial"/>
          <w:color w:val="000000" w:themeColor="text1"/>
          <w:sz w:val="24"/>
          <w:szCs w:val="24"/>
        </w:rPr>
        <w:t>Multiple single points of failure create operational and clinical risks.</w:t>
      </w:r>
    </w:p>
    <w:p w14:paraId="67994A73" w14:textId="77777777" w:rsidR="001D3FC0" w:rsidRDefault="001D3FC0" w:rsidP="001D3FC0">
      <w:pPr>
        <w:numPr>
          <w:ilvl w:val="0"/>
          <w:numId w:val="29"/>
        </w:numPr>
        <w:tabs>
          <w:tab w:val="num" w:pos="720"/>
        </w:tabs>
        <w:spacing w:after="0" w:line="240" w:lineRule="auto"/>
        <w:jc w:val="both"/>
        <w:rPr>
          <w:rFonts w:ascii="Arial" w:hAnsi="Arial" w:cs="Arial"/>
          <w:color w:val="000000" w:themeColor="text1"/>
          <w:sz w:val="24"/>
          <w:szCs w:val="24"/>
        </w:rPr>
      </w:pPr>
      <w:r w:rsidRPr="001D3FC0">
        <w:rPr>
          <w:rFonts w:ascii="Arial" w:hAnsi="Arial" w:cs="Arial"/>
          <w:color w:val="000000" w:themeColor="text1"/>
          <w:sz w:val="24"/>
          <w:szCs w:val="24"/>
        </w:rPr>
        <w:t>Workforce shortages across Urology and Pathology remain significant constraints.</w:t>
      </w:r>
    </w:p>
    <w:p w14:paraId="3D529856" w14:textId="77777777" w:rsidR="00B933A7" w:rsidRPr="00B933A7" w:rsidRDefault="00B933A7" w:rsidP="00B933A7">
      <w:pPr>
        <w:pStyle w:val="ListParagraph"/>
        <w:numPr>
          <w:ilvl w:val="0"/>
          <w:numId w:val="30"/>
        </w:numPr>
        <w:spacing w:after="0" w:line="240" w:lineRule="auto"/>
        <w:jc w:val="both"/>
        <w:rPr>
          <w:rFonts w:ascii="Arial" w:hAnsi="Arial" w:cs="Arial"/>
          <w:color w:val="000000" w:themeColor="text1"/>
          <w:sz w:val="24"/>
          <w:szCs w:val="24"/>
        </w:rPr>
      </w:pPr>
      <w:r w:rsidRPr="00B933A7">
        <w:rPr>
          <w:rFonts w:ascii="Arial" w:hAnsi="Arial" w:cs="Arial"/>
          <w:color w:val="000000" w:themeColor="text1"/>
          <w:sz w:val="24"/>
          <w:szCs w:val="24"/>
        </w:rPr>
        <w:t>Capacity &amp; Infrastructure</w:t>
      </w:r>
    </w:p>
    <w:p w14:paraId="3D867173" w14:textId="4978395C" w:rsidR="00B933A7" w:rsidRPr="001D3FC0" w:rsidRDefault="00B933A7" w:rsidP="001D3FC0">
      <w:pPr>
        <w:numPr>
          <w:ilvl w:val="0"/>
          <w:numId w:val="29"/>
        </w:numPr>
        <w:tabs>
          <w:tab w:val="num" w:pos="720"/>
        </w:tabs>
        <w:spacing w:after="0" w:line="240" w:lineRule="auto"/>
        <w:jc w:val="both"/>
        <w:rPr>
          <w:rFonts w:ascii="Arial" w:hAnsi="Arial" w:cs="Arial"/>
          <w:color w:val="000000" w:themeColor="text1"/>
          <w:sz w:val="24"/>
          <w:szCs w:val="24"/>
        </w:rPr>
      </w:pPr>
      <w:r w:rsidRPr="00B933A7">
        <w:rPr>
          <w:rFonts w:ascii="Arial" w:hAnsi="Arial" w:cs="Arial"/>
          <w:color w:val="000000" w:themeColor="text1"/>
          <w:sz w:val="24"/>
          <w:szCs w:val="24"/>
        </w:rPr>
        <w:t>Capacity is closely tied to capital assets (e.g. surgical robot), with financial pressures compounding these issues.</w:t>
      </w:r>
    </w:p>
    <w:p w14:paraId="44977344" w14:textId="77777777" w:rsidR="0007622C" w:rsidRPr="0007622C" w:rsidRDefault="00463AF8" w:rsidP="0007622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0007622C" w:rsidRPr="0007622C">
        <w:rPr>
          <w:rFonts w:ascii="Arial" w:hAnsi="Arial" w:cs="Arial"/>
          <w:color w:val="000000" w:themeColor="text1"/>
          <w:sz w:val="24"/>
          <w:szCs w:val="24"/>
        </w:rPr>
        <w:t>Governance &amp; Data</w:t>
      </w:r>
    </w:p>
    <w:p w14:paraId="012DC196" w14:textId="7789032B" w:rsidR="0007622C" w:rsidRDefault="0007622C" w:rsidP="0007622C">
      <w:pPr>
        <w:numPr>
          <w:ilvl w:val="0"/>
          <w:numId w:val="31"/>
        </w:numPr>
        <w:tabs>
          <w:tab w:val="num" w:pos="720"/>
        </w:tabs>
        <w:spacing w:after="0" w:line="240" w:lineRule="auto"/>
        <w:jc w:val="both"/>
        <w:rPr>
          <w:rFonts w:ascii="Arial" w:hAnsi="Arial" w:cs="Arial"/>
          <w:color w:val="000000" w:themeColor="text1"/>
          <w:sz w:val="24"/>
          <w:szCs w:val="24"/>
        </w:rPr>
      </w:pPr>
      <w:r w:rsidRPr="0007622C">
        <w:rPr>
          <w:rFonts w:ascii="Arial" w:hAnsi="Arial" w:cs="Arial"/>
          <w:color w:val="000000" w:themeColor="text1"/>
          <w:sz w:val="24"/>
          <w:szCs w:val="24"/>
        </w:rPr>
        <w:t>The tracking role is poorly defined, leading to inefficiencies in communication and data management.</w:t>
      </w:r>
      <w:r>
        <w:rPr>
          <w:rFonts w:ascii="Arial" w:hAnsi="Arial" w:cs="Arial"/>
          <w:color w:val="000000" w:themeColor="text1"/>
          <w:sz w:val="24"/>
          <w:szCs w:val="24"/>
        </w:rPr>
        <w:t xml:space="preserve">  This is not </w:t>
      </w:r>
      <w:r w:rsidR="00DD2B17">
        <w:rPr>
          <w:rFonts w:ascii="Arial" w:hAnsi="Arial" w:cs="Arial"/>
          <w:color w:val="000000" w:themeColor="text1"/>
          <w:sz w:val="24"/>
          <w:szCs w:val="24"/>
        </w:rPr>
        <w:t>unique to SBUHB,</w:t>
      </w:r>
      <w:r w:rsidR="00E917A9">
        <w:rPr>
          <w:rFonts w:ascii="Arial" w:hAnsi="Arial" w:cs="Arial"/>
          <w:color w:val="000000" w:themeColor="text1"/>
          <w:sz w:val="24"/>
          <w:szCs w:val="24"/>
        </w:rPr>
        <w:t xml:space="preserve"> and </w:t>
      </w:r>
      <w:r w:rsidR="00E917A9">
        <w:rPr>
          <w:rFonts w:ascii="Arial" w:hAnsi="Arial" w:cs="Arial"/>
          <w:color w:val="000000" w:themeColor="text1"/>
          <w:sz w:val="24"/>
          <w:szCs w:val="24"/>
        </w:rPr>
        <w:lastRenderedPageBreak/>
        <w:t xml:space="preserve">recognition that </w:t>
      </w:r>
      <w:r w:rsidR="0085354A">
        <w:rPr>
          <w:rFonts w:ascii="Arial" w:hAnsi="Arial" w:cs="Arial"/>
          <w:color w:val="000000" w:themeColor="text1"/>
          <w:sz w:val="24"/>
          <w:szCs w:val="24"/>
        </w:rPr>
        <w:t xml:space="preserve">supporting roles such as cancer tracking and MDT coordination is lacking </w:t>
      </w:r>
      <w:r w:rsidR="004B2855">
        <w:rPr>
          <w:rFonts w:ascii="Arial" w:hAnsi="Arial" w:cs="Arial"/>
          <w:color w:val="000000" w:themeColor="text1"/>
          <w:sz w:val="24"/>
          <w:szCs w:val="24"/>
        </w:rPr>
        <w:t>clear definition nationally</w:t>
      </w:r>
      <w:r w:rsidR="00C45676">
        <w:rPr>
          <w:rFonts w:ascii="Arial" w:hAnsi="Arial" w:cs="Arial"/>
          <w:color w:val="000000" w:themeColor="text1"/>
          <w:sz w:val="24"/>
          <w:szCs w:val="24"/>
        </w:rPr>
        <w:t xml:space="preserve"> as well as lacking </w:t>
      </w:r>
      <w:r w:rsidR="00B73463">
        <w:rPr>
          <w:rFonts w:ascii="Arial" w:hAnsi="Arial" w:cs="Arial"/>
          <w:color w:val="000000" w:themeColor="text1"/>
          <w:sz w:val="24"/>
          <w:szCs w:val="24"/>
        </w:rPr>
        <w:t xml:space="preserve">support and training </w:t>
      </w:r>
      <w:r w:rsidR="00C45676">
        <w:rPr>
          <w:rFonts w:ascii="Arial" w:hAnsi="Arial" w:cs="Arial"/>
          <w:color w:val="000000" w:themeColor="text1"/>
          <w:sz w:val="24"/>
          <w:szCs w:val="24"/>
        </w:rPr>
        <w:t>to develop skills in this role.  A</w:t>
      </w:r>
      <w:r w:rsidR="00DD2B17">
        <w:rPr>
          <w:rFonts w:ascii="Arial" w:hAnsi="Arial" w:cs="Arial"/>
          <w:color w:val="000000" w:themeColor="text1"/>
          <w:sz w:val="24"/>
          <w:szCs w:val="24"/>
        </w:rPr>
        <w:t xml:space="preserve">s such NHS P&amp;I </w:t>
      </w:r>
      <w:r w:rsidR="009560A5">
        <w:rPr>
          <w:rFonts w:ascii="Arial" w:hAnsi="Arial" w:cs="Arial"/>
          <w:color w:val="000000" w:themeColor="text1"/>
          <w:sz w:val="24"/>
          <w:szCs w:val="24"/>
        </w:rPr>
        <w:t xml:space="preserve">will be taking an action </w:t>
      </w:r>
      <w:r w:rsidR="008F6681">
        <w:rPr>
          <w:rFonts w:ascii="Arial" w:hAnsi="Arial" w:cs="Arial"/>
          <w:color w:val="000000" w:themeColor="text1"/>
          <w:sz w:val="24"/>
          <w:szCs w:val="24"/>
        </w:rPr>
        <w:t>on this.</w:t>
      </w:r>
    </w:p>
    <w:p w14:paraId="4FF7022C" w14:textId="77777777" w:rsidR="00B933A7" w:rsidRDefault="00B933A7" w:rsidP="006403ED">
      <w:pPr>
        <w:spacing w:after="0" w:line="240" w:lineRule="auto"/>
        <w:jc w:val="both"/>
        <w:rPr>
          <w:rFonts w:ascii="Arial" w:hAnsi="Arial" w:cs="Arial"/>
          <w:color w:val="000000" w:themeColor="text1"/>
          <w:sz w:val="24"/>
          <w:szCs w:val="24"/>
        </w:rPr>
      </w:pPr>
    </w:p>
    <w:p w14:paraId="49800849" w14:textId="522EC7B4" w:rsidR="008F6681" w:rsidRDefault="006403ED" w:rsidP="006403ED">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group felt</w:t>
      </w:r>
      <w:r w:rsidR="000B008C">
        <w:rPr>
          <w:rFonts w:ascii="Arial" w:hAnsi="Arial" w:cs="Arial"/>
          <w:color w:val="000000" w:themeColor="text1"/>
          <w:sz w:val="24"/>
          <w:szCs w:val="24"/>
        </w:rPr>
        <w:t xml:space="preserve"> there were improvement opportunities for the HB to progress, including</w:t>
      </w:r>
      <w:r w:rsidR="00B541A2">
        <w:rPr>
          <w:rFonts w:ascii="Arial" w:hAnsi="Arial" w:cs="Arial"/>
          <w:color w:val="000000" w:themeColor="text1"/>
          <w:sz w:val="24"/>
          <w:szCs w:val="24"/>
        </w:rPr>
        <w:t>:</w:t>
      </w:r>
    </w:p>
    <w:p w14:paraId="5400F57E" w14:textId="7A776A1D" w:rsidR="000B008C" w:rsidRDefault="00B541A2" w:rsidP="000B008C">
      <w:pPr>
        <w:pStyle w:val="ListParagraph"/>
        <w:numPr>
          <w:ilvl w:val="0"/>
          <w:numId w:val="30"/>
        </w:numPr>
        <w:spacing w:after="0" w:line="240" w:lineRule="auto"/>
        <w:jc w:val="both"/>
        <w:rPr>
          <w:rFonts w:ascii="Arial" w:hAnsi="Arial" w:cs="Arial"/>
          <w:color w:val="000000" w:themeColor="text1"/>
          <w:sz w:val="24"/>
          <w:szCs w:val="24"/>
        </w:rPr>
      </w:pPr>
      <w:r w:rsidRPr="00B541A2">
        <w:rPr>
          <w:rFonts w:ascii="Arial" w:hAnsi="Arial" w:cs="Arial"/>
          <w:color w:val="000000" w:themeColor="text1"/>
          <w:sz w:val="24"/>
          <w:szCs w:val="24"/>
        </w:rPr>
        <w:t>Map staff capacity to NOPs to identify workforce and capital gaps</w:t>
      </w:r>
    </w:p>
    <w:p w14:paraId="0D95EFAE" w14:textId="0CF706E4" w:rsidR="00B541A2" w:rsidRPr="0007622C" w:rsidRDefault="00B541A2" w:rsidP="000B008C">
      <w:pPr>
        <w:pStyle w:val="ListParagraph"/>
        <w:numPr>
          <w:ilvl w:val="0"/>
          <w:numId w:val="30"/>
        </w:numPr>
        <w:spacing w:after="0" w:line="240" w:lineRule="auto"/>
        <w:jc w:val="both"/>
        <w:rPr>
          <w:rFonts w:ascii="Arial" w:hAnsi="Arial" w:cs="Arial"/>
          <w:color w:val="000000" w:themeColor="text1"/>
          <w:sz w:val="24"/>
          <w:szCs w:val="24"/>
        </w:rPr>
      </w:pPr>
      <w:r w:rsidRPr="00B541A2">
        <w:rPr>
          <w:rFonts w:ascii="Arial" w:hAnsi="Arial" w:cs="Arial"/>
          <w:color w:val="000000" w:themeColor="text1"/>
          <w:sz w:val="24"/>
          <w:szCs w:val="24"/>
        </w:rPr>
        <w:t>Prioritise workforce planning, service assurance, and capital investment through Health Board/IMTP processes.</w:t>
      </w:r>
    </w:p>
    <w:p w14:paraId="121C60DD" w14:textId="53684EB7" w:rsidR="00AE6282" w:rsidRDefault="00AE6282" w:rsidP="00AE6282">
      <w:pPr>
        <w:spacing w:after="0" w:line="240" w:lineRule="auto"/>
        <w:jc w:val="both"/>
        <w:rPr>
          <w:rFonts w:ascii="Arial" w:hAnsi="Arial" w:cs="Arial"/>
          <w:color w:val="000000" w:themeColor="text1"/>
          <w:sz w:val="24"/>
          <w:szCs w:val="24"/>
        </w:rPr>
      </w:pPr>
    </w:p>
    <w:p w14:paraId="74CF7C7C" w14:textId="349FE668" w:rsidR="00633AAA" w:rsidRDefault="00633AAA" w:rsidP="00AE628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Our immediate priorities should focus on:</w:t>
      </w:r>
    </w:p>
    <w:p w14:paraId="3EF98DDC" w14:textId="77777777" w:rsidR="00366538" w:rsidRPr="00366538" w:rsidRDefault="00366538" w:rsidP="00366538">
      <w:pPr>
        <w:numPr>
          <w:ilvl w:val="0"/>
          <w:numId w:val="32"/>
        </w:numPr>
        <w:spacing w:after="0" w:line="240" w:lineRule="auto"/>
        <w:jc w:val="both"/>
        <w:rPr>
          <w:rFonts w:ascii="Arial" w:hAnsi="Arial" w:cs="Arial"/>
          <w:color w:val="000000" w:themeColor="text1"/>
          <w:sz w:val="24"/>
          <w:szCs w:val="24"/>
        </w:rPr>
      </w:pPr>
      <w:r w:rsidRPr="00366538">
        <w:rPr>
          <w:rFonts w:ascii="Arial" w:hAnsi="Arial" w:cs="Arial"/>
          <w:color w:val="000000" w:themeColor="text1"/>
          <w:sz w:val="24"/>
          <w:szCs w:val="24"/>
        </w:rPr>
        <w:t>Strengthening workforce sustainability and service resilience.</w:t>
      </w:r>
    </w:p>
    <w:p w14:paraId="06C41627" w14:textId="77777777" w:rsidR="00366538" w:rsidRPr="00366538" w:rsidRDefault="00366538" w:rsidP="00366538">
      <w:pPr>
        <w:numPr>
          <w:ilvl w:val="0"/>
          <w:numId w:val="32"/>
        </w:numPr>
        <w:spacing w:after="0" w:line="240" w:lineRule="auto"/>
        <w:jc w:val="both"/>
        <w:rPr>
          <w:rFonts w:ascii="Arial" w:hAnsi="Arial" w:cs="Arial"/>
          <w:color w:val="000000" w:themeColor="text1"/>
          <w:sz w:val="24"/>
          <w:szCs w:val="24"/>
        </w:rPr>
      </w:pPr>
      <w:r w:rsidRPr="00366538">
        <w:rPr>
          <w:rFonts w:ascii="Arial" w:hAnsi="Arial" w:cs="Arial"/>
          <w:color w:val="000000" w:themeColor="text1"/>
          <w:sz w:val="24"/>
          <w:szCs w:val="24"/>
        </w:rPr>
        <w:t>Providing assurance for the new triage model.</w:t>
      </w:r>
    </w:p>
    <w:p w14:paraId="249496B6" w14:textId="2B9298DB" w:rsidR="00633AAA" w:rsidRPr="00366538" w:rsidRDefault="00366538" w:rsidP="00366538">
      <w:pPr>
        <w:pStyle w:val="ListParagraph"/>
        <w:numPr>
          <w:ilvl w:val="0"/>
          <w:numId w:val="32"/>
        </w:numPr>
        <w:spacing w:after="0" w:line="240" w:lineRule="auto"/>
        <w:jc w:val="both"/>
        <w:rPr>
          <w:rFonts w:ascii="Arial" w:hAnsi="Arial" w:cs="Arial"/>
          <w:color w:val="000000" w:themeColor="text1"/>
          <w:sz w:val="24"/>
          <w:szCs w:val="24"/>
        </w:rPr>
      </w:pPr>
      <w:r w:rsidRPr="00366538">
        <w:rPr>
          <w:rFonts w:ascii="Arial" w:hAnsi="Arial" w:cs="Arial"/>
          <w:color w:val="000000" w:themeColor="text1"/>
          <w:sz w:val="24"/>
          <w:szCs w:val="24"/>
        </w:rPr>
        <w:t>Addressing capital and infrastructure constraints</w:t>
      </w:r>
    </w:p>
    <w:p w14:paraId="416AE7BE" w14:textId="77777777" w:rsidR="00463AF8" w:rsidRDefault="00463AF8" w:rsidP="00AE6282">
      <w:pPr>
        <w:spacing w:after="0" w:line="240" w:lineRule="auto"/>
        <w:jc w:val="both"/>
        <w:rPr>
          <w:rFonts w:ascii="Arial" w:hAnsi="Arial" w:cs="Arial"/>
          <w:color w:val="000000" w:themeColor="text1"/>
          <w:sz w:val="24"/>
          <w:szCs w:val="24"/>
        </w:rPr>
      </w:pPr>
    </w:p>
    <w:p w14:paraId="00DCF91C" w14:textId="77777777" w:rsidR="00297EF1" w:rsidRDefault="0019642E" w:rsidP="00AE6282">
      <w:pPr>
        <w:spacing w:after="0" w:line="240" w:lineRule="auto"/>
        <w:jc w:val="both"/>
        <w:rPr>
          <w:rFonts w:ascii="Arial" w:hAnsi="Arial" w:cs="Arial"/>
          <w:b/>
          <w:bCs/>
          <w:color w:val="000000" w:themeColor="text1"/>
          <w:sz w:val="28"/>
          <w:szCs w:val="28"/>
        </w:rPr>
      </w:pPr>
      <w:r w:rsidRPr="00297EF1">
        <w:rPr>
          <w:rFonts w:ascii="Arial" w:hAnsi="Arial" w:cs="Arial"/>
          <w:b/>
          <w:bCs/>
          <w:color w:val="000000" w:themeColor="text1"/>
          <w:sz w:val="28"/>
          <w:szCs w:val="28"/>
        </w:rPr>
        <w:t xml:space="preserve">Improvement action plans </w:t>
      </w:r>
    </w:p>
    <w:p w14:paraId="0A61E691" w14:textId="77777777" w:rsidR="00297EF1" w:rsidRDefault="00297EF1" w:rsidP="00AE6282">
      <w:pPr>
        <w:spacing w:after="0" w:line="240" w:lineRule="auto"/>
        <w:jc w:val="both"/>
        <w:rPr>
          <w:rFonts w:ascii="Arial" w:hAnsi="Arial" w:cs="Arial"/>
          <w:b/>
          <w:bCs/>
          <w:color w:val="000000" w:themeColor="text1"/>
          <w:sz w:val="28"/>
          <w:szCs w:val="28"/>
        </w:rPr>
      </w:pPr>
    </w:p>
    <w:p w14:paraId="700F02E3" w14:textId="1686607D" w:rsidR="0019642E" w:rsidRPr="00297EF1" w:rsidRDefault="00297EF1" w:rsidP="00297EF1">
      <w:pPr>
        <w:jc w:val="both"/>
        <w:rPr>
          <w:rFonts w:ascii="Arial" w:hAnsi="Arial" w:cs="Arial"/>
          <w:b/>
          <w:bCs/>
          <w:color w:val="000000" w:themeColor="text1"/>
          <w:sz w:val="24"/>
          <w:szCs w:val="24"/>
        </w:rPr>
      </w:pPr>
      <w:r w:rsidRPr="00297EF1">
        <w:rPr>
          <w:rFonts w:ascii="Arial" w:hAnsi="Arial" w:cs="Arial"/>
          <w:b/>
          <w:bCs/>
          <w:color w:val="000000" w:themeColor="text1"/>
          <w:sz w:val="24"/>
          <w:szCs w:val="24"/>
        </w:rPr>
        <w:t>Urology</w:t>
      </w:r>
      <w:r w:rsidR="004D2C2A">
        <w:rPr>
          <w:rFonts w:ascii="Arial" w:hAnsi="Arial" w:cs="Arial"/>
          <w:b/>
          <w:bCs/>
          <w:color w:val="000000" w:themeColor="text1"/>
          <w:sz w:val="24"/>
          <w:szCs w:val="24"/>
        </w:rPr>
        <w:t xml:space="preserve"> </w:t>
      </w:r>
      <w:r w:rsidR="008D291B">
        <w:rPr>
          <w:rFonts w:ascii="Arial" w:hAnsi="Arial" w:cs="Arial"/>
          <w:b/>
          <w:bCs/>
          <w:color w:val="000000" w:themeColor="text1"/>
          <w:sz w:val="24"/>
          <w:szCs w:val="24"/>
        </w:rPr>
        <w:t>a</w:t>
      </w:r>
      <w:r w:rsidR="004D2C2A">
        <w:rPr>
          <w:rFonts w:ascii="Arial" w:hAnsi="Arial" w:cs="Arial"/>
          <w:b/>
          <w:bCs/>
          <w:color w:val="000000" w:themeColor="text1"/>
          <w:sz w:val="24"/>
          <w:szCs w:val="24"/>
        </w:rPr>
        <w:t xml:space="preserve">ctions </w:t>
      </w:r>
      <w:r w:rsidR="00884231">
        <w:rPr>
          <w:rFonts w:ascii="Arial" w:hAnsi="Arial" w:cs="Arial"/>
          <w:b/>
          <w:bCs/>
          <w:color w:val="000000" w:themeColor="text1"/>
          <w:sz w:val="24"/>
          <w:szCs w:val="24"/>
        </w:rPr>
        <w:t>in progress</w:t>
      </w:r>
      <w:r w:rsidR="00EC282F">
        <w:rPr>
          <w:rFonts w:ascii="Arial" w:hAnsi="Arial" w:cs="Arial"/>
          <w:b/>
          <w:bCs/>
          <w:color w:val="000000" w:themeColor="text1"/>
          <w:sz w:val="24"/>
          <w:szCs w:val="24"/>
        </w:rPr>
        <w:t xml:space="preserve"> </w:t>
      </w:r>
      <w:r w:rsidR="00F022B5">
        <w:rPr>
          <w:rFonts w:ascii="Arial" w:hAnsi="Arial" w:cs="Arial"/>
          <w:b/>
          <w:bCs/>
          <w:color w:val="000000" w:themeColor="text1"/>
          <w:sz w:val="24"/>
          <w:szCs w:val="24"/>
        </w:rPr>
        <w:t>include</w:t>
      </w:r>
    </w:p>
    <w:p w14:paraId="6A57965F" w14:textId="77777777" w:rsidR="007C3DF0" w:rsidRDefault="004D2C2A" w:rsidP="001A0479">
      <w:pPr>
        <w:pStyle w:val="ListParagraph"/>
        <w:numPr>
          <w:ilvl w:val="0"/>
          <w:numId w:val="28"/>
        </w:numPr>
        <w:ind w:left="284" w:hanging="284"/>
        <w:jc w:val="both"/>
        <w:rPr>
          <w:rFonts w:ascii="Arial" w:hAnsi="Arial" w:cs="Arial"/>
          <w:bCs/>
          <w:sz w:val="24"/>
          <w:szCs w:val="24"/>
        </w:rPr>
      </w:pPr>
      <w:r>
        <w:rPr>
          <w:rFonts w:ascii="Arial" w:hAnsi="Arial" w:cs="Arial"/>
          <w:bCs/>
          <w:sz w:val="24"/>
          <w:szCs w:val="24"/>
        </w:rPr>
        <w:t xml:space="preserve">Implementing a telephone triage for new referrals to ensure prompt referral within 5 days for MpMRI.  </w:t>
      </w:r>
    </w:p>
    <w:p w14:paraId="0314FF2F" w14:textId="3E44C0C1" w:rsidR="00366538" w:rsidRDefault="004D2C2A" w:rsidP="001A0479">
      <w:pPr>
        <w:pStyle w:val="ListParagraph"/>
        <w:ind w:left="284"/>
        <w:jc w:val="both"/>
        <w:rPr>
          <w:rFonts w:ascii="Arial" w:hAnsi="Arial" w:cs="Arial"/>
          <w:bCs/>
          <w:sz w:val="24"/>
          <w:szCs w:val="24"/>
        </w:rPr>
      </w:pPr>
      <w:r>
        <w:rPr>
          <w:rFonts w:ascii="Arial" w:hAnsi="Arial" w:cs="Arial"/>
          <w:bCs/>
          <w:sz w:val="24"/>
          <w:szCs w:val="24"/>
        </w:rPr>
        <w:t>The prostate NOP recommends a STT MRI pathway to facilitate this</w:t>
      </w:r>
      <w:r w:rsidR="001A0479">
        <w:rPr>
          <w:rFonts w:ascii="Arial" w:hAnsi="Arial" w:cs="Arial"/>
          <w:bCs/>
          <w:sz w:val="24"/>
          <w:szCs w:val="24"/>
        </w:rPr>
        <w:t>,</w:t>
      </w:r>
      <w:r>
        <w:rPr>
          <w:rFonts w:ascii="Arial" w:hAnsi="Arial" w:cs="Arial"/>
          <w:bCs/>
          <w:sz w:val="24"/>
          <w:szCs w:val="24"/>
        </w:rPr>
        <w:t xml:space="preserve"> a short triage call </w:t>
      </w:r>
      <w:r w:rsidR="00B00F06">
        <w:rPr>
          <w:rFonts w:ascii="Arial" w:hAnsi="Arial" w:cs="Arial"/>
          <w:bCs/>
          <w:sz w:val="24"/>
          <w:szCs w:val="24"/>
        </w:rPr>
        <w:t xml:space="preserve">is being trialled </w:t>
      </w:r>
      <w:r>
        <w:rPr>
          <w:rFonts w:ascii="Arial" w:hAnsi="Arial" w:cs="Arial"/>
          <w:bCs/>
          <w:sz w:val="24"/>
          <w:szCs w:val="24"/>
        </w:rPr>
        <w:t>to ensure appropriate access to MpMRI and reduce risk of a false positive result leading to further unnecessary</w:t>
      </w:r>
      <w:r w:rsidR="00CD7AD5">
        <w:rPr>
          <w:rFonts w:ascii="Arial" w:hAnsi="Arial" w:cs="Arial"/>
          <w:bCs/>
          <w:sz w:val="24"/>
          <w:szCs w:val="24"/>
        </w:rPr>
        <w:t xml:space="preserve"> or ill-timed</w:t>
      </w:r>
      <w:r>
        <w:rPr>
          <w:rFonts w:ascii="Arial" w:hAnsi="Arial" w:cs="Arial"/>
          <w:bCs/>
          <w:sz w:val="24"/>
          <w:szCs w:val="24"/>
        </w:rPr>
        <w:t xml:space="preserve"> investigation.  </w:t>
      </w:r>
      <w:r w:rsidR="00B00F06">
        <w:rPr>
          <w:rFonts w:ascii="Arial" w:hAnsi="Arial" w:cs="Arial"/>
          <w:bCs/>
          <w:sz w:val="24"/>
          <w:szCs w:val="24"/>
        </w:rPr>
        <w:t xml:space="preserve">  </w:t>
      </w:r>
      <w:r w:rsidR="00743D0D">
        <w:rPr>
          <w:rFonts w:ascii="Arial" w:hAnsi="Arial" w:cs="Arial"/>
          <w:bCs/>
          <w:sz w:val="24"/>
          <w:szCs w:val="24"/>
        </w:rPr>
        <w:t xml:space="preserve">To further support this </w:t>
      </w:r>
      <w:r w:rsidR="00226EEE">
        <w:rPr>
          <w:rFonts w:ascii="Arial" w:hAnsi="Arial" w:cs="Arial"/>
          <w:bCs/>
          <w:sz w:val="24"/>
          <w:szCs w:val="24"/>
        </w:rPr>
        <w:t>model,</w:t>
      </w:r>
      <w:r w:rsidR="00743D0D">
        <w:rPr>
          <w:rFonts w:ascii="Arial" w:hAnsi="Arial" w:cs="Arial"/>
          <w:bCs/>
          <w:sz w:val="24"/>
          <w:szCs w:val="24"/>
        </w:rPr>
        <w:t xml:space="preserve"> we will be trialling</w:t>
      </w:r>
      <w:r w:rsidR="00F201F6">
        <w:rPr>
          <w:rFonts w:ascii="Arial" w:hAnsi="Arial" w:cs="Arial"/>
          <w:bCs/>
          <w:sz w:val="24"/>
          <w:szCs w:val="24"/>
        </w:rPr>
        <w:t xml:space="preserve"> a</w:t>
      </w:r>
      <w:r w:rsidR="00743D0D">
        <w:rPr>
          <w:rFonts w:ascii="Arial" w:hAnsi="Arial" w:cs="Arial"/>
          <w:bCs/>
          <w:sz w:val="24"/>
          <w:szCs w:val="24"/>
        </w:rPr>
        <w:t xml:space="preserve"> text messaging service</w:t>
      </w:r>
      <w:r w:rsidR="00F201F6">
        <w:rPr>
          <w:rFonts w:ascii="Arial" w:hAnsi="Arial" w:cs="Arial"/>
          <w:bCs/>
          <w:sz w:val="24"/>
          <w:szCs w:val="24"/>
        </w:rPr>
        <w:t xml:space="preserve"> from January 2026, notifying patients </w:t>
      </w:r>
      <w:r w:rsidR="00226EEE">
        <w:rPr>
          <w:rFonts w:ascii="Arial" w:hAnsi="Arial" w:cs="Arial"/>
          <w:bCs/>
          <w:sz w:val="24"/>
          <w:szCs w:val="24"/>
        </w:rPr>
        <w:t>to expect a call from the CNS regarding their referral.</w:t>
      </w:r>
    </w:p>
    <w:p w14:paraId="299FDC1D" w14:textId="610AAE97" w:rsidR="00B4311D" w:rsidRDefault="005C59CB" w:rsidP="001A0479">
      <w:pPr>
        <w:pStyle w:val="ListParagraph"/>
        <w:numPr>
          <w:ilvl w:val="0"/>
          <w:numId w:val="33"/>
        </w:numPr>
        <w:tabs>
          <w:tab w:val="clear" w:pos="720"/>
          <w:tab w:val="num" w:pos="426"/>
        </w:tabs>
        <w:ind w:left="284" w:hanging="284"/>
        <w:jc w:val="both"/>
        <w:rPr>
          <w:rFonts w:ascii="Arial" w:hAnsi="Arial" w:cs="Arial"/>
          <w:bCs/>
          <w:sz w:val="24"/>
          <w:szCs w:val="24"/>
        </w:rPr>
      </w:pPr>
      <w:r w:rsidRPr="00366538">
        <w:rPr>
          <w:rFonts w:ascii="Arial" w:hAnsi="Arial" w:cs="Arial"/>
          <w:bCs/>
          <w:sz w:val="24"/>
          <w:szCs w:val="24"/>
        </w:rPr>
        <w:t xml:space="preserve">Protecting </w:t>
      </w:r>
      <w:r w:rsidR="009F5431">
        <w:rPr>
          <w:rFonts w:ascii="Arial" w:hAnsi="Arial" w:cs="Arial"/>
          <w:bCs/>
          <w:sz w:val="24"/>
          <w:szCs w:val="24"/>
        </w:rPr>
        <w:t xml:space="preserve">CNS </w:t>
      </w:r>
      <w:r w:rsidRPr="00366538">
        <w:rPr>
          <w:rFonts w:ascii="Arial" w:hAnsi="Arial" w:cs="Arial"/>
          <w:bCs/>
          <w:sz w:val="24"/>
          <w:szCs w:val="24"/>
        </w:rPr>
        <w:t>USC capacity by ensuring non-</w:t>
      </w:r>
      <w:r w:rsidR="004C3837" w:rsidRPr="00366538">
        <w:rPr>
          <w:rFonts w:ascii="Arial" w:hAnsi="Arial" w:cs="Arial"/>
          <w:bCs/>
          <w:sz w:val="24"/>
          <w:szCs w:val="24"/>
        </w:rPr>
        <w:t xml:space="preserve">USC conditions such as LUTS, ED and chronic pain are </w:t>
      </w:r>
      <w:r w:rsidR="009F5431">
        <w:rPr>
          <w:rFonts w:ascii="Arial" w:hAnsi="Arial" w:cs="Arial"/>
          <w:bCs/>
          <w:sz w:val="24"/>
          <w:szCs w:val="24"/>
        </w:rPr>
        <w:t>redirected to alternative pathways</w:t>
      </w:r>
    </w:p>
    <w:p w14:paraId="21C005AC" w14:textId="42364754" w:rsidR="009F5431" w:rsidRDefault="003D7540" w:rsidP="001A0479">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Protected MpMRI slots are allocated on a weekly basis</w:t>
      </w:r>
      <w:r w:rsidR="00D511C4">
        <w:rPr>
          <w:rFonts w:ascii="Arial" w:hAnsi="Arial" w:cs="Arial"/>
          <w:bCs/>
          <w:sz w:val="24"/>
          <w:szCs w:val="24"/>
        </w:rPr>
        <w:t xml:space="preserve"> with the aim to ensure a </w:t>
      </w:r>
      <w:r w:rsidR="002515D2">
        <w:rPr>
          <w:rFonts w:ascii="Arial" w:hAnsi="Arial" w:cs="Arial"/>
          <w:bCs/>
          <w:sz w:val="24"/>
          <w:szCs w:val="24"/>
        </w:rPr>
        <w:t>7-day</w:t>
      </w:r>
      <w:r w:rsidR="00D511C4">
        <w:rPr>
          <w:rFonts w:ascii="Arial" w:hAnsi="Arial" w:cs="Arial"/>
          <w:bCs/>
          <w:sz w:val="24"/>
          <w:szCs w:val="24"/>
        </w:rPr>
        <w:t xml:space="preserve"> turn</w:t>
      </w:r>
      <w:r w:rsidR="002515D2">
        <w:rPr>
          <w:rFonts w:ascii="Arial" w:hAnsi="Arial" w:cs="Arial"/>
          <w:bCs/>
          <w:sz w:val="24"/>
          <w:szCs w:val="24"/>
        </w:rPr>
        <w:t xml:space="preserve">around to reported scan.  This will be monitored over the next 6 weeks to evaluate their impact on overall lead-times. </w:t>
      </w:r>
    </w:p>
    <w:p w14:paraId="793B14A4" w14:textId="72DAF60E" w:rsidR="008D1862" w:rsidRDefault="00F23535" w:rsidP="001A0479">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Consideration to train a Band 7 CNS in LATP biops</w:t>
      </w:r>
      <w:r w:rsidR="00A07799">
        <w:rPr>
          <w:rFonts w:ascii="Arial" w:hAnsi="Arial" w:cs="Arial"/>
          <w:bCs/>
          <w:sz w:val="24"/>
          <w:szCs w:val="24"/>
        </w:rPr>
        <w:t>y</w:t>
      </w:r>
      <w:r>
        <w:rPr>
          <w:rFonts w:ascii="Arial" w:hAnsi="Arial" w:cs="Arial"/>
          <w:bCs/>
          <w:sz w:val="24"/>
          <w:szCs w:val="24"/>
        </w:rPr>
        <w:t xml:space="preserve">, </w:t>
      </w:r>
      <w:r w:rsidR="000A71CB">
        <w:rPr>
          <w:rFonts w:ascii="Arial" w:hAnsi="Arial" w:cs="Arial"/>
          <w:bCs/>
          <w:sz w:val="24"/>
          <w:szCs w:val="24"/>
        </w:rPr>
        <w:t>however,</w:t>
      </w:r>
      <w:r>
        <w:rPr>
          <w:rFonts w:ascii="Arial" w:hAnsi="Arial" w:cs="Arial"/>
          <w:bCs/>
          <w:sz w:val="24"/>
          <w:szCs w:val="24"/>
        </w:rPr>
        <w:t xml:space="preserve"> </w:t>
      </w:r>
      <w:r w:rsidR="00281278">
        <w:rPr>
          <w:rFonts w:ascii="Arial" w:hAnsi="Arial" w:cs="Arial"/>
          <w:bCs/>
          <w:sz w:val="24"/>
          <w:szCs w:val="24"/>
        </w:rPr>
        <w:t xml:space="preserve">backfill for training and re-banding once qualified are </w:t>
      </w:r>
      <w:r w:rsidR="00EE4A6A">
        <w:rPr>
          <w:rFonts w:ascii="Arial" w:hAnsi="Arial" w:cs="Arial"/>
          <w:bCs/>
          <w:sz w:val="24"/>
          <w:szCs w:val="24"/>
        </w:rPr>
        <w:t>matters that</w:t>
      </w:r>
      <w:r w:rsidR="006F7E39">
        <w:rPr>
          <w:rFonts w:ascii="Arial" w:hAnsi="Arial" w:cs="Arial"/>
          <w:bCs/>
          <w:sz w:val="24"/>
          <w:szCs w:val="24"/>
        </w:rPr>
        <w:t xml:space="preserve"> need to be worked through</w:t>
      </w:r>
      <w:r w:rsidR="003125AB">
        <w:rPr>
          <w:rFonts w:ascii="Arial" w:hAnsi="Arial" w:cs="Arial"/>
          <w:bCs/>
          <w:sz w:val="24"/>
          <w:szCs w:val="24"/>
        </w:rPr>
        <w:t>.</w:t>
      </w:r>
    </w:p>
    <w:p w14:paraId="177669C3" w14:textId="760ECEA8" w:rsidR="006F7E39" w:rsidRDefault="006F7E39" w:rsidP="001A0479">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The </w:t>
      </w:r>
      <w:r w:rsidR="00E33410">
        <w:rPr>
          <w:rFonts w:ascii="Arial" w:hAnsi="Arial" w:cs="Arial"/>
          <w:bCs/>
          <w:sz w:val="24"/>
          <w:szCs w:val="24"/>
        </w:rPr>
        <w:t>diagnostic phase of pathway is heavily reliant on a single individual (8a CNS)</w:t>
      </w:r>
      <w:r w:rsidR="00F22F27">
        <w:rPr>
          <w:rFonts w:ascii="Arial" w:hAnsi="Arial" w:cs="Arial"/>
          <w:bCs/>
          <w:sz w:val="24"/>
          <w:szCs w:val="24"/>
        </w:rPr>
        <w:t xml:space="preserve">.  The surgical phase of pathway is heavily </w:t>
      </w:r>
      <w:r w:rsidR="00947C8A">
        <w:rPr>
          <w:rFonts w:ascii="Arial" w:hAnsi="Arial" w:cs="Arial"/>
          <w:bCs/>
          <w:sz w:val="24"/>
          <w:szCs w:val="24"/>
        </w:rPr>
        <w:t>dependent</w:t>
      </w:r>
      <w:r w:rsidR="00F22F27">
        <w:rPr>
          <w:rFonts w:ascii="Arial" w:hAnsi="Arial" w:cs="Arial"/>
          <w:bCs/>
          <w:sz w:val="24"/>
          <w:szCs w:val="24"/>
        </w:rPr>
        <w:t xml:space="preserve"> on a single </w:t>
      </w:r>
      <w:r w:rsidR="000138ED">
        <w:rPr>
          <w:rFonts w:ascii="Arial" w:hAnsi="Arial" w:cs="Arial"/>
          <w:bCs/>
          <w:sz w:val="24"/>
          <w:szCs w:val="24"/>
        </w:rPr>
        <w:t>Surgical Care Practitioner</w:t>
      </w:r>
      <w:r w:rsidR="00836EB5">
        <w:rPr>
          <w:rFonts w:ascii="Arial" w:hAnsi="Arial" w:cs="Arial"/>
          <w:bCs/>
          <w:sz w:val="24"/>
          <w:szCs w:val="24"/>
        </w:rPr>
        <w:t xml:space="preserve"> whose role </w:t>
      </w:r>
      <w:r w:rsidR="00237993">
        <w:rPr>
          <w:rFonts w:ascii="Arial" w:hAnsi="Arial" w:cs="Arial"/>
          <w:bCs/>
          <w:sz w:val="24"/>
          <w:szCs w:val="24"/>
        </w:rPr>
        <w:t>has been externally funded for 2 years</w:t>
      </w:r>
      <w:r w:rsidR="001C02A2">
        <w:rPr>
          <w:rFonts w:ascii="Arial" w:hAnsi="Arial" w:cs="Arial"/>
          <w:bCs/>
          <w:sz w:val="24"/>
          <w:szCs w:val="24"/>
        </w:rPr>
        <w:t xml:space="preserve">, ending this financial year.  </w:t>
      </w:r>
      <w:r w:rsidR="000564FF">
        <w:rPr>
          <w:rFonts w:ascii="Arial" w:hAnsi="Arial" w:cs="Arial"/>
          <w:bCs/>
          <w:sz w:val="24"/>
          <w:szCs w:val="24"/>
        </w:rPr>
        <w:t>In the current fina</w:t>
      </w:r>
      <w:r w:rsidR="00CE7890">
        <w:rPr>
          <w:rFonts w:ascii="Arial" w:hAnsi="Arial" w:cs="Arial"/>
          <w:bCs/>
          <w:sz w:val="24"/>
          <w:szCs w:val="24"/>
        </w:rPr>
        <w:t>ncial climate, urgent decisions are required to</w:t>
      </w:r>
      <w:r w:rsidR="00093EEA">
        <w:rPr>
          <w:rFonts w:ascii="Arial" w:hAnsi="Arial" w:cs="Arial"/>
          <w:bCs/>
          <w:sz w:val="24"/>
          <w:szCs w:val="24"/>
        </w:rPr>
        <w:t xml:space="preserve"> support sustainable service provision.</w:t>
      </w:r>
    </w:p>
    <w:p w14:paraId="05A38594" w14:textId="77777777" w:rsidR="00F340F0" w:rsidRPr="00366538" w:rsidRDefault="00F340F0" w:rsidP="00F340F0">
      <w:pPr>
        <w:pStyle w:val="ListParagraph"/>
        <w:ind w:left="284"/>
        <w:jc w:val="both"/>
        <w:rPr>
          <w:rFonts w:ascii="Arial" w:hAnsi="Arial" w:cs="Arial"/>
          <w:bCs/>
          <w:sz w:val="24"/>
          <w:szCs w:val="24"/>
        </w:rPr>
      </w:pPr>
    </w:p>
    <w:p w14:paraId="5331C95D" w14:textId="1D940C7C" w:rsidR="00F340F0" w:rsidRDefault="008D291B" w:rsidP="00F340F0">
      <w:pPr>
        <w:jc w:val="both"/>
        <w:rPr>
          <w:rFonts w:ascii="Arial" w:hAnsi="Arial" w:cs="Arial"/>
          <w:b/>
          <w:bCs/>
          <w:color w:val="000000" w:themeColor="text1"/>
          <w:sz w:val="24"/>
          <w:szCs w:val="24"/>
        </w:rPr>
      </w:pPr>
      <w:r>
        <w:rPr>
          <w:rFonts w:ascii="Arial" w:hAnsi="Arial" w:cs="Arial"/>
          <w:b/>
          <w:bCs/>
          <w:color w:val="000000" w:themeColor="text1"/>
          <w:sz w:val="24"/>
          <w:szCs w:val="24"/>
        </w:rPr>
        <w:t>Lower GI a</w:t>
      </w:r>
      <w:r w:rsidR="00F340F0" w:rsidRPr="00F340F0">
        <w:rPr>
          <w:rFonts w:ascii="Arial" w:hAnsi="Arial" w:cs="Arial"/>
          <w:b/>
          <w:bCs/>
          <w:color w:val="000000" w:themeColor="text1"/>
          <w:sz w:val="24"/>
          <w:szCs w:val="24"/>
        </w:rPr>
        <w:t>ctions in progress include</w:t>
      </w:r>
    </w:p>
    <w:p w14:paraId="5443D056" w14:textId="54E00FD5" w:rsidR="00A80D1F" w:rsidRDefault="00F91C0A" w:rsidP="00A80D1F">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We currently have 3 </w:t>
      </w:r>
      <w:r w:rsidR="0046248D">
        <w:rPr>
          <w:rFonts w:ascii="Arial" w:hAnsi="Arial" w:cs="Arial"/>
          <w:bCs/>
          <w:sz w:val="24"/>
          <w:szCs w:val="24"/>
        </w:rPr>
        <w:t xml:space="preserve">employed </w:t>
      </w:r>
      <w:r>
        <w:rPr>
          <w:rFonts w:ascii="Arial" w:hAnsi="Arial" w:cs="Arial"/>
          <w:bCs/>
          <w:sz w:val="24"/>
          <w:szCs w:val="24"/>
        </w:rPr>
        <w:t>accredited BSW endoscopists</w:t>
      </w:r>
      <w:r w:rsidR="0013238C">
        <w:rPr>
          <w:rFonts w:ascii="Arial" w:hAnsi="Arial" w:cs="Arial"/>
          <w:bCs/>
          <w:sz w:val="24"/>
          <w:szCs w:val="24"/>
        </w:rPr>
        <w:t xml:space="preserve">, but due to LTS </w:t>
      </w:r>
      <w:r w:rsidR="008452C0">
        <w:rPr>
          <w:rFonts w:ascii="Arial" w:hAnsi="Arial" w:cs="Arial"/>
          <w:bCs/>
          <w:sz w:val="24"/>
          <w:szCs w:val="24"/>
        </w:rPr>
        <w:t xml:space="preserve"> </w:t>
      </w:r>
      <w:r w:rsidR="0046248D">
        <w:rPr>
          <w:rFonts w:ascii="Arial" w:hAnsi="Arial" w:cs="Arial"/>
          <w:bCs/>
          <w:sz w:val="24"/>
          <w:szCs w:val="24"/>
        </w:rPr>
        <w:t>only have 2</w:t>
      </w:r>
      <w:r w:rsidR="0008623E">
        <w:rPr>
          <w:rFonts w:ascii="Arial" w:hAnsi="Arial" w:cs="Arial"/>
          <w:bCs/>
          <w:sz w:val="24"/>
          <w:szCs w:val="24"/>
        </w:rPr>
        <w:t xml:space="preserve"> </w:t>
      </w:r>
      <w:r w:rsidR="006B4298">
        <w:rPr>
          <w:rFonts w:ascii="Arial" w:hAnsi="Arial" w:cs="Arial"/>
          <w:bCs/>
          <w:sz w:val="24"/>
          <w:szCs w:val="24"/>
        </w:rPr>
        <w:t>consultants</w:t>
      </w:r>
      <w:r w:rsidR="0008623E">
        <w:rPr>
          <w:rFonts w:ascii="Arial" w:hAnsi="Arial" w:cs="Arial"/>
          <w:bCs/>
          <w:sz w:val="24"/>
          <w:szCs w:val="24"/>
        </w:rPr>
        <w:t xml:space="preserve"> </w:t>
      </w:r>
      <w:r w:rsidR="008452C0">
        <w:rPr>
          <w:rFonts w:ascii="Arial" w:hAnsi="Arial" w:cs="Arial"/>
          <w:bCs/>
          <w:sz w:val="24"/>
          <w:szCs w:val="24"/>
        </w:rPr>
        <w:t>carrying out weekly list</w:t>
      </w:r>
      <w:r w:rsidR="00C55180">
        <w:rPr>
          <w:rFonts w:ascii="Arial" w:hAnsi="Arial" w:cs="Arial"/>
          <w:bCs/>
          <w:sz w:val="24"/>
          <w:szCs w:val="24"/>
        </w:rPr>
        <w:t>s.  Another clinician is currently participating in the accreditation process</w:t>
      </w:r>
      <w:r w:rsidR="00D42ED2">
        <w:rPr>
          <w:rFonts w:ascii="Arial" w:hAnsi="Arial" w:cs="Arial"/>
          <w:bCs/>
          <w:sz w:val="24"/>
          <w:szCs w:val="24"/>
        </w:rPr>
        <w:t xml:space="preserve"> and due to </w:t>
      </w:r>
      <w:r w:rsidR="005F6A9D">
        <w:rPr>
          <w:rFonts w:ascii="Arial" w:hAnsi="Arial" w:cs="Arial"/>
          <w:bCs/>
          <w:sz w:val="24"/>
          <w:szCs w:val="24"/>
        </w:rPr>
        <w:t>be re</w:t>
      </w:r>
      <w:r w:rsidR="00616042">
        <w:rPr>
          <w:rFonts w:ascii="Arial" w:hAnsi="Arial" w:cs="Arial"/>
          <w:bCs/>
          <w:sz w:val="24"/>
          <w:szCs w:val="24"/>
        </w:rPr>
        <w:t>-</w:t>
      </w:r>
      <w:r w:rsidR="005F6A9D">
        <w:rPr>
          <w:rFonts w:ascii="Arial" w:hAnsi="Arial" w:cs="Arial"/>
          <w:bCs/>
          <w:sz w:val="24"/>
          <w:szCs w:val="24"/>
        </w:rPr>
        <w:t>assess</w:t>
      </w:r>
      <w:r w:rsidR="00616042">
        <w:rPr>
          <w:rFonts w:ascii="Arial" w:hAnsi="Arial" w:cs="Arial"/>
          <w:bCs/>
          <w:sz w:val="24"/>
          <w:szCs w:val="24"/>
        </w:rPr>
        <w:t xml:space="preserve">ment </w:t>
      </w:r>
      <w:r w:rsidR="00054AE2">
        <w:rPr>
          <w:rFonts w:ascii="Arial" w:hAnsi="Arial" w:cs="Arial"/>
          <w:bCs/>
          <w:sz w:val="24"/>
          <w:szCs w:val="24"/>
        </w:rPr>
        <w:t>in</w:t>
      </w:r>
      <w:r w:rsidR="00616042">
        <w:rPr>
          <w:rFonts w:ascii="Arial" w:hAnsi="Arial" w:cs="Arial"/>
          <w:bCs/>
          <w:sz w:val="24"/>
          <w:szCs w:val="24"/>
        </w:rPr>
        <w:t xml:space="preserve"> </w:t>
      </w:r>
      <w:r w:rsidR="00BC47D4">
        <w:rPr>
          <w:rFonts w:ascii="Arial" w:hAnsi="Arial" w:cs="Arial"/>
          <w:bCs/>
          <w:sz w:val="24"/>
          <w:szCs w:val="24"/>
        </w:rPr>
        <w:t xml:space="preserve">February 2026.  </w:t>
      </w:r>
      <w:r w:rsidR="00A86F09">
        <w:rPr>
          <w:rFonts w:ascii="Arial" w:hAnsi="Arial" w:cs="Arial"/>
          <w:bCs/>
          <w:sz w:val="24"/>
          <w:szCs w:val="24"/>
        </w:rPr>
        <w:t xml:space="preserve">There is a need to </w:t>
      </w:r>
      <w:r w:rsidR="006373F7">
        <w:rPr>
          <w:rFonts w:ascii="Arial" w:hAnsi="Arial" w:cs="Arial"/>
          <w:bCs/>
          <w:sz w:val="24"/>
          <w:szCs w:val="24"/>
        </w:rPr>
        <w:t>increase BSW session</w:t>
      </w:r>
      <w:r w:rsidR="000F0ACB">
        <w:rPr>
          <w:rFonts w:ascii="Arial" w:hAnsi="Arial" w:cs="Arial"/>
          <w:bCs/>
          <w:sz w:val="24"/>
          <w:szCs w:val="24"/>
        </w:rPr>
        <w:t>s</w:t>
      </w:r>
      <w:r w:rsidR="006373F7">
        <w:rPr>
          <w:rFonts w:ascii="Arial" w:hAnsi="Arial" w:cs="Arial"/>
          <w:bCs/>
          <w:sz w:val="24"/>
          <w:szCs w:val="24"/>
        </w:rPr>
        <w:t xml:space="preserve"> and a requirement for </w:t>
      </w:r>
      <w:r w:rsidR="003D6B3D">
        <w:rPr>
          <w:rFonts w:ascii="Arial" w:hAnsi="Arial" w:cs="Arial"/>
          <w:bCs/>
          <w:sz w:val="24"/>
          <w:szCs w:val="24"/>
        </w:rPr>
        <w:t>insourcing due to the increased demand and growing waiting list</w:t>
      </w:r>
      <w:r w:rsidR="000F0ACB">
        <w:rPr>
          <w:rFonts w:ascii="Arial" w:hAnsi="Arial" w:cs="Arial"/>
          <w:bCs/>
          <w:sz w:val="24"/>
          <w:szCs w:val="24"/>
        </w:rPr>
        <w:t>s</w:t>
      </w:r>
      <w:r w:rsidR="003D6B3D">
        <w:rPr>
          <w:rFonts w:ascii="Arial" w:hAnsi="Arial" w:cs="Arial"/>
          <w:bCs/>
          <w:sz w:val="24"/>
          <w:szCs w:val="24"/>
        </w:rPr>
        <w:t xml:space="preserve">. </w:t>
      </w:r>
    </w:p>
    <w:p w14:paraId="6679F22B" w14:textId="33E1FC89" w:rsidR="00D67203" w:rsidRDefault="000A10AC" w:rsidP="00A80D1F">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MDM efficiencies are required to support timelier MDT discussions with </w:t>
      </w:r>
      <w:r w:rsidR="005A76EA">
        <w:rPr>
          <w:rFonts w:ascii="Arial" w:hAnsi="Arial" w:cs="Arial"/>
          <w:bCs/>
          <w:sz w:val="24"/>
          <w:szCs w:val="24"/>
        </w:rPr>
        <w:t xml:space="preserve">diagnostic reports being available and maximise </w:t>
      </w:r>
      <w:r w:rsidR="00B51883">
        <w:rPr>
          <w:rFonts w:ascii="Arial" w:hAnsi="Arial" w:cs="Arial"/>
          <w:bCs/>
          <w:sz w:val="24"/>
          <w:szCs w:val="24"/>
        </w:rPr>
        <w:t>effective use of MDT resources.</w:t>
      </w:r>
      <w:r w:rsidR="00026F8A">
        <w:rPr>
          <w:rFonts w:ascii="Arial" w:hAnsi="Arial" w:cs="Arial"/>
          <w:bCs/>
          <w:sz w:val="24"/>
          <w:szCs w:val="24"/>
        </w:rPr>
        <w:t xml:space="preserve">  </w:t>
      </w:r>
      <w:r w:rsidR="00D13B70">
        <w:rPr>
          <w:rFonts w:ascii="Arial" w:hAnsi="Arial" w:cs="Arial"/>
          <w:bCs/>
          <w:sz w:val="24"/>
          <w:szCs w:val="24"/>
        </w:rPr>
        <w:t xml:space="preserve">There is </w:t>
      </w:r>
      <w:r w:rsidR="00D13B70">
        <w:rPr>
          <w:rFonts w:ascii="Arial" w:hAnsi="Arial" w:cs="Arial"/>
          <w:bCs/>
          <w:sz w:val="24"/>
          <w:szCs w:val="24"/>
        </w:rPr>
        <w:lastRenderedPageBreak/>
        <w:t xml:space="preserve">wider MDT engagement to </w:t>
      </w:r>
      <w:r w:rsidR="00CF5A44">
        <w:rPr>
          <w:rFonts w:ascii="Arial" w:hAnsi="Arial" w:cs="Arial"/>
          <w:bCs/>
          <w:sz w:val="24"/>
          <w:szCs w:val="24"/>
        </w:rPr>
        <w:t>refine how patients are listed and early identification of unreported investigations</w:t>
      </w:r>
      <w:r w:rsidR="00EA27B6">
        <w:rPr>
          <w:rFonts w:ascii="Arial" w:hAnsi="Arial" w:cs="Arial"/>
          <w:bCs/>
          <w:sz w:val="24"/>
          <w:szCs w:val="24"/>
        </w:rPr>
        <w:t xml:space="preserve"> that are being trialled from 11</w:t>
      </w:r>
      <w:r w:rsidR="00EA27B6" w:rsidRPr="00EA27B6">
        <w:rPr>
          <w:rFonts w:ascii="Arial" w:hAnsi="Arial" w:cs="Arial"/>
          <w:bCs/>
          <w:sz w:val="24"/>
          <w:szCs w:val="24"/>
          <w:vertAlign w:val="superscript"/>
        </w:rPr>
        <w:t>th</w:t>
      </w:r>
      <w:r w:rsidR="00EA27B6">
        <w:rPr>
          <w:rFonts w:ascii="Arial" w:hAnsi="Arial" w:cs="Arial"/>
          <w:bCs/>
          <w:sz w:val="24"/>
          <w:szCs w:val="24"/>
        </w:rPr>
        <w:t xml:space="preserve"> December</w:t>
      </w:r>
      <w:r w:rsidR="0030103A">
        <w:rPr>
          <w:rFonts w:ascii="Arial" w:hAnsi="Arial" w:cs="Arial"/>
          <w:bCs/>
          <w:sz w:val="24"/>
          <w:szCs w:val="24"/>
        </w:rPr>
        <w:t xml:space="preserve"> 2025.</w:t>
      </w:r>
    </w:p>
    <w:p w14:paraId="3E611916" w14:textId="4892B9E9" w:rsidR="0030103A" w:rsidRDefault="00DB538E" w:rsidP="00A80D1F">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Early identification of patients to PAC for earlier assessment on suitability for treatment was </w:t>
      </w:r>
      <w:r w:rsidR="00676B36">
        <w:rPr>
          <w:rFonts w:ascii="Arial" w:hAnsi="Arial" w:cs="Arial"/>
          <w:bCs/>
          <w:sz w:val="24"/>
          <w:szCs w:val="24"/>
        </w:rPr>
        <w:t xml:space="preserve">adopted in September 2025.  </w:t>
      </w:r>
      <w:r w:rsidR="00C11CE7">
        <w:rPr>
          <w:rFonts w:ascii="Arial" w:hAnsi="Arial" w:cs="Arial"/>
          <w:bCs/>
          <w:sz w:val="24"/>
          <w:szCs w:val="24"/>
        </w:rPr>
        <w:t>Discussions on robust methods to cast a</w:t>
      </w:r>
      <w:r w:rsidR="00FD4456">
        <w:rPr>
          <w:rFonts w:ascii="Arial" w:hAnsi="Arial" w:cs="Arial"/>
          <w:bCs/>
          <w:sz w:val="24"/>
          <w:szCs w:val="24"/>
        </w:rPr>
        <w:t xml:space="preserve"> wider net for early identification of prehabilitation opportunities</w:t>
      </w:r>
      <w:r w:rsidR="00116859">
        <w:rPr>
          <w:rFonts w:ascii="Arial" w:hAnsi="Arial" w:cs="Arial"/>
          <w:bCs/>
          <w:sz w:val="24"/>
          <w:szCs w:val="24"/>
        </w:rPr>
        <w:t xml:space="preserve"> are underway, mitigating lost days later in the pathway </w:t>
      </w:r>
      <w:r w:rsidR="001A15E3">
        <w:rPr>
          <w:rFonts w:ascii="Arial" w:hAnsi="Arial" w:cs="Arial"/>
          <w:bCs/>
          <w:sz w:val="24"/>
          <w:szCs w:val="24"/>
        </w:rPr>
        <w:t xml:space="preserve">at the treatment stage where patients </w:t>
      </w:r>
      <w:r w:rsidR="007A7503">
        <w:rPr>
          <w:rFonts w:ascii="Arial" w:hAnsi="Arial" w:cs="Arial"/>
          <w:bCs/>
          <w:sz w:val="24"/>
          <w:szCs w:val="24"/>
        </w:rPr>
        <w:t xml:space="preserve">are identified to </w:t>
      </w:r>
      <w:r w:rsidR="001A15E3">
        <w:rPr>
          <w:rFonts w:ascii="Arial" w:hAnsi="Arial" w:cs="Arial"/>
          <w:bCs/>
          <w:sz w:val="24"/>
          <w:szCs w:val="24"/>
        </w:rPr>
        <w:t>need intervention</w:t>
      </w:r>
      <w:r w:rsidR="007A7503">
        <w:rPr>
          <w:rFonts w:ascii="Arial" w:hAnsi="Arial" w:cs="Arial"/>
          <w:bCs/>
          <w:sz w:val="24"/>
          <w:szCs w:val="24"/>
        </w:rPr>
        <w:t>.</w:t>
      </w:r>
    </w:p>
    <w:p w14:paraId="72A29FFD" w14:textId="572A556C" w:rsidR="000A614A" w:rsidRDefault="00FA6385" w:rsidP="00A80D1F">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TSG to ratify short notice</w:t>
      </w:r>
      <w:r w:rsidR="0041067A">
        <w:rPr>
          <w:rFonts w:ascii="Arial" w:hAnsi="Arial" w:cs="Arial"/>
          <w:bCs/>
          <w:sz w:val="24"/>
          <w:szCs w:val="24"/>
        </w:rPr>
        <w:t xml:space="preserve"> changes SOP</w:t>
      </w:r>
      <w:r w:rsidR="008616AF">
        <w:rPr>
          <w:rFonts w:ascii="Arial" w:hAnsi="Arial" w:cs="Arial"/>
          <w:bCs/>
          <w:sz w:val="24"/>
          <w:szCs w:val="24"/>
        </w:rPr>
        <w:t xml:space="preserve"> for theatres listing.  </w:t>
      </w:r>
      <w:r w:rsidR="00C42251">
        <w:rPr>
          <w:rFonts w:ascii="Arial" w:hAnsi="Arial" w:cs="Arial"/>
          <w:bCs/>
          <w:sz w:val="24"/>
          <w:szCs w:val="24"/>
        </w:rPr>
        <w:t>Due to pre-assessment waits</w:t>
      </w:r>
      <w:r w:rsidR="00B111CE">
        <w:rPr>
          <w:rFonts w:ascii="Arial" w:hAnsi="Arial" w:cs="Arial"/>
          <w:bCs/>
          <w:sz w:val="24"/>
          <w:szCs w:val="24"/>
        </w:rPr>
        <w:t xml:space="preserve"> cancer lists are not being </w:t>
      </w:r>
      <w:r w:rsidR="00051A07">
        <w:rPr>
          <w:rFonts w:ascii="Arial" w:hAnsi="Arial" w:cs="Arial"/>
          <w:bCs/>
          <w:sz w:val="24"/>
          <w:szCs w:val="24"/>
        </w:rPr>
        <w:t>fully utilised for cancer patients</w:t>
      </w:r>
      <w:r w:rsidR="0052361F">
        <w:rPr>
          <w:rFonts w:ascii="Arial" w:hAnsi="Arial" w:cs="Arial"/>
          <w:bCs/>
          <w:sz w:val="24"/>
          <w:szCs w:val="24"/>
        </w:rPr>
        <w:t xml:space="preserve"> and with 6-4-2 process</w:t>
      </w:r>
      <w:r w:rsidR="00537656">
        <w:rPr>
          <w:rFonts w:ascii="Arial" w:hAnsi="Arial" w:cs="Arial"/>
          <w:bCs/>
          <w:sz w:val="24"/>
          <w:szCs w:val="24"/>
        </w:rPr>
        <w:t xml:space="preserve">es, </w:t>
      </w:r>
      <w:r w:rsidR="009F6D1A">
        <w:rPr>
          <w:rFonts w:ascii="Arial" w:hAnsi="Arial" w:cs="Arial"/>
          <w:bCs/>
          <w:sz w:val="24"/>
          <w:szCs w:val="24"/>
        </w:rPr>
        <w:t xml:space="preserve">this is having a knock-on effect and extending waiting times further. </w:t>
      </w:r>
    </w:p>
    <w:p w14:paraId="31909EAB" w14:textId="6FB9EB8C" w:rsidR="002E6439" w:rsidRDefault="002E6439" w:rsidP="0019642E">
      <w:pPr>
        <w:spacing w:after="0" w:line="240" w:lineRule="auto"/>
        <w:rPr>
          <w:rFonts w:ascii="Arial" w:hAnsi="Arial" w:cs="Arial"/>
          <w:b/>
          <w:sz w:val="24"/>
          <w:szCs w:val="24"/>
        </w:rPr>
      </w:pPr>
    </w:p>
    <w:p w14:paraId="4013483A" w14:textId="2AC65C8A" w:rsidR="005E6B3E" w:rsidRDefault="005E6B3E" w:rsidP="005E6B3E">
      <w:pPr>
        <w:jc w:val="both"/>
        <w:rPr>
          <w:rFonts w:ascii="Arial" w:hAnsi="Arial" w:cs="Arial"/>
          <w:b/>
          <w:bCs/>
          <w:color w:val="000000" w:themeColor="text1"/>
          <w:sz w:val="24"/>
          <w:szCs w:val="24"/>
        </w:rPr>
      </w:pPr>
      <w:r>
        <w:rPr>
          <w:rFonts w:ascii="Arial" w:hAnsi="Arial" w:cs="Arial"/>
          <w:b/>
          <w:bCs/>
          <w:color w:val="000000" w:themeColor="text1"/>
          <w:sz w:val="24"/>
          <w:szCs w:val="24"/>
        </w:rPr>
        <w:t>Gynaecological a</w:t>
      </w:r>
      <w:r w:rsidRPr="00F340F0">
        <w:rPr>
          <w:rFonts w:ascii="Arial" w:hAnsi="Arial" w:cs="Arial"/>
          <w:b/>
          <w:bCs/>
          <w:color w:val="000000" w:themeColor="text1"/>
          <w:sz w:val="24"/>
          <w:szCs w:val="24"/>
        </w:rPr>
        <w:t>ctions in progress include</w:t>
      </w:r>
    </w:p>
    <w:p w14:paraId="158EAEF3" w14:textId="37FF8232" w:rsidR="00993C70" w:rsidRDefault="00277771" w:rsidP="00993C70">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Discussions initiated for </w:t>
      </w:r>
      <w:r w:rsidR="00EE778B">
        <w:rPr>
          <w:rFonts w:ascii="Arial" w:hAnsi="Arial" w:cs="Arial"/>
          <w:bCs/>
          <w:sz w:val="24"/>
          <w:szCs w:val="24"/>
        </w:rPr>
        <w:t>disaggregation</w:t>
      </w:r>
      <w:r>
        <w:rPr>
          <w:rFonts w:ascii="Arial" w:hAnsi="Arial" w:cs="Arial"/>
          <w:bCs/>
          <w:sz w:val="24"/>
          <w:szCs w:val="24"/>
        </w:rPr>
        <w:t xml:space="preserve"> of PMB serv</w:t>
      </w:r>
      <w:r w:rsidR="00EE778B">
        <w:rPr>
          <w:rFonts w:ascii="Arial" w:hAnsi="Arial" w:cs="Arial"/>
          <w:bCs/>
          <w:sz w:val="24"/>
          <w:szCs w:val="24"/>
        </w:rPr>
        <w:t xml:space="preserve">ices with CTMUB.  </w:t>
      </w:r>
      <w:r w:rsidR="00F635EF">
        <w:rPr>
          <w:rFonts w:ascii="Arial" w:hAnsi="Arial" w:cs="Arial"/>
          <w:bCs/>
          <w:sz w:val="24"/>
          <w:szCs w:val="24"/>
        </w:rPr>
        <w:t xml:space="preserve">Work is </w:t>
      </w:r>
      <w:r w:rsidR="00B2356D">
        <w:rPr>
          <w:rFonts w:ascii="Arial" w:hAnsi="Arial" w:cs="Arial"/>
          <w:bCs/>
          <w:sz w:val="24"/>
          <w:szCs w:val="24"/>
        </w:rPr>
        <w:t>ongoing</w:t>
      </w:r>
      <w:r w:rsidR="00F635EF">
        <w:rPr>
          <w:rFonts w:ascii="Arial" w:hAnsi="Arial" w:cs="Arial"/>
          <w:bCs/>
          <w:sz w:val="24"/>
          <w:szCs w:val="24"/>
        </w:rPr>
        <w:t xml:space="preserve"> on service demand and capacity modelling with a meeting planned for January </w:t>
      </w:r>
      <w:r w:rsidR="00B2356D">
        <w:rPr>
          <w:rFonts w:ascii="Arial" w:hAnsi="Arial" w:cs="Arial"/>
          <w:bCs/>
          <w:sz w:val="24"/>
          <w:szCs w:val="24"/>
        </w:rPr>
        <w:t xml:space="preserve">2026 </w:t>
      </w:r>
      <w:r w:rsidR="00F635EF">
        <w:rPr>
          <w:rFonts w:ascii="Arial" w:hAnsi="Arial" w:cs="Arial"/>
          <w:bCs/>
          <w:sz w:val="24"/>
          <w:szCs w:val="24"/>
        </w:rPr>
        <w:t xml:space="preserve">to finalise </w:t>
      </w:r>
      <w:r w:rsidR="00B2356D">
        <w:rPr>
          <w:rFonts w:ascii="Arial" w:hAnsi="Arial" w:cs="Arial"/>
          <w:bCs/>
          <w:sz w:val="24"/>
          <w:szCs w:val="24"/>
        </w:rPr>
        <w:t>an impact assessment.</w:t>
      </w:r>
      <w:r w:rsidR="00993C70">
        <w:rPr>
          <w:rFonts w:ascii="Arial" w:hAnsi="Arial" w:cs="Arial"/>
          <w:bCs/>
          <w:sz w:val="24"/>
          <w:szCs w:val="24"/>
        </w:rPr>
        <w:t xml:space="preserve"> </w:t>
      </w:r>
    </w:p>
    <w:p w14:paraId="5DE84C78" w14:textId="5BE4D241" w:rsidR="00993C70" w:rsidRDefault="00FB48D8" w:rsidP="00993C70">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HSBUK to continue to provide PMB </w:t>
      </w:r>
      <w:r w:rsidR="00826DEB">
        <w:rPr>
          <w:rFonts w:ascii="Arial" w:hAnsi="Arial" w:cs="Arial"/>
          <w:bCs/>
          <w:sz w:val="24"/>
          <w:szCs w:val="24"/>
        </w:rPr>
        <w:t xml:space="preserve">capacity through to March 2025 with a view to be included in plans for </w:t>
      </w:r>
      <w:r w:rsidR="00C9006B">
        <w:rPr>
          <w:rFonts w:ascii="Arial" w:hAnsi="Arial" w:cs="Arial"/>
          <w:bCs/>
          <w:sz w:val="24"/>
          <w:szCs w:val="24"/>
        </w:rPr>
        <w:t xml:space="preserve">25/26 financial year. </w:t>
      </w:r>
    </w:p>
    <w:p w14:paraId="57AFF98B" w14:textId="520D2AD2" w:rsidR="004200FA" w:rsidRDefault="004200FA" w:rsidP="00993C70">
      <w:pPr>
        <w:pStyle w:val="ListParagraph"/>
        <w:numPr>
          <w:ilvl w:val="0"/>
          <w:numId w:val="33"/>
        </w:numPr>
        <w:tabs>
          <w:tab w:val="clear" w:pos="720"/>
          <w:tab w:val="num" w:pos="426"/>
        </w:tabs>
        <w:ind w:left="284" w:hanging="284"/>
        <w:jc w:val="both"/>
        <w:rPr>
          <w:rFonts w:ascii="Arial" w:hAnsi="Arial" w:cs="Arial"/>
          <w:bCs/>
          <w:sz w:val="24"/>
          <w:szCs w:val="24"/>
        </w:rPr>
      </w:pPr>
      <w:r w:rsidRPr="004200FA">
        <w:rPr>
          <w:rFonts w:ascii="Arial" w:hAnsi="Arial" w:cs="Arial"/>
          <w:bCs/>
          <w:sz w:val="24"/>
          <w:szCs w:val="24"/>
        </w:rPr>
        <w:t>Establish opportunities on Ward 16 for additional Outpatient Clinics/Hysteroscopy/Minor Op clinics to take place</w:t>
      </w:r>
      <w:r>
        <w:rPr>
          <w:rFonts w:ascii="Arial" w:hAnsi="Arial" w:cs="Arial"/>
          <w:bCs/>
          <w:sz w:val="24"/>
          <w:szCs w:val="24"/>
        </w:rPr>
        <w:t xml:space="preserve">.  </w:t>
      </w:r>
      <w:r w:rsidR="007269C2" w:rsidRPr="007269C2">
        <w:rPr>
          <w:rFonts w:ascii="Arial" w:hAnsi="Arial" w:cs="Arial"/>
          <w:bCs/>
          <w:sz w:val="24"/>
          <w:szCs w:val="24"/>
        </w:rPr>
        <w:t>Included within Theatre Business case with Welsh Government. No formal response received</w:t>
      </w:r>
      <w:r w:rsidR="00FE3D0D">
        <w:rPr>
          <w:rFonts w:ascii="Arial" w:hAnsi="Arial" w:cs="Arial"/>
          <w:bCs/>
          <w:sz w:val="24"/>
          <w:szCs w:val="24"/>
        </w:rPr>
        <w:t>.</w:t>
      </w:r>
    </w:p>
    <w:p w14:paraId="088189BC" w14:textId="6B8E7B79" w:rsidR="00FE3D0D" w:rsidRDefault="00BE2CAF" w:rsidP="00993C70">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The service has appointed a Cancer Unit Lead who has commenced in post </w:t>
      </w:r>
      <w:r w:rsidR="00D05470">
        <w:rPr>
          <w:rFonts w:ascii="Arial" w:hAnsi="Arial" w:cs="Arial"/>
          <w:bCs/>
          <w:sz w:val="24"/>
          <w:szCs w:val="24"/>
        </w:rPr>
        <w:t xml:space="preserve">in November 2025. </w:t>
      </w:r>
    </w:p>
    <w:p w14:paraId="57303C33" w14:textId="397390C5" w:rsidR="007038DA" w:rsidRPr="00D01BB3" w:rsidRDefault="007038DA" w:rsidP="007038DA">
      <w:pPr>
        <w:pStyle w:val="ListParagraph"/>
        <w:numPr>
          <w:ilvl w:val="0"/>
          <w:numId w:val="33"/>
        </w:numPr>
        <w:tabs>
          <w:tab w:val="clear" w:pos="720"/>
          <w:tab w:val="num" w:pos="426"/>
        </w:tabs>
        <w:ind w:left="284" w:hanging="284"/>
        <w:jc w:val="both"/>
        <w:rPr>
          <w:rFonts w:ascii="Arial" w:hAnsi="Arial" w:cs="Arial"/>
          <w:bCs/>
          <w:sz w:val="24"/>
          <w:szCs w:val="24"/>
        </w:rPr>
      </w:pPr>
      <w:r w:rsidRPr="007038DA">
        <w:rPr>
          <w:rFonts w:ascii="Arial" w:hAnsi="Arial" w:cs="Arial"/>
          <w:bCs/>
          <w:sz w:val="24"/>
          <w:szCs w:val="24"/>
        </w:rPr>
        <w:t>A locum</w:t>
      </w:r>
      <w:r>
        <w:rPr>
          <w:rFonts w:ascii="Arial" w:hAnsi="Arial" w:cs="Arial"/>
          <w:bCs/>
          <w:sz w:val="24"/>
          <w:szCs w:val="24"/>
        </w:rPr>
        <w:t xml:space="preserve"> </w:t>
      </w:r>
      <w:r w:rsidR="0066087C">
        <w:rPr>
          <w:rFonts w:ascii="Arial" w:hAnsi="Arial" w:cs="Arial"/>
          <w:bCs/>
          <w:sz w:val="24"/>
          <w:szCs w:val="24"/>
        </w:rPr>
        <w:t>g</w:t>
      </w:r>
      <w:r>
        <w:rPr>
          <w:rFonts w:ascii="Arial" w:hAnsi="Arial" w:cs="Arial"/>
          <w:bCs/>
          <w:sz w:val="24"/>
          <w:szCs w:val="24"/>
        </w:rPr>
        <w:t>ynae-oncology</w:t>
      </w:r>
      <w:r w:rsidRPr="007038DA">
        <w:rPr>
          <w:rFonts w:ascii="Arial" w:hAnsi="Arial" w:cs="Arial"/>
          <w:bCs/>
          <w:sz w:val="24"/>
          <w:szCs w:val="24"/>
        </w:rPr>
        <w:t xml:space="preserve"> surgeon has been working with the gynae-oncology team, this is to remain in place through to end of financial year, expecting long term provision of </w:t>
      </w:r>
      <w:r w:rsidR="0066087C">
        <w:rPr>
          <w:rFonts w:ascii="Arial" w:hAnsi="Arial" w:cs="Arial"/>
          <w:bCs/>
          <w:sz w:val="24"/>
          <w:szCs w:val="24"/>
        </w:rPr>
        <w:t xml:space="preserve">complex </w:t>
      </w:r>
      <w:r w:rsidRPr="007038DA">
        <w:rPr>
          <w:rFonts w:ascii="Arial" w:hAnsi="Arial" w:cs="Arial"/>
          <w:bCs/>
          <w:sz w:val="24"/>
          <w:szCs w:val="24"/>
        </w:rPr>
        <w:t xml:space="preserve">gynaecological cancer services to continue to progress through to implementation from April 2026. </w:t>
      </w:r>
    </w:p>
    <w:p w14:paraId="708259A6" w14:textId="77777777" w:rsidR="007038DA" w:rsidRPr="008E5254" w:rsidRDefault="007038DA" w:rsidP="007038DA">
      <w:pPr>
        <w:pStyle w:val="ListParagraph"/>
        <w:numPr>
          <w:ilvl w:val="1"/>
          <w:numId w:val="33"/>
        </w:numPr>
        <w:spacing w:after="0" w:line="240" w:lineRule="auto"/>
        <w:jc w:val="both"/>
        <w:rPr>
          <w:rFonts w:ascii="Arial" w:hAnsi="Arial" w:cs="Arial"/>
          <w:b/>
          <w:sz w:val="24"/>
          <w:szCs w:val="24"/>
        </w:rPr>
      </w:pPr>
      <w:r w:rsidRPr="008E5254">
        <w:rPr>
          <w:rFonts w:ascii="Arial" w:hAnsi="Arial" w:cs="Arial"/>
          <w:b/>
          <w:sz w:val="24"/>
          <w:szCs w:val="24"/>
        </w:rPr>
        <w:t>Phase 1 – Preparation &amp; Communication</w:t>
      </w:r>
      <w:r>
        <w:rPr>
          <w:rFonts w:ascii="Arial" w:hAnsi="Arial" w:cs="Arial"/>
          <w:b/>
          <w:sz w:val="24"/>
          <w:szCs w:val="24"/>
        </w:rPr>
        <w:t xml:space="preserve"> (August 2025 – October 2025)</w:t>
      </w:r>
    </w:p>
    <w:p w14:paraId="53B62F70" w14:textId="77777777" w:rsidR="007038DA" w:rsidRDefault="007038DA" w:rsidP="007038DA">
      <w:pPr>
        <w:pStyle w:val="ListParagraph"/>
        <w:spacing w:after="0" w:line="240" w:lineRule="auto"/>
        <w:ind w:left="1440"/>
        <w:jc w:val="both"/>
        <w:rPr>
          <w:rFonts w:ascii="Arial" w:hAnsi="Arial" w:cs="Arial"/>
          <w:bCs/>
          <w:sz w:val="24"/>
          <w:szCs w:val="24"/>
        </w:rPr>
      </w:pPr>
      <w:r>
        <w:rPr>
          <w:rFonts w:ascii="Arial" w:hAnsi="Arial" w:cs="Arial"/>
          <w:bCs/>
          <w:sz w:val="24"/>
          <w:szCs w:val="24"/>
        </w:rPr>
        <w:t>Data gathering, engagement strategies</w:t>
      </w:r>
    </w:p>
    <w:p w14:paraId="0F46B887" w14:textId="77777777" w:rsidR="007038DA" w:rsidRPr="008E5254" w:rsidRDefault="007038DA" w:rsidP="007038DA">
      <w:pPr>
        <w:pStyle w:val="ListParagraph"/>
        <w:numPr>
          <w:ilvl w:val="1"/>
          <w:numId w:val="33"/>
        </w:numPr>
        <w:spacing w:after="0" w:line="240" w:lineRule="auto"/>
        <w:jc w:val="both"/>
        <w:rPr>
          <w:rFonts w:ascii="Arial" w:hAnsi="Arial" w:cs="Arial"/>
          <w:b/>
          <w:sz w:val="24"/>
          <w:szCs w:val="24"/>
        </w:rPr>
      </w:pPr>
      <w:r w:rsidRPr="008E5254">
        <w:rPr>
          <w:rFonts w:ascii="Arial" w:hAnsi="Arial" w:cs="Arial"/>
          <w:b/>
          <w:sz w:val="24"/>
          <w:szCs w:val="24"/>
        </w:rPr>
        <w:t>Phase 2 – Business Case Development (October 2025 – January 2026)</w:t>
      </w:r>
    </w:p>
    <w:p w14:paraId="2721C88B" w14:textId="77777777" w:rsidR="007038DA" w:rsidRDefault="007038DA" w:rsidP="007038DA">
      <w:pPr>
        <w:pStyle w:val="ListParagraph"/>
        <w:spacing w:after="0" w:line="240" w:lineRule="auto"/>
        <w:ind w:left="1440"/>
        <w:jc w:val="both"/>
        <w:rPr>
          <w:rFonts w:ascii="Arial" w:hAnsi="Arial" w:cs="Arial"/>
          <w:bCs/>
          <w:sz w:val="24"/>
          <w:szCs w:val="24"/>
        </w:rPr>
      </w:pPr>
      <w:r>
        <w:rPr>
          <w:rFonts w:ascii="Arial" w:hAnsi="Arial" w:cs="Arial"/>
          <w:bCs/>
          <w:sz w:val="24"/>
          <w:szCs w:val="24"/>
        </w:rPr>
        <w:t>Model development with stakeholders including 6-week public engagement</w:t>
      </w:r>
    </w:p>
    <w:p w14:paraId="56174A7F" w14:textId="77777777" w:rsidR="007038DA" w:rsidRDefault="007038DA" w:rsidP="007038DA">
      <w:pPr>
        <w:pStyle w:val="ListParagraph"/>
        <w:numPr>
          <w:ilvl w:val="1"/>
          <w:numId w:val="33"/>
        </w:numPr>
        <w:spacing w:after="0" w:line="240" w:lineRule="auto"/>
        <w:jc w:val="both"/>
        <w:rPr>
          <w:rFonts w:ascii="Arial" w:hAnsi="Arial" w:cs="Arial"/>
          <w:b/>
          <w:sz w:val="24"/>
          <w:szCs w:val="24"/>
        </w:rPr>
      </w:pPr>
      <w:r>
        <w:rPr>
          <w:rFonts w:ascii="Arial" w:hAnsi="Arial" w:cs="Arial"/>
          <w:b/>
          <w:sz w:val="24"/>
          <w:szCs w:val="24"/>
        </w:rPr>
        <w:t>Phase 3 – Launch Plan (January 2026 – March 2026)</w:t>
      </w:r>
    </w:p>
    <w:p w14:paraId="5691C759" w14:textId="77777777" w:rsidR="007038DA" w:rsidRDefault="007038DA" w:rsidP="007038DA">
      <w:pPr>
        <w:pStyle w:val="ListParagraph"/>
        <w:spacing w:after="0" w:line="240" w:lineRule="auto"/>
        <w:ind w:left="1440"/>
        <w:jc w:val="both"/>
        <w:rPr>
          <w:rFonts w:ascii="Arial" w:hAnsi="Arial" w:cs="Arial"/>
          <w:bCs/>
          <w:sz w:val="24"/>
          <w:szCs w:val="24"/>
        </w:rPr>
      </w:pPr>
      <w:r w:rsidRPr="008E5254">
        <w:rPr>
          <w:rFonts w:ascii="Arial" w:hAnsi="Arial" w:cs="Arial"/>
          <w:bCs/>
          <w:sz w:val="24"/>
          <w:szCs w:val="24"/>
        </w:rPr>
        <w:t>Operationalise plan</w:t>
      </w:r>
      <w:r>
        <w:rPr>
          <w:rFonts w:ascii="Arial" w:hAnsi="Arial" w:cs="Arial"/>
          <w:bCs/>
          <w:sz w:val="24"/>
          <w:szCs w:val="24"/>
        </w:rPr>
        <w:t>ning</w:t>
      </w:r>
    </w:p>
    <w:p w14:paraId="1B50F1ED" w14:textId="77777777" w:rsidR="005E6B3E" w:rsidRDefault="005E6B3E" w:rsidP="005E6B3E">
      <w:pPr>
        <w:jc w:val="both"/>
        <w:rPr>
          <w:rFonts w:ascii="Arial" w:hAnsi="Arial" w:cs="Arial"/>
          <w:b/>
          <w:bCs/>
          <w:color w:val="000000" w:themeColor="text1"/>
          <w:sz w:val="24"/>
          <w:szCs w:val="24"/>
        </w:rPr>
      </w:pPr>
    </w:p>
    <w:p w14:paraId="6AA8A340" w14:textId="503DDB90" w:rsidR="00ED6AF2" w:rsidRDefault="00ED6AF2" w:rsidP="00ED6AF2">
      <w:pPr>
        <w:jc w:val="both"/>
        <w:rPr>
          <w:rFonts w:ascii="Arial" w:hAnsi="Arial" w:cs="Arial"/>
          <w:b/>
          <w:bCs/>
          <w:color w:val="000000" w:themeColor="text1"/>
          <w:sz w:val="24"/>
          <w:szCs w:val="24"/>
        </w:rPr>
      </w:pPr>
      <w:r>
        <w:rPr>
          <w:rFonts w:ascii="Arial" w:hAnsi="Arial" w:cs="Arial"/>
          <w:b/>
          <w:bCs/>
          <w:color w:val="000000" w:themeColor="text1"/>
          <w:sz w:val="24"/>
          <w:szCs w:val="24"/>
        </w:rPr>
        <w:t>Skin a</w:t>
      </w:r>
      <w:r w:rsidRPr="00F340F0">
        <w:rPr>
          <w:rFonts w:ascii="Arial" w:hAnsi="Arial" w:cs="Arial"/>
          <w:b/>
          <w:bCs/>
          <w:color w:val="000000" w:themeColor="text1"/>
          <w:sz w:val="24"/>
          <w:szCs w:val="24"/>
        </w:rPr>
        <w:t>ctions in progress include</w:t>
      </w:r>
    </w:p>
    <w:p w14:paraId="28FA39AD" w14:textId="45D5FD67" w:rsidR="005E6B3E" w:rsidRDefault="008A03D8" w:rsidP="007A1C9E">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Several</w:t>
      </w:r>
      <w:r w:rsidR="00977C1C">
        <w:rPr>
          <w:rFonts w:ascii="Arial" w:hAnsi="Arial" w:cs="Arial"/>
          <w:bCs/>
          <w:sz w:val="24"/>
          <w:szCs w:val="24"/>
        </w:rPr>
        <w:t xml:space="preserve"> Dermatology</w:t>
      </w:r>
      <w:r w:rsidR="00686484">
        <w:rPr>
          <w:rFonts w:ascii="Arial" w:hAnsi="Arial" w:cs="Arial"/>
          <w:bCs/>
          <w:sz w:val="24"/>
          <w:szCs w:val="24"/>
        </w:rPr>
        <w:t xml:space="preserve"> WLI’s have been held </w:t>
      </w:r>
      <w:r w:rsidR="00A251BB">
        <w:rPr>
          <w:rFonts w:ascii="Arial" w:hAnsi="Arial" w:cs="Arial"/>
          <w:bCs/>
          <w:sz w:val="24"/>
          <w:szCs w:val="24"/>
        </w:rPr>
        <w:t xml:space="preserve">over recent months </w:t>
      </w:r>
      <w:r w:rsidR="00686484">
        <w:rPr>
          <w:rFonts w:ascii="Arial" w:hAnsi="Arial" w:cs="Arial"/>
          <w:bCs/>
          <w:sz w:val="24"/>
          <w:szCs w:val="24"/>
        </w:rPr>
        <w:t xml:space="preserve">to </w:t>
      </w:r>
      <w:r w:rsidR="00A251BB">
        <w:rPr>
          <w:rFonts w:ascii="Arial" w:hAnsi="Arial" w:cs="Arial"/>
          <w:bCs/>
          <w:sz w:val="24"/>
          <w:szCs w:val="24"/>
        </w:rPr>
        <w:t xml:space="preserve">mitigate capacity shortfall.  </w:t>
      </w:r>
      <w:r w:rsidR="00977C1C">
        <w:rPr>
          <w:rFonts w:ascii="Arial" w:hAnsi="Arial" w:cs="Arial"/>
          <w:bCs/>
          <w:sz w:val="24"/>
          <w:szCs w:val="24"/>
        </w:rPr>
        <w:t xml:space="preserve">Most recently a clinic was held on the </w:t>
      </w:r>
      <w:r w:rsidR="00EE4A6A">
        <w:rPr>
          <w:rFonts w:ascii="Arial" w:hAnsi="Arial" w:cs="Arial"/>
          <w:bCs/>
          <w:sz w:val="24"/>
          <w:szCs w:val="24"/>
        </w:rPr>
        <w:t>3</w:t>
      </w:r>
      <w:r w:rsidR="00EE4A6A" w:rsidRPr="00977C1C">
        <w:rPr>
          <w:rFonts w:ascii="Arial" w:hAnsi="Arial" w:cs="Arial"/>
          <w:bCs/>
          <w:sz w:val="24"/>
          <w:szCs w:val="24"/>
          <w:vertAlign w:val="superscript"/>
        </w:rPr>
        <w:t xml:space="preserve">rd </w:t>
      </w:r>
      <w:r w:rsidR="00977C1C">
        <w:rPr>
          <w:rFonts w:ascii="Arial" w:hAnsi="Arial" w:cs="Arial"/>
          <w:bCs/>
          <w:sz w:val="24"/>
          <w:szCs w:val="24"/>
        </w:rPr>
        <w:t xml:space="preserve">December 2025 </w:t>
      </w:r>
      <w:r w:rsidR="007A1C9E" w:rsidRPr="007A1C9E">
        <w:rPr>
          <w:rFonts w:ascii="Arial" w:hAnsi="Arial" w:cs="Arial"/>
          <w:bCs/>
          <w:sz w:val="24"/>
          <w:szCs w:val="24"/>
        </w:rPr>
        <w:t xml:space="preserve">(30 patients) and a further </w:t>
      </w:r>
      <w:r w:rsidR="00977C1C">
        <w:rPr>
          <w:rFonts w:ascii="Arial" w:hAnsi="Arial" w:cs="Arial"/>
          <w:bCs/>
          <w:sz w:val="24"/>
          <w:szCs w:val="24"/>
        </w:rPr>
        <w:t xml:space="preserve">larger clinic is </w:t>
      </w:r>
      <w:r w:rsidR="007A1C9E" w:rsidRPr="007A1C9E">
        <w:rPr>
          <w:rFonts w:ascii="Arial" w:hAnsi="Arial" w:cs="Arial"/>
          <w:bCs/>
          <w:sz w:val="24"/>
          <w:szCs w:val="24"/>
        </w:rPr>
        <w:t>scheduled for the 10</w:t>
      </w:r>
      <w:r w:rsidR="007A1C9E" w:rsidRPr="00977C1C">
        <w:rPr>
          <w:rFonts w:ascii="Arial" w:hAnsi="Arial" w:cs="Arial"/>
          <w:bCs/>
          <w:sz w:val="24"/>
          <w:szCs w:val="24"/>
          <w:vertAlign w:val="superscript"/>
        </w:rPr>
        <w:t>th</w:t>
      </w:r>
      <w:r w:rsidR="00977C1C">
        <w:rPr>
          <w:rFonts w:ascii="Arial" w:hAnsi="Arial" w:cs="Arial"/>
          <w:bCs/>
          <w:sz w:val="24"/>
          <w:szCs w:val="24"/>
        </w:rPr>
        <w:t xml:space="preserve"> </w:t>
      </w:r>
      <w:r w:rsidR="007A1C9E" w:rsidRPr="007A1C9E">
        <w:rPr>
          <w:rFonts w:ascii="Arial" w:hAnsi="Arial" w:cs="Arial"/>
          <w:bCs/>
          <w:sz w:val="24"/>
          <w:szCs w:val="24"/>
        </w:rPr>
        <w:t>Jan</w:t>
      </w:r>
      <w:r w:rsidR="00977C1C">
        <w:rPr>
          <w:rFonts w:ascii="Arial" w:hAnsi="Arial" w:cs="Arial"/>
          <w:bCs/>
          <w:sz w:val="24"/>
          <w:szCs w:val="24"/>
        </w:rPr>
        <w:t xml:space="preserve">uary 2026 </w:t>
      </w:r>
      <w:r w:rsidR="007A1C9E" w:rsidRPr="007A1C9E">
        <w:rPr>
          <w:rFonts w:ascii="Arial" w:hAnsi="Arial" w:cs="Arial"/>
          <w:bCs/>
          <w:sz w:val="24"/>
          <w:szCs w:val="24"/>
        </w:rPr>
        <w:t>(80 patients)</w:t>
      </w:r>
      <w:r>
        <w:rPr>
          <w:rFonts w:ascii="Arial" w:hAnsi="Arial" w:cs="Arial"/>
          <w:bCs/>
          <w:sz w:val="24"/>
          <w:szCs w:val="24"/>
        </w:rPr>
        <w:t>.</w:t>
      </w:r>
    </w:p>
    <w:p w14:paraId="7A8681EB" w14:textId="6FB15170" w:rsidR="008A03D8" w:rsidRDefault="005C797F" w:rsidP="007A1C9E">
      <w:pPr>
        <w:pStyle w:val="ListParagraph"/>
        <w:numPr>
          <w:ilvl w:val="0"/>
          <w:numId w:val="33"/>
        </w:numPr>
        <w:tabs>
          <w:tab w:val="clear" w:pos="720"/>
          <w:tab w:val="num" w:pos="426"/>
        </w:tabs>
        <w:ind w:left="284" w:hanging="284"/>
        <w:jc w:val="both"/>
        <w:rPr>
          <w:rFonts w:ascii="Arial" w:hAnsi="Arial" w:cs="Arial"/>
          <w:bCs/>
          <w:sz w:val="24"/>
          <w:szCs w:val="24"/>
        </w:rPr>
      </w:pPr>
      <w:r w:rsidRPr="005C797F">
        <w:rPr>
          <w:rFonts w:ascii="Arial" w:hAnsi="Arial" w:cs="Arial"/>
          <w:bCs/>
          <w:sz w:val="24"/>
          <w:szCs w:val="24"/>
        </w:rPr>
        <w:t xml:space="preserve">Improved position for </w:t>
      </w:r>
      <w:r w:rsidR="009D2F73">
        <w:rPr>
          <w:rFonts w:ascii="Arial" w:hAnsi="Arial" w:cs="Arial"/>
          <w:bCs/>
          <w:sz w:val="24"/>
          <w:szCs w:val="24"/>
        </w:rPr>
        <w:t>P</w:t>
      </w:r>
      <w:r w:rsidRPr="005C797F">
        <w:rPr>
          <w:rFonts w:ascii="Arial" w:hAnsi="Arial" w:cs="Arial"/>
          <w:bCs/>
          <w:sz w:val="24"/>
          <w:szCs w:val="24"/>
        </w:rPr>
        <w:t xml:space="preserve">lastic </w:t>
      </w:r>
      <w:r w:rsidR="009D2F73">
        <w:rPr>
          <w:rFonts w:ascii="Arial" w:hAnsi="Arial" w:cs="Arial"/>
          <w:bCs/>
          <w:sz w:val="24"/>
          <w:szCs w:val="24"/>
        </w:rPr>
        <w:t>S</w:t>
      </w:r>
      <w:r w:rsidRPr="005C797F">
        <w:rPr>
          <w:rFonts w:ascii="Arial" w:hAnsi="Arial" w:cs="Arial"/>
          <w:bCs/>
          <w:sz w:val="24"/>
          <w:szCs w:val="24"/>
        </w:rPr>
        <w:t>urgery, with process in place for weekly meetings with booking team and service manager, as well as robust escalation process for capacity shortfalls</w:t>
      </w:r>
      <w:r>
        <w:rPr>
          <w:rFonts w:ascii="Arial" w:hAnsi="Arial" w:cs="Arial"/>
          <w:bCs/>
          <w:sz w:val="24"/>
          <w:szCs w:val="24"/>
        </w:rPr>
        <w:t xml:space="preserve">. </w:t>
      </w:r>
    </w:p>
    <w:p w14:paraId="6FE6CFE6" w14:textId="3A9C625B" w:rsidR="00702BBE" w:rsidRDefault="00DD282F" w:rsidP="007A1C9E">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Skin was a targeted area for outsourcing of pathology reporting due to backlogs.  The </w:t>
      </w:r>
      <w:r w:rsidR="001D7C57">
        <w:rPr>
          <w:rFonts w:ascii="Arial" w:hAnsi="Arial" w:cs="Arial"/>
          <w:bCs/>
          <w:sz w:val="24"/>
          <w:szCs w:val="24"/>
        </w:rPr>
        <w:t>impact of this work</w:t>
      </w:r>
      <w:r w:rsidR="00AE3684">
        <w:rPr>
          <w:rFonts w:ascii="Arial" w:hAnsi="Arial" w:cs="Arial"/>
          <w:bCs/>
          <w:sz w:val="24"/>
          <w:szCs w:val="24"/>
        </w:rPr>
        <w:t xml:space="preserve"> </w:t>
      </w:r>
      <w:r w:rsidR="00702BBE">
        <w:rPr>
          <w:rFonts w:ascii="Arial" w:hAnsi="Arial" w:cs="Arial"/>
          <w:bCs/>
          <w:sz w:val="24"/>
          <w:szCs w:val="24"/>
        </w:rPr>
        <w:t xml:space="preserve">to our skin pathways is </w:t>
      </w:r>
      <w:r w:rsidR="00AE3684">
        <w:rPr>
          <w:rFonts w:ascii="Arial" w:hAnsi="Arial" w:cs="Arial"/>
          <w:bCs/>
          <w:sz w:val="24"/>
          <w:szCs w:val="24"/>
        </w:rPr>
        <w:t xml:space="preserve">to be confirmed. </w:t>
      </w:r>
    </w:p>
    <w:p w14:paraId="1AD63D44" w14:textId="175F3DB6" w:rsidR="00806B9E" w:rsidRDefault="00AE3684" w:rsidP="007A1C9E">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lastRenderedPageBreak/>
        <w:t xml:space="preserve"> </w:t>
      </w:r>
      <w:r w:rsidR="006F6052">
        <w:rPr>
          <w:rFonts w:ascii="Arial" w:hAnsi="Arial" w:cs="Arial"/>
          <w:bCs/>
          <w:sz w:val="24"/>
          <w:szCs w:val="24"/>
        </w:rPr>
        <w:t>X2 Locum Plastic Surgeons appointed</w:t>
      </w:r>
      <w:r w:rsidR="0060104E">
        <w:rPr>
          <w:rFonts w:ascii="Arial" w:hAnsi="Arial" w:cs="Arial"/>
          <w:bCs/>
          <w:sz w:val="24"/>
          <w:szCs w:val="24"/>
        </w:rPr>
        <w:t xml:space="preserve"> </w:t>
      </w:r>
      <w:r w:rsidR="0060104E" w:rsidRPr="0060104E">
        <w:rPr>
          <w:rFonts w:ascii="Arial" w:hAnsi="Arial" w:cs="Arial"/>
          <w:bCs/>
          <w:sz w:val="24"/>
          <w:szCs w:val="24"/>
        </w:rPr>
        <w:t>to support RTT delivery at stage 1 and delivery of SCP inc</w:t>
      </w:r>
      <w:r w:rsidR="0060104E">
        <w:rPr>
          <w:rFonts w:ascii="Arial" w:hAnsi="Arial" w:cs="Arial"/>
          <w:bCs/>
          <w:sz w:val="24"/>
          <w:szCs w:val="24"/>
        </w:rPr>
        <w:t>luding</w:t>
      </w:r>
      <w:r w:rsidR="0060104E" w:rsidRPr="0060104E">
        <w:rPr>
          <w:rFonts w:ascii="Arial" w:hAnsi="Arial" w:cs="Arial"/>
          <w:bCs/>
          <w:sz w:val="24"/>
          <w:szCs w:val="24"/>
        </w:rPr>
        <w:t xml:space="preserve"> running PSTC lists to maximise throughput</w:t>
      </w:r>
      <w:r w:rsidR="006F6052">
        <w:rPr>
          <w:rFonts w:ascii="Arial" w:hAnsi="Arial" w:cs="Arial"/>
          <w:bCs/>
          <w:sz w:val="24"/>
          <w:szCs w:val="24"/>
        </w:rPr>
        <w:t xml:space="preserve">, one in post in November </w:t>
      </w:r>
      <w:r w:rsidR="0060104E">
        <w:rPr>
          <w:rFonts w:ascii="Arial" w:hAnsi="Arial" w:cs="Arial"/>
          <w:bCs/>
          <w:sz w:val="24"/>
          <w:szCs w:val="24"/>
        </w:rPr>
        <w:t>2025, the</w:t>
      </w:r>
      <w:r w:rsidR="006F6052">
        <w:rPr>
          <w:rFonts w:ascii="Arial" w:hAnsi="Arial" w:cs="Arial"/>
          <w:bCs/>
          <w:sz w:val="24"/>
          <w:szCs w:val="24"/>
        </w:rPr>
        <w:t xml:space="preserve"> other due to commence Feb 2026.</w:t>
      </w:r>
    </w:p>
    <w:p w14:paraId="1E4BDB1F" w14:textId="4DCB0113" w:rsidR="000536EC" w:rsidRDefault="000536EC" w:rsidP="007A1C9E">
      <w:pPr>
        <w:pStyle w:val="ListParagraph"/>
        <w:numPr>
          <w:ilvl w:val="0"/>
          <w:numId w:val="33"/>
        </w:numPr>
        <w:tabs>
          <w:tab w:val="clear" w:pos="720"/>
          <w:tab w:val="num" w:pos="426"/>
        </w:tabs>
        <w:ind w:left="284" w:hanging="284"/>
        <w:jc w:val="both"/>
        <w:rPr>
          <w:rFonts w:ascii="Arial" w:hAnsi="Arial" w:cs="Arial"/>
          <w:bCs/>
          <w:sz w:val="24"/>
          <w:szCs w:val="24"/>
        </w:rPr>
      </w:pPr>
      <w:r w:rsidRPr="000536EC">
        <w:rPr>
          <w:rFonts w:ascii="Arial" w:hAnsi="Arial" w:cs="Arial"/>
          <w:bCs/>
          <w:sz w:val="24"/>
          <w:szCs w:val="24"/>
        </w:rPr>
        <w:t>Seeking agreement from Theatre Board for additional 2x weekly Morriston lists (originally requested March 2024)</w:t>
      </w:r>
    </w:p>
    <w:p w14:paraId="270E39EF" w14:textId="498077F4" w:rsidR="00051353" w:rsidRDefault="00051353" w:rsidP="007A1C9E">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HCSE team currently undertaking demand &amp; capacity gap analysis, findings due </w:t>
      </w:r>
      <w:r w:rsidR="00947E9E">
        <w:rPr>
          <w:rFonts w:ascii="Arial" w:hAnsi="Arial" w:cs="Arial"/>
          <w:bCs/>
          <w:sz w:val="24"/>
          <w:szCs w:val="24"/>
        </w:rPr>
        <w:t xml:space="preserve">by the end of this month.  </w:t>
      </w:r>
    </w:p>
    <w:p w14:paraId="28CC2E41" w14:textId="04E77255" w:rsidR="00947E9E" w:rsidRPr="007A1C9E" w:rsidRDefault="00947E9E" w:rsidP="007A1C9E">
      <w:pPr>
        <w:pStyle w:val="ListParagraph"/>
        <w:numPr>
          <w:ilvl w:val="0"/>
          <w:numId w:val="33"/>
        </w:numPr>
        <w:tabs>
          <w:tab w:val="clear" w:pos="720"/>
          <w:tab w:val="num" w:pos="426"/>
        </w:tabs>
        <w:ind w:left="284" w:hanging="284"/>
        <w:jc w:val="both"/>
        <w:rPr>
          <w:rFonts w:ascii="Arial" w:hAnsi="Arial" w:cs="Arial"/>
          <w:bCs/>
          <w:sz w:val="24"/>
          <w:szCs w:val="24"/>
        </w:rPr>
      </w:pPr>
      <w:r>
        <w:rPr>
          <w:rFonts w:ascii="Arial" w:hAnsi="Arial" w:cs="Arial"/>
          <w:bCs/>
          <w:sz w:val="24"/>
          <w:szCs w:val="24"/>
        </w:rPr>
        <w:t xml:space="preserve">SCF replacement of </w:t>
      </w:r>
      <w:r w:rsidR="00B73F03">
        <w:rPr>
          <w:rFonts w:ascii="Arial" w:hAnsi="Arial" w:cs="Arial"/>
          <w:bCs/>
          <w:sz w:val="24"/>
          <w:szCs w:val="24"/>
        </w:rPr>
        <w:t>vacant post is being shortlisted currently, interviews to be scheduled in December.</w:t>
      </w:r>
    </w:p>
    <w:p w14:paraId="2BF5BE8C" w14:textId="77777777" w:rsidR="00B20356" w:rsidRDefault="00B20356" w:rsidP="00ED6AF2">
      <w:pPr>
        <w:jc w:val="both"/>
        <w:rPr>
          <w:rFonts w:ascii="Arial" w:hAnsi="Arial" w:cs="Arial"/>
          <w:b/>
          <w:bCs/>
          <w:color w:val="000000" w:themeColor="text1"/>
          <w:sz w:val="24"/>
          <w:szCs w:val="24"/>
        </w:rPr>
      </w:pPr>
    </w:p>
    <w:p w14:paraId="19466CBC" w14:textId="23D48B6E" w:rsidR="00ED6AF2" w:rsidRDefault="00ED6AF2" w:rsidP="00ED6AF2">
      <w:pPr>
        <w:jc w:val="both"/>
        <w:rPr>
          <w:rFonts w:ascii="Arial" w:hAnsi="Arial" w:cs="Arial"/>
          <w:b/>
          <w:bCs/>
          <w:color w:val="000000" w:themeColor="text1"/>
          <w:sz w:val="24"/>
          <w:szCs w:val="24"/>
        </w:rPr>
      </w:pPr>
      <w:r>
        <w:rPr>
          <w:rFonts w:ascii="Arial" w:hAnsi="Arial" w:cs="Arial"/>
          <w:b/>
          <w:bCs/>
          <w:color w:val="000000" w:themeColor="text1"/>
          <w:sz w:val="24"/>
          <w:szCs w:val="24"/>
        </w:rPr>
        <w:t>Breast a</w:t>
      </w:r>
      <w:r w:rsidRPr="00F340F0">
        <w:rPr>
          <w:rFonts w:ascii="Arial" w:hAnsi="Arial" w:cs="Arial"/>
          <w:b/>
          <w:bCs/>
          <w:color w:val="000000" w:themeColor="text1"/>
          <w:sz w:val="24"/>
          <w:szCs w:val="24"/>
        </w:rPr>
        <w:t>ctions in progress include</w:t>
      </w:r>
    </w:p>
    <w:p w14:paraId="167B750F" w14:textId="1744C037" w:rsidR="00ED6AF2" w:rsidRDefault="005764F6" w:rsidP="00B57C64">
      <w:pPr>
        <w:pStyle w:val="ListParagraph"/>
        <w:numPr>
          <w:ilvl w:val="0"/>
          <w:numId w:val="35"/>
        </w:numPr>
        <w:jc w:val="both"/>
        <w:rPr>
          <w:rFonts w:ascii="Arial" w:hAnsi="Arial" w:cs="Arial"/>
          <w:color w:val="000000" w:themeColor="text1"/>
          <w:sz w:val="24"/>
          <w:szCs w:val="24"/>
        </w:rPr>
      </w:pPr>
      <w:r>
        <w:rPr>
          <w:rFonts w:ascii="Arial" w:hAnsi="Arial" w:cs="Arial"/>
          <w:color w:val="000000" w:themeColor="text1"/>
          <w:sz w:val="24"/>
          <w:szCs w:val="24"/>
        </w:rPr>
        <w:t>Radiology to progress appointment of a s</w:t>
      </w:r>
      <w:r w:rsidR="00B71EBC" w:rsidRPr="005764F6">
        <w:rPr>
          <w:rFonts w:ascii="Arial" w:hAnsi="Arial" w:cs="Arial"/>
          <w:color w:val="000000" w:themeColor="text1"/>
          <w:sz w:val="24"/>
          <w:szCs w:val="24"/>
        </w:rPr>
        <w:t xml:space="preserve">ubstantive </w:t>
      </w:r>
      <w:r w:rsidR="00C64CB1" w:rsidRPr="005764F6">
        <w:rPr>
          <w:rFonts w:ascii="Arial" w:hAnsi="Arial" w:cs="Arial"/>
          <w:color w:val="000000" w:themeColor="text1"/>
          <w:sz w:val="24"/>
          <w:szCs w:val="24"/>
        </w:rPr>
        <w:t>full-time</w:t>
      </w:r>
      <w:r w:rsidR="00B71EBC" w:rsidRPr="005764F6">
        <w:rPr>
          <w:rFonts w:ascii="Arial" w:hAnsi="Arial" w:cs="Arial"/>
          <w:color w:val="000000" w:themeColor="text1"/>
          <w:sz w:val="24"/>
          <w:szCs w:val="24"/>
        </w:rPr>
        <w:t xml:space="preserve"> radiologist</w:t>
      </w:r>
      <w:r w:rsidR="002A3609" w:rsidRPr="005764F6">
        <w:rPr>
          <w:rFonts w:ascii="Arial" w:hAnsi="Arial" w:cs="Arial"/>
          <w:color w:val="000000" w:themeColor="text1"/>
          <w:sz w:val="24"/>
          <w:szCs w:val="24"/>
        </w:rPr>
        <w:t xml:space="preserve"> </w:t>
      </w:r>
      <w:r w:rsidR="006C0E13" w:rsidRPr="005764F6">
        <w:rPr>
          <w:rFonts w:ascii="Arial" w:hAnsi="Arial" w:cs="Arial"/>
          <w:color w:val="000000" w:themeColor="text1"/>
          <w:sz w:val="24"/>
          <w:szCs w:val="24"/>
        </w:rPr>
        <w:t xml:space="preserve">to be advertised by radiology or consideration of appointing an NHS </w:t>
      </w:r>
      <w:r w:rsidRPr="005764F6">
        <w:rPr>
          <w:rFonts w:ascii="Arial" w:hAnsi="Arial" w:cs="Arial"/>
          <w:color w:val="000000" w:themeColor="text1"/>
          <w:sz w:val="24"/>
          <w:szCs w:val="24"/>
        </w:rPr>
        <w:t xml:space="preserve">locum to fill this post.  Is currently filled by </w:t>
      </w:r>
      <w:r w:rsidR="00C64CB1" w:rsidRPr="005764F6">
        <w:rPr>
          <w:rFonts w:ascii="Arial" w:hAnsi="Arial" w:cs="Arial"/>
          <w:color w:val="000000" w:themeColor="text1"/>
          <w:sz w:val="24"/>
          <w:szCs w:val="24"/>
        </w:rPr>
        <w:t>high-cost</w:t>
      </w:r>
      <w:r w:rsidRPr="005764F6">
        <w:rPr>
          <w:rFonts w:ascii="Arial" w:hAnsi="Arial" w:cs="Arial"/>
          <w:color w:val="000000" w:themeColor="text1"/>
          <w:sz w:val="24"/>
          <w:szCs w:val="24"/>
        </w:rPr>
        <w:t xml:space="preserve"> agency locum</w:t>
      </w:r>
      <w:r w:rsidR="00C64CB1">
        <w:rPr>
          <w:rFonts w:ascii="Arial" w:hAnsi="Arial" w:cs="Arial"/>
          <w:color w:val="000000" w:themeColor="text1"/>
          <w:sz w:val="24"/>
          <w:szCs w:val="24"/>
        </w:rPr>
        <w:t>.</w:t>
      </w:r>
    </w:p>
    <w:p w14:paraId="580BFB34" w14:textId="5D997E13" w:rsidR="00C64CB1" w:rsidRDefault="0003142D" w:rsidP="00B57C64">
      <w:pPr>
        <w:pStyle w:val="ListParagraph"/>
        <w:numPr>
          <w:ilvl w:val="0"/>
          <w:numId w:val="35"/>
        </w:numPr>
        <w:jc w:val="both"/>
        <w:rPr>
          <w:rFonts w:ascii="Arial" w:hAnsi="Arial" w:cs="Arial"/>
          <w:color w:val="000000" w:themeColor="text1"/>
          <w:sz w:val="24"/>
          <w:szCs w:val="24"/>
        </w:rPr>
      </w:pPr>
      <w:r>
        <w:rPr>
          <w:rFonts w:ascii="Arial" w:hAnsi="Arial" w:cs="Arial"/>
          <w:color w:val="000000" w:themeColor="text1"/>
          <w:sz w:val="24"/>
          <w:szCs w:val="24"/>
        </w:rPr>
        <w:t>A m</w:t>
      </w:r>
      <w:r w:rsidR="00203840">
        <w:rPr>
          <w:rFonts w:ascii="Arial" w:hAnsi="Arial" w:cs="Arial"/>
          <w:color w:val="000000" w:themeColor="text1"/>
          <w:sz w:val="24"/>
          <w:szCs w:val="24"/>
        </w:rPr>
        <w:t xml:space="preserve">eeting </w:t>
      </w:r>
      <w:r>
        <w:rPr>
          <w:rFonts w:ascii="Arial" w:hAnsi="Arial" w:cs="Arial"/>
          <w:color w:val="000000" w:themeColor="text1"/>
          <w:sz w:val="24"/>
          <w:szCs w:val="24"/>
        </w:rPr>
        <w:t xml:space="preserve">with Breast Test Wales </w:t>
      </w:r>
      <w:r w:rsidR="00C34D22">
        <w:rPr>
          <w:rFonts w:ascii="Arial" w:hAnsi="Arial" w:cs="Arial"/>
          <w:color w:val="000000" w:themeColor="text1"/>
          <w:sz w:val="24"/>
          <w:szCs w:val="24"/>
        </w:rPr>
        <w:t>scheduled for 11</w:t>
      </w:r>
      <w:r w:rsidR="00C34D22" w:rsidRPr="00C34D22">
        <w:rPr>
          <w:rFonts w:ascii="Arial" w:hAnsi="Arial" w:cs="Arial"/>
          <w:color w:val="000000" w:themeColor="text1"/>
          <w:sz w:val="24"/>
          <w:szCs w:val="24"/>
          <w:vertAlign w:val="superscript"/>
        </w:rPr>
        <w:t>th</w:t>
      </w:r>
      <w:r w:rsidR="00C34D22">
        <w:rPr>
          <w:rFonts w:ascii="Arial" w:hAnsi="Arial" w:cs="Arial"/>
          <w:color w:val="000000" w:themeColor="text1"/>
          <w:sz w:val="24"/>
          <w:szCs w:val="24"/>
        </w:rPr>
        <w:t xml:space="preserve"> December </w:t>
      </w:r>
      <w:r w:rsidR="001C47E5">
        <w:rPr>
          <w:rFonts w:ascii="Arial" w:hAnsi="Arial" w:cs="Arial"/>
          <w:color w:val="000000" w:themeColor="text1"/>
          <w:sz w:val="24"/>
          <w:szCs w:val="24"/>
        </w:rPr>
        <w:t xml:space="preserve">2025 </w:t>
      </w:r>
      <w:r w:rsidR="00C34D22">
        <w:rPr>
          <w:rFonts w:ascii="Arial" w:hAnsi="Arial" w:cs="Arial"/>
          <w:color w:val="000000" w:themeColor="text1"/>
          <w:sz w:val="24"/>
          <w:szCs w:val="24"/>
        </w:rPr>
        <w:t>will be rescheduled</w:t>
      </w:r>
      <w:r w:rsidR="00122816">
        <w:rPr>
          <w:rFonts w:ascii="Arial" w:hAnsi="Arial" w:cs="Arial"/>
          <w:color w:val="000000" w:themeColor="text1"/>
          <w:sz w:val="24"/>
          <w:szCs w:val="24"/>
        </w:rPr>
        <w:t xml:space="preserve">.  The HB made this </w:t>
      </w:r>
      <w:r w:rsidR="00C45FF0">
        <w:rPr>
          <w:rFonts w:ascii="Arial" w:hAnsi="Arial" w:cs="Arial"/>
          <w:color w:val="000000" w:themeColor="text1"/>
          <w:sz w:val="24"/>
          <w:szCs w:val="24"/>
        </w:rPr>
        <w:t xml:space="preserve">request to </w:t>
      </w:r>
      <w:r w:rsidR="00670465">
        <w:rPr>
          <w:rFonts w:ascii="Arial" w:hAnsi="Arial" w:cs="Arial"/>
          <w:color w:val="000000" w:themeColor="text1"/>
          <w:sz w:val="24"/>
          <w:szCs w:val="24"/>
        </w:rPr>
        <w:t xml:space="preserve">explore </w:t>
      </w:r>
      <w:r w:rsidR="00AB6927">
        <w:rPr>
          <w:rFonts w:ascii="Arial" w:hAnsi="Arial" w:cs="Arial"/>
          <w:color w:val="000000" w:themeColor="text1"/>
          <w:sz w:val="24"/>
          <w:szCs w:val="24"/>
        </w:rPr>
        <w:t>delays</w:t>
      </w:r>
      <w:r w:rsidR="00C45FF0">
        <w:rPr>
          <w:rFonts w:ascii="Arial" w:hAnsi="Arial" w:cs="Arial"/>
          <w:color w:val="000000" w:themeColor="text1"/>
          <w:sz w:val="24"/>
          <w:szCs w:val="24"/>
        </w:rPr>
        <w:t xml:space="preserve"> in referral and inconsistencies.</w:t>
      </w:r>
    </w:p>
    <w:p w14:paraId="3F900F53" w14:textId="0F4526B0" w:rsidR="002E6439" w:rsidRPr="004E6AAB" w:rsidRDefault="00347B93" w:rsidP="001907D3">
      <w:pPr>
        <w:pStyle w:val="ListParagraph"/>
        <w:numPr>
          <w:ilvl w:val="0"/>
          <w:numId w:val="35"/>
        </w:numPr>
        <w:spacing w:after="0" w:line="240" w:lineRule="auto"/>
        <w:jc w:val="both"/>
        <w:rPr>
          <w:rFonts w:ascii="Arial" w:hAnsi="Arial" w:cs="Arial"/>
          <w:b/>
          <w:sz w:val="24"/>
          <w:szCs w:val="24"/>
        </w:rPr>
      </w:pPr>
      <w:r w:rsidRPr="004E6AAB">
        <w:rPr>
          <w:rFonts w:ascii="Arial" w:hAnsi="Arial" w:cs="Arial"/>
          <w:color w:val="000000" w:themeColor="text1"/>
          <w:sz w:val="24"/>
          <w:szCs w:val="24"/>
        </w:rPr>
        <w:t xml:space="preserve">Streamline pathways </w:t>
      </w:r>
      <w:r w:rsidR="00C2359A" w:rsidRPr="004E6AAB">
        <w:rPr>
          <w:rFonts w:ascii="Arial" w:hAnsi="Arial" w:cs="Arial"/>
          <w:color w:val="000000" w:themeColor="text1"/>
          <w:sz w:val="24"/>
          <w:szCs w:val="24"/>
        </w:rPr>
        <w:t xml:space="preserve">between breast services, BTW and </w:t>
      </w:r>
      <w:r w:rsidR="00A25756" w:rsidRPr="004E6AAB">
        <w:rPr>
          <w:rFonts w:ascii="Arial" w:hAnsi="Arial" w:cs="Arial"/>
          <w:color w:val="000000" w:themeColor="text1"/>
          <w:sz w:val="24"/>
          <w:szCs w:val="24"/>
        </w:rPr>
        <w:t xml:space="preserve">plastic surgery </w:t>
      </w:r>
      <w:r w:rsidRPr="004E6AAB">
        <w:rPr>
          <w:rFonts w:ascii="Arial" w:hAnsi="Arial" w:cs="Arial"/>
          <w:color w:val="000000" w:themeColor="text1"/>
          <w:sz w:val="24"/>
          <w:szCs w:val="24"/>
        </w:rPr>
        <w:t xml:space="preserve">for patients requiring immediate reconstruction, </w:t>
      </w:r>
      <w:r w:rsidR="00704534" w:rsidRPr="004E6AAB">
        <w:rPr>
          <w:rFonts w:ascii="Arial" w:hAnsi="Arial" w:cs="Arial"/>
          <w:color w:val="000000" w:themeColor="text1"/>
          <w:sz w:val="24"/>
          <w:szCs w:val="24"/>
        </w:rPr>
        <w:t>reducing delays to surgery</w:t>
      </w:r>
      <w:r w:rsidR="004E6AAB">
        <w:rPr>
          <w:rFonts w:ascii="Arial" w:hAnsi="Arial" w:cs="Arial"/>
          <w:color w:val="000000" w:themeColor="text1"/>
          <w:sz w:val="24"/>
          <w:szCs w:val="24"/>
        </w:rPr>
        <w:t>.</w:t>
      </w:r>
    </w:p>
    <w:p w14:paraId="2B061F56" w14:textId="77777777" w:rsidR="004E6AAB" w:rsidRDefault="004E6AAB" w:rsidP="00610945">
      <w:pPr>
        <w:spacing w:after="0" w:line="240" w:lineRule="auto"/>
        <w:jc w:val="both"/>
        <w:rPr>
          <w:rFonts w:ascii="Arial" w:hAnsi="Arial" w:cs="Arial"/>
          <w:b/>
          <w:sz w:val="24"/>
          <w:szCs w:val="24"/>
        </w:rPr>
      </w:pPr>
    </w:p>
    <w:p w14:paraId="559E2FA8" w14:textId="09F079CD" w:rsidR="00610945" w:rsidRDefault="005C176D" w:rsidP="00610945">
      <w:pPr>
        <w:spacing w:after="0" w:line="240" w:lineRule="auto"/>
        <w:jc w:val="both"/>
        <w:rPr>
          <w:rFonts w:ascii="Arial" w:hAnsi="Arial" w:cs="Arial"/>
          <w:b/>
          <w:sz w:val="24"/>
          <w:szCs w:val="24"/>
        </w:rPr>
      </w:pPr>
      <w:r>
        <w:rPr>
          <w:rFonts w:ascii="Arial" w:hAnsi="Arial" w:cs="Arial"/>
          <w:b/>
          <w:sz w:val="24"/>
          <w:szCs w:val="24"/>
        </w:rPr>
        <w:t>Progress against MAG recommendations</w:t>
      </w:r>
    </w:p>
    <w:p w14:paraId="0CAEFCEA" w14:textId="77777777" w:rsidR="005C176D" w:rsidRDefault="005C176D" w:rsidP="00610945">
      <w:pPr>
        <w:spacing w:after="0" w:line="240" w:lineRule="auto"/>
        <w:jc w:val="both"/>
        <w:rPr>
          <w:rFonts w:ascii="Arial" w:hAnsi="Arial" w:cs="Arial"/>
          <w:b/>
          <w:sz w:val="24"/>
          <w:szCs w:val="24"/>
        </w:rPr>
      </w:pPr>
    </w:p>
    <w:tbl>
      <w:tblPr>
        <w:tblW w:w="9771" w:type="dxa"/>
        <w:tblCellMar>
          <w:left w:w="0" w:type="dxa"/>
          <w:right w:w="0" w:type="dxa"/>
        </w:tblCellMar>
        <w:tblLook w:val="0420" w:firstRow="1" w:lastRow="0" w:firstColumn="0" w:lastColumn="0" w:noHBand="0" w:noVBand="1"/>
      </w:tblPr>
      <w:tblGrid>
        <w:gridCol w:w="2276"/>
        <w:gridCol w:w="4944"/>
        <w:gridCol w:w="2551"/>
      </w:tblGrid>
      <w:tr w:rsidR="005C176D" w:rsidRPr="005C176D" w14:paraId="1CC424E8" w14:textId="77777777" w:rsidTr="00467413">
        <w:trPr>
          <w:trHeight w:val="219"/>
        </w:trPr>
        <w:tc>
          <w:tcPr>
            <w:tcW w:w="2276" w:type="dxa"/>
            <w:tcBorders>
              <w:top w:val="single" w:sz="8" w:space="0" w:color="FFFFFF"/>
              <w:left w:val="single" w:sz="8" w:space="0" w:color="FFFFFF"/>
              <w:bottom w:val="single" w:sz="24" w:space="0" w:color="FFFFFF"/>
              <w:right w:val="single" w:sz="8" w:space="0" w:color="FFFFFF"/>
            </w:tcBorders>
            <w:shd w:val="clear" w:color="auto" w:fill="DDDDDD"/>
            <w:tcMar>
              <w:top w:w="72" w:type="dxa"/>
              <w:left w:w="144" w:type="dxa"/>
              <w:bottom w:w="72" w:type="dxa"/>
              <w:right w:w="144" w:type="dxa"/>
            </w:tcMar>
            <w:hideMark/>
          </w:tcPr>
          <w:p w14:paraId="0F92E05D" w14:textId="77777777" w:rsidR="005C176D" w:rsidRPr="005C176D" w:rsidRDefault="005C176D" w:rsidP="005C176D">
            <w:pPr>
              <w:spacing w:after="0" w:line="240" w:lineRule="auto"/>
              <w:jc w:val="both"/>
              <w:rPr>
                <w:rFonts w:ascii="Arial" w:hAnsi="Arial" w:cs="Arial"/>
                <w:bCs/>
                <w:sz w:val="20"/>
                <w:szCs w:val="20"/>
              </w:rPr>
            </w:pPr>
          </w:p>
        </w:tc>
        <w:tc>
          <w:tcPr>
            <w:tcW w:w="4944" w:type="dxa"/>
            <w:tcBorders>
              <w:top w:val="single" w:sz="8" w:space="0" w:color="FFFFFF"/>
              <w:left w:val="single" w:sz="8" w:space="0" w:color="FFFFFF"/>
              <w:bottom w:val="single" w:sz="24" w:space="0" w:color="FFFFFF"/>
              <w:right w:val="single" w:sz="8" w:space="0" w:color="FFFFFF"/>
            </w:tcBorders>
            <w:shd w:val="clear" w:color="auto" w:fill="DDDDDD"/>
            <w:tcMar>
              <w:top w:w="72" w:type="dxa"/>
              <w:left w:w="144" w:type="dxa"/>
              <w:bottom w:w="72" w:type="dxa"/>
              <w:right w:w="144" w:type="dxa"/>
            </w:tcMar>
            <w:hideMark/>
          </w:tcPr>
          <w:p w14:paraId="10B60BE2"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Comment</w:t>
            </w:r>
          </w:p>
        </w:tc>
        <w:tc>
          <w:tcPr>
            <w:tcW w:w="2551" w:type="dxa"/>
            <w:tcBorders>
              <w:top w:val="single" w:sz="8" w:space="0" w:color="FFFFFF"/>
              <w:left w:val="single" w:sz="8" w:space="0" w:color="FFFFFF"/>
              <w:bottom w:val="single" w:sz="24" w:space="0" w:color="FFFFFF"/>
              <w:right w:val="single" w:sz="8" w:space="0" w:color="FFFFFF"/>
            </w:tcBorders>
            <w:shd w:val="clear" w:color="auto" w:fill="DDDDDD"/>
            <w:tcMar>
              <w:top w:w="72" w:type="dxa"/>
              <w:left w:w="144" w:type="dxa"/>
              <w:bottom w:w="72" w:type="dxa"/>
              <w:right w:w="144" w:type="dxa"/>
            </w:tcMar>
            <w:hideMark/>
          </w:tcPr>
          <w:p w14:paraId="32F28424"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RAG</w:t>
            </w:r>
          </w:p>
        </w:tc>
      </w:tr>
      <w:tr w:rsidR="005C176D" w:rsidRPr="005C176D" w14:paraId="6D41F5C3" w14:textId="77777777" w:rsidTr="00467413">
        <w:trPr>
          <w:trHeight w:val="1157"/>
        </w:trPr>
        <w:tc>
          <w:tcPr>
            <w:tcW w:w="2276" w:type="dxa"/>
            <w:tcBorders>
              <w:top w:val="single" w:sz="24" w:space="0" w:color="FFFFFF"/>
              <w:left w:val="single" w:sz="8" w:space="0" w:color="FFFFFF"/>
              <w:bottom w:val="single" w:sz="8" w:space="0" w:color="FFFFFF"/>
              <w:right w:val="single" w:sz="8" w:space="0" w:color="FFFFFF"/>
            </w:tcBorders>
            <w:shd w:val="clear" w:color="auto" w:fill="F2F2F2"/>
            <w:tcMar>
              <w:top w:w="72" w:type="dxa"/>
              <w:left w:w="144" w:type="dxa"/>
              <w:bottom w:w="72" w:type="dxa"/>
              <w:right w:w="144" w:type="dxa"/>
            </w:tcMar>
            <w:hideMark/>
          </w:tcPr>
          <w:p w14:paraId="2BC8AB3A"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Capsule sponge</w:t>
            </w:r>
          </w:p>
          <w:p w14:paraId="4C5DACD5"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(minimum of 25 pr HB)</w:t>
            </w:r>
          </w:p>
        </w:tc>
        <w:tc>
          <w:tcPr>
            <w:tcW w:w="4944" w:type="dxa"/>
            <w:tcBorders>
              <w:top w:val="single" w:sz="24" w:space="0" w:color="FFFFFF"/>
              <w:left w:val="single" w:sz="8" w:space="0" w:color="FFFFFF"/>
              <w:bottom w:val="single" w:sz="8" w:space="0" w:color="FFFFFF"/>
              <w:right w:val="single" w:sz="8" w:space="0" w:color="FFFFFF"/>
            </w:tcBorders>
            <w:shd w:val="clear" w:color="auto" w:fill="F2F2F2"/>
            <w:tcMar>
              <w:top w:w="72" w:type="dxa"/>
              <w:left w:w="144" w:type="dxa"/>
              <w:bottom w:w="72" w:type="dxa"/>
              <w:right w:w="144" w:type="dxa"/>
            </w:tcMar>
            <w:hideMark/>
          </w:tcPr>
          <w:p w14:paraId="40BC3C46"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X2 ANP’s underwent training 8</w:t>
            </w:r>
            <w:r w:rsidRPr="005C176D">
              <w:rPr>
                <w:rFonts w:ascii="Arial" w:hAnsi="Arial" w:cs="Arial"/>
                <w:bCs/>
                <w:sz w:val="20"/>
                <w:szCs w:val="20"/>
                <w:vertAlign w:val="superscript"/>
              </w:rPr>
              <w:t>th</w:t>
            </w:r>
            <w:r w:rsidRPr="005C176D">
              <w:rPr>
                <w:rFonts w:ascii="Arial" w:hAnsi="Arial" w:cs="Arial"/>
                <w:bCs/>
                <w:sz w:val="20"/>
                <w:szCs w:val="20"/>
              </w:rPr>
              <w:t xml:space="preserve"> October supported by Dr Haboubi and now qualified.</w:t>
            </w:r>
          </w:p>
          <w:p w14:paraId="10611B8E"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16 pts underwent procedure 8</w:t>
            </w:r>
            <w:r w:rsidRPr="005C176D">
              <w:rPr>
                <w:rFonts w:ascii="Arial" w:hAnsi="Arial" w:cs="Arial"/>
                <w:bCs/>
                <w:sz w:val="20"/>
                <w:szCs w:val="20"/>
                <w:vertAlign w:val="superscript"/>
              </w:rPr>
              <w:t>th</w:t>
            </w:r>
            <w:r w:rsidRPr="005C176D">
              <w:rPr>
                <w:rFonts w:ascii="Arial" w:hAnsi="Arial" w:cs="Arial"/>
                <w:bCs/>
                <w:sz w:val="20"/>
                <w:szCs w:val="20"/>
              </w:rPr>
              <w:t xml:space="preserve"> October (2 session list)</w:t>
            </w:r>
          </w:p>
          <w:p w14:paraId="786ACD0E"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8 pts planned for 19</w:t>
            </w:r>
            <w:r w:rsidRPr="005C176D">
              <w:rPr>
                <w:rFonts w:ascii="Arial" w:hAnsi="Arial" w:cs="Arial"/>
                <w:bCs/>
                <w:sz w:val="20"/>
                <w:szCs w:val="20"/>
                <w:vertAlign w:val="superscript"/>
              </w:rPr>
              <w:t>th</w:t>
            </w:r>
            <w:r w:rsidRPr="005C176D">
              <w:rPr>
                <w:rFonts w:ascii="Arial" w:hAnsi="Arial" w:cs="Arial"/>
                <w:bCs/>
                <w:sz w:val="20"/>
                <w:szCs w:val="20"/>
              </w:rPr>
              <w:t xml:space="preserve"> November (1 session list)</w:t>
            </w:r>
          </w:p>
        </w:tc>
        <w:tc>
          <w:tcPr>
            <w:tcW w:w="2551" w:type="dxa"/>
            <w:tcBorders>
              <w:top w:val="single" w:sz="24" w:space="0" w:color="FFFFFF"/>
              <w:left w:val="single" w:sz="8" w:space="0" w:color="FFFFFF"/>
              <w:bottom w:val="single" w:sz="8" w:space="0" w:color="FFFFFF"/>
              <w:right w:val="single" w:sz="8" w:space="0" w:color="FFFFFF"/>
            </w:tcBorders>
            <w:shd w:val="clear" w:color="auto" w:fill="FFC000"/>
            <w:tcMar>
              <w:top w:w="72" w:type="dxa"/>
              <w:left w:w="144" w:type="dxa"/>
              <w:bottom w:w="72" w:type="dxa"/>
              <w:right w:w="144" w:type="dxa"/>
            </w:tcMar>
            <w:hideMark/>
          </w:tcPr>
          <w:p w14:paraId="34499450" w14:textId="43ED097C" w:rsidR="005C176D" w:rsidRDefault="005C176D" w:rsidP="00467413">
            <w:pPr>
              <w:spacing w:after="0" w:line="240" w:lineRule="auto"/>
              <w:rPr>
                <w:rFonts w:ascii="Arial" w:hAnsi="Arial" w:cs="Arial"/>
                <w:bCs/>
                <w:sz w:val="20"/>
                <w:szCs w:val="20"/>
              </w:rPr>
            </w:pPr>
            <w:r w:rsidRPr="005C176D">
              <w:rPr>
                <w:rFonts w:ascii="Arial" w:hAnsi="Arial" w:cs="Arial"/>
                <w:bCs/>
                <w:sz w:val="20"/>
                <w:szCs w:val="20"/>
              </w:rPr>
              <w:t xml:space="preserve">Plans through to end of March </w:t>
            </w:r>
            <w:r w:rsidR="00467413" w:rsidRPr="005C176D">
              <w:rPr>
                <w:rFonts w:ascii="Arial" w:hAnsi="Arial" w:cs="Arial"/>
                <w:bCs/>
                <w:sz w:val="20"/>
                <w:szCs w:val="20"/>
              </w:rPr>
              <w:t>26</w:t>
            </w:r>
            <w:r w:rsidR="00467413">
              <w:rPr>
                <w:rFonts w:ascii="Arial" w:hAnsi="Arial" w:cs="Arial"/>
                <w:bCs/>
                <w:sz w:val="20"/>
                <w:szCs w:val="20"/>
              </w:rPr>
              <w:t xml:space="preserve"> and</w:t>
            </w:r>
            <w:r w:rsidR="0039155F">
              <w:rPr>
                <w:rFonts w:ascii="Arial" w:hAnsi="Arial" w:cs="Arial"/>
                <w:bCs/>
                <w:sz w:val="20"/>
                <w:szCs w:val="20"/>
              </w:rPr>
              <w:t xml:space="preserve"> from March 2026 </w:t>
            </w:r>
            <w:r w:rsidR="0086233B">
              <w:rPr>
                <w:rFonts w:ascii="Arial" w:hAnsi="Arial" w:cs="Arial"/>
                <w:bCs/>
                <w:sz w:val="20"/>
                <w:szCs w:val="20"/>
              </w:rPr>
              <w:t xml:space="preserve">are </w:t>
            </w:r>
            <w:r w:rsidR="0039155F">
              <w:rPr>
                <w:rFonts w:ascii="Arial" w:hAnsi="Arial" w:cs="Arial"/>
                <w:bCs/>
                <w:sz w:val="20"/>
                <w:szCs w:val="20"/>
              </w:rPr>
              <w:t>being developed</w:t>
            </w:r>
            <w:r w:rsidR="00B26F7B">
              <w:rPr>
                <w:rFonts w:ascii="Arial" w:hAnsi="Arial" w:cs="Arial"/>
                <w:bCs/>
                <w:sz w:val="20"/>
                <w:szCs w:val="20"/>
              </w:rPr>
              <w:t>.</w:t>
            </w:r>
          </w:p>
          <w:p w14:paraId="227DE90A" w14:textId="77777777" w:rsidR="00B26F7B" w:rsidRPr="005C176D" w:rsidRDefault="00B26F7B" w:rsidP="00467413">
            <w:pPr>
              <w:spacing w:after="0" w:line="240" w:lineRule="auto"/>
              <w:rPr>
                <w:rFonts w:ascii="Arial" w:hAnsi="Arial" w:cs="Arial"/>
                <w:bCs/>
                <w:sz w:val="20"/>
                <w:szCs w:val="20"/>
              </w:rPr>
            </w:pPr>
          </w:p>
          <w:p w14:paraId="05CB8F37" w14:textId="0535A3B3" w:rsidR="005C176D" w:rsidRPr="005C176D" w:rsidRDefault="005C176D" w:rsidP="00467413">
            <w:pPr>
              <w:spacing w:after="0" w:line="240" w:lineRule="auto"/>
              <w:rPr>
                <w:rFonts w:ascii="Arial" w:hAnsi="Arial" w:cs="Arial"/>
                <w:bCs/>
                <w:sz w:val="20"/>
                <w:szCs w:val="20"/>
              </w:rPr>
            </w:pPr>
          </w:p>
        </w:tc>
      </w:tr>
      <w:tr w:rsidR="005C176D" w:rsidRPr="005C176D" w14:paraId="3B3B27EA" w14:textId="77777777" w:rsidTr="00467413">
        <w:trPr>
          <w:trHeight w:val="1117"/>
        </w:trPr>
        <w:tc>
          <w:tcPr>
            <w:tcW w:w="2276" w:type="dxa"/>
            <w:tcBorders>
              <w:top w:val="single" w:sz="8" w:space="0" w:color="FFFFFF"/>
              <w:left w:val="single" w:sz="8" w:space="0" w:color="FFFFFF"/>
              <w:bottom w:val="single" w:sz="8" w:space="0" w:color="FFFFFF"/>
              <w:right w:val="single" w:sz="8" w:space="0" w:color="FFFFFF"/>
            </w:tcBorders>
            <w:shd w:val="clear" w:color="auto" w:fill="F9F9F9"/>
            <w:tcMar>
              <w:top w:w="72" w:type="dxa"/>
              <w:left w:w="144" w:type="dxa"/>
              <w:bottom w:w="72" w:type="dxa"/>
              <w:right w:w="144" w:type="dxa"/>
            </w:tcMar>
            <w:hideMark/>
          </w:tcPr>
          <w:p w14:paraId="167E304E"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Symptomatic Fit</w:t>
            </w:r>
          </w:p>
          <w:p w14:paraId="020FDA8F"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(80% of suspected LGI cancer referrals are accompanied by a FIT test)</w:t>
            </w:r>
          </w:p>
        </w:tc>
        <w:tc>
          <w:tcPr>
            <w:tcW w:w="4944" w:type="dxa"/>
            <w:tcBorders>
              <w:top w:val="single" w:sz="8" w:space="0" w:color="FFFFFF"/>
              <w:left w:val="single" w:sz="8" w:space="0" w:color="FFFFFF"/>
              <w:bottom w:val="single" w:sz="8" w:space="0" w:color="FFFFFF"/>
              <w:right w:val="single" w:sz="8" w:space="0" w:color="FFFFFF"/>
            </w:tcBorders>
            <w:shd w:val="clear" w:color="auto" w:fill="F9F9F9"/>
            <w:tcMar>
              <w:top w:w="72" w:type="dxa"/>
              <w:left w:w="144" w:type="dxa"/>
              <w:bottom w:w="72" w:type="dxa"/>
              <w:right w:w="144" w:type="dxa"/>
            </w:tcMar>
            <w:hideMark/>
          </w:tcPr>
          <w:p w14:paraId="35405899"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From symptomatic FIT dashboard – SBU.  80.6%</w:t>
            </w:r>
          </w:p>
        </w:tc>
        <w:tc>
          <w:tcPr>
            <w:tcW w:w="2551" w:type="dxa"/>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hideMark/>
          </w:tcPr>
          <w:p w14:paraId="0093A55A"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Complete</w:t>
            </w:r>
          </w:p>
        </w:tc>
      </w:tr>
      <w:tr w:rsidR="005C176D" w:rsidRPr="005C176D" w14:paraId="06D54AE7" w14:textId="77777777" w:rsidTr="00467413">
        <w:trPr>
          <w:trHeight w:val="901"/>
        </w:trPr>
        <w:tc>
          <w:tcPr>
            <w:tcW w:w="2276" w:type="dxa"/>
            <w:tcBorders>
              <w:top w:val="single" w:sz="8" w:space="0" w:color="FFFFFF"/>
              <w:left w:val="single" w:sz="8" w:space="0" w:color="FFFFFF"/>
              <w:bottom w:val="single" w:sz="8" w:space="0" w:color="FFFFFF"/>
              <w:right w:val="single" w:sz="8" w:space="0" w:color="FFFFFF"/>
            </w:tcBorders>
            <w:shd w:val="clear" w:color="auto" w:fill="F2F2F2"/>
            <w:tcMar>
              <w:top w:w="72" w:type="dxa"/>
              <w:left w:w="144" w:type="dxa"/>
              <w:bottom w:w="72" w:type="dxa"/>
              <w:right w:w="144" w:type="dxa"/>
            </w:tcMar>
            <w:hideMark/>
          </w:tcPr>
          <w:p w14:paraId="67771B04"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UBHRT/PMB</w:t>
            </w:r>
          </w:p>
          <w:p w14:paraId="5F545A0B"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(HB undertakes a quarterly audit of the pathway)</w:t>
            </w:r>
          </w:p>
        </w:tc>
        <w:tc>
          <w:tcPr>
            <w:tcW w:w="4944" w:type="dxa"/>
            <w:tcBorders>
              <w:top w:val="single" w:sz="8" w:space="0" w:color="FFFFFF"/>
              <w:left w:val="single" w:sz="8" w:space="0" w:color="FFFFFF"/>
              <w:bottom w:val="single" w:sz="8" w:space="0" w:color="FFFFFF"/>
              <w:right w:val="single" w:sz="8" w:space="0" w:color="FFFFFF"/>
            </w:tcBorders>
            <w:shd w:val="clear" w:color="auto" w:fill="F2F2F2"/>
            <w:tcMar>
              <w:top w:w="72" w:type="dxa"/>
              <w:left w:w="144" w:type="dxa"/>
              <w:bottom w:w="72" w:type="dxa"/>
              <w:right w:w="144" w:type="dxa"/>
            </w:tcMar>
            <w:hideMark/>
          </w:tcPr>
          <w:p w14:paraId="571206EC" w14:textId="77777777" w:rsidR="005C176D" w:rsidRDefault="005C176D" w:rsidP="0005505B">
            <w:pPr>
              <w:spacing w:after="0" w:line="240" w:lineRule="auto"/>
              <w:rPr>
                <w:rFonts w:ascii="Arial" w:hAnsi="Arial" w:cs="Arial"/>
                <w:bCs/>
                <w:sz w:val="20"/>
                <w:szCs w:val="20"/>
              </w:rPr>
            </w:pPr>
            <w:r w:rsidRPr="005C176D">
              <w:rPr>
                <w:rFonts w:ascii="Arial" w:hAnsi="Arial" w:cs="Arial"/>
                <w:bCs/>
                <w:sz w:val="20"/>
                <w:szCs w:val="20"/>
              </w:rPr>
              <w:t xml:space="preserve">Plans &amp; SOP drawn up in conjunction with primary care, radiology and gynaecology services.  </w:t>
            </w:r>
            <w:r w:rsidR="004C4180">
              <w:rPr>
                <w:rFonts w:ascii="Arial" w:hAnsi="Arial" w:cs="Arial"/>
                <w:bCs/>
                <w:sz w:val="20"/>
                <w:szCs w:val="20"/>
              </w:rPr>
              <w:t xml:space="preserve">Approval process November </w:t>
            </w:r>
            <w:r w:rsidR="0005505B">
              <w:rPr>
                <w:rFonts w:ascii="Arial" w:hAnsi="Arial" w:cs="Arial"/>
                <w:bCs/>
                <w:sz w:val="20"/>
                <w:szCs w:val="20"/>
              </w:rPr>
              <w:t xml:space="preserve">2025.  For dissemination </w:t>
            </w:r>
            <w:r w:rsidRPr="005C176D">
              <w:rPr>
                <w:rFonts w:ascii="Arial" w:hAnsi="Arial" w:cs="Arial"/>
                <w:bCs/>
                <w:sz w:val="20"/>
                <w:szCs w:val="20"/>
              </w:rPr>
              <w:t>December</w:t>
            </w:r>
            <w:r w:rsidR="0005505B">
              <w:rPr>
                <w:rFonts w:ascii="Arial" w:hAnsi="Arial" w:cs="Arial"/>
                <w:bCs/>
                <w:sz w:val="20"/>
                <w:szCs w:val="20"/>
              </w:rPr>
              <w:t xml:space="preserve"> 2025</w:t>
            </w:r>
            <w:r w:rsidR="00D73728">
              <w:rPr>
                <w:rFonts w:ascii="Arial" w:hAnsi="Arial" w:cs="Arial"/>
                <w:bCs/>
                <w:sz w:val="20"/>
                <w:szCs w:val="20"/>
              </w:rPr>
              <w:t>.</w:t>
            </w:r>
          </w:p>
          <w:p w14:paraId="5E141819" w14:textId="4A668955" w:rsidR="00D73728" w:rsidRPr="005C176D" w:rsidRDefault="00685214" w:rsidP="0005505B">
            <w:pPr>
              <w:spacing w:after="0" w:line="240" w:lineRule="auto"/>
              <w:rPr>
                <w:rFonts w:ascii="Arial" w:hAnsi="Arial" w:cs="Arial"/>
                <w:bCs/>
                <w:sz w:val="20"/>
                <w:szCs w:val="20"/>
              </w:rPr>
            </w:pPr>
            <w:r>
              <w:rPr>
                <w:rFonts w:ascii="Arial" w:hAnsi="Arial" w:cs="Arial"/>
                <w:bCs/>
                <w:sz w:val="20"/>
                <w:szCs w:val="20"/>
              </w:rPr>
              <w:t xml:space="preserve">Impact on sonographer workforce mitigated by </w:t>
            </w:r>
            <w:r w:rsidR="00A57D9B">
              <w:rPr>
                <w:rFonts w:ascii="Arial" w:hAnsi="Arial" w:cs="Arial"/>
                <w:bCs/>
                <w:sz w:val="20"/>
                <w:szCs w:val="20"/>
              </w:rPr>
              <w:t xml:space="preserve">utilising </w:t>
            </w:r>
            <w:r w:rsidR="00F12089">
              <w:rPr>
                <w:rFonts w:ascii="Arial" w:hAnsi="Arial" w:cs="Arial"/>
                <w:bCs/>
                <w:sz w:val="20"/>
                <w:szCs w:val="20"/>
              </w:rPr>
              <w:t>current capacity</w:t>
            </w:r>
            <w:r w:rsidR="00A57D9B">
              <w:rPr>
                <w:rFonts w:ascii="Arial" w:hAnsi="Arial" w:cs="Arial"/>
                <w:bCs/>
                <w:sz w:val="20"/>
                <w:szCs w:val="20"/>
              </w:rPr>
              <w:t xml:space="preserve"> in a different way.</w:t>
            </w:r>
          </w:p>
        </w:tc>
        <w:tc>
          <w:tcPr>
            <w:tcW w:w="2551" w:type="dxa"/>
            <w:tcBorders>
              <w:top w:val="single" w:sz="8" w:space="0" w:color="FFFFFF"/>
              <w:left w:val="single" w:sz="8" w:space="0" w:color="FFFFFF"/>
              <w:bottom w:val="single" w:sz="8" w:space="0" w:color="FFFFFF"/>
              <w:right w:val="single" w:sz="8" w:space="0" w:color="FFFFFF"/>
            </w:tcBorders>
            <w:shd w:val="clear" w:color="auto" w:fill="00B050"/>
            <w:tcMar>
              <w:top w:w="72" w:type="dxa"/>
              <w:left w:w="144" w:type="dxa"/>
              <w:bottom w:w="72" w:type="dxa"/>
              <w:right w:w="144" w:type="dxa"/>
            </w:tcMar>
            <w:hideMark/>
          </w:tcPr>
          <w:p w14:paraId="43ED6F58"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Go live planned Jan 2026</w:t>
            </w:r>
          </w:p>
        </w:tc>
      </w:tr>
      <w:tr w:rsidR="005C176D" w:rsidRPr="005C176D" w14:paraId="6D446E00" w14:textId="77777777" w:rsidTr="00467413">
        <w:trPr>
          <w:trHeight w:val="1184"/>
        </w:trPr>
        <w:tc>
          <w:tcPr>
            <w:tcW w:w="2276" w:type="dxa"/>
            <w:tcBorders>
              <w:top w:val="single" w:sz="8" w:space="0" w:color="FFFFFF"/>
              <w:left w:val="single" w:sz="8" w:space="0" w:color="FFFFFF"/>
              <w:bottom w:val="single" w:sz="8" w:space="0" w:color="FFFFFF"/>
              <w:right w:val="single" w:sz="8" w:space="0" w:color="FFFFFF"/>
            </w:tcBorders>
            <w:shd w:val="clear" w:color="auto" w:fill="F9F9F9"/>
            <w:tcMar>
              <w:top w:w="72" w:type="dxa"/>
              <w:left w:w="144" w:type="dxa"/>
              <w:bottom w:w="72" w:type="dxa"/>
              <w:right w:w="144" w:type="dxa"/>
            </w:tcMar>
            <w:hideMark/>
          </w:tcPr>
          <w:p w14:paraId="3FA741C8"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BPOP</w:t>
            </w:r>
          </w:p>
          <w:p w14:paraId="0E936289"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(HB undertakes a quarterly audit of the pathway)</w:t>
            </w:r>
          </w:p>
        </w:tc>
        <w:tc>
          <w:tcPr>
            <w:tcW w:w="4944" w:type="dxa"/>
            <w:tcBorders>
              <w:top w:val="single" w:sz="8" w:space="0" w:color="FFFFFF"/>
              <w:left w:val="single" w:sz="8" w:space="0" w:color="FFFFFF"/>
              <w:bottom w:val="single" w:sz="8" w:space="0" w:color="FFFFFF"/>
              <w:right w:val="single" w:sz="8" w:space="0" w:color="FFFFFF"/>
            </w:tcBorders>
            <w:shd w:val="clear" w:color="auto" w:fill="F9F9F9"/>
            <w:tcMar>
              <w:top w:w="72" w:type="dxa"/>
              <w:left w:w="144" w:type="dxa"/>
              <w:bottom w:w="72" w:type="dxa"/>
              <w:right w:w="144" w:type="dxa"/>
            </w:tcMar>
            <w:hideMark/>
          </w:tcPr>
          <w:p w14:paraId="4737E32F" w14:textId="60862084"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 xml:space="preserve">Plan developed </w:t>
            </w:r>
            <w:r w:rsidR="0005505B">
              <w:rPr>
                <w:rFonts w:ascii="Arial" w:hAnsi="Arial" w:cs="Arial"/>
                <w:bCs/>
                <w:sz w:val="20"/>
                <w:szCs w:val="20"/>
              </w:rPr>
              <w:t>and submitted buy CO</w:t>
            </w:r>
            <w:r w:rsidRPr="005C176D">
              <w:rPr>
                <w:rFonts w:ascii="Arial" w:hAnsi="Arial" w:cs="Arial"/>
                <w:bCs/>
                <w:sz w:val="20"/>
                <w:szCs w:val="20"/>
              </w:rPr>
              <w:t>O</w:t>
            </w:r>
            <w:r w:rsidR="00C21625">
              <w:rPr>
                <w:rFonts w:ascii="Arial" w:hAnsi="Arial" w:cs="Arial"/>
                <w:bCs/>
                <w:sz w:val="20"/>
                <w:szCs w:val="20"/>
              </w:rPr>
              <w:t xml:space="preserve"> November 2025</w:t>
            </w:r>
          </w:p>
        </w:tc>
        <w:tc>
          <w:tcPr>
            <w:tcW w:w="2551" w:type="dxa"/>
            <w:tcBorders>
              <w:top w:val="single" w:sz="8" w:space="0" w:color="FFFFFF"/>
              <w:left w:val="single" w:sz="8" w:space="0" w:color="FFFFFF"/>
              <w:bottom w:val="single" w:sz="8" w:space="0" w:color="FFFFFF"/>
              <w:right w:val="single" w:sz="8" w:space="0" w:color="FFFFFF"/>
            </w:tcBorders>
            <w:shd w:val="clear" w:color="auto" w:fill="FFC000"/>
            <w:tcMar>
              <w:top w:w="72" w:type="dxa"/>
              <w:left w:w="144" w:type="dxa"/>
              <w:bottom w:w="72" w:type="dxa"/>
              <w:right w:w="144" w:type="dxa"/>
            </w:tcMar>
            <w:hideMark/>
          </w:tcPr>
          <w:p w14:paraId="46134B81" w14:textId="2E8C0AA9" w:rsidR="005C176D" w:rsidRPr="005C176D" w:rsidRDefault="00C21625" w:rsidP="005C176D">
            <w:pPr>
              <w:spacing w:after="0" w:line="240" w:lineRule="auto"/>
              <w:jc w:val="both"/>
              <w:rPr>
                <w:rFonts w:ascii="Arial" w:hAnsi="Arial" w:cs="Arial"/>
                <w:bCs/>
                <w:sz w:val="20"/>
                <w:szCs w:val="20"/>
              </w:rPr>
            </w:pPr>
            <w:r>
              <w:rPr>
                <w:rFonts w:ascii="Arial" w:hAnsi="Arial" w:cs="Arial"/>
                <w:bCs/>
                <w:sz w:val="20"/>
                <w:szCs w:val="20"/>
              </w:rPr>
              <w:t>Awaiting feedback</w:t>
            </w:r>
            <w:r w:rsidR="00D73728">
              <w:rPr>
                <w:rFonts w:ascii="Arial" w:hAnsi="Arial" w:cs="Arial"/>
                <w:bCs/>
                <w:sz w:val="20"/>
                <w:szCs w:val="20"/>
              </w:rPr>
              <w:t xml:space="preserve"> from NHS P&amp;I</w:t>
            </w:r>
          </w:p>
        </w:tc>
      </w:tr>
      <w:tr w:rsidR="005C176D" w:rsidRPr="005C176D" w14:paraId="5C08FE62" w14:textId="77777777" w:rsidTr="00C21625">
        <w:trPr>
          <w:trHeight w:val="1184"/>
        </w:trPr>
        <w:tc>
          <w:tcPr>
            <w:tcW w:w="2276" w:type="dxa"/>
            <w:tcBorders>
              <w:top w:val="single" w:sz="8" w:space="0" w:color="FFFFFF"/>
              <w:left w:val="single" w:sz="8" w:space="0" w:color="FFFFFF"/>
              <w:bottom w:val="single" w:sz="8" w:space="0" w:color="FFFFFF"/>
              <w:right w:val="single" w:sz="8" w:space="0" w:color="FFFFFF"/>
            </w:tcBorders>
            <w:shd w:val="clear" w:color="auto" w:fill="F2F2F2"/>
            <w:tcMar>
              <w:top w:w="72" w:type="dxa"/>
              <w:left w:w="144" w:type="dxa"/>
              <w:bottom w:w="72" w:type="dxa"/>
              <w:right w:w="144" w:type="dxa"/>
            </w:tcMar>
            <w:hideMark/>
          </w:tcPr>
          <w:p w14:paraId="753CE38B"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lastRenderedPageBreak/>
              <w:t>Teledermatololgy</w:t>
            </w:r>
          </w:p>
          <w:p w14:paraId="3BF23AEA"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(95% of suspected skin cancer referrals are accompanied by a good quality image)</w:t>
            </w:r>
          </w:p>
        </w:tc>
        <w:tc>
          <w:tcPr>
            <w:tcW w:w="4944" w:type="dxa"/>
            <w:tcBorders>
              <w:top w:val="single" w:sz="8" w:space="0" w:color="FFFFFF"/>
              <w:left w:val="single" w:sz="8" w:space="0" w:color="FFFFFF"/>
              <w:bottom w:val="single" w:sz="8" w:space="0" w:color="FFFFFF"/>
              <w:right w:val="single" w:sz="8" w:space="0" w:color="FFFFFF"/>
            </w:tcBorders>
            <w:shd w:val="clear" w:color="auto" w:fill="F2F2F2"/>
            <w:tcMar>
              <w:top w:w="72" w:type="dxa"/>
              <w:left w:w="144" w:type="dxa"/>
              <w:bottom w:w="72" w:type="dxa"/>
              <w:right w:w="144" w:type="dxa"/>
            </w:tcMar>
            <w:hideMark/>
          </w:tcPr>
          <w:p w14:paraId="5D0FF000" w14:textId="56D9CA44" w:rsidR="005C176D" w:rsidRDefault="00C21625" w:rsidP="005C176D">
            <w:pPr>
              <w:spacing w:after="0" w:line="240" w:lineRule="auto"/>
              <w:jc w:val="both"/>
              <w:rPr>
                <w:rFonts w:ascii="Arial" w:hAnsi="Arial" w:cs="Arial"/>
                <w:bCs/>
                <w:sz w:val="20"/>
                <w:szCs w:val="20"/>
              </w:rPr>
            </w:pPr>
            <w:r>
              <w:rPr>
                <w:rFonts w:ascii="Arial" w:hAnsi="Arial" w:cs="Arial"/>
                <w:bCs/>
                <w:sz w:val="20"/>
                <w:szCs w:val="20"/>
              </w:rPr>
              <w:t xml:space="preserve">Unable to monitor use of </w:t>
            </w:r>
            <w:r w:rsidR="00DA26B8">
              <w:rPr>
                <w:rFonts w:ascii="Arial" w:hAnsi="Arial" w:cs="Arial"/>
                <w:bCs/>
                <w:sz w:val="20"/>
                <w:szCs w:val="20"/>
              </w:rPr>
              <w:t>Teledermatololgy</w:t>
            </w:r>
            <w:r>
              <w:rPr>
                <w:rFonts w:ascii="Arial" w:hAnsi="Arial" w:cs="Arial"/>
                <w:bCs/>
                <w:sz w:val="20"/>
                <w:szCs w:val="20"/>
              </w:rPr>
              <w:t xml:space="preserve">.  Assurance of MAG recommendation can </w:t>
            </w:r>
            <w:r w:rsidR="00DA26B8">
              <w:rPr>
                <w:rFonts w:ascii="Arial" w:hAnsi="Arial" w:cs="Arial"/>
                <w:bCs/>
                <w:sz w:val="20"/>
                <w:szCs w:val="20"/>
              </w:rPr>
              <w:t>only</w:t>
            </w:r>
            <w:r>
              <w:rPr>
                <w:rFonts w:ascii="Arial" w:hAnsi="Arial" w:cs="Arial"/>
                <w:bCs/>
                <w:sz w:val="20"/>
                <w:szCs w:val="20"/>
              </w:rPr>
              <w:t xml:space="preserve"> be achieved by audit and survey of HB’s at </w:t>
            </w:r>
            <w:r w:rsidR="006A583E">
              <w:rPr>
                <w:rFonts w:ascii="Arial" w:hAnsi="Arial" w:cs="Arial"/>
                <w:bCs/>
                <w:sz w:val="20"/>
                <w:szCs w:val="20"/>
              </w:rPr>
              <w:t>present tie.</w:t>
            </w:r>
          </w:p>
          <w:p w14:paraId="44E85BC7" w14:textId="4E2D7DBC" w:rsidR="006A583E" w:rsidRPr="005C176D" w:rsidRDefault="006A583E" w:rsidP="005C176D">
            <w:pPr>
              <w:spacing w:after="0" w:line="240" w:lineRule="auto"/>
              <w:jc w:val="both"/>
              <w:rPr>
                <w:rFonts w:ascii="Arial" w:hAnsi="Arial" w:cs="Arial"/>
                <w:bCs/>
                <w:sz w:val="20"/>
                <w:szCs w:val="20"/>
              </w:rPr>
            </w:pPr>
            <w:r>
              <w:rPr>
                <w:rFonts w:ascii="Arial" w:hAnsi="Arial" w:cs="Arial"/>
                <w:bCs/>
                <w:sz w:val="20"/>
                <w:szCs w:val="20"/>
              </w:rPr>
              <w:t xml:space="preserve">Nationally, </w:t>
            </w:r>
            <w:r w:rsidR="00DA26B8">
              <w:rPr>
                <w:rFonts w:ascii="Arial" w:hAnsi="Arial" w:cs="Arial"/>
                <w:bCs/>
                <w:sz w:val="20"/>
                <w:szCs w:val="20"/>
              </w:rPr>
              <w:t xml:space="preserve">development </w:t>
            </w:r>
            <w:r>
              <w:rPr>
                <w:rFonts w:ascii="Arial" w:hAnsi="Arial" w:cs="Arial"/>
                <w:bCs/>
                <w:sz w:val="20"/>
                <w:szCs w:val="20"/>
              </w:rPr>
              <w:t xml:space="preserve">of a National Telederm Dashboard </w:t>
            </w:r>
            <w:r w:rsidR="00DA26B8">
              <w:rPr>
                <w:rFonts w:ascii="Arial" w:hAnsi="Arial" w:cs="Arial"/>
                <w:bCs/>
                <w:sz w:val="20"/>
                <w:szCs w:val="20"/>
              </w:rPr>
              <w:t>is under consideration.</w:t>
            </w:r>
          </w:p>
        </w:tc>
        <w:tc>
          <w:tcPr>
            <w:tcW w:w="2551" w:type="dxa"/>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hideMark/>
          </w:tcPr>
          <w:p w14:paraId="2115CA92" w14:textId="77777777" w:rsidR="005C176D" w:rsidRPr="005C176D" w:rsidRDefault="005C176D" w:rsidP="005C176D">
            <w:pPr>
              <w:spacing w:after="0" w:line="240" w:lineRule="auto"/>
              <w:jc w:val="both"/>
              <w:rPr>
                <w:rFonts w:ascii="Arial" w:hAnsi="Arial" w:cs="Arial"/>
                <w:bCs/>
                <w:sz w:val="20"/>
                <w:szCs w:val="20"/>
              </w:rPr>
            </w:pPr>
            <w:r w:rsidRPr="005C176D">
              <w:rPr>
                <w:rFonts w:ascii="Arial" w:hAnsi="Arial" w:cs="Arial"/>
                <w:bCs/>
                <w:sz w:val="20"/>
                <w:szCs w:val="20"/>
              </w:rPr>
              <w:t>Complete.  All referrals are accompanied by an image.</w:t>
            </w:r>
          </w:p>
        </w:tc>
      </w:tr>
    </w:tbl>
    <w:p w14:paraId="3D322903" w14:textId="77777777" w:rsidR="005C176D" w:rsidRPr="00610945" w:rsidRDefault="005C176D" w:rsidP="00610945">
      <w:pPr>
        <w:spacing w:after="0" w:line="240" w:lineRule="auto"/>
        <w:jc w:val="both"/>
        <w:rPr>
          <w:rFonts w:ascii="Arial" w:hAnsi="Arial" w:cs="Arial"/>
          <w:b/>
          <w:sz w:val="24"/>
          <w:szCs w:val="24"/>
        </w:rPr>
      </w:pPr>
    </w:p>
    <w:p w14:paraId="6D30B54E" w14:textId="77777777" w:rsidR="00610945" w:rsidRPr="004E6AAB" w:rsidRDefault="00610945" w:rsidP="004E6AAB">
      <w:pPr>
        <w:pStyle w:val="ListParagraph"/>
        <w:spacing w:after="0" w:line="240" w:lineRule="auto"/>
        <w:jc w:val="both"/>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CBA87AF" w14:textId="49F55888" w:rsidR="0019642E" w:rsidRDefault="0019642E" w:rsidP="00F56DB1">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direct financial implications associated with</w:t>
      </w:r>
      <w:r>
        <w:rPr>
          <w:rFonts w:ascii="Arial" w:hAnsi="Arial" w:cs="Arial"/>
          <w:color w:val="000000" w:themeColor="text1"/>
          <w:sz w:val="24"/>
          <w:szCs w:val="24"/>
        </w:rPr>
        <w:t xml:space="preserve"> this paper.  The outputs </w:t>
      </w:r>
      <w:r w:rsidRPr="009F3277">
        <w:rPr>
          <w:rFonts w:ascii="Arial" w:hAnsi="Arial" w:cs="Arial"/>
          <w:color w:val="000000" w:themeColor="text1"/>
          <w:sz w:val="24"/>
          <w:szCs w:val="24"/>
        </w:rPr>
        <w:t xml:space="preserve">from the </w:t>
      </w:r>
      <w:r>
        <w:rPr>
          <w:rFonts w:ascii="Arial" w:hAnsi="Arial" w:cs="Arial"/>
          <w:color w:val="000000" w:themeColor="text1"/>
          <w:sz w:val="24"/>
          <w:szCs w:val="24"/>
        </w:rPr>
        <w:t>modelling</w:t>
      </w:r>
      <w:r w:rsidRPr="009F3277">
        <w:rPr>
          <w:rFonts w:ascii="Arial" w:hAnsi="Arial" w:cs="Arial"/>
          <w:color w:val="000000" w:themeColor="text1"/>
          <w:sz w:val="24"/>
          <w:szCs w:val="24"/>
        </w:rPr>
        <w:t xml:space="preserve"> </w:t>
      </w:r>
      <w:r>
        <w:rPr>
          <w:rFonts w:ascii="Arial" w:hAnsi="Arial" w:cs="Arial"/>
          <w:color w:val="000000" w:themeColor="text1"/>
          <w:sz w:val="24"/>
          <w:szCs w:val="24"/>
        </w:rPr>
        <w:t xml:space="preserve">work or service initiatives and improvements </w:t>
      </w:r>
      <w:r w:rsidRPr="009F3277">
        <w:rPr>
          <w:rFonts w:ascii="Arial" w:hAnsi="Arial" w:cs="Arial"/>
          <w:color w:val="000000" w:themeColor="text1"/>
          <w:sz w:val="24"/>
          <w:szCs w:val="24"/>
        </w:rPr>
        <w:t>will inform the development of the Health Board’s IMTP and financial plans</w:t>
      </w:r>
      <w:r>
        <w:rPr>
          <w:rFonts w:ascii="Arial" w:hAnsi="Arial" w:cs="Arial"/>
          <w:color w:val="000000" w:themeColor="text1"/>
          <w:sz w:val="24"/>
          <w:szCs w:val="24"/>
        </w:rPr>
        <w:t xml:space="preserve"> for sustainable services</w:t>
      </w:r>
      <w:r w:rsidRPr="009F3277">
        <w:rPr>
          <w:rFonts w:ascii="Arial" w:hAnsi="Arial" w:cs="Arial"/>
          <w:color w:val="000000" w:themeColor="text1"/>
          <w:sz w:val="24"/>
          <w:szCs w:val="24"/>
        </w:rPr>
        <w:t>.</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AE83B77" w14:textId="77777777" w:rsidR="0019642E" w:rsidRDefault="0019642E" w:rsidP="0019642E">
      <w:pPr>
        <w:spacing w:after="0"/>
        <w:ind w:right="96"/>
        <w:jc w:val="both"/>
        <w:rPr>
          <w:rFonts w:ascii="Arial" w:hAnsi="Arial" w:cs="Arial"/>
          <w:sz w:val="24"/>
          <w:szCs w:val="24"/>
        </w:rPr>
      </w:pPr>
    </w:p>
    <w:p w14:paraId="6DF7FCD1" w14:textId="01D4C723" w:rsidR="0019642E" w:rsidRDefault="0019642E" w:rsidP="0019642E">
      <w:pPr>
        <w:spacing w:after="0"/>
        <w:ind w:right="96"/>
        <w:jc w:val="both"/>
        <w:rPr>
          <w:rFonts w:ascii="Arial" w:hAnsi="Arial" w:cs="Arial"/>
          <w:sz w:val="24"/>
          <w:szCs w:val="24"/>
        </w:rPr>
      </w:pPr>
      <w:r w:rsidRPr="004D5ECE">
        <w:rPr>
          <w:rFonts w:ascii="Arial" w:hAnsi="Arial" w:cs="Arial"/>
          <w:sz w:val="24"/>
          <w:szCs w:val="24"/>
        </w:rPr>
        <w:t>The</w:t>
      </w:r>
      <w:r>
        <w:rPr>
          <w:rFonts w:ascii="Arial" w:hAnsi="Arial" w:cs="Arial"/>
          <w:sz w:val="24"/>
          <w:szCs w:val="24"/>
        </w:rPr>
        <w:t xml:space="preserve"> Committee </w:t>
      </w:r>
      <w:r w:rsidRPr="004D5ECE">
        <w:rPr>
          <w:rFonts w:ascii="Arial" w:hAnsi="Arial" w:cs="Arial"/>
          <w:sz w:val="24"/>
          <w:szCs w:val="24"/>
        </w:rPr>
        <w:t>is asked to:</w:t>
      </w:r>
    </w:p>
    <w:p w14:paraId="5DAAC746" w14:textId="77777777" w:rsidR="0019642E" w:rsidRDefault="0019642E" w:rsidP="0019642E">
      <w:pPr>
        <w:spacing w:after="0"/>
        <w:ind w:right="96"/>
        <w:jc w:val="both"/>
        <w:rPr>
          <w:rFonts w:ascii="Arial" w:hAnsi="Arial" w:cs="Arial"/>
          <w:sz w:val="24"/>
          <w:szCs w:val="24"/>
        </w:rPr>
      </w:pPr>
    </w:p>
    <w:p w14:paraId="2531C810" w14:textId="77777777" w:rsidR="0019642E" w:rsidRDefault="0019642E" w:rsidP="0019642E">
      <w:pPr>
        <w:pStyle w:val="Default"/>
        <w:numPr>
          <w:ilvl w:val="0"/>
          <w:numId w:val="12"/>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performance and backlog volumes in the main tumour sites.</w:t>
      </w:r>
    </w:p>
    <w:p w14:paraId="6D29042C" w14:textId="4DD95229" w:rsidR="00C33A04" w:rsidRPr="0019642E" w:rsidRDefault="0019642E" w:rsidP="0019642E">
      <w:pPr>
        <w:pStyle w:val="Default"/>
        <w:numPr>
          <w:ilvl w:val="0"/>
          <w:numId w:val="12"/>
        </w:numPr>
        <w:jc w:val="both"/>
        <w:rPr>
          <w:rFonts w:ascii="Arial" w:hAnsi="Arial" w:cs="Arial"/>
          <w:color w:val="000000" w:themeColor="text1"/>
        </w:rPr>
      </w:pPr>
      <w:r w:rsidRPr="0019642E">
        <w:rPr>
          <w:rFonts w:ascii="Arial" w:hAnsi="Arial" w:cs="Arial"/>
          <w:b/>
          <w:bCs/>
          <w:color w:val="000000" w:themeColor="text1"/>
        </w:rPr>
        <w:t xml:space="preserve">NOTE </w:t>
      </w:r>
      <w:r w:rsidRPr="0019642E">
        <w:rPr>
          <w:rFonts w:ascii="Arial" w:hAnsi="Arial" w:cs="Arial"/>
          <w:color w:val="000000" w:themeColor="text1"/>
        </w:rPr>
        <w:t>the additional work required to improve both performance and backlog</w:t>
      </w:r>
    </w:p>
    <w:p w14:paraId="6D29042D" w14:textId="17447E9C" w:rsidR="0019642E" w:rsidRDefault="0019642E">
      <w:pPr>
        <w:rPr>
          <w:rFonts w:ascii="Arial" w:hAnsi="Arial" w:cs="Arial"/>
          <w:b/>
          <w:sz w:val="24"/>
          <w:szCs w:val="24"/>
        </w:rPr>
      </w:pPr>
      <w:r>
        <w:rPr>
          <w:rFonts w:ascii="Arial" w:hAnsi="Arial" w:cs="Arial"/>
          <w:b/>
          <w:sz w:val="24"/>
          <w:szCs w:val="24"/>
        </w:rPr>
        <w:br w:type="page"/>
      </w:r>
    </w:p>
    <w:p w14:paraId="39B9F0A0"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1740EDE1" w:rsidR="00F5324A" w:rsidRPr="00F5324A" w:rsidRDefault="0019642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69857AE" w:rsidR="00F5324A" w:rsidRPr="00F5324A" w:rsidRDefault="0019642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D8BA588" w:rsidR="00F5324A" w:rsidRPr="00F5324A" w:rsidRDefault="0019642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47CE27AF" w:rsidR="00F5324A" w:rsidRPr="00F5324A" w:rsidRDefault="0019642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72A2B059" w:rsidR="00F5324A" w:rsidRPr="00F5324A" w:rsidRDefault="0019642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3F02AD25" w:rsidR="00F5324A" w:rsidRPr="00F5324A" w:rsidRDefault="0019642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6555001"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2E8692D8"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3BFC2C1F"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2455B3E2"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05627AEE" w14:textId="77777777" w:rsidR="0019642E" w:rsidRPr="00FA0CA9" w:rsidRDefault="0019642E" w:rsidP="0019642E">
            <w:pPr>
              <w:jc w:val="both"/>
              <w:rPr>
                <w:rFonts w:ascii="Arial" w:hAnsi="Arial" w:cs="Arial"/>
                <w:b/>
                <w:sz w:val="24"/>
                <w:szCs w:val="24"/>
              </w:rPr>
            </w:pPr>
            <w:r>
              <w:rPr>
                <w:rFonts w:ascii="Arial" w:hAnsi="Arial" w:cs="Arial"/>
                <w:color w:val="000000" w:themeColor="text1"/>
                <w:sz w:val="24"/>
                <w:szCs w:val="24"/>
              </w:rPr>
              <w:t>Accurate, comprehensive demand and capacity plans</w:t>
            </w:r>
            <w:r w:rsidRPr="009F3277">
              <w:rPr>
                <w:rFonts w:ascii="Arial" w:hAnsi="Arial" w:cs="Arial"/>
                <w:color w:val="000000" w:themeColor="text1"/>
                <w:sz w:val="24"/>
                <w:szCs w:val="24"/>
              </w:rPr>
              <w:t xml:space="preserve"> can increase safety and quality whilst reducing risk and can lead to efficiency gains </w:t>
            </w:r>
            <w:r>
              <w:rPr>
                <w:rFonts w:ascii="Arial" w:hAnsi="Arial" w:cs="Arial"/>
                <w:color w:val="000000" w:themeColor="text1"/>
                <w:sz w:val="24"/>
                <w:szCs w:val="24"/>
              </w:rPr>
              <w:t>within clinical services.  They will also facilitate more timely treatment of patients and enhance patient experience.</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5234AC5D" w14:textId="77777777" w:rsidR="0019642E" w:rsidRDefault="0019642E" w:rsidP="0019642E">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direct financial implications associated with</w:t>
            </w:r>
            <w:r>
              <w:rPr>
                <w:rFonts w:ascii="Arial" w:hAnsi="Arial" w:cs="Arial"/>
                <w:color w:val="000000" w:themeColor="text1"/>
                <w:sz w:val="24"/>
                <w:szCs w:val="24"/>
              </w:rPr>
              <w:t xml:space="preserve"> this paper.  Inputs (additional activity) into the demand and capacity models are funded via Recovery Money.  However, the outputs </w:t>
            </w:r>
            <w:r w:rsidRPr="009F3277">
              <w:rPr>
                <w:rFonts w:ascii="Arial" w:hAnsi="Arial" w:cs="Arial"/>
                <w:color w:val="000000" w:themeColor="text1"/>
                <w:sz w:val="24"/>
                <w:szCs w:val="24"/>
              </w:rPr>
              <w:t xml:space="preserve">from the </w:t>
            </w:r>
            <w:r>
              <w:rPr>
                <w:rFonts w:ascii="Arial" w:hAnsi="Arial" w:cs="Arial"/>
                <w:color w:val="000000" w:themeColor="text1"/>
                <w:sz w:val="24"/>
                <w:szCs w:val="24"/>
              </w:rPr>
              <w:t>modelling</w:t>
            </w:r>
            <w:r w:rsidRPr="009F3277">
              <w:rPr>
                <w:rFonts w:ascii="Arial" w:hAnsi="Arial" w:cs="Arial"/>
                <w:color w:val="000000" w:themeColor="text1"/>
                <w:sz w:val="24"/>
                <w:szCs w:val="24"/>
              </w:rPr>
              <w:t xml:space="preserve"> will inform the development of the Health Board’s IMTP and financial plans</w:t>
            </w:r>
            <w:r>
              <w:rPr>
                <w:rFonts w:ascii="Arial" w:hAnsi="Arial" w:cs="Arial"/>
                <w:color w:val="000000" w:themeColor="text1"/>
                <w:sz w:val="24"/>
                <w:szCs w:val="24"/>
              </w:rPr>
              <w:t xml:space="preserve"> for sustainable services</w:t>
            </w:r>
            <w:r w:rsidRPr="009F3277">
              <w:rPr>
                <w:rFonts w:ascii="Arial" w:hAnsi="Arial" w:cs="Arial"/>
                <w:color w:val="000000" w:themeColor="text1"/>
                <w:sz w:val="24"/>
                <w:szCs w:val="24"/>
              </w:rPr>
              <w: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15833F97" w:rsidR="00653AEC" w:rsidRPr="0019642E" w:rsidRDefault="0019642E" w:rsidP="0019642E">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legal implications to consider</w:t>
            </w:r>
            <w:r>
              <w:rPr>
                <w:rFonts w:ascii="Arial" w:hAnsi="Arial" w:cs="Arial"/>
                <w:color w:val="000000" w:themeColor="text1"/>
                <w:sz w:val="24"/>
                <w:szCs w:val="24"/>
              </w:rPr>
              <w:t>.</w:t>
            </w:r>
            <w:r w:rsidR="00653AEC" w:rsidRPr="00FA0CA9">
              <w:rPr>
                <w:rFonts w:ascii="Arial" w:hAnsi="Arial" w:cs="Arial"/>
                <w:color w:val="FF0000"/>
                <w:sz w:val="24"/>
                <w:szCs w:val="24"/>
              </w:rPr>
              <w:t xml:space="preserve">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2E9FBF14" w14:textId="77777777" w:rsidR="0019642E" w:rsidRPr="009F3277" w:rsidRDefault="0019642E" w:rsidP="0019642E">
            <w:pPr>
              <w:ind w:right="96"/>
              <w:jc w:val="both"/>
              <w:rPr>
                <w:rFonts w:ascii="Arial" w:hAnsi="Arial" w:cs="Arial"/>
                <w:color w:val="000000" w:themeColor="text1"/>
                <w:sz w:val="24"/>
                <w:szCs w:val="24"/>
              </w:rPr>
            </w:pPr>
            <w:r>
              <w:rPr>
                <w:rFonts w:ascii="Arial" w:hAnsi="Arial" w:cs="Arial"/>
                <w:color w:val="000000" w:themeColor="text1"/>
                <w:sz w:val="24"/>
                <w:szCs w:val="24"/>
              </w:rPr>
              <w:t>There are no immediate staffing implications as a result of this paper but there is a need to be mindful that this is a very specialist area and we need to build robust and sustainable capacity in this area.</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52B0CDEF" w:rsidR="00653AEC" w:rsidRPr="00FA0CA9" w:rsidRDefault="0019642E" w:rsidP="00653AEC">
            <w:pPr>
              <w:ind w:right="96"/>
              <w:rPr>
                <w:rFonts w:ascii="Arial" w:hAnsi="Arial" w:cs="Arial"/>
                <w:color w:val="FF0000"/>
                <w:sz w:val="24"/>
                <w:szCs w:val="24"/>
              </w:rPr>
            </w:pPr>
            <w:r w:rsidRPr="00ED3FCA">
              <w:rPr>
                <w:rFonts w:ascii="Arial" w:hAnsi="Arial" w:cs="Arial"/>
                <w:sz w:val="24"/>
                <w:szCs w:val="24"/>
              </w:rPr>
              <w:t>Previous reports have been presented to Management Board in November 2021 and February / August 2022 / October 2023</w:t>
            </w:r>
            <w:r>
              <w:rPr>
                <w:rFonts w:ascii="Arial" w:hAnsi="Arial" w:cs="Arial"/>
                <w:sz w:val="24"/>
                <w:szCs w:val="24"/>
              </w:rPr>
              <w:t xml:space="preserve"> / February 2024</w:t>
            </w:r>
          </w:p>
        </w:tc>
      </w:tr>
      <w:tr w:rsidR="00653AEC" w:rsidRPr="00034194" w14:paraId="6D29049F" w14:textId="77777777" w:rsidTr="00C95B3C">
        <w:tc>
          <w:tcPr>
            <w:tcW w:w="2470" w:type="dxa"/>
            <w:gridSpan w:val="2"/>
          </w:tcPr>
          <w:p w14:paraId="6D29049B" w14:textId="77777777" w:rsidR="00653AEC" w:rsidRPr="005406AE" w:rsidRDefault="00653AEC" w:rsidP="00653AEC">
            <w:pPr>
              <w:ind w:right="96"/>
              <w:rPr>
                <w:rFonts w:ascii="Arial" w:hAnsi="Arial" w:cs="Arial"/>
                <w:b/>
                <w:sz w:val="24"/>
                <w:szCs w:val="24"/>
              </w:rPr>
            </w:pPr>
            <w:r w:rsidRPr="005406AE">
              <w:rPr>
                <w:rFonts w:ascii="Arial" w:hAnsi="Arial" w:cs="Arial"/>
                <w:b/>
                <w:sz w:val="24"/>
                <w:szCs w:val="24"/>
              </w:rPr>
              <w:t>Appendices</w:t>
            </w:r>
          </w:p>
        </w:tc>
        <w:tc>
          <w:tcPr>
            <w:tcW w:w="6775" w:type="dxa"/>
            <w:gridSpan w:val="2"/>
          </w:tcPr>
          <w:p w14:paraId="6D29049E" w14:textId="7BC0A28C" w:rsidR="00653AEC" w:rsidRPr="005406AE" w:rsidRDefault="005406AE" w:rsidP="00653AEC">
            <w:pPr>
              <w:ind w:right="96"/>
              <w:rPr>
                <w:rFonts w:ascii="Arial" w:hAnsi="Arial" w:cs="Arial"/>
                <w:sz w:val="24"/>
                <w:szCs w:val="24"/>
              </w:rPr>
            </w:pPr>
            <w:r w:rsidRPr="005406AE">
              <w:rPr>
                <w:rFonts w:ascii="Arial" w:hAnsi="Arial" w:cs="Arial"/>
                <w:sz w:val="24"/>
                <w:szCs w:val="24"/>
              </w:rPr>
              <w:t xml:space="preserve">No Appendices </w:t>
            </w:r>
          </w:p>
        </w:tc>
      </w:tr>
    </w:tbl>
    <w:p w14:paraId="6D2904A0" w14:textId="77777777" w:rsidR="00034194" w:rsidRDefault="00034194"/>
    <w:sectPr w:rsidR="00034194" w:rsidSect="00021C60">
      <w:headerReference w:type="default" r:id="rId29"/>
      <w:footerReference w:type="defaul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EBBC18" w14:textId="77777777" w:rsidR="00CB3C5B" w:rsidRDefault="00CB3C5B" w:rsidP="00C107F2">
      <w:pPr>
        <w:spacing w:after="0" w:line="240" w:lineRule="auto"/>
      </w:pPr>
      <w:r>
        <w:separator/>
      </w:r>
    </w:p>
  </w:endnote>
  <w:endnote w:type="continuationSeparator" w:id="0">
    <w:p w14:paraId="5D93DDFD" w14:textId="77777777" w:rsidR="00CB3C5B" w:rsidRDefault="00CB3C5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C45C717" w:rsidR="003324CB" w:rsidRDefault="0019642E" w:rsidP="002B7C9A">
    <w:pPr>
      <w:pStyle w:val="Footer"/>
      <w:jc w:val="right"/>
    </w:pPr>
    <w:r>
      <w:t xml:space="preserve">Performance &amp; Finance </w:t>
    </w:r>
    <w:r w:rsidR="002B7C9A">
      <w:t xml:space="preserve">Committee – </w:t>
    </w:r>
    <w:r w:rsidR="00AE6282">
      <w:t>16</w:t>
    </w:r>
    <w:r w:rsidR="00AE6282" w:rsidRPr="00AE6282">
      <w:rPr>
        <w:vertAlign w:val="superscript"/>
      </w:rPr>
      <w:t>th</w:t>
    </w:r>
    <w:r w:rsidR="00AE6282">
      <w:t xml:space="preserve"> December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437A06" w14:textId="77777777" w:rsidR="00CB3C5B" w:rsidRDefault="00CB3C5B" w:rsidP="00C107F2">
      <w:pPr>
        <w:spacing w:after="0" w:line="240" w:lineRule="auto"/>
      </w:pPr>
      <w:r>
        <w:separator/>
      </w:r>
    </w:p>
  </w:footnote>
  <w:footnote w:type="continuationSeparator" w:id="0">
    <w:p w14:paraId="5965324E" w14:textId="77777777" w:rsidR="00CB3C5B" w:rsidRDefault="00CB3C5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0764C"/>
    <w:multiLevelType w:val="hybridMultilevel"/>
    <w:tmpl w:val="090AFE6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 w15:restartNumberingAfterBreak="0">
    <w:nsid w:val="048D50EB"/>
    <w:multiLevelType w:val="hybridMultilevel"/>
    <w:tmpl w:val="326CC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F7832"/>
    <w:multiLevelType w:val="hybridMultilevel"/>
    <w:tmpl w:val="B91E3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E95935"/>
    <w:multiLevelType w:val="multilevel"/>
    <w:tmpl w:val="FB14E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5E047EB"/>
    <w:multiLevelType w:val="hybridMultilevel"/>
    <w:tmpl w:val="AD8C6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636EF4"/>
    <w:multiLevelType w:val="hybridMultilevel"/>
    <w:tmpl w:val="827417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E15454"/>
    <w:multiLevelType w:val="hybridMultilevel"/>
    <w:tmpl w:val="CD62CA8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2B213E39"/>
    <w:multiLevelType w:val="multilevel"/>
    <w:tmpl w:val="FB14E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60535C"/>
    <w:multiLevelType w:val="hybridMultilevel"/>
    <w:tmpl w:val="6358B8E2"/>
    <w:lvl w:ilvl="0" w:tplc="08090013">
      <w:start w:val="1"/>
      <w:numFmt w:val="upp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3A44FC6"/>
    <w:multiLevelType w:val="hybridMultilevel"/>
    <w:tmpl w:val="1144D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F82280"/>
    <w:multiLevelType w:val="hybridMultilevel"/>
    <w:tmpl w:val="2064F79E"/>
    <w:lvl w:ilvl="0" w:tplc="36060A36">
      <w:numFmt w:val="bullet"/>
      <w:lvlText w:val="-"/>
      <w:lvlJc w:val="left"/>
      <w:pPr>
        <w:ind w:left="720" w:hanging="360"/>
      </w:pPr>
      <w:rPr>
        <w:rFonts w:ascii="Aptos" w:eastAsia="Aptos" w:hAnsi="Aptos"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88E5EE1"/>
    <w:multiLevelType w:val="hybridMultilevel"/>
    <w:tmpl w:val="4992F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428D5BB9"/>
    <w:multiLevelType w:val="hybridMultilevel"/>
    <w:tmpl w:val="3ABA6B4C"/>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7" w15:restartNumberingAfterBreak="0">
    <w:nsid w:val="4A3B7742"/>
    <w:multiLevelType w:val="multilevel"/>
    <w:tmpl w:val="FB14E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BDD315A"/>
    <w:multiLevelType w:val="hybridMultilevel"/>
    <w:tmpl w:val="43DE2C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3285C3D"/>
    <w:multiLevelType w:val="multilevel"/>
    <w:tmpl w:val="D0EC6B96"/>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2" w15:restartNumberingAfterBreak="0">
    <w:nsid w:val="55F153E0"/>
    <w:multiLevelType w:val="multilevel"/>
    <w:tmpl w:val="EF983FD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3" w15:restartNumberingAfterBreak="0">
    <w:nsid w:val="56F24EFC"/>
    <w:multiLevelType w:val="hybridMultilevel"/>
    <w:tmpl w:val="A252C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EA34BC3"/>
    <w:multiLevelType w:val="hybridMultilevel"/>
    <w:tmpl w:val="154C721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5" w15:restartNumberingAfterBreak="0">
    <w:nsid w:val="651C2A37"/>
    <w:multiLevelType w:val="hybridMultilevel"/>
    <w:tmpl w:val="F0FEE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CC33EEB"/>
    <w:multiLevelType w:val="hybridMultilevel"/>
    <w:tmpl w:val="5986DE7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D0535F1"/>
    <w:multiLevelType w:val="hybridMultilevel"/>
    <w:tmpl w:val="56D0D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58E0931"/>
    <w:multiLevelType w:val="hybridMultilevel"/>
    <w:tmpl w:val="3676D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A11C1D"/>
    <w:multiLevelType w:val="multilevel"/>
    <w:tmpl w:val="FB14E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09695964">
    <w:abstractNumId w:val="4"/>
  </w:num>
  <w:num w:numId="2" w16cid:durableId="412511592">
    <w:abstractNumId w:val="20"/>
  </w:num>
  <w:num w:numId="3" w16cid:durableId="961424291">
    <w:abstractNumId w:val="19"/>
  </w:num>
  <w:num w:numId="4" w16cid:durableId="1776516113">
    <w:abstractNumId w:val="15"/>
  </w:num>
  <w:num w:numId="5" w16cid:durableId="42559879">
    <w:abstractNumId w:val="6"/>
  </w:num>
  <w:num w:numId="6" w16cid:durableId="759177891">
    <w:abstractNumId w:val="33"/>
  </w:num>
  <w:num w:numId="7" w16cid:durableId="893735413">
    <w:abstractNumId w:val="34"/>
  </w:num>
  <w:num w:numId="8" w16cid:durableId="173736842">
    <w:abstractNumId w:val="26"/>
  </w:num>
  <w:num w:numId="9" w16cid:durableId="1648515311">
    <w:abstractNumId w:val="27"/>
  </w:num>
  <w:num w:numId="10" w16cid:durableId="1055354914">
    <w:abstractNumId w:val="32"/>
  </w:num>
  <w:num w:numId="11" w16cid:durableId="1651247072">
    <w:abstractNumId w:val="25"/>
  </w:num>
  <w:num w:numId="12" w16cid:durableId="752822702">
    <w:abstractNumId w:val="14"/>
  </w:num>
  <w:num w:numId="13" w16cid:durableId="1408767921">
    <w:abstractNumId w:val="2"/>
  </w:num>
  <w:num w:numId="14" w16cid:durableId="186330507">
    <w:abstractNumId w:val="1"/>
  </w:num>
  <w:num w:numId="15" w16cid:durableId="850996106">
    <w:abstractNumId w:val="11"/>
  </w:num>
  <w:num w:numId="16" w16cid:durableId="913121624">
    <w:abstractNumId w:val="8"/>
  </w:num>
  <w:num w:numId="17" w16cid:durableId="1612393243">
    <w:abstractNumId w:val="12"/>
  </w:num>
  <w:num w:numId="18" w16cid:durableId="1906913967">
    <w:abstractNumId w:val="23"/>
  </w:num>
  <w:num w:numId="19" w16cid:durableId="781534575">
    <w:abstractNumId w:val="29"/>
  </w:num>
  <w:num w:numId="20" w16cid:durableId="1153719606">
    <w:abstractNumId w:val="24"/>
  </w:num>
  <w:num w:numId="21" w16cid:durableId="288751814">
    <w:abstractNumId w:val="18"/>
  </w:num>
  <w:num w:numId="22" w16cid:durableId="1315572559">
    <w:abstractNumId w:val="9"/>
  </w:num>
  <w:num w:numId="23" w16cid:durableId="1748378620">
    <w:abstractNumId w:val="3"/>
  </w:num>
  <w:num w:numId="24" w16cid:durableId="1040126751">
    <w:abstractNumId w:val="28"/>
  </w:num>
  <w:num w:numId="25" w16cid:durableId="708847061">
    <w:abstractNumId w:val="13"/>
  </w:num>
  <w:num w:numId="26" w16cid:durableId="440104750">
    <w:abstractNumId w:val="30"/>
  </w:num>
  <w:num w:numId="27" w16cid:durableId="478494748">
    <w:abstractNumId w:val="16"/>
  </w:num>
  <w:num w:numId="28" w16cid:durableId="1378159359">
    <w:abstractNumId w:val="0"/>
  </w:num>
  <w:num w:numId="29" w16cid:durableId="383410581">
    <w:abstractNumId w:val="22"/>
  </w:num>
  <w:num w:numId="30" w16cid:durableId="1622105214">
    <w:abstractNumId w:val="7"/>
  </w:num>
  <w:num w:numId="31" w16cid:durableId="1317416195">
    <w:abstractNumId w:val="21"/>
  </w:num>
  <w:num w:numId="32" w16cid:durableId="169225129">
    <w:abstractNumId w:val="5"/>
  </w:num>
  <w:num w:numId="33" w16cid:durableId="1102459955">
    <w:abstractNumId w:val="17"/>
  </w:num>
  <w:num w:numId="34" w16cid:durableId="1515459529">
    <w:abstractNumId w:val="10"/>
  </w:num>
  <w:num w:numId="35" w16cid:durableId="144029159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8ED"/>
    <w:rsid w:val="00021C60"/>
    <w:rsid w:val="00026F8A"/>
    <w:rsid w:val="0003142D"/>
    <w:rsid w:val="00034194"/>
    <w:rsid w:val="00051353"/>
    <w:rsid w:val="00051A07"/>
    <w:rsid w:val="000536EC"/>
    <w:rsid w:val="00054AE2"/>
    <w:rsid w:val="0005505B"/>
    <w:rsid w:val="000564FF"/>
    <w:rsid w:val="0007622C"/>
    <w:rsid w:val="00083FC0"/>
    <w:rsid w:val="0008623E"/>
    <w:rsid w:val="00093EEA"/>
    <w:rsid w:val="00095844"/>
    <w:rsid w:val="00095DB8"/>
    <w:rsid w:val="00097536"/>
    <w:rsid w:val="000A0184"/>
    <w:rsid w:val="000A10AC"/>
    <w:rsid w:val="000A614A"/>
    <w:rsid w:val="000A71CB"/>
    <w:rsid w:val="000B008C"/>
    <w:rsid w:val="000C4FAE"/>
    <w:rsid w:val="000F0ACB"/>
    <w:rsid w:val="000F361B"/>
    <w:rsid w:val="00102D6A"/>
    <w:rsid w:val="00106267"/>
    <w:rsid w:val="00116859"/>
    <w:rsid w:val="00122816"/>
    <w:rsid w:val="0013238C"/>
    <w:rsid w:val="00133EA1"/>
    <w:rsid w:val="001435B7"/>
    <w:rsid w:val="0016096B"/>
    <w:rsid w:val="0016720E"/>
    <w:rsid w:val="0019642E"/>
    <w:rsid w:val="001A0479"/>
    <w:rsid w:val="001A15E3"/>
    <w:rsid w:val="001C02A2"/>
    <w:rsid w:val="001C47E5"/>
    <w:rsid w:val="001D3FC0"/>
    <w:rsid w:val="001D7C57"/>
    <w:rsid w:val="00203840"/>
    <w:rsid w:val="0020539A"/>
    <w:rsid w:val="00226EEE"/>
    <w:rsid w:val="00233330"/>
    <w:rsid w:val="00237993"/>
    <w:rsid w:val="00241662"/>
    <w:rsid w:val="002515D2"/>
    <w:rsid w:val="0027174C"/>
    <w:rsid w:val="00277771"/>
    <w:rsid w:val="00281278"/>
    <w:rsid w:val="002950FF"/>
    <w:rsid w:val="00296CD9"/>
    <w:rsid w:val="00297EF1"/>
    <w:rsid w:val="002A3609"/>
    <w:rsid w:val="002B7C9A"/>
    <w:rsid w:val="002C3DD6"/>
    <w:rsid w:val="002C6FA6"/>
    <w:rsid w:val="002D379B"/>
    <w:rsid w:val="002E6439"/>
    <w:rsid w:val="002E7EDE"/>
    <w:rsid w:val="002F6F1F"/>
    <w:rsid w:val="0030103A"/>
    <w:rsid w:val="00302D01"/>
    <w:rsid w:val="00306F8C"/>
    <w:rsid w:val="003125AB"/>
    <w:rsid w:val="00316AC5"/>
    <w:rsid w:val="0032747D"/>
    <w:rsid w:val="003324CB"/>
    <w:rsid w:val="00347B93"/>
    <w:rsid w:val="003633CB"/>
    <w:rsid w:val="00366538"/>
    <w:rsid w:val="0038396B"/>
    <w:rsid w:val="00386072"/>
    <w:rsid w:val="0039155F"/>
    <w:rsid w:val="003C0FF8"/>
    <w:rsid w:val="003D6B3D"/>
    <w:rsid w:val="003D7540"/>
    <w:rsid w:val="003E1F44"/>
    <w:rsid w:val="004061B6"/>
    <w:rsid w:val="0041067A"/>
    <w:rsid w:val="00414894"/>
    <w:rsid w:val="0041506C"/>
    <w:rsid w:val="004200FA"/>
    <w:rsid w:val="004449A5"/>
    <w:rsid w:val="00453B42"/>
    <w:rsid w:val="00461835"/>
    <w:rsid w:val="0046248D"/>
    <w:rsid w:val="00463AF8"/>
    <w:rsid w:val="00467413"/>
    <w:rsid w:val="00475B6E"/>
    <w:rsid w:val="0047792B"/>
    <w:rsid w:val="00487C68"/>
    <w:rsid w:val="004B04A5"/>
    <w:rsid w:val="004B2855"/>
    <w:rsid w:val="004C36A7"/>
    <w:rsid w:val="004C3837"/>
    <w:rsid w:val="004C4180"/>
    <w:rsid w:val="004D2C2A"/>
    <w:rsid w:val="004E6AAB"/>
    <w:rsid w:val="004F0AF1"/>
    <w:rsid w:val="0052297E"/>
    <w:rsid w:val="0052361F"/>
    <w:rsid w:val="00537656"/>
    <w:rsid w:val="005406AE"/>
    <w:rsid w:val="0055184A"/>
    <w:rsid w:val="00561491"/>
    <w:rsid w:val="005764F6"/>
    <w:rsid w:val="00585277"/>
    <w:rsid w:val="005A5AA4"/>
    <w:rsid w:val="005A76EA"/>
    <w:rsid w:val="005B05AC"/>
    <w:rsid w:val="005C176D"/>
    <w:rsid w:val="005C59CB"/>
    <w:rsid w:val="005C797F"/>
    <w:rsid w:val="005D1652"/>
    <w:rsid w:val="005D4A97"/>
    <w:rsid w:val="005E6B3E"/>
    <w:rsid w:val="005E70A9"/>
    <w:rsid w:val="005F615D"/>
    <w:rsid w:val="005F6A9D"/>
    <w:rsid w:val="0060104E"/>
    <w:rsid w:val="0061070E"/>
    <w:rsid w:val="00610945"/>
    <w:rsid w:val="00616042"/>
    <w:rsid w:val="00616635"/>
    <w:rsid w:val="00633AAA"/>
    <w:rsid w:val="006373F7"/>
    <w:rsid w:val="006403ED"/>
    <w:rsid w:val="00653AEC"/>
    <w:rsid w:val="006548B5"/>
    <w:rsid w:val="00655190"/>
    <w:rsid w:val="0066087C"/>
    <w:rsid w:val="00661955"/>
    <w:rsid w:val="00662218"/>
    <w:rsid w:val="00670465"/>
    <w:rsid w:val="00676B36"/>
    <w:rsid w:val="00685214"/>
    <w:rsid w:val="00685AE0"/>
    <w:rsid w:val="00686484"/>
    <w:rsid w:val="00690BC8"/>
    <w:rsid w:val="0069651E"/>
    <w:rsid w:val="006969DC"/>
    <w:rsid w:val="006A583E"/>
    <w:rsid w:val="006B3D9B"/>
    <w:rsid w:val="006B4298"/>
    <w:rsid w:val="006B6E1B"/>
    <w:rsid w:val="006C0016"/>
    <w:rsid w:val="006C0E13"/>
    <w:rsid w:val="006D1998"/>
    <w:rsid w:val="006D4B47"/>
    <w:rsid w:val="006D603B"/>
    <w:rsid w:val="006F6052"/>
    <w:rsid w:val="006F7E39"/>
    <w:rsid w:val="00702BBE"/>
    <w:rsid w:val="007038DA"/>
    <w:rsid w:val="00703D77"/>
    <w:rsid w:val="00704534"/>
    <w:rsid w:val="00711095"/>
    <w:rsid w:val="007122DA"/>
    <w:rsid w:val="0072604C"/>
    <w:rsid w:val="007269C2"/>
    <w:rsid w:val="00743D0D"/>
    <w:rsid w:val="007543E2"/>
    <w:rsid w:val="00762BBE"/>
    <w:rsid w:val="00767E3E"/>
    <w:rsid w:val="00796015"/>
    <w:rsid w:val="007A1C9E"/>
    <w:rsid w:val="007A7503"/>
    <w:rsid w:val="007C3DF0"/>
    <w:rsid w:val="007C69AE"/>
    <w:rsid w:val="00806B9E"/>
    <w:rsid w:val="00826DEB"/>
    <w:rsid w:val="00836EB5"/>
    <w:rsid w:val="00840586"/>
    <w:rsid w:val="008452C0"/>
    <w:rsid w:val="008458FF"/>
    <w:rsid w:val="0085354A"/>
    <w:rsid w:val="008616AF"/>
    <w:rsid w:val="0086233B"/>
    <w:rsid w:val="00884231"/>
    <w:rsid w:val="008A03D8"/>
    <w:rsid w:val="008C15D9"/>
    <w:rsid w:val="008C3871"/>
    <w:rsid w:val="008D0747"/>
    <w:rsid w:val="008D1862"/>
    <w:rsid w:val="008D291B"/>
    <w:rsid w:val="008F6681"/>
    <w:rsid w:val="009010D2"/>
    <w:rsid w:val="00901D19"/>
    <w:rsid w:val="00910DC7"/>
    <w:rsid w:val="009112DC"/>
    <w:rsid w:val="009315CC"/>
    <w:rsid w:val="00947C8A"/>
    <w:rsid w:val="00947E9E"/>
    <w:rsid w:val="009560A5"/>
    <w:rsid w:val="009719C7"/>
    <w:rsid w:val="00977C1C"/>
    <w:rsid w:val="009907EE"/>
    <w:rsid w:val="00993C70"/>
    <w:rsid w:val="009D2F73"/>
    <w:rsid w:val="009D45E8"/>
    <w:rsid w:val="009E7AF7"/>
    <w:rsid w:val="009F5431"/>
    <w:rsid w:val="009F6D1A"/>
    <w:rsid w:val="00A031DF"/>
    <w:rsid w:val="00A07799"/>
    <w:rsid w:val="00A251BB"/>
    <w:rsid w:val="00A25756"/>
    <w:rsid w:val="00A57D9B"/>
    <w:rsid w:val="00A80D1F"/>
    <w:rsid w:val="00A86F09"/>
    <w:rsid w:val="00A91E17"/>
    <w:rsid w:val="00A93153"/>
    <w:rsid w:val="00AB2A5B"/>
    <w:rsid w:val="00AB56AF"/>
    <w:rsid w:val="00AB6927"/>
    <w:rsid w:val="00AC29F6"/>
    <w:rsid w:val="00AD064D"/>
    <w:rsid w:val="00AE3684"/>
    <w:rsid w:val="00AE6282"/>
    <w:rsid w:val="00AF03E8"/>
    <w:rsid w:val="00AF1A9A"/>
    <w:rsid w:val="00B00B7A"/>
    <w:rsid w:val="00B00F06"/>
    <w:rsid w:val="00B0511E"/>
    <w:rsid w:val="00B111CE"/>
    <w:rsid w:val="00B20356"/>
    <w:rsid w:val="00B2297A"/>
    <w:rsid w:val="00B2356D"/>
    <w:rsid w:val="00B26F7B"/>
    <w:rsid w:val="00B35ECC"/>
    <w:rsid w:val="00B40317"/>
    <w:rsid w:val="00B4311D"/>
    <w:rsid w:val="00B51883"/>
    <w:rsid w:val="00B541A2"/>
    <w:rsid w:val="00B57C64"/>
    <w:rsid w:val="00B71EBC"/>
    <w:rsid w:val="00B73463"/>
    <w:rsid w:val="00B73F03"/>
    <w:rsid w:val="00B80CDD"/>
    <w:rsid w:val="00B85A7A"/>
    <w:rsid w:val="00B933A7"/>
    <w:rsid w:val="00BA2121"/>
    <w:rsid w:val="00BA2507"/>
    <w:rsid w:val="00BA5FE5"/>
    <w:rsid w:val="00BB042A"/>
    <w:rsid w:val="00BB4B0A"/>
    <w:rsid w:val="00BC241D"/>
    <w:rsid w:val="00BC47D4"/>
    <w:rsid w:val="00BC68E6"/>
    <w:rsid w:val="00BE00C0"/>
    <w:rsid w:val="00BE2CAF"/>
    <w:rsid w:val="00BE45F6"/>
    <w:rsid w:val="00C107F2"/>
    <w:rsid w:val="00C11CE7"/>
    <w:rsid w:val="00C21625"/>
    <w:rsid w:val="00C2359A"/>
    <w:rsid w:val="00C33A04"/>
    <w:rsid w:val="00C34D22"/>
    <w:rsid w:val="00C42251"/>
    <w:rsid w:val="00C45676"/>
    <w:rsid w:val="00C45FF0"/>
    <w:rsid w:val="00C541CF"/>
    <w:rsid w:val="00C55180"/>
    <w:rsid w:val="00C57AED"/>
    <w:rsid w:val="00C64CB1"/>
    <w:rsid w:val="00C86125"/>
    <w:rsid w:val="00C9006B"/>
    <w:rsid w:val="00C95B3C"/>
    <w:rsid w:val="00C9777D"/>
    <w:rsid w:val="00CA08EB"/>
    <w:rsid w:val="00CA25C9"/>
    <w:rsid w:val="00CA6D65"/>
    <w:rsid w:val="00CB3C5B"/>
    <w:rsid w:val="00CD0AFB"/>
    <w:rsid w:val="00CD6991"/>
    <w:rsid w:val="00CD7AA5"/>
    <w:rsid w:val="00CD7AD5"/>
    <w:rsid w:val="00CE6FB5"/>
    <w:rsid w:val="00CE7890"/>
    <w:rsid w:val="00CF1830"/>
    <w:rsid w:val="00CF5A44"/>
    <w:rsid w:val="00D05470"/>
    <w:rsid w:val="00D1234F"/>
    <w:rsid w:val="00D13B70"/>
    <w:rsid w:val="00D364EC"/>
    <w:rsid w:val="00D42ED2"/>
    <w:rsid w:val="00D511C4"/>
    <w:rsid w:val="00D67203"/>
    <w:rsid w:val="00D7298F"/>
    <w:rsid w:val="00D73728"/>
    <w:rsid w:val="00D85123"/>
    <w:rsid w:val="00D93C96"/>
    <w:rsid w:val="00DA26B8"/>
    <w:rsid w:val="00DA718B"/>
    <w:rsid w:val="00DA76AD"/>
    <w:rsid w:val="00DB538E"/>
    <w:rsid w:val="00DD282F"/>
    <w:rsid w:val="00DD2B17"/>
    <w:rsid w:val="00DE3773"/>
    <w:rsid w:val="00E05754"/>
    <w:rsid w:val="00E13B3B"/>
    <w:rsid w:val="00E242E5"/>
    <w:rsid w:val="00E2721E"/>
    <w:rsid w:val="00E33410"/>
    <w:rsid w:val="00E802D3"/>
    <w:rsid w:val="00E917A9"/>
    <w:rsid w:val="00EA27B6"/>
    <w:rsid w:val="00EB0B6D"/>
    <w:rsid w:val="00EB47ED"/>
    <w:rsid w:val="00EC282F"/>
    <w:rsid w:val="00ED6AF2"/>
    <w:rsid w:val="00EE2013"/>
    <w:rsid w:val="00EE4A6A"/>
    <w:rsid w:val="00EE5C8B"/>
    <w:rsid w:val="00EE778B"/>
    <w:rsid w:val="00F0213F"/>
    <w:rsid w:val="00F022B5"/>
    <w:rsid w:val="00F06D6F"/>
    <w:rsid w:val="00F11CD2"/>
    <w:rsid w:val="00F12089"/>
    <w:rsid w:val="00F201F6"/>
    <w:rsid w:val="00F22F27"/>
    <w:rsid w:val="00F23535"/>
    <w:rsid w:val="00F32EDA"/>
    <w:rsid w:val="00F340F0"/>
    <w:rsid w:val="00F5082D"/>
    <w:rsid w:val="00F531BD"/>
    <w:rsid w:val="00F5324A"/>
    <w:rsid w:val="00F56DB1"/>
    <w:rsid w:val="00F57042"/>
    <w:rsid w:val="00F57C68"/>
    <w:rsid w:val="00F635EF"/>
    <w:rsid w:val="00F679F5"/>
    <w:rsid w:val="00F91C0A"/>
    <w:rsid w:val="00FA0CA9"/>
    <w:rsid w:val="00FA6385"/>
    <w:rsid w:val="00FB48D8"/>
    <w:rsid w:val="00FB4E24"/>
    <w:rsid w:val="00FD4456"/>
    <w:rsid w:val="00FE3D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19642E"/>
  </w:style>
  <w:style w:type="character" w:styleId="UnresolvedMention">
    <w:name w:val="Unresolved Mention"/>
    <w:basedOn w:val="DefaultParagraphFont"/>
    <w:uiPriority w:val="99"/>
    <w:semiHidden/>
    <w:unhideWhenUsed/>
    <w:rsid w:val="001062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customXml" Target="../customXml/item2.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4.xml"/><Relationship Id="rId25" Type="http://schemas.openxmlformats.org/officeDocument/2006/relationships/image" Target="media/image13.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app.powerbi.com/MobileRedirect.html?action=OpenReport&amp;reportObjectId=d51e5f2f-c8bc-47c0-8102-a3333de71b03&amp;ctid=bb5628b8-e328-4082-a856-433c9edc8fae&amp;reportPage=ReportSection6580b0993958affcb093&amp;pbi_source=copyvisualimage" TargetMode="Externa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customXml" Target="../customXml/item4.xm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3.xml"/><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footer" Target="footer1.xml"/><Relationship Id="rId35" Type="http://schemas.openxmlformats.org/officeDocument/2006/relationships/customXml" Target="../customXml/item3.xml"/><Relationship Id="rId8" Type="http://schemas.openxmlformats.org/officeDocument/2006/relationships/chart" Target="charts/chart1.xml"/></Relationships>
</file>

<file path=word/_rels/footer1.xml.rels><?xml version="1.0" encoding="UTF-8" standalone="yes"?>
<Relationships xmlns="http://schemas.openxmlformats.org/package/2006/relationships"><Relationship Id="rId1" Type="http://schemas.openxmlformats.org/officeDocument/2006/relationships/image" Target="media/image18.jpeg"/></Relationships>
</file>

<file path=word/_rels/header1.xml.rels><?xml version="1.0" encoding="UTF-8" standalone="yes"?>
<Relationships xmlns="http://schemas.openxmlformats.org/package/2006/relationships"><Relationship Id="rId1" Type="http://schemas.openxmlformats.org/officeDocument/2006/relationships/image" Target="media/image17.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ststorage\Cancer%20Waiting%20Times%20Management\April%2015%20-%20to%20present%20summary%20-%20restored.xls"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April%2015%20-%20to%20present%20summary%20-%20restored.xls"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1" Type="http://schemas.openxmlformats.org/officeDocument/2006/relationships/oleObject" Target="https://nhswales365-my.sharepoint.com/personal/marisa_bennett_wales_nhs_uk/Documents/Copy%20of%20Copy%20of%20PTL%2030.11.2025.xls"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PTLs\PTL%20Summaries%202024v2.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 of patients that started treatment within 62 days</a:t>
            </a:r>
          </a:p>
        </c:rich>
      </c:tx>
      <c:overlay val="0"/>
      <c:spPr>
        <a:noFill/>
        <a:ln w="25400">
          <a:noFill/>
        </a:ln>
      </c:spPr>
    </c:title>
    <c:autoTitleDeleted val="0"/>
    <c:plotArea>
      <c:layout/>
      <c:barChart>
        <c:barDir val="col"/>
        <c:grouping val="clustered"/>
        <c:varyColors val="0"/>
        <c:ser>
          <c:idx val="0"/>
          <c:order val="0"/>
          <c:tx>
            <c:strRef>
              <c:f>Sheet2!$B$3</c:f>
              <c:strCache>
                <c:ptCount val="1"/>
                <c:pt idx="0">
                  <c:v>% within 62 days</c:v>
                </c:pt>
              </c:strCache>
            </c:strRef>
          </c:tx>
          <c:spPr>
            <a:solidFill>
              <a:schemeClr val="tx2">
                <a:lumMod val="40000"/>
                <a:lumOff val="60000"/>
              </a:schemeClr>
            </a:solidFill>
            <a:ln>
              <a:solidFill>
                <a:schemeClr val="tx2">
                  <a:lumMod val="40000"/>
                  <a:lumOff val="60000"/>
                </a:schemeClr>
              </a:solidFill>
            </a:ln>
            <a:effectLst/>
          </c:spPr>
          <c:invertIfNegative val="0"/>
          <c:dLbls>
            <c:spPr>
              <a:noFill/>
              <a:ln>
                <a:noFill/>
              </a:ln>
              <a:effectLst/>
            </c:spPr>
            <c:txPr>
              <a:bodyPr wrap="square" lIns="38100" tIns="19050" rIns="38100" bIns="19050" anchor="ctr">
                <a:spAutoFit/>
              </a:bodyPr>
              <a:lstStyle/>
              <a:p>
                <a:pPr>
                  <a:defRPr sz="900"/>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Sheet2!$A$4:$A$24</c:f>
              <c:numCache>
                <c:formatCode>mmm\ yyyy</c:formatCode>
                <c:ptCount val="21"/>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pt idx="12">
                  <c:v>45839</c:v>
                </c:pt>
                <c:pt idx="13">
                  <c:v>45870</c:v>
                </c:pt>
                <c:pt idx="14">
                  <c:v>45901</c:v>
                </c:pt>
                <c:pt idx="15">
                  <c:v>45931</c:v>
                </c:pt>
                <c:pt idx="16">
                  <c:v>45962</c:v>
                </c:pt>
                <c:pt idx="17">
                  <c:v>45992</c:v>
                </c:pt>
                <c:pt idx="18">
                  <c:v>46023</c:v>
                </c:pt>
                <c:pt idx="19">
                  <c:v>46054</c:v>
                </c:pt>
                <c:pt idx="20">
                  <c:v>46082</c:v>
                </c:pt>
              </c:numCache>
            </c:numRef>
          </c:cat>
          <c:val>
            <c:numRef>
              <c:f>Sheet2!$B$4:$B$24</c:f>
              <c:numCache>
                <c:formatCode>0%</c:formatCode>
                <c:ptCount val="21"/>
                <c:pt idx="0">
                  <c:v>0.59539473684210531</c:v>
                </c:pt>
                <c:pt idx="1">
                  <c:v>0.59859154929577463</c:v>
                </c:pt>
                <c:pt idx="2">
                  <c:v>0.6</c:v>
                </c:pt>
                <c:pt idx="3">
                  <c:v>0.5667752442996743</c:v>
                </c:pt>
                <c:pt idx="4">
                  <c:v>0.66917293233082709</c:v>
                </c:pt>
                <c:pt idx="5">
                  <c:v>0.63274336283185839</c:v>
                </c:pt>
                <c:pt idx="6">
                  <c:v>0.55594405594405594</c:v>
                </c:pt>
                <c:pt idx="7">
                  <c:v>0.58914728682170547</c:v>
                </c:pt>
                <c:pt idx="8">
                  <c:v>0.66431095406360419</c:v>
                </c:pt>
                <c:pt idx="9">
                  <c:v>0.65217391304347827</c:v>
                </c:pt>
                <c:pt idx="10">
                  <c:v>0.63035019455252916</c:v>
                </c:pt>
                <c:pt idx="11">
                  <c:v>0.53281853281853286</c:v>
                </c:pt>
                <c:pt idx="12">
                  <c:v>0.60617760617760619</c:v>
                </c:pt>
                <c:pt idx="13">
                  <c:v>0.61165048543689315</c:v>
                </c:pt>
                <c:pt idx="14">
                  <c:v>0.5962264150943396</c:v>
                </c:pt>
                <c:pt idx="15">
                  <c:v>0.56000000000000005</c:v>
                </c:pt>
              </c:numCache>
            </c:numRef>
          </c:val>
          <c:extLst>
            <c:ext xmlns:c16="http://schemas.microsoft.com/office/drawing/2014/chart" uri="{C3380CC4-5D6E-409C-BE32-E72D297353CC}">
              <c16:uniqueId val="{00000000-4922-4BCF-8F5C-32C5BEDD36C6}"/>
            </c:ext>
          </c:extLst>
        </c:ser>
        <c:dLbls>
          <c:showLegendKey val="0"/>
          <c:showVal val="0"/>
          <c:showCatName val="0"/>
          <c:showSerName val="0"/>
          <c:showPercent val="0"/>
          <c:showBubbleSize val="0"/>
        </c:dLbls>
        <c:gapWidth val="219"/>
        <c:overlap val="-27"/>
        <c:axId val="1682704447"/>
        <c:axId val="1"/>
      </c:barChart>
      <c:lineChart>
        <c:grouping val="standard"/>
        <c:varyColors val="0"/>
        <c:ser>
          <c:idx val="1"/>
          <c:order val="1"/>
          <c:tx>
            <c:strRef>
              <c:f>Sheet2!$C$3</c:f>
              <c:strCache>
                <c:ptCount val="1"/>
                <c:pt idx="0">
                  <c:v>HB Trajectory</c:v>
                </c:pt>
              </c:strCache>
            </c:strRef>
          </c:tx>
          <c:spPr>
            <a:ln w="28575" cap="rnd">
              <a:solidFill>
                <a:schemeClr val="accent2"/>
              </a:solidFill>
              <a:prstDash val="dash"/>
              <a:round/>
            </a:ln>
            <a:effectLst/>
          </c:spPr>
          <c:marker>
            <c:symbol val="none"/>
          </c:marker>
          <c:cat>
            <c:numRef>
              <c:f>Sheet2!$A$4:$A$24</c:f>
              <c:numCache>
                <c:formatCode>mmm\ yyyy</c:formatCode>
                <c:ptCount val="21"/>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pt idx="12">
                  <c:v>45839</c:v>
                </c:pt>
                <c:pt idx="13">
                  <c:v>45870</c:v>
                </c:pt>
                <c:pt idx="14">
                  <c:v>45901</c:v>
                </c:pt>
                <c:pt idx="15">
                  <c:v>45931</c:v>
                </c:pt>
                <c:pt idx="16">
                  <c:v>45962</c:v>
                </c:pt>
                <c:pt idx="17">
                  <c:v>45992</c:v>
                </c:pt>
                <c:pt idx="18">
                  <c:v>46023</c:v>
                </c:pt>
                <c:pt idx="19">
                  <c:v>46054</c:v>
                </c:pt>
                <c:pt idx="20">
                  <c:v>46082</c:v>
                </c:pt>
              </c:numCache>
            </c:numRef>
          </c:cat>
          <c:val>
            <c:numRef>
              <c:f>Sheet2!$C$4:$C$24</c:f>
              <c:numCache>
                <c:formatCode>General</c:formatCode>
                <c:ptCount val="21"/>
                <c:pt idx="9" formatCode="0%">
                  <c:v>0.6</c:v>
                </c:pt>
                <c:pt idx="10" formatCode="0%">
                  <c:v>0.62</c:v>
                </c:pt>
                <c:pt idx="11" formatCode="0%">
                  <c:v>0.63</c:v>
                </c:pt>
                <c:pt idx="12" formatCode="0%">
                  <c:v>0.65</c:v>
                </c:pt>
                <c:pt idx="13" formatCode="0%">
                  <c:v>0.68</c:v>
                </c:pt>
                <c:pt idx="14" formatCode="0%">
                  <c:v>0.7</c:v>
                </c:pt>
                <c:pt idx="15" formatCode="0%">
                  <c:v>0.7</c:v>
                </c:pt>
                <c:pt idx="16" formatCode="0%">
                  <c:v>0.72</c:v>
                </c:pt>
                <c:pt idx="17" formatCode="0%">
                  <c:v>0.75</c:v>
                </c:pt>
                <c:pt idx="18" formatCode="0%">
                  <c:v>0.74</c:v>
                </c:pt>
                <c:pt idx="19" formatCode="0%">
                  <c:v>0.77</c:v>
                </c:pt>
                <c:pt idx="20" formatCode="0%">
                  <c:v>0.8</c:v>
                </c:pt>
              </c:numCache>
            </c:numRef>
          </c:val>
          <c:smooth val="0"/>
          <c:extLst>
            <c:ext xmlns:c16="http://schemas.microsoft.com/office/drawing/2014/chart" uri="{C3380CC4-5D6E-409C-BE32-E72D297353CC}">
              <c16:uniqueId val="{00000001-4922-4BCF-8F5C-32C5BEDD36C6}"/>
            </c:ext>
          </c:extLst>
        </c:ser>
        <c:ser>
          <c:idx val="2"/>
          <c:order val="2"/>
          <c:tx>
            <c:strRef>
              <c:f>Sheet2!$D$3</c:f>
              <c:strCache>
                <c:ptCount val="1"/>
                <c:pt idx="0">
                  <c:v>WG Target</c:v>
                </c:pt>
              </c:strCache>
            </c:strRef>
          </c:tx>
          <c:spPr>
            <a:ln w="28575" cap="rnd">
              <a:solidFill>
                <a:srgbClr val="C00000"/>
              </a:solidFill>
              <a:round/>
            </a:ln>
            <a:effectLst/>
          </c:spPr>
          <c:marker>
            <c:symbol val="none"/>
          </c:marker>
          <c:cat>
            <c:numRef>
              <c:f>Sheet2!$A$4:$A$24</c:f>
              <c:numCache>
                <c:formatCode>mmm\ yyyy</c:formatCode>
                <c:ptCount val="21"/>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pt idx="12">
                  <c:v>45839</c:v>
                </c:pt>
                <c:pt idx="13">
                  <c:v>45870</c:v>
                </c:pt>
                <c:pt idx="14">
                  <c:v>45901</c:v>
                </c:pt>
                <c:pt idx="15">
                  <c:v>45931</c:v>
                </c:pt>
                <c:pt idx="16">
                  <c:v>45962</c:v>
                </c:pt>
                <c:pt idx="17">
                  <c:v>45992</c:v>
                </c:pt>
                <c:pt idx="18">
                  <c:v>46023</c:v>
                </c:pt>
                <c:pt idx="19">
                  <c:v>46054</c:v>
                </c:pt>
                <c:pt idx="20">
                  <c:v>46082</c:v>
                </c:pt>
              </c:numCache>
            </c:numRef>
          </c:cat>
          <c:val>
            <c:numRef>
              <c:f>Sheet2!$D$4:$D$24</c:f>
              <c:numCache>
                <c:formatCode>0%</c:formatCode>
                <c:ptCount val="21"/>
                <c:pt idx="0">
                  <c:v>0.75</c:v>
                </c:pt>
                <c:pt idx="1">
                  <c:v>0.75</c:v>
                </c:pt>
                <c:pt idx="2">
                  <c:v>0.75</c:v>
                </c:pt>
                <c:pt idx="3">
                  <c:v>0.75</c:v>
                </c:pt>
                <c:pt idx="4">
                  <c:v>0.75</c:v>
                </c:pt>
                <c:pt idx="5">
                  <c:v>0.75</c:v>
                </c:pt>
                <c:pt idx="6">
                  <c:v>0.75</c:v>
                </c:pt>
                <c:pt idx="7">
                  <c:v>0.75</c:v>
                </c:pt>
                <c:pt idx="8">
                  <c:v>0.75</c:v>
                </c:pt>
                <c:pt idx="9">
                  <c:v>0.75</c:v>
                </c:pt>
                <c:pt idx="10">
                  <c:v>0.75</c:v>
                </c:pt>
                <c:pt idx="11">
                  <c:v>0.75</c:v>
                </c:pt>
                <c:pt idx="12">
                  <c:v>0.75</c:v>
                </c:pt>
                <c:pt idx="13">
                  <c:v>0.75</c:v>
                </c:pt>
                <c:pt idx="14">
                  <c:v>0.75</c:v>
                </c:pt>
                <c:pt idx="15">
                  <c:v>0.75</c:v>
                </c:pt>
                <c:pt idx="16">
                  <c:v>0.75</c:v>
                </c:pt>
                <c:pt idx="17">
                  <c:v>0.75</c:v>
                </c:pt>
                <c:pt idx="18">
                  <c:v>0.75</c:v>
                </c:pt>
                <c:pt idx="19">
                  <c:v>0.75</c:v>
                </c:pt>
                <c:pt idx="20">
                  <c:v>0.75</c:v>
                </c:pt>
              </c:numCache>
            </c:numRef>
          </c:val>
          <c:smooth val="0"/>
          <c:extLst>
            <c:ext xmlns:c16="http://schemas.microsoft.com/office/drawing/2014/chart" uri="{C3380CC4-5D6E-409C-BE32-E72D297353CC}">
              <c16:uniqueId val="{00000002-4922-4BCF-8F5C-32C5BEDD36C6}"/>
            </c:ext>
          </c:extLst>
        </c:ser>
        <c:ser>
          <c:idx val="3"/>
          <c:order val="3"/>
          <c:tx>
            <c:strRef>
              <c:f>Sheet2!$E$3</c:f>
              <c:strCache>
                <c:ptCount val="1"/>
                <c:pt idx="0">
                  <c:v>TI Target</c:v>
                </c:pt>
              </c:strCache>
            </c:strRef>
          </c:tx>
          <c:spPr>
            <a:ln w="28575" cap="rnd">
              <a:solidFill>
                <a:schemeClr val="tx2"/>
              </a:solidFill>
              <a:round/>
            </a:ln>
            <a:effectLst/>
          </c:spPr>
          <c:marker>
            <c:symbol val="none"/>
          </c:marker>
          <c:cat>
            <c:numRef>
              <c:f>Sheet2!$A$4:$A$24</c:f>
              <c:numCache>
                <c:formatCode>mmm\ yyyy</c:formatCode>
                <c:ptCount val="21"/>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pt idx="12">
                  <c:v>45839</c:v>
                </c:pt>
                <c:pt idx="13">
                  <c:v>45870</c:v>
                </c:pt>
                <c:pt idx="14">
                  <c:v>45901</c:v>
                </c:pt>
                <c:pt idx="15">
                  <c:v>45931</c:v>
                </c:pt>
                <c:pt idx="16">
                  <c:v>45962</c:v>
                </c:pt>
                <c:pt idx="17">
                  <c:v>45992</c:v>
                </c:pt>
                <c:pt idx="18">
                  <c:v>46023</c:v>
                </c:pt>
                <c:pt idx="19">
                  <c:v>46054</c:v>
                </c:pt>
                <c:pt idx="20">
                  <c:v>46082</c:v>
                </c:pt>
              </c:numCache>
            </c:numRef>
          </c:cat>
          <c:val>
            <c:numRef>
              <c:f>Sheet2!$E$4:$E$24</c:f>
              <c:numCache>
                <c:formatCode>0%</c:formatCode>
                <c:ptCount val="21"/>
                <c:pt idx="0">
                  <c:v>0.6</c:v>
                </c:pt>
                <c:pt idx="1">
                  <c:v>0.6</c:v>
                </c:pt>
                <c:pt idx="2">
                  <c:v>0.6</c:v>
                </c:pt>
                <c:pt idx="3">
                  <c:v>0.6</c:v>
                </c:pt>
                <c:pt idx="4">
                  <c:v>0.6</c:v>
                </c:pt>
                <c:pt idx="5">
                  <c:v>0.6</c:v>
                </c:pt>
                <c:pt idx="6">
                  <c:v>0.6</c:v>
                </c:pt>
                <c:pt idx="7">
                  <c:v>0.6</c:v>
                </c:pt>
                <c:pt idx="8">
                  <c:v>0.6</c:v>
                </c:pt>
                <c:pt idx="9">
                  <c:v>0.6</c:v>
                </c:pt>
                <c:pt idx="10">
                  <c:v>0.6</c:v>
                </c:pt>
                <c:pt idx="11">
                  <c:v>0.6</c:v>
                </c:pt>
                <c:pt idx="12">
                  <c:v>0.6</c:v>
                </c:pt>
                <c:pt idx="13">
                  <c:v>0.6</c:v>
                </c:pt>
                <c:pt idx="14">
                  <c:v>0.6</c:v>
                </c:pt>
                <c:pt idx="15">
                  <c:v>0.6</c:v>
                </c:pt>
                <c:pt idx="16">
                  <c:v>0.6</c:v>
                </c:pt>
                <c:pt idx="17">
                  <c:v>0.6</c:v>
                </c:pt>
                <c:pt idx="18">
                  <c:v>0.6</c:v>
                </c:pt>
                <c:pt idx="19">
                  <c:v>0.6</c:v>
                </c:pt>
                <c:pt idx="20">
                  <c:v>0.6</c:v>
                </c:pt>
              </c:numCache>
            </c:numRef>
          </c:val>
          <c:smooth val="0"/>
          <c:extLst>
            <c:ext xmlns:c16="http://schemas.microsoft.com/office/drawing/2014/chart" uri="{C3380CC4-5D6E-409C-BE32-E72D297353CC}">
              <c16:uniqueId val="{00000003-4922-4BCF-8F5C-32C5BEDD36C6}"/>
            </c:ext>
          </c:extLst>
        </c:ser>
        <c:dLbls>
          <c:showLegendKey val="0"/>
          <c:showVal val="0"/>
          <c:showCatName val="0"/>
          <c:showSerName val="0"/>
          <c:showPercent val="0"/>
          <c:showBubbleSize val="0"/>
        </c:dLbls>
        <c:marker val="1"/>
        <c:smooth val="0"/>
        <c:axId val="1682704447"/>
        <c:axId val="1"/>
      </c:lineChart>
      <c:dateAx>
        <c:axId val="1682704447"/>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Offset val="100"/>
        <c:baseTimeUnit val="months"/>
      </c:dateAx>
      <c:valAx>
        <c:axId val="1"/>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2704447"/>
        <c:crosses val="autoZero"/>
        <c:crossBetween val="between"/>
        <c:majorUnit val="0.2"/>
      </c:valAx>
      <c:spPr>
        <a:noFill/>
        <a:ln w="25400">
          <a:noFill/>
        </a:ln>
      </c:spPr>
    </c:plotArea>
    <c:legend>
      <c:legendPos val="b"/>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SCP</a:t>
            </a:r>
            <a:r>
              <a:rPr lang="en-GB" baseline="0"/>
              <a:t> Performance with and without patient unavailability</a:t>
            </a:r>
            <a:r>
              <a:rPr lang="en-GB"/>
              <a:t> </a:t>
            </a:r>
          </a:p>
        </c:rich>
      </c:tx>
      <c:overlay val="0"/>
      <c:spPr>
        <a:noFill/>
        <a:ln w="25400">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747434794670166E-2"/>
          <c:y val="9.6093450785139811E-2"/>
          <c:w val="0.89815162147496908"/>
          <c:h val="0.70892951383757996"/>
        </c:manualLayout>
      </c:layout>
      <c:barChart>
        <c:barDir val="col"/>
        <c:grouping val="clustered"/>
        <c:varyColors val="0"/>
        <c:ser>
          <c:idx val="9"/>
          <c:order val="0"/>
          <c:tx>
            <c:strRef>
              <c:f>Sheet5!$E$1</c:f>
              <c:strCache>
                <c:ptCount val="1"/>
                <c:pt idx="0">
                  <c:v>Performance</c:v>
                </c:pt>
              </c:strCache>
            </c:strRef>
          </c:tx>
          <c:spPr>
            <a:solidFill>
              <a:schemeClr val="accent1">
                <a:lumMod val="80000"/>
              </a:schemeClr>
            </a:solidFill>
            <a:ln>
              <a:noFill/>
            </a:ln>
            <a:effectLst/>
          </c:spPr>
          <c:invertIfNegative val="0"/>
          <c:dLbls>
            <c:spPr>
              <a:noFill/>
              <a:ln w="25400">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Sheet5!$A$2:$A$22</c:f>
              <c:numCache>
                <c:formatCode>mmm\ yyyy</c:formatCode>
                <c:ptCount val="21"/>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pt idx="12">
                  <c:v>45839</c:v>
                </c:pt>
                <c:pt idx="13">
                  <c:v>45870</c:v>
                </c:pt>
                <c:pt idx="14">
                  <c:v>45901</c:v>
                </c:pt>
                <c:pt idx="15">
                  <c:v>45931</c:v>
                </c:pt>
                <c:pt idx="16">
                  <c:v>45962</c:v>
                </c:pt>
                <c:pt idx="17">
                  <c:v>45992</c:v>
                </c:pt>
                <c:pt idx="18">
                  <c:v>46023</c:v>
                </c:pt>
                <c:pt idx="19">
                  <c:v>46054</c:v>
                </c:pt>
                <c:pt idx="20">
                  <c:v>46082</c:v>
                </c:pt>
              </c:numCache>
            </c:numRef>
          </c:cat>
          <c:val>
            <c:numRef>
              <c:f>Sheet5!$E$2:$E$22</c:f>
              <c:numCache>
                <c:formatCode>0%</c:formatCode>
                <c:ptCount val="21"/>
                <c:pt idx="0">
                  <c:v>0.59539473684210531</c:v>
                </c:pt>
                <c:pt idx="1">
                  <c:v>0.59859154929577463</c:v>
                </c:pt>
                <c:pt idx="2">
                  <c:v>0.6</c:v>
                </c:pt>
                <c:pt idx="3">
                  <c:v>0.5667752442996743</c:v>
                </c:pt>
                <c:pt idx="4">
                  <c:v>0.66917293233082709</c:v>
                </c:pt>
                <c:pt idx="5">
                  <c:v>0.63274336283185839</c:v>
                </c:pt>
                <c:pt idx="6">
                  <c:v>0.55594405594405594</c:v>
                </c:pt>
                <c:pt idx="7">
                  <c:v>0.58914728682170547</c:v>
                </c:pt>
                <c:pt idx="8">
                  <c:v>0.66431095406360419</c:v>
                </c:pt>
                <c:pt idx="9">
                  <c:v>0.65217391304347827</c:v>
                </c:pt>
                <c:pt idx="10">
                  <c:v>0.63035019455252916</c:v>
                </c:pt>
                <c:pt idx="11">
                  <c:v>0.53281853281853286</c:v>
                </c:pt>
                <c:pt idx="12">
                  <c:v>0.60617760617760619</c:v>
                </c:pt>
                <c:pt idx="13">
                  <c:v>0.61165048543689315</c:v>
                </c:pt>
                <c:pt idx="14">
                  <c:v>0.5962264150943396</c:v>
                </c:pt>
                <c:pt idx="15">
                  <c:v>0.56194690265486724</c:v>
                </c:pt>
              </c:numCache>
            </c:numRef>
          </c:val>
          <c:extLst>
            <c:ext xmlns:c16="http://schemas.microsoft.com/office/drawing/2014/chart" uri="{C3380CC4-5D6E-409C-BE32-E72D297353CC}">
              <c16:uniqueId val="{00000000-0815-414A-AF60-81215C31EAB0}"/>
            </c:ext>
          </c:extLst>
        </c:ser>
        <c:ser>
          <c:idx val="4"/>
          <c:order val="1"/>
          <c:tx>
            <c:strRef>
              <c:f>Sheet5!$I$1</c:f>
              <c:strCache>
                <c:ptCount val="1"/>
                <c:pt idx="0">
                  <c:v>Performance with adjustments</c:v>
                </c:pt>
              </c:strCache>
            </c:strRef>
          </c:tx>
          <c:spPr>
            <a:solidFill>
              <a:schemeClr val="accent3">
                <a:lumMod val="60000"/>
              </a:schemeClr>
            </a:solidFill>
            <a:ln>
              <a:noFill/>
            </a:ln>
            <a:effectLst/>
          </c:spPr>
          <c:invertIfNegative val="0"/>
          <c:dLbls>
            <c:spPr>
              <a:noFill/>
              <a:ln w="25400">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Sheet5!$A$2:$A$22</c:f>
              <c:numCache>
                <c:formatCode>mmm\ yyyy</c:formatCode>
                <c:ptCount val="21"/>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pt idx="12">
                  <c:v>45839</c:v>
                </c:pt>
                <c:pt idx="13">
                  <c:v>45870</c:v>
                </c:pt>
                <c:pt idx="14">
                  <c:v>45901</c:v>
                </c:pt>
                <c:pt idx="15">
                  <c:v>45931</c:v>
                </c:pt>
                <c:pt idx="16">
                  <c:v>45962</c:v>
                </c:pt>
                <c:pt idx="17">
                  <c:v>45992</c:v>
                </c:pt>
                <c:pt idx="18">
                  <c:v>46023</c:v>
                </c:pt>
                <c:pt idx="19">
                  <c:v>46054</c:v>
                </c:pt>
                <c:pt idx="20">
                  <c:v>46082</c:v>
                </c:pt>
              </c:numCache>
            </c:numRef>
          </c:cat>
          <c:val>
            <c:numRef>
              <c:f>Sheet5!$I$2:$I$22</c:f>
              <c:numCache>
                <c:formatCode>0%</c:formatCode>
                <c:ptCount val="21"/>
                <c:pt idx="0">
                  <c:v>0.62828947368421051</c:v>
                </c:pt>
                <c:pt idx="1">
                  <c:v>0.6223776223776224</c:v>
                </c:pt>
                <c:pt idx="2">
                  <c:v>0.61354581673306774</c:v>
                </c:pt>
                <c:pt idx="3">
                  <c:v>0.5895765472312704</c:v>
                </c:pt>
                <c:pt idx="4">
                  <c:v>0.70411985018726597</c:v>
                </c:pt>
                <c:pt idx="5">
                  <c:v>0.64628820960698685</c:v>
                </c:pt>
                <c:pt idx="6">
                  <c:v>0.57986111111111116</c:v>
                </c:pt>
                <c:pt idx="7">
                  <c:v>0.61923076923076925</c:v>
                </c:pt>
                <c:pt idx="8">
                  <c:v>0.68881118881118886</c:v>
                </c:pt>
                <c:pt idx="9">
                  <c:v>0.67965367965367962</c:v>
                </c:pt>
                <c:pt idx="10">
                  <c:v>0.63813229571984431</c:v>
                </c:pt>
                <c:pt idx="11">
                  <c:v>0.57854406130268199</c:v>
                </c:pt>
                <c:pt idx="12">
                  <c:v>0.64084507042253525</c:v>
                </c:pt>
                <c:pt idx="13">
                  <c:v>0.63033175355450233</c:v>
                </c:pt>
                <c:pt idx="14">
                  <c:v>0.62361623616236161</c:v>
                </c:pt>
                <c:pt idx="15">
                  <c:v>0.59734513274336287</c:v>
                </c:pt>
              </c:numCache>
            </c:numRef>
          </c:val>
          <c:extLst>
            <c:ext xmlns:c16="http://schemas.microsoft.com/office/drawing/2014/chart" uri="{C3380CC4-5D6E-409C-BE32-E72D297353CC}">
              <c16:uniqueId val="{00000001-0815-414A-AF60-81215C31EAB0}"/>
            </c:ext>
          </c:extLst>
        </c:ser>
        <c:dLbls>
          <c:showLegendKey val="0"/>
          <c:showVal val="0"/>
          <c:showCatName val="0"/>
          <c:showSerName val="0"/>
          <c:showPercent val="0"/>
          <c:showBubbleSize val="0"/>
        </c:dLbls>
        <c:gapWidth val="219"/>
        <c:axId val="1682717887"/>
        <c:axId val="1"/>
      </c:barChart>
      <c:lineChart>
        <c:grouping val="standard"/>
        <c:varyColors val="0"/>
        <c:ser>
          <c:idx val="5"/>
          <c:order val="2"/>
          <c:tx>
            <c:strRef>
              <c:f>Sheet5!$J$1</c:f>
              <c:strCache>
                <c:ptCount val="1"/>
                <c:pt idx="0">
                  <c:v>MDS 25/26 Profile</c:v>
                </c:pt>
              </c:strCache>
            </c:strRef>
          </c:tx>
          <c:spPr>
            <a:ln w="19050" cap="rnd" cmpd="sng" algn="ctr">
              <a:solidFill>
                <a:schemeClr val="accent5">
                  <a:lumMod val="60000"/>
                </a:schemeClr>
              </a:solidFill>
              <a:prstDash val="solid"/>
              <a:round/>
            </a:ln>
            <a:effectLst/>
          </c:spPr>
          <c:marker>
            <c:symbol val="none"/>
          </c:marker>
          <c:cat>
            <c:numRef>
              <c:f>Sheet5!$A$2:$A$22</c:f>
              <c:numCache>
                <c:formatCode>mmm\ yyyy</c:formatCode>
                <c:ptCount val="21"/>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pt idx="12">
                  <c:v>45839</c:v>
                </c:pt>
                <c:pt idx="13">
                  <c:v>45870</c:v>
                </c:pt>
                <c:pt idx="14">
                  <c:v>45901</c:v>
                </c:pt>
                <c:pt idx="15">
                  <c:v>45931</c:v>
                </c:pt>
                <c:pt idx="16">
                  <c:v>45962</c:v>
                </c:pt>
                <c:pt idx="17">
                  <c:v>45992</c:v>
                </c:pt>
                <c:pt idx="18">
                  <c:v>46023</c:v>
                </c:pt>
                <c:pt idx="19">
                  <c:v>46054</c:v>
                </c:pt>
                <c:pt idx="20">
                  <c:v>46082</c:v>
                </c:pt>
              </c:numCache>
            </c:numRef>
          </c:cat>
          <c:val>
            <c:numRef>
              <c:f>Sheet5!$J$2:$J$22</c:f>
              <c:numCache>
                <c:formatCode>General</c:formatCode>
                <c:ptCount val="21"/>
                <c:pt idx="9" formatCode="0%">
                  <c:v>0.6</c:v>
                </c:pt>
                <c:pt idx="10" formatCode="0%">
                  <c:v>0.62</c:v>
                </c:pt>
                <c:pt idx="11" formatCode="0%">
                  <c:v>0.63</c:v>
                </c:pt>
                <c:pt idx="12" formatCode="0%">
                  <c:v>0.65</c:v>
                </c:pt>
                <c:pt idx="13" formatCode="0%">
                  <c:v>0.68</c:v>
                </c:pt>
                <c:pt idx="14" formatCode="0%">
                  <c:v>0.7</c:v>
                </c:pt>
                <c:pt idx="15" formatCode="0%">
                  <c:v>0.7</c:v>
                </c:pt>
                <c:pt idx="16" formatCode="0%">
                  <c:v>0.72</c:v>
                </c:pt>
                <c:pt idx="17" formatCode="0%">
                  <c:v>0.75</c:v>
                </c:pt>
                <c:pt idx="18" formatCode="0%">
                  <c:v>0.74</c:v>
                </c:pt>
                <c:pt idx="19" formatCode="0%">
                  <c:v>0.77</c:v>
                </c:pt>
                <c:pt idx="20" formatCode="0%">
                  <c:v>0.8</c:v>
                </c:pt>
              </c:numCache>
            </c:numRef>
          </c:val>
          <c:smooth val="0"/>
          <c:extLst>
            <c:ext xmlns:c16="http://schemas.microsoft.com/office/drawing/2014/chart" uri="{C3380CC4-5D6E-409C-BE32-E72D297353CC}">
              <c16:uniqueId val="{00000002-0815-414A-AF60-81215C31EAB0}"/>
            </c:ext>
          </c:extLst>
        </c:ser>
        <c:ser>
          <c:idx val="6"/>
          <c:order val="3"/>
          <c:tx>
            <c:strRef>
              <c:f>Sheet5!$K$1</c:f>
              <c:strCache>
                <c:ptCount val="1"/>
                <c:pt idx="0">
                  <c:v>TI Target</c:v>
                </c:pt>
              </c:strCache>
            </c:strRef>
          </c:tx>
          <c:spPr>
            <a:ln w="19050" cap="rnd" cmpd="sng" algn="ctr">
              <a:solidFill>
                <a:srgbClr val="FFC000"/>
              </a:solidFill>
              <a:prstDash val="solid"/>
              <a:round/>
            </a:ln>
            <a:effectLst/>
          </c:spPr>
          <c:marker>
            <c:symbol val="none"/>
          </c:marker>
          <c:cat>
            <c:numRef>
              <c:f>Sheet5!$A$2:$A$22</c:f>
              <c:numCache>
                <c:formatCode>mmm\ yyyy</c:formatCode>
                <c:ptCount val="21"/>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pt idx="12">
                  <c:v>45839</c:v>
                </c:pt>
                <c:pt idx="13">
                  <c:v>45870</c:v>
                </c:pt>
                <c:pt idx="14">
                  <c:v>45901</c:v>
                </c:pt>
                <c:pt idx="15">
                  <c:v>45931</c:v>
                </c:pt>
                <c:pt idx="16">
                  <c:v>45962</c:v>
                </c:pt>
                <c:pt idx="17">
                  <c:v>45992</c:v>
                </c:pt>
                <c:pt idx="18">
                  <c:v>46023</c:v>
                </c:pt>
                <c:pt idx="19">
                  <c:v>46054</c:v>
                </c:pt>
                <c:pt idx="20">
                  <c:v>46082</c:v>
                </c:pt>
              </c:numCache>
            </c:numRef>
          </c:cat>
          <c:val>
            <c:numRef>
              <c:f>Sheet5!$K$2:$K$22</c:f>
              <c:numCache>
                <c:formatCode>General</c:formatCode>
                <c:ptCount val="21"/>
                <c:pt idx="5" formatCode="0%">
                  <c:v>0.6</c:v>
                </c:pt>
                <c:pt idx="6" formatCode="0%">
                  <c:v>0.6</c:v>
                </c:pt>
                <c:pt idx="7" formatCode="0%">
                  <c:v>0.6</c:v>
                </c:pt>
                <c:pt idx="8" formatCode="0%">
                  <c:v>0.6</c:v>
                </c:pt>
                <c:pt idx="9" formatCode="0%">
                  <c:v>0.6</c:v>
                </c:pt>
                <c:pt idx="10" formatCode="0%">
                  <c:v>0.6</c:v>
                </c:pt>
                <c:pt idx="11" formatCode="0%">
                  <c:v>0.6</c:v>
                </c:pt>
                <c:pt idx="12" formatCode="0%">
                  <c:v>0.6</c:v>
                </c:pt>
                <c:pt idx="13" formatCode="0%">
                  <c:v>0.6</c:v>
                </c:pt>
                <c:pt idx="14" formatCode="0%">
                  <c:v>0.6</c:v>
                </c:pt>
                <c:pt idx="15" formatCode="0%">
                  <c:v>0.6</c:v>
                </c:pt>
                <c:pt idx="16" formatCode="0%">
                  <c:v>0.6</c:v>
                </c:pt>
                <c:pt idx="17" formatCode="0%">
                  <c:v>0.6</c:v>
                </c:pt>
                <c:pt idx="18" formatCode="0%">
                  <c:v>0.6</c:v>
                </c:pt>
                <c:pt idx="19" formatCode="0%">
                  <c:v>0.6</c:v>
                </c:pt>
                <c:pt idx="20" formatCode="0%">
                  <c:v>0.6</c:v>
                </c:pt>
              </c:numCache>
            </c:numRef>
          </c:val>
          <c:smooth val="0"/>
          <c:extLst>
            <c:ext xmlns:c16="http://schemas.microsoft.com/office/drawing/2014/chart" uri="{C3380CC4-5D6E-409C-BE32-E72D297353CC}">
              <c16:uniqueId val="{00000003-0815-414A-AF60-81215C31EAB0}"/>
            </c:ext>
          </c:extLst>
        </c:ser>
        <c:ser>
          <c:idx val="10"/>
          <c:order val="4"/>
          <c:tx>
            <c:strRef>
              <c:f>Sheet5!$L$1</c:f>
              <c:strCache>
                <c:ptCount val="1"/>
                <c:pt idx="0">
                  <c:v>Target</c:v>
                </c:pt>
              </c:strCache>
            </c:strRef>
          </c:tx>
          <c:spPr>
            <a:ln w="19050" cap="rnd" cmpd="sng" algn="ctr">
              <a:solidFill>
                <a:srgbClr val="FF0000"/>
              </a:solidFill>
              <a:prstDash val="solid"/>
              <a:round/>
            </a:ln>
            <a:effectLst/>
          </c:spPr>
          <c:marker>
            <c:symbol val="none"/>
          </c:marker>
          <c:cat>
            <c:numRef>
              <c:f>Sheet5!$A$2:$A$22</c:f>
              <c:numCache>
                <c:formatCode>mmm\ yyyy</c:formatCode>
                <c:ptCount val="21"/>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pt idx="12">
                  <c:v>45839</c:v>
                </c:pt>
                <c:pt idx="13">
                  <c:v>45870</c:v>
                </c:pt>
                <c:pt idx="14">
                  <c:v>45901</c:v>
                </c:pt>
                <c:pt idx="15">
                  <c:v>45931</c:v>
                </c:pt>
                <c:pt idx="16">
                  <c:v>45962</c:v>
                </c:pt>
                <c:pt idx="17">
                  <c:v>45992</c:v>
                </c:pt>
                <c:pt idx="18">
                  <c:v>46023</c:v>
                </c:pt>
                <c:pt idx="19">
                  <c:v>46054</c:v>
                </c:pt>
                <c:pt idx="20">
                  <c:v>46082</c:v>
                </c:pt>
              </c:numCache>
            </c:numRef>
          </c:cat>
          <c:val>
            <c:numRef>
              <c:f>Sheet5!$L$2:$L$22</c:f>
              <c:numCache>
                <c:formatCode>0%</c:formatCode>
                <c:ptCount val="21"/>
                <c:pt idx="0">
                  <c:v>0.75</c:v>
                </c:pt>
                <c:pt idx="1">
                  <c:v>0.75</c:v>
                </c:pt>
                <c:pt idx="2">
                  <c:v>0.75</c:v>
                </c:pt>
                <c:pt idx="3">
                  <c:v>0.75</c:v>
                </c:pt>
                <c:pt idx="4">
                  <c:v>0.75</c:v>
                </c:pt>
                <c:pt idx="5">
                  <c:v>0.75</c:v>
                </c:pt>
                <c:pt idx="6">
                  <c:v>0.75</c:v>
                </c:pt>
                <c:pt idx="7">
                  <c:v>0.75</c:v>
                </c:pt>
                <c:pt idx="8">
                  <c:v>0.75</c:v>
                </c:pt>
                <c:pt idx="9">
                  <c:v>0.75</c:v>
                </c:pt>
                <c:pt idx="10">
                  <c:v>0.75</c:v>
                </c:pt>
                <c:pt idx="11">
                  <c:v>0.75</c:v>
                </c:pt>
                <c:pt idx="12">
                  <c:v>0.75</c:v>
                </c:pt>
                <c:pt idx="13">
                  <c:v>0.75</c:v>
                </c:pt>
                <c:pt idx="14">
                  <c:v>0.75</c:v>
                </c:pt>
                <c:pt idx="15">
                  <c:v>0.75</c:v>
                </c:pt>
                <c:pt idx="16">
                  <c:v>0.75</c:v>
                </c:pt>
                <c:pt idx="17">
                  <c:v>0.75</c:v>
                </c:pt>
                <c:pt idx="18">
                  <c:v>0.75</c:v>
                </c:pt>
                <c:pt idx="19">
                  <c:v>0.75</c:v>
                </c:pt>
                <c:pt idx="20">
                  <c:v>0.75</c:v>
                </c:pt>
              </c:numCache>
            </c:numRef>
          </c:val>
          <c:smooth val="0"/>
          <c:extLst>
            <c:ext xmlns:c16="http://schemas.microsoft.com/office/drawing/2014/chart" uri="{C3380CC4-5D6E-409C-BE32-E72D297353CC}">
              <c16:uniqueId val="{00000004-0815-414A-AF60-81215C31EAB0}"/>
            </c:ext>
          </c:extLst>
        </c:ser>
        <c:dLbls>
          <c:showLegendKey val="0"/>
          <c:showVal val="0"/>
          <c:showCatName val="0"/>
          <c:showSerName val="0"/>
          <c:showPercent val="0"/>
          <c:showBubbleSize val="0"/>
        </c:dLbls>
        <c:marker val="1"/>
        <c:smooth val="0"/>
        <c:axId val="1682717887"/>
        <c:axId val="1"/>
      </c:lineChart>
      <c:dateAx>
        <c:axId val="1682717887"/>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Offset val="100"/>
        <c:baseTimeUnit val="months"/>
      </c:dateAx>
      <c:valAx>
        <c:axId val="1"/>
        <c:scaling>
          <c:orientation val="minMax"/>
          <c:max val="1"/>
        </c:scaling>
        <c:delete val="0"/>
        <c:axPos val="l"/>
        <c:numFmt formatCode="0%"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2717887"/>
        <c:crosses val="autoZero"/>
        <c:crossBetween val="between"/>
      </c:valAx>
      <c:spPr>
        <a:noFill/>
        <a:ln w="25400">
          <a:noFill/>
        </a:ln>
        <a:effectLst/>
      </c:spPr>
    </c:plotArea>
    <c:legend>
      <c:legendPos val="b"/>
      <c:overlay val="0"/>
      <c:spPr>
        <a:noFill/>
        <a:ln w="25400">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GB" sz="1000"/>
              <a:t>Backlog Totals</a:t>
            </a:r>
            <a:r>
              <a:rPr lang="en-GB" sz="1000" baseline="0"/>
              <a:t> </a:t>
            </a:r>
          </a:p>
        </c:rich>
      </c:tx>
      <c:overlay val="0"/>
      <c:spPr>
        <a:noFill/>
        <a:ln>
          <a:noFill/>
        </a:ln>
        <a:effectLst/>
      </c:spPr>
    </c:title>
    <c:autoTitleDeleted val="0"/>
    <c:plotArea>
      <c:layout>
        <c:manualLayout>
          <c:layoutTarget val="inner"/>
          <c:xMode val="edge"/>
          <c:yMode val="edge"/>
          <c:x val="7.9203592055157465E-2"/>
          <c:y val="0.13110204081632656"/>
          <c:w val="0.89025781827243833"/>
          <c:h val="0.65245358615887294"/>
        </c:manualLayout>
      </c:layout>
      <c:barChart>
        <c:barDir val="col"/>
        <c:grouping val="clustered"/>
        <c:varyColors val="0"/>
        <c:ser>
          <c:idx val="0"/>
          <c:order val="0"/>
          <c:tx>
            <c:strRef>
              <c:f>Sheet2!$B$22</c:f>
              <c:strCache>
                <c:ptCount val="1"/>
                <c:pt idx="0">
                  <c:v>Adjusted</c:v>
                </c:pt>
              </c:strCache>
            </c:strRef>
          </c:tx>
          <c:spPr>
            <a:solidFill>
              <a:schemeClr val="accent1"/>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Sheet2!$C$20:$F$21</c:f>
              <c:multiLvlStrCache>
                <c:ptCount val="4"/>
                <c:lvl>
                  <c:pt idx="0">
                    <c:v>09-Nov</c:v>
                  </c:pt>
                  <c:pt idx="1">
                    <c:v>16-Nov</c:v>
                  </c:pt>
                  <c:pt idx="2">
                    <c:v>23-Nov</c:v>
                  </c:pt>
                  <c:pt idx="3">
                    <c:v>30-Nov</c:v>
                  </c:pt>
                </c:lvl>
                <c:lvl>
                  <c:pt idx="0">
                    <c:v>With BSW</c:v>
                  </c:pt>
                </c:lvl>
              </c:multiLvlStrCache>
            </c:multiLvlStrRef>
          </c:cat>
          <c:val>
            <c:numRef>
              <c:f>Sheet2!$C$22:$F$22</c:f>
              <c:numCache>
                <c:formatCode>General</c:formatCode>
                <c:ptCount val="4"/>
                <c:pt idx="0">
                  <c:v>301</c:v>
                </c:pt>
                <c:pt idx="1">
                  <c:v>284</c:v>
                </c:pt>
                <c:pt idx="2">
                  <c:v>265</c:v>
                </c:pt>
                <c:pt idx="3">
                  <c:v>276</c:v>
                </c:pt>
              </c:numCache>
            </c:numRef>
          </c:val>
          <c:extLst>
            <c:ext xmlns:c16="http://schemas.microsoft.com/office/drawing/2014/chart" uri="{C3380CC4-5D6E-409C-BE32-E72D297353CC}">
              <c16:uniqueId val="{00000000-B3C0-4A99-BC41-3B6B991482DD}"/>
            </c:ext>
          </c:extLst>
        </c:ser>
        <c:ser>
          <c:idx val="1"/>
          <c:order val="1"/>
          <c:tx>
            <c:strRef>
              <c:f>Sheet2!$B$23</c:f>
              <c:strCache>
                <c:ptCount val="1"/>
                <c:pt idx="0">
                  <c:v>Unadjusted</c:v>
                </c:pt>
              </c:strCache>
            </c:strRef>
          </c:tx>
          <c:spPr>
            <a:solidFill>
              <a:schemeClr val="accent2"/>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Sheet2!$C$20:$F$21</c:f>
              <c:multiLvlStrCache>
                <c:ptCount val="4"/>
                <c:lvl>
                  <c:pt idx="0">
                    <c:v>09-Nov</c:v>
                  </c:pt>
                  <c:pt idx="1">
                    <c:v>16-Nov</c:v>
                  </c:pt>
                  <c:pt idx="2">
                    <c:v>23-Nov</c:v>
                  </c:pt>
                  <c:pt idx="3">
                    <c:v>30-Nov</c:v>
                  </c:pt>
                </c:lvl>
                <c:lvl>
                  <c:pt idx="0">
                    <c:v>With BSW</c:v>
                  </c:pt>
                </c:lvl>
              </c:multiLvlStrCache>
            </c:multiLvlStrRef>
          </c:cat>
          <c:val>
            <c:numRef>
              <c:f>Sheet2!$C$23:$F$23</c:f>
              <c:numCache>
                <c:formatCode>General</c:formatCode>
                <c:ptCount val="4"/>
                <c:pt idx="0">
                  <c:v>342</c:v>
                </c:pt>
                <c:pt idx="1">
                  <c:v>324</c:v>
                </c:pt>
                <c:pt idx="2">
                  <c:v>303</c:v>
                </c:pt>
                <c:pt idx="3">
                  <c:v>319</c:v>
                </c:pt>
              </c:numCache>
            </c:numRef>
          </c:val>
          <c:extLst>
            <c:ext xmlns:c16="http://schemas.microsoft.com/office/drawing/2014/chart" uri="{C3380CC4-5D6E-409C-BE32-E72D297353CC}">
              <c16:uniqueId val="{00000001-B3C0-4A99-BC41-3B6B991482DD}"/>
            </c:ext>
          </c:extLst>
        </c:ser>
        <c:dLbls>
          <c:showLegendKey val="0"/>
          <c:showVal val="0"/>
          <c:showCatName val="0"/>
          <c:showSerName val="0"/>
          <c:showPercent val="0"/>
          <c:showBubbleSize val="0"/>
        </c:dLbls>
        <c:gapWidth val="219"/>
        <c:axId val="1682809087"/>
        <c:axId val="1"/>
      </c:barChart>
      <c:lineChart>
        <c:grouping val="standard"/>
        <c:varyColors val="0"/>
        <c:ser>
          <c:idx val="2"/>
          <c:order val="2"/>
          <c:tx>
            <c:strRef>
              <c:f>Sheet2!$B$24</c:f>
              <c:strCache>
                <c:ptCount val="1"/>
                <c:pt idx="0">
                  <c:v>Trajectory</c:v>
                </c:pt>
              </c:strCache>
            </c:strRef>
          </c:tx>
          <c:spPr>
            <a:ln w="28575" cap="rnd">
              <a:solidFill>
                <a:schemeClr val="tx1"/>
              </a:solidFill>
              <a:round/>
            </a:ln>
            <a:effectLst/>
          </c:spPr>
          <c:marker>
            <c:symbol val="none"/>
          </c:marker>
          <c:cat>
            <c:multiLvlStrRef>
              <c:f>Sheet2!$C$20:$F$21</c:f>
              <c:multiLvlStrCache>
                <c:ptCount val="4"/>
                <c:lvl>
                  <c:pt idx="0">
                    <c:v>09-Nov</c:v>
                  </c:pt>
                  <c:pt idx="1">
                    <c:v>16-Nov</c:v>
                  </c:pt>
                  <c:pt idx="2">
                    <c:v>23-Nov</c:v>
                  </c:pt>
                  <c:pt idx="3">
                    <c:v>30-Nov</c:v>
                  </c:pt>
                </c:lvl>
                <c:lvl>
                  <c:pt idx="0">
                    <c:v>With BSW</c:v>
                  </c:pt>
                </c:lvl>
              </c:multiLvlStrCache>
            </c:multiLvlStrRef>
          </c:cat>
          <c:val>
            <c:numRef>
              <c:f>Sheet2!$C$24:$F$24</c:f>
              <c:numCache>
                <c:formatCode>General</c:formatCode>
                <c:ptCount val="4"/>
                <c:pt idx="0">
                  <c:v>153</c:v>
                </c:pt>
                <c:pt idx="1">
                  <c:v>146</c:v>
                </c:pt>
                <c:pt idx="2">
                  <c:v>132</c:v>
                </c:pt>
                <c:pt idx="3">
                  <c:v>129</c:v>
                </c:pt>
              </c:numCache>
            </c:numRef>
          </c:val>
          <c:smooth val="0"/>
          <c:extLst>
            <c:ext xmlns:c16="http://schemas.microsoft.com/office/drawing/2014/chart" uri="{C3380CC4-5D6E-409C-BE32-E72D297353CC}">
              <c16:uniqueId val="{00000002-B3C0-4A99-BC41-3B6B991482DD}"/>
            </c:ext>
          </c:extLst>
        </c:ser>
        <c:dLbls>
          <c:showLegendKey val="0"/>
          <c:showVal val="0"/>
          <c:showCatName val="0"/>
          <c:showSerName val="0"/>
          <c:showPercent val="0"/>
          <c:showBubbleSize val="0"/>
        </c:dLbls>
        <c:marker val="1"/>
        <c:smooth val="0"/>
        <c:axId val="1682809087"/>
        <c:axId val="1"/>
      </c:lineChart>
      <c:catAx>
        <c:axId val="16828090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2809087"/>
        <c:crosses val="autoZero"/>
        <c:crossBetween val="between"/>
      </c:valAx>
      <c:spPr>
        <a:noFill/>
        <a:ln w="25400">
          <a:noFill/>
        </a:ln>
      </c:spPr>
    </c:plotArea>
    <c:legend>
      <c:legendPos val="b"/>
      <c:layout>
        <c:manualLayout>
          <c:xMode val="edge"/>
          <c:yMode val="edge"/>
          <c:x val="0.19628750299655168"/>
          <c:y val="0.91315001375151517"/>
          <c:w val="0.61297747970287719"/>
          <c:h val="7.8234205425295411E-2"/>
        </c:manualLayout>
      </c:layout>
      <c:overlay val="0"/>
      <c:spPr>
        <a:solidFill>
          <a:schemeClr val="bg1"/>
        </a:solid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GB" sz="1000"/>
              <a:t>PTL</a:t>
            </a:r>
            <a:r>
              <a:rPr lang="en-GB" sz="1000" baseline="0"/>
              <a:t> diagnostic cohorts</a:t>
            </a:r>
            <a:endParaRPr lang="en-GB" sz="1000"/>
          </a:p>
        </c:rich>
      </c:tx>
      <c:layout>
        <c:manualLayout>
          <c:xMode val="edge"/>
          <c:yMode val="edge"/>
          <c:x val="0.3547529734045482"/>
          <c:y val="2.247191011235955E-2"/>
        </c:manualLayout>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manualLayout>
          <c:layoutTarget val="inner"/>
          <c:xMode val="edge"/>
          <c:yMode val="edge"/>
          <c:x val="6.2770371525341512E-2"/>
          <c:y val="5.9500212746630712E-2"/>
          <c:w val="0.91302720823263428"/>
          <c:h val="0.79884590928866128"/>
        </c:manualLayout>
      </c:layout>
      <c:lineChart>
        <c:grouping val="standard"/>
        <c:varyColors val="0"/>
        <c:ser>
          <c:idx val="0"/>
          <c:order val="0"/>
          <c:tx>
            <c:strRef>
              <c:f>'DATA Pathway stages all Waits'!$AA$2</c:f>
              <c:strCache>
                <c:ptCount val="1"/>
                <c:pt idx="0">
                  <c:v>Other</c:v>
                </c:pt>
              </c:strCache>
            </c:strRef>
          </c:tx>
          <c:spPr>
            <a:ln w="28575" cap="rnd">
              <a:solidFill>
                <a:schemeClr val="accent1"/>
              </a:solidFill>
              <a:round/>
            </a:ln>
            <a:effectLst/>
          </c:spPr>
          <c:marker>
            <c:symbol val="none"/>
          </c:marker>
          <c:cat>
            <c:numRef>
              <c:f>'DATA Pathway stages all Waits'!$Z$3:$Z$122</c:f>
              <c:numCache>
                <c:formatCode>dd\ mmm</c:formatCode>
                <c:ptCount val="120"/>
                <c:pt idx="0">
                  <c:v>45172</c:v>
                </c:pt>
                <c:pt idx="1">
                  <c:v>45179</c:v>
                </c:pt>
                <c:pt idx="2">
                  <c:v>45186</c:v>
                </c:pt>
                <c:pt idx="3">
                  <c:v>45193</c:v>
                </c:pt>
                <c:pt idx="4">
                  <c:v>45200</c:v>
                </c:pt>
                <c:pt idx="5">
                  <c:v>45207</c:v>
                </c:pt>
                <c:pt idx="6">
                  <c:v>45214</c:v>
                </c:pt>
                <c:pt idx="7">
                  <c:v>45221</c:v>
                </c:pt>
                <c:pt idx="8">
                  <c:v>45228</c:v>
                </c:pt>
                <c:pt idx="9">
                  <c:v>45235</c:v>
                </c:pt>
                <c:pt idx="10">
                  <c:v>45242</c:v>
                </c:pt>
                <c:pt idx="11">
                  <c:v>45249</c:v>
                </c:pt>
                <c:pt idx="12">
                  <c:v>45256</c:v>
                </c:pt>
                <c:pt idx="13">
                  <c:v>45263</c:v>
                </c:pt>
                <c:pt idx="14">
                  <c:v>45270</c:v>
                </c:pt>
                <c:pt idx="15">
                  <c:v>45277</c:v>
                </c:pt>
                <c:pt idx="16">
                  <c:v>45284</c:v>
                </c:pt>
                <c:pt idx="17">
                  <c:v>45291</c:v>
                </c:pt>
                <c:pt idx="18">
                  <c:v>45298</c:v>
                </c:pt>
                <c:pt idx="19">
                  <c:v>45305</c:v>
                </c:pt>
                <c:pt idx="20">
                  <c:v>45312</c:v>
                </c:pt>
                <c:pt idx="21">
                  <c:v>45319</c:v>
                </c:pt>
                <c:pt idx="22">
                  <c:v>45326</c:v>
                </c:pt>
                <c:pt idx="23">
                  <c:v>45333</c:v>
                </c:pt>
                <c:pt idx="24">
                  <c:v>45340</c:v>
                </c:pt>
                <c:pt idx="25">
                  <c:v>45347</c:v>
                </c:pt>
                <c:pt idx="26">
                  <c:v>45354</c:v>
                </c:pt>
                <c:pt idx="27">
                  <c:v>45361</c:v>
                </c:pt>
                <c:pt idx="28">
                  <c:v>45368</c:v>
                </c:pt>
                <c:pt idx="29">
                  <c:v>45375</c:v>
                </c:pt>
                <c:pt idx="30">
                  <c:v>45382</c:v>
                </c:pt>
                <c:pt idx="31">
                  <c:v>45389</c:v>
                </c:pt>
                <c:pt idx="32">
                  <c:v>45396</c:v>
                </c:pt>
                <c:pt idx="33">
                  <c:v>45403</c:v>
                </c:pt>
                <c:pt idx="34">
                  <c:v>45410</c:v>
                </c:pt>
                <c:pt idx="35">
                  <c:v>45417</c:v>
                </c:pt>
                <c:pt idx="36">
                  <c:v>45424</c:v>
                </c:pt>
                <c:pt idx="37">
                  <c:v>45431</c:v>
                </c:pt>
                <c:pt idx="38">
                  <c:v>45438</c:v>
                </c:pt>
                <c:pt idx="39">
                  <c:v>45445</c:v>
                </c:pt>
                <c:pt idx="40">
                  <c:v>45452</c:v>
                </c:pt>
                <c:pt idx="41">
                  <c:v>45459</c:v>
                </c:pt>
                <c:pt idx="42">
                  <c:v>45466</c:v>
                </c:pt>
                <c:pt idx="43">
                  <c:v>45473</c:v>
                </c:pt>
                <c:pt idx="44">
                  <c:v>45480</c:v>
                </c:pt>
                <c:pt idx="45">
                  <c:v>45487</c:v>
                </c:pt>
                <c:pt idx="46">
                  <c:v>45494</c:v>
                </c:pt>
                <c:pt idx="47">
                  <c:v>45501</c:v>
                </c:pt>
                <c:pt idx="48">
                  <c:v>45508</c:v>
                </c:pt>
                <c:pt idx="49">
                  <c:v>45515</c:v>
                </c:pt>
                <c:pt idx="50">
                  <c:v>45522</c:v>
                </c:pt>
                <c:pt idx="51">
                  <c:v>45529</c:v>
                </c:pt>
                <c:pt idx="52">
                  <c:v>45536</c:v>
                </c:pt>
                <c:pt idx="53">
                  <c:v>45543</c:v>
                </c:pt>
                <c:pt idx="54">
                  <c:v>45550</c:v>
                </c:pt>
                <c:pt idx="55">
                  <c:v>45557</c:v>
                </c:pt>
                <c:pt idx="56">
                  <c:v>45564</c:v>
                </c:pt>
                <c:pt idx="57">
                  <c:v>45571</c:v>
                </c:pt>
                <c:pt idx="58">
                  <c:v>45578</c:v>
                </c:pt>
                <c:pt idx="59">
                  <c:v>45585</c:v>
                </c:pt>
                <c:pt idx="60">
                  <c:v>45592</c:v>
                </c:pt>
                <c:pt idx="61">
                  <c:v>45599</c:v>
                </c:pt>
                <c:pt idx="62">
                  <c:v>45606</c:v>
                </c:pt>
                <c:pt idx="63">
                  <c:v>45613</c:v>
                </c:pt>
                <c:pt idx="64">
                  <c:v>45620</c:v>
                </c:pt>
                <c:pt idx="65">
                  <c:v>45627</c:v>
                </c:pt>
                <c:pt idx="66">
                  <c:v>45634</c:v>
                </c:pt>
                <c:pt idx="67">
                  <c:v>45641</c:v>
                </c:pt>
                <c:pt idx="68">
                  <c:v>45648</c:v>
                </c:pt>
                <c:pt idx="69">
                  <c:v>45655</c:v>
                </c:pt>
                <c:pt idx="70">
                  <c:v>45662</c:v>
                </c:pt>
                <c:pt idx="71">
                  <c:v>45669</c:v>
                </c:pt>
                <c:pt idx="72">
                  <c:v>45676</c:v>
                </c:pt>
                <c:pt idx="73">
                  <c:v>45683</c:v>
                </c:pt>
                <c:pt idx="74">
                  <c:v>45690</c:v>
                </c:pt>
                <c:pt idx="75">
                  <c:v>45697</c:v>
                </c:pt>
                <c:pt idx="76">
                  <c:v>45704</c:v>
                </c:pt>
                <c:pt idx="77">
                  <c:v>45711</c:v>
                </c:pt>
                <c:pt idx="78">
                  <c:v>45718</c:v>
                </c:pt>
                <c:pt idx="79">
                  <c:v>45725</c:v>
                </c:pt>
                <c:pt idx="80">
                  <c:v>45732</c:v>
                </c:pt>
                <c:pt idx="81">
                  <c:v>45739</c:v>
                </c:pt>
                <c:pt idx="82">
                  <c:v>45746</c:v>
                </c:pt>
                <c:pt idx="83">
                  <c:v>45753</c:v>
                </c:pt>
                <c:pt idx="84">
                  <c:v>45760</c:v>
                </c:pt>
                <c:pt idx="85">
                  <c:v>45767</c:v>
                </c:pt>
                <c:pt idx="86">
                  <c:v>45774</c:v>
                </c:pt>
                <c:pt idx="87">
                  <c:v>45781</c:v>
                </c:pt>
                <c:pt idx="88">
                  <c:v>45788</c:v>
                </c:pt>
                <c:pt idx="89">
                  <c:v>45795</c:v>
                </c:pt>
                <c:pt idx="90">
                  <c:v>45802</c:v>
                </c:pt>
                <c:pt idx="91">
                  <c:v>45809</c:v>
                </c:pt>
                <c:pt idx="92">
                  <c:v>45816</c:v>
                </c:pt>
                <c:pt idx="93">
                  <c:v>45823</c:v>
                </c:pt>
                <c:pt idx="94">
                  <c:v>45830</c:v>
                </c:pt>
                <c:pt idx="95">
                  <c:v>45837</c:v>
                </c:pt>
                <c:pt idx="96">
                  <c:v>45844</c:v>
                </c:pt>
                <c:pt idx="97">
                  <c:v>45851</c:v>
                </c:pt>
                <c:pt idx="98">
                  <c:v>45858</c:v>
                </c:pt>
                <c:pt idx="99">
                  <c:v>45865</c:v>
                </c:pt>
                <c:pt idx="100">
                  <c:v>45872</c:v>
                </c:pt>
                <c:pt idx="101">
                  <c:v>45879</c:v>
                </c:pt>
                <c:pt idx="102">
                  <c:v>45886</c:v>
                </c:pt>
                <c:pt idx="103">
                  <c:v>45893</c:v>
                </c:pt>
                <c:pt idx="104">
                  <c:v>45900</c:v>
                </c:pt>
                <c:pt idx="105">
                  <c:v>45907</c:v>
                </c:pt>
                <c:pt idx="106">
                  <c:v>45914</c:v>
                </c:pt>
                <c:pt idx="107">
                  <c:v>45921</c:v>
                </c:pt>
                <c:pt idx="108">
                  <c:v>45928</c:v>
                </c:pt>
                <c:pt idx="109">
                  <c:v>45935</c:v>
                </c:pt>
                <c:pt idx="110">
                  <c:v>45942</c:v>
                </c:pt>
                <c:pt idx="111">
                  <c:v>45949</c:v>
                </c:pt>
                <c:pt idx="112">
                  <c:v>45956</c:v>
                </c:pt>
                <c:pt idx="113">
                  <c:v>45963</c:v>
                </c:pt>
                <c:pt idx="114">
                  <c:v>45970</c:v>
                </c:pt>
                <c:pt idx="115">
                  <c:v>45977</c:v>
                </c:pt>
                <c:pt idx="116">
                  <c:v>45984</c:v>
                </c:pt>
                <c:pt idx="117">
                  <c:v>45991</c:v>
                </c:pt>
                <c:pt idx="118">
                  <c:v>45998</c:v>
                </c:pt>
                <c:pt idx="119">
                  <c:v>46005</c:v>
                </c:pt>
              </c:numCache>
            </c:numRef>
          </c:cat>
          <c:val>
            <c:numRef>
              <c:f>'DATA Pathway stages all Waits'!$AA$3:$AA$122</c:f>
              <c:numCache>
                <c:formatCode>General</c:formatCode>
                <c:ptCount val="120"/>
                <c:pt idx="0">
                  <c:v>163</c:v>
                </c:pt>
                <c:pt idx="1">
                  <c:v>179</c:v>
                </c:pt>
                <c:pt idx="2">
                  <c:v>184</c:v>
                </c:pt>
                <c:pt idx="3">
                  <c:v>196</c:v>
                </c:pt>
                <c:pt idx="4">
                  <c:v>183</c:v>
                </c:pt>
                <c:pt idx="5">
                  <c:v>178</c:v>
                </c:pt>
                <c:pt idx="6">
                  <c:v>164</c:v>
                </c:pt>
                <c:pt idx="7">
                  <c:v>165</c:v>
                </c:pt>
                <c:pt idx="8">
                  <c:v>152</c:v>
                </c:pt>
                <c:pt idx="9">
                  <c:v>146</c:v>
                </c:pt>
                <c:pt idx="10">
                  <c:v>156</c:v>
                </c:pt>
                <c:pt idx="11">
                  <c:v>172</c:v>
                </c:pt>
                <c:pt idx="12">
                  <c:v>187</c:v>
                </c:pt>
                <c:pt idx="13">
                  <c:v>176</c:v>
                </c:pt>
                <c:pt idx="14">
                  <c:v>153</c:v>
                </c:pt>
                <c:pt idx="15">
                  <c:v>151</c:v>
                </c:pt>
                <c:pt idx="16">
                  <c:v>153</c:v>
                </c:pt>
                <c:pt idx="17">
                  <c:v>165</c:v>
                </c:pt>
                <c:pt idx="18">
                  <c:v>168</c:v>
                </c:pt>
                <c:pt idx="19">
                  <c:v>181</c:v>
                </c:pt>
                <c:pt idx="20">
                  <c:v>165</c:v>
                </c:pt>
                <c:pt idx="21">
                  <c:v>156</c:v>
                </c:pt>
                <c:pt idx="22">
                  <c:v>126</c:v>
                </c:pt>
                <c:pt idx="23">
                  <c:v>132</c:v>
                </c:pt>
                <c:pt idx="24">
                  <c:v>133</c:v>
                </c:pt>
                <c:pt idx="25">
                  <c:v>153</c:v>
                </c:pt>
                <c:pt idx="26">
                  <c:v>171</c:v>
                </c:pt>
                <c:pt idx="27">
                  <c:v>155</c:v>
                </c:pt>
                <c:pt idx="28">
                  <c:v>127</c:v>
                </c:pt>
                <c:pt idx="29">
                  <c:v>116</c:v>
                </c:pt>
                <c:pt idx="30">
                  <c:v>129</c:v>
                </c:pt>
                <c:pt idx="31">
                  <c:v>135</c:v>
                </c:pt>
                <c:pt idx="32">
                  <c:v>115</c:v>
                </c:pt>
                <c:pt idx="33">
                  <c:v>117</c:v>
                </c:pt>
                <c:pt idx="34">
                  <c:v>126</c:v>
                </c:pt>
                <c:pt idx="35">
                  <c:v>116</c:v>
                </c:pt>
                <c:pt idx="36">
                  <c:v>108</c:v>
                </c:pt>
                <c:pt idx="37">
                  <c:v>112</c:v>
                </c:pt>
                <c:pt idx="38">
                  <c:v>121</c:v>
                </c:pt>
                <c:pt idx="39">
                  <c:v>138</c:v>
                </c:pt>
                <c:pt idx="40">
                  <c:v>144</c:v>
                </c:pt>
                <c:pt idx="41">
                  <c:v>133</c:v>
                </c:pt>
                <c:pt idx="42">
                  <c:v>134</c:v>
                </c:pt>
                <c:pt idx="43">
                  <c:v>132</c:v>
                </c:pt>
                <c:pt idx="44">
                  <c:v>151</c:v>
                </c:pt>
                <c:pt idx="45">
                  <c:v>159</c:v>
                </c:pt>
                <c:pt idx="46">
                  <c:v>164</c:v>
                </c:pt>
                <c:pt idx="47">
                  <c:v>168</c:v>
                </c:pt>
                <c:pt idx="48">
                  <c:v>170</c:v>
                </c:pt>
                <c:pt idx="49">
                  <c:v>140</c:v>
                </c:pt>
                <c:pt idx="50">
                  <c:v>133</c:v>
                </c:pt>
                <c:pt idx="51">
                  <c:v>140</c:v>
                </c:pt>
                <c:pt idx="52">
                  <c:v>124</c:v>
                </c:pt>
                <c:pt idx="53">
                  <c:v>133</c:v>
                </c:pt>
                <c:pt idx="54">
                  <c:v>130</c:v>
                </c:pt>
                <c:pt idx="55">
                  <c:v>114</c:v>
                </c:pt>
                <c:pt idx="56">
                  <c:v>134</c:v>
                </c:pt>
                <c:pt idx="57">
                  <c:v>141</c:v>
                </c:pt>
                <c:pt idx="58">
                  <c:v>133</c:v>
                </c:pt>
                <c:pt idx="59">
                  <c:v>140</c:v>
                </c:pt>
                <c:pt idx="60">
                  <c:v>138</c:v>
                </c:pt>
                <c:pt idx="61">
                  <c:v>119</c:v>
                </c:pt>
                <c:pt idx="62">
                  <c:v>124</c:v>
                </c:pt>
                <c:pt idx="63">
                  <c:v>127</c:v>
                </c:pt>
                <c:pt idx="64">
                  <c:v>139</c:v>
                </c:pt>
                <c:pt idx="65">
                  <c:v>139</c:v>
                </c:pt>
                <c:pt idx="66">
                  <c:v>128</c:v>
                </c:pt>
                <c:pt idx="67">
                  <c:v>141</c:v>
                </c:pt>
                <c:pt idx="68">
                  <c:v>127</c:v>
                </c:pt>
                <c:pt idx="69">
                  <c:v>130</c:v>
                </c:pt>
                <c:pt idx="70">
                  <c:v>114</c:v>
                </c:pt>
                <c:pt idx="71">
                  <c:v>133</c:v>
                </c:pt>
                <c:pt idx="72">
                  <c:v>127</c:v>
                </c:pt>
                <c:pt idx="73">
                  <c:v>126</c:v>
                </c:pt>
                <c:pt idx="74">
                  <c:v>126</c:v>
                </c:pt>
                <c:pt idx="75">
                  <c:v>120</c:v>
                </c:pt>
                <c:pt idx="76">
                  <c:v>127</c:v>
                </c:pt>
                <c:pt idx="77">
                  <c:v>140</c:v>
                </c:pt>
                <c:pt idx="78">
                  <c:v>133</c:v>
                </c:pt>
                <c:pt idx="79">
                  <c:v>131</c:v>
                </c:pt>
                <c:pt idx="80">
                  <c:v>143</c:v>
                </c:pt>
                <c:pt idx="81">
                  <c:v>141</c:v>
                </c:pt>
                <c:pt idx="82">
                  <c:v>139</c:v>
                </c:pt>
                <c:pt idx="83">
                  <c:v>157</c:v>
                </c:pt>
                <c:pt idx="84">
                  <c:v>149</c:v>
                </c:pt>
                <c:pt idx="85">
                  <c:v>139</c:v>
                </c:pt>
                <c:pt idx="86">
                  <c:v>145</c:v>
                </c:pt>
                <c:pt idx="87">
                  <c:v>152</c:v>
                </c:pt>
                <c:pt idx="88">
                  <c:v>146</c:v>
                </c:pt>
                <c:pt idx="89">
                  <c:v>151</c:v>
                </c:pt>
                <c:pt idx="90">
                  <c:v>151</c:v>
                </c:pt>
                <c:pt idx="91">
                  <c:v>142</c:v>
                </c:pt>
                <c:pt idx="92">
                  <c:v>147</c:v>
                </c:pt>
                <c:pt idx="93">
                  <c:v>169</c:v>
                </c:pt>
                <c:pt idx="94">
                  <c:v>150</c:v>
                </c:pt>
                <c:pt idx="95">
                  <c:v>144</c:v>
                </c:pt>
                <c:pt idx="96">
                  <c:v>144</c:v>
                </c:pt>
                <c:pt idx="97">
                  <c:v>149</c:v>
                </c:pt>
                <c:pt idx="98">
                  <c:v>130</c:v>
                </c:pt>
                <c:pt idx="99">
                  <c:v>135</c:v>
                </c:pt>
                <c:pt idx="100">
                  <c:v>144</c:v>
                </c:pt>
                <c:pt idx="101">
                  <c:v>142</c:v>
                </c:pt>
                <c:pt idx="102">
                  <c:v>144</c:v>
                </c:pt>
                <c:pt idx="103">
                  <c:v>139</c:v>
                </c:pt>
                <c:pt idx="104">
                  <c:v>138</c:v>
                </c:pt>
                <c:pt idx="105">
                  <c:v>162</c:v>
                </c:pt>
                <c:pt idx="106">
                  <c:v>177</c:v>
                </c:pt>
                <c:pt idx="107">
                  <c:v>170</c:v>
                </c:pt>
                <c:pt idx="108">
                  <c:v>208</c:v>
                </c:pt>
                <c:pt idx="109">
                  <c:v>205</c:v>
                </c:pt>
                <c:pt idx="110">
                  <c:v>209</c:v>
                </c:pt>
                <c:pt idx="111">
                  <c:v>182</c:v>
                </c:pt>
                <c:pt idx="112">
                  <c:v>189</c:v>
                </c:pt>
                <c:pt idx="113">
                  <c:v>199</c:v>
                </c:pt>
                <c:pt idx="114">
                  <c:v>149</c:v>
                </c:pt>
                <c:pt idx="115">
                  <c:v>175</c:v>
                </c:pt>
                <c:pt idx="116">
                  <c:v>213</c:v>
                </c:pt>
                <c:pt idx="117">
                  <c:v>233</c:v>
                </c:pt>
              </c:numCache>
            </c:numRef>
          </c:val>
          <c:smooth val="0"/>
          <c:extLst>
            <c:ext xmlns:c16="http://schemas.microsoft.com/office/drawing/2014/chart" uri="{C3380CC4-5D6E-409C-BE32-E72D297353CC}">
              <c16:uniqueId val="{00000000-CD89-4BA3-93B8-70EB1F36AF0C}"/>
            </c:ext>
          </c:extLst>
        </c:ser>
        <c:ser>
          <c:idx val="1"/>
          <c:order val="1"/>
          <c:tx>
            <c:strRef>
              <c:f>'DATA Pathway stages all Waits'!$AB$2</c:f>
              <c:strCache>
                <c:ptCount val="1"/>
                <c:pt idx="0">
                  <c:v>Radiology</c:v>
                </c:pt>
              </c:strCache>
            </c:strRef>
          </c:tx>
          <c:spPr>
            <a:ln w="28575" cap="rnd">
              <a:solidFill>
                <a:schemeClr val="accent2"/>
              </a:solidFill>
              <a:round/>
            </a:ln>
            <a:effectLst/>
          </c:spPr>
          <c:marker>
            <c:symbol val="none"/>
          </c:marker>
          <c:cat>
            <c:numRef>
              <c:f>'DATA Pathway stages all Waits'!$Z$3:$Z$122</c:f>
              <c:numCache>
                <c:formatCode>dd\ mmm</c:formatCode>
                <c:ptCount val="120"/>
                <c:pt idx="0">
                  <c:v>45172</c:v>
                </c:pt>
                <c:pt idx="1">
                  <c:v>45179</c:v>
                </c:pt>
                <c:pt idx="2">
                  <c:v>45186</c:v>
                </c:pt>
                <c:pt idx="3">
                  <c:v>45193</c:v>
                </c:pt>
                <c:pt idx="4">
                  <c:v>45200</c:v>
                </c:pt>
                <c:pt idx="5">
                  <c:v>45207</c:v>
                </c:pt>
                <c:pt idx="6">
                  <c:v>45214</c:v>
                </c:pt>
                <c:pt idx="7">
                  <c:v>45221</c:v>
                </c:pt>
                <c:pt idx="8">
                  <c:v>45228</c:v>
                </c:pt>
                <c:pt idx="9">
                  <c:v>45235</c:v>
                </c:pt>
                <c:pt idx="10">
                  <c:v>45242</c:v>
                </c:pt>
                <c:pt idx="11">
                  <c:v>45249</c:v>
                </c:pt>
                <c:pt idx="12">
                  <c:v>45256</c:v>
                </c:pt>
                <c:pt idx="13">
                  <c:v>45263</c:v>
                </c:pt>
                <c:pt idx="14">
                  <c:v>45270</c:v>
                </c:pt>
                <c:pt idx="15">
                  <c:v>45277</c:v>
                </c:pt>
                <c:pt idx="16">
                  <c:v>45284</c:v>
                </c:pt>
                <c:pt idx="17">
                  <c:v>45291</c:v>
                </c:pt>
                <c:pt idx="18">
                  <c:v>45298</c:v>
                </c:pt>
                <c:pt idx="19">
                  <c:v>45305</c:v>
                </c:pt>
                <c:pt idx="20">
                  <c:v>45312</c:v>
                </c:pt>
                <c:pt idx="21">
                  <c:v>45319</c:v>
                </c:pt>
                <c:pt idx="22">
                  <c:v>45326</c:v>
                </c:pt>
                <c:pt idx="23">
                  <c:v>45333</c:v>
                </c:pt>
                <c:pt idx="24">
                  <c:v>45340</c:v>
                </c:pt>
                <c:pt idx="25">
                  <c:v>45347</c:v>
                </c:pt>
                <c:pt idx="26">
                  <c:v>45354</c:v>
                </c:pt>
                <c:pt idx="27">
                  <c:v>45361</c:v>
                </c:pt>
                <c:pt idx="28">
                  <c:v>45368</c:v>
                </c:pt>
                <c:pt idx="29">
                  <c:v>45375</c:v>
                </c:pt>
                <c:pt idx="30">
                  <c:v>45382</c:v>
                </c:pt>
                <c:pt idx="31">
                  <c:v>45389</c:v>
                </c:pt>
                <c:pt idx="32">
                  <c:v>45396</c:v>
                </c:pt>
                <c:pt idx="33">
                  <c:v>45403</c:v>
                </c:pt>
                <c:pt idx="34">
                  <c:v>45410</c:v>
                </c:pt>
                <c:pt idx="35">
                  <c:v>45417</c:v>
                </c:pt>
                <c:pt idx="36">
                  <c:v>45424</c:v>
                </c:pt>
                <c:pt idx="37">
                  <c:v>45431</c:v>
                </c:pt>
                <c:pt idx="38">
                  <c:v>45438</c:v>
                </c:pt>
                <c:pt idx="39">
                  <c:v>45445</c:v>
                </c:pt>
                <c:pt idx="40">
                  <c:v>45452</c:v>
                </c:pt>
                <c:pt idx="41">
                  <c:v>45459</c:v>
                </c:pt>
                <c:pt idx="42">
                  <c:v>45466</c:v>
                </c:pt>
                <c:pt idx="43">
                  <c:v>45473</c:v>
                </c:pt>
                <c:pt idx="44">
                  <c:v>45480</c:v>
                </c:pt>
                <c:pt idx="45">
                  <c:v>45487</c:v>
                </c:pt>
                <c:pt idx="46">
                  <c:v>45494</c:v>
                </c:pt>
                <c:pt idx="47">
                  <c:v>45501</c:v>
                </c:pt>
                <c:pt idx="48">
                  <c:v>45508</c:v>
                </c:pt>
                <c:pt idx="49">
                  <c:v>45515</c:v>
                </c:pt>
                <c:pt idx="50">
                  <c:v>45522</c:v>
                </c:pt>
                <c:pt idx="51">
                  <c:v>45529</c:v>
                </c:pt>
                <c:pt idx="52">
                  <c:v>45536</c:v>
                </c:pt>
                <c:pt idx="53">
                  <c:v>45543</c:v>
                </c:pt>
                <c:pt idx="54">
                  <c:v>45550</c:v>
                </c:pt>
                <c:pt idx="55">
                  <c:v>45557</c:v>
                </c:pt>
                <c:pt idx="56">
                  <c:v>45564</c:v>
                </c:pt>
                <c:pt idx="57">
                  <c:v>45571</c:v>
                </c:pt>
                <c:pt idx="58">
                  <c:v>45578</c:v>
                </c:pt>
                <c:pt idx="59">
                  <c:v>45585</c:v>
                </c:pt>
                <c:pt idx="60">
                  <c:v>45592</c:v>
                </c:pt>
                <c:pt idx="61">
                  <c:v>45599</c:v>
                </c:pt>
                <c:pt idx="62">
                  <c:v>45606</c:v>
                </c:pt>
                <c:pt idx="63">
                  <c:v>45613</c:v>
                </c:pt>
                <c:pt idx="64">
                  <c:v>45620</c:v>
                </c:pt>
                <c:pt idx="65">
                  <c:v>45627</c:v>
                </c:pt>
                <c:pt idx="66">
                  <c:v>45634</c:v>
                </c:pt>
                <c:pt idx="67">
                  <c:v>45641</c:v>
                </c:pt>
                <c:pt idx="68">
                  <c:v>45648</c:v>
                </c:pt>
                <c:pt idx="69">
                  <c:v>45655</c:v>
                </c:pt>
                <c:pt idx="70">
                  <c:v>45662</c:v>
                </c:pt>
                <c:pt idx="71">
                  <c:v>45669</c:v>
                </c:pt>
                <c:pt idx="72">
                  <c:v>45676</c:v>
                </c:pt>
                <c:pt idx="73">
                  <c:v>45683</c:v>
                </c:pt>
                <c:pt idx="74">
                  <c:v>45690</c:v>
                </c:pt>
                <c:pt idx="75">
                  <c:v>45697</c:v>
                </c:pt>
                <c:pt idx="76">
                  <c:v>45704</c:v>
                </c:pt>
                <c:pt idx="77">
                  <c:v>45711</c:v>
                </c:pt>
                <c:pt idx="78">
                  <c:v>45718</c:v>
                </c:pt>
                <c:pt idx="79">
                  <c:v>45725</c:v>
                </c:pt>
                <c:pt idx="80">
                  <c:v>45732</c:v>
                </c:pt>
                <c:pt idx="81">
                  <c:v>45739</c:v>
                </c:pt>
                <c:pt idx="82">
                  <c:v>45746</c:v>
                </c:pt>
                <c:pt idx="83">
                  <c:v>45753</c:v>
                </c:pt>
                <c:pt idx="84">
                  <c:v>45760</c:v>
                </c:pt>
                <c:pt idx="85">
                  <c:v>45767</c:v>
                </c:pt>
                <c:pt idx="86">
                  <c:v>45774</c:v>
                </c:pt>
                <c:pt idx="87">
                  <c:v>45781</c:v>
                </c:pt>
                <c:pt idx="88">
                  <c:v>45788</c:v>
                </c:pt>
                <c:pt idx="89">
                  <c:v>45795</c:v>
                </c:pt>
                <c:pt idx="90">
                  <c:v>45802</c:v>
                </c:pt>
                <c:pt idx="91">
                  <c:v>45809</c:v>
                </c:pt>
                <c:pt idx="92">
                  <c:v>45816</c:v>
                </c:pt>
                <c:pt idx="93">
                  <c:v>45823</c:v>
                </c:pt>
                <c:pt idx="94">
                  <c:v>45830</c:v>
                </c:pt>
                <c:pt idx="95">
                  <c:v>45837</c:v>
                </c:pt>
                <c:pt idx="96">
                  <c:v>45844</c:v>
                </c:pt>
                <c:pt idx="97">
                  <c:v>45851</c:v>
                </c:pt>
                <c:pt idx="98">
                  <c:v>45858</c:v>
                </c:pt>
                <c:pt idx="99">
                  <c:v>45865</c:v>
                </c:pt>
                <c:pt idx="100">
                  <c:v>45872</c:v>
                </c:pt>
                <c:pt idx="101">
                  <c:v>45879</c:v>
                </c:pt>
                <c:pt idx="102">
                  <c:v>45886</c:v>
                </c:pt>
                <c:pt idx="103">
                  <c:v>45893</c:v>
                </c:pt>
                <c:pt idx="104">
                  <c:v>45900</c:v>
                </c:pt>
                <c:pt idx="105">
                  <c:v>45907</c:v>
                </c:pt>
                <c:pt idx="106">
                  <c:v>45914</c:v>
                </c:pt>
                <c:pt idx="107">
                  <c:v>45921</c:v>
                </c:pt>
                <c:pt idx="108">
                  <c:v>45928</c:v>
                </c:pt>
                <c:pt idx="109">
                  <c:v>45935</c:v>
                </c:pt>
                <c:pt idx="110">
                  <c:v>45942</c:v>
                </c:pt>
                <c:pt idx="111">
                  <c:v>45949</c:v>
                </c:pt>
                <c:pt idx="112">
                  <c:v>45956</c:v>
                </c:pt>
                <c:pt idx="113">
                  <c:v>45963</c:v>
                </c:pt>
                <c:pt idx="114">
                  <c:v>45970</c:v>
                </c:pt>
                <c:pt idx="115">
                  <c:v>45977</c:v>
                </c:pt>
                <c:pt idx="116">
                  <c:v>45984</c:v>
                </c:pt>
                <c:pt idx="117">
                  <c:v>45991</c:v>
                </c:pt>
                <c:pt idx="118">
                  <c:v>45998</c:v>
                </c:pt>
                <c:pt idx="119">
                  <c:v>46005</c:v>
                </c:pt>
              </c:numCache>
            </c:numRef>
          </c:cat>
          <c:val>
            <c:numRef>
              <c:f>'DATA Pathway stages all Waits'!$AB$3:$AB$122</c:f>
              <c:numCache>
                <c:formatCode>General</c:formatCode>
                <c:ptCount val="120"/>
                <c:pt idx="0">
                  <c:v>195</c:v>
                </c:pt>
                <c:pt idx="1">
                  <c:v>217</c:v>
                </c:pt>
                <c:pt idx="2">
                  <c:v>187</c:v>
                </c:pt>
                <c:pt idx="3">
                  <c:v>186</c:v>
                </c:pt>
                <c:pt idx="4">
                  <c:v>181</c:v>
                </c:pt>
                <c:pt idx="5">
                  <c:v>190</c:v>
                </c:pt>
                <c:pt idx="6">
                  <c:v>162</c:v>
                </c:pt>
                <c:pt idx="7">
                  <c:v>139</c:v>
                </c:pt>
                <c:pt idx="8">
                  <c:v>157</c:v>
                </c:pt>
                <c:pt idx="9">
                  <c:v>176</c:v>
                </c:pt>
                <c:pt idx="10">
                  <c:v>150</c:v>
                </c:pt>
                <c:pt idx="11">
                  <c:v>123</c:v>
                </c:pt>
                <c:pt idx="12">
                  <c:v>126</c:v>
                </c:pt>
                <c:pt idx="13">
                  <c:v>140</c:v>
                </c:pt>
                <c:pt idx="14">
                  <c:v>129</c:v>
                </c:pt>
                <c:pt idx="15">
                  <c:v>132</c:v>
                </c:pt>
                <c:pt idx="16">
                  <c:v>140</c:v>
                </c:pt>
                <c:pt idx="17">
                  <c:v>146</c:v>
                </c:pt>
                <c:pt idx="18">
                  <c:v>171</c:v>
                </c:pt>
                <c:pt idx="19">
                  <c:v>166</c:v>
                </c:pt>
                <c:pt idx="20">
                  <c:v>149</c:v>
                </c:pt>
                <c:pt idx="21">
                  <c:v>151</c:v>
                </c:pt>
                <c:pt idx="22">
                  <c:v>164</c:v>
                </c:pt>
                <c:pt idx="23">
                  <c:v>184</c:v>
                </c:pt>
                <c:pt idx="24">
                  <c:v>223</c:v>
                </c:pt>
                <c:pt idx="25">
                  <c:v>220</c:v>
                </c:pt>
                <c:pt idx="26">
                  <c:v>188</c:v>
                </c:pt>
                <c:pt idx="27">
                  <c:v>231</c:v>
                </c:pt>
                <c:pt idx="28">
                  <c:v>150</c:v>
                </c:pt>
                <c:pt idx="29">
                  <c:v>130</c:v>
                </c:pt>
                <c:pt idx="30">
                  <c:v>163</c:v>
                </c:pt>
                <c:pt idx="31">
                  <c:v>172</c:v>
                </c:pt>
                <c:pt idx="32">
                  <c:v>180</c:v>
                </c:pt>
                <c:pt idx="33">
                  <c:v>188</c:v>
                </c:pt>
                <c:pt idx="34">
                  <c:v>198</c:v>
                </c:pt>
                <c:pt idx="35">
                  <c:v>203</c:v>
                </c:pt>
                <c:pt idx="36">
                  <c:v>223</c:v>
                </c:pt>
                <c:pt idx="37">
                  <c:v>183</c:v>
                </c:pt>
                <c:pt idx="38">
                  <c:v>273</c:v>
                </c:pt>
                <c:pt idx="39">
                  <c:v>278</c:v>
                </c:pt>
                <c:pt idx="40">
                  <c:v>237</c:v>
                </c:pt>
                <c:pt idx="41">
                  <c:v>227</c:v>
                </c:pt>
                <c:pt idx="42">
                  <c:v>231</c:v>
                </c:pt>
                <c:pt idx="43">
                  <c:v>236</c:v>
                </c:pt>
                <c:pt idx="44">
                  <c:v>206</c:v>
                </c:pt>
                <c:pt idx="45">
                  <c:v>226</c:v>
                </c:pt>
                <c:pt idx="46">
                  <c:v>224</c:v>
                </c:pt>
                <c:pt idx="47">
                  <c:v>249</c:v>
                </c:pt>
                <c:pt idx="48">
                  <c:v>262</c:v>
                </c:pt>
                <c:pt idx="49">
                  <c:v>204</c:v>
                </c:pt>
                <c:pt idx="50">
                  <c:v>206</c:v>
                </c:pt>
                <c:pt idx="51">
                  <c:v>245</c:v>
                </c:pt>
                <c:pt idx="52">
                  <c:v>171</c:v>
                </c:pt>
                <c:pt idx="53">
                  <c:v>188</c:v>
                </c:pt>
                <c:pt idx="54">
                  <c:v>192</c:v>
                </c:pt>
                <c:pt idx="55">
                  <c:v>191</c:v>
                </c:pt>
                <c:pt idx="56">
                  <c:v>188</c:v>
                </c:pt>
                <c:pt idx="57">
                  <c:v>158</c:v>
                </c:pt>
                <c:pt idx="58">
                  <c:v>166</c:v>
                </c:pt>
                <c:pt idx="59">
                  <c:v>201</c:v>
                </c:pt>
                <c:pt idx="60">
                  <c:v>221</c:v>
                </c:pt>
                <c:pt idx="61">
                  <c:v>252</c:v>
                </c:pt>
                <c:pt idx="62">
                  <c:v>242</c:v>
                </c:pt>
                <c:pt idx="63">
                  <c:v>222</c:v>
                </c:pt>
                <c:pt idx="64">
                  <c:v>223</c:v>
                </c:pt>
                <c:pt idx="65">
                  <c:v>219</c:v>
                </c:pt>
                <c:pt idx="66">
                  <c:v>221</c:v>
                </c:pt>
                <c:pt idx="67">
                  <c:v>229</c:v>
                </c:pt>
                <c:pt idx="68">
                  <c:v>217</c:v>
                </c:pt>
                <c:pt idx="69">
                  <c:v>226</c:v>
                </c:pt>
                <c:pt idx="70">
                  <c:v>204</c:v>
                </c:pt>
                <c:pt idx="71">
                  <c:v>172</c:v>
                </c:pt>
                <c:pt idx="72">
                  <c:v>175</c:v>
                </c:pt>
                <c:pt idx="73">
                  <c:v>169</c:v>
                </c:pt>
                <c:pt idx="74">
                  <c:v>172</c:v>
                </c:pt>
                <c:pt idx="75">
                  <c:v>187</c:v>
                </c:pt>
                <c:pt idx="76">
                  <c:v>157</c:v>
                </c:pt>
                <c:pt idx="77">
                  <c:v>174</c:v>
                </c:pt>
                <c:pt idx="78">
                  <c:v>202</c:v>
                </c:pt>
                <c:pt idx="79">
                  <c:v>252</c:v>
                </c:pt>
                <c:pt idx="80">
                  <c:v>208</c:v>
                </c:pt>
                <c:pt idx="81">
                  <c:v>213</c:v>
                </c:pt>
                <c:pt idx="82">
                  <c:v>215</c:v>
                </c:pt>
                <c:pt idx="83">
                  <c:v>229</c:v>
                </c:pt>
                <c:pt idx="84">
                  <c:v>207</c:v>
                </c:pt>
                <c:pt idx="85">
                  <c:v>215</c:v>
                </c:pt>
                <c:pt idx="86">
                  <c:v>208</c:v>
                </c:pt>
                <c:pt idx="87">
                  <c:v>214</c:v>
                </c:pt>
                <c:pt idx="88">
                  <c:v>241</c:v>
                </c:pt>
                <c:pt idx="89">
                  <c:v>239</c:v>
                </c:pt>
                <c:pt idx="90">
                  <c:v>252</c:v>
                </c:pt>
                <c:pt idx="91">
                  <c:v>226</c:v>
                </c:pt>
                <c:pt idx="92">
                  <c:v>269</c:v>
                </c:pt>
                <c:pt idx="93">
                  <c:v>216</c:v>
                </c:pt>
                <c:pt idx="94">
                  <c:v>213</c:v>
                </c:pt>
                <c:pt idx="95">
                  <c:v>184</c:v>
                </c:pt>
                <c:pt idx="96">
                  <c:v>185</c:v>
                </c:pt>
                <c:pt idx="97">
                  <c:v>156</c:v>
                </c:pt>
                <c:pt idx="98">
                  <c:v>175</c:v>
                </c:pt>
                <c:pt idx="99">
                  <c:v>200</c:v>
                </c:pt>
                <c:pt idx="100">
                  <c:v>230</c:v>
                </c:pt>
                <c:pt idx="101">
                  <c:v>240</c:v>
                </c:pt>
                <c:pt idx="102">
                  <c:v>233</c:v>
                </c:pt>
                <c:pt idx="103">
                  <c:v>212</c:v>
                </c:pt>
                <c:pt idx="104">
                  <c:v>207</c:v>
                </c:pt>
                <c:pt idx="105">
                  <c:v>242</c:v>
                </c:pt>
                <c:pt idx="106">
                  <c:v>237</c:v>
                </c:pt>
                <c:pt idx="107">
                  <c:v>220</c:v>
                </c:pt>
                <c:pt idx="108">
                  <c:v>240</c:v>
                </c:pt>
                <c:pt idx="109">
                  <c:v>251</c:v>
                </c:pt>
                <c:pt idx="110">
                  <c:v>239</c:v>
                </c:pt>
                <c:pt idx="111">
                  <c:v>228</c:v>
                </c:pt>
                <c:pt idx="112">
                  <c:v>227</c:v>
                </c:pt>
                <c:pt idx="113">
                  <c:v>237</c:v>
                </c:pt>
                <c:pt idx="114">
                  <c:v>250</c:v>
                </c:pt>
                <c:pt idx="115">
                  <c:v>223</c:v>
                </c:pt>
                <c:pt idx="116">
                  <c:v>196</c:v>
                </c:pt>
                <c:pt idx="117">
                  <c:v>215</c:v>
                </c:pt>
              </c:numCache>
            </c:numRef>
          </c:val>
          <c:smooth val="0"/>
          <c:extLst>
            <c:ext xmlns:c16="http://schemas.microsoft.com/office/drawing/2014/chart" uri="{C3380CC4-5D6E-409C-BE32-E72D297353CC}">
              <c16:uniqueId val="{00000001-CD89-4BA3-93B8-70EB1F36AF0C}"/>
            </c:ext>
          </c:extLst>
        </c:ser>
        <c:ser>
          <c:idx val="2"/>
          <c:order val="2"/>
          <c:tx>
            <c:strRef>
              <c:f>'DATA Pathway stages all Waits'!$AC$2</c:f>
              <c:strCache>
                <c:ptCount val="1"/>
                <c:pt idx="0">
                  <c:v>Endoscopy</c:v>
                </c:pt>
              </c:strCache>
            </c:strRef>
          </c:tx>
          <c:spPr>
            <a:ln w="28575" cap="rnd">
              <a:solidFill>
                <a:schemeClr val="accent3"/>
              </a:solidFill>
              <a:round/>
            </a:ln>
            <a:effectLst/>
          </c:spPr>
          <c:marker>
            <c:symbol val="none"/>
          </c:marker>
          <c:cat>
            <c:numRef>
              <c:f>'DATA Pathway stages all Waits'!$Z$3:$Z$122</c:f>
              <c:numCache>
                <c:formatCode>dd\ mmm</c:formatCode>
                <c:ptCount val="120"/>
                <c:pt idx="0">
                  <c:v>45172</c:v>
                </c:pt>
                <c:pt idx="1">
                  <c:v>45179</c:v>
                </c:pt>
                <c:pt idx="2">
                  <c:v>45186</c:v>
                </c:pt>
                <c:pt idx="3">
                  <c:v>45193</c:v>
                </c:pt>
                <c:pt idx="4">
                  <c:v>45200</c:v>
                </c:pt>
                <c:pt idx="5">
                  <c:v>45207</c:v>
                </c:pt>
                <c:pt idx="6">
                  <c:v>45214</c:v>
                </c:pt>
                <c:pt idx="7">
                  <c:v>45221</c:v>
                </c:pt>
                <c:pt idx="8">
                  <c:v>45228</c:v>
                </c:pt>
                <c:pt idx="9">
                  <c:v>45235</c:v>
                </c:pt>
                <c:pt idx="10">
                  <c:v>45242</c:v>
                </c:pt>
                <c:pt idx="11">
                  <c:v>45249</c:v>
                </c:pt>
                <c:pt idx="12">
                  <c:v>45256</c:v>
                </c:pt>
                <c:pt idx="13">
                  <c:v>45263</c:v>
                </c:pt>
                <c:pt idx="14">
                  <c:v>45270</c:v>
                </c:pt>
                <c:pt idx="15">
                  <c:v>45277</c:v>
                </c:pt>
                <c:pt idx="16">
                  <c:v>45284</c:v>
                </c:pt>
                <c:pt idx="17">
                  <c:v>45291</c:v>
                </c:pt>
                <c:pt idx="18">
                  <c:v>45298</c:v>
                </c:pt>
                <c:pt idx="19">
                  <c:v>45305</c:v>
                </c:pt>
                <c:pt idx="20">
                  <c:v>45312</c:v>
                </c:pt>
                <c:pt idx="21">
                  <c:v>45319</c:v>
                </c:pt>
                <c:pt idx="22">
                  <c:v>45326</c:v>
                </c:pt>
                <c:pt idx="23">
                  <c:v>45333</c:v>
                </c:pt>
                <c:pt idx="24">
                  <c:v>45340</c:v>
                </c:pt>
                <c:pt idx="25">
                  <c:v>45347</c:v>
                </c:pt>
                <c:pt idx="26">
                  <c:v>45354</c:v>
                </c:pt>
                <c:pt idx="27">
                  <c:v>45361</c:v>
                </c:pt>
                <c:pt idx="28">
                  <c:v>45368</c:v>
                </c:pt>
                <c:pt idx="29">
                  <c:v>45375</c:v>
                </c:pt>
                <c:pt idx="30">
                  <c:v>45382</c:v>
                </c:pt>
                <c:pt idx="31">
                  <c:v>45389</c:v>
                </c:pt>
                <c:pt idx="32">
                  <c:v>45396</c:v>
                </c:pt>
                <c:pt idx="33">
                  <c:v>45403</c:v>
                </c:pt>
                <c:pt idx="34">
                  <c:v>45410</c:v>
                </c:pt>
                <c:pt idx="35">
                  <c:v>45417</c:v>
                </c:pt>
                <c:pt idx="36">
                  <c:v>45424</c:v>
                </c:pt>
                <c:pt idx="37">
                  <c:v>45431</c:v>
                </c:pt>
                <c:pt idx="38">
                  <c:v>45438</c:v>
                </c:pt>
                <c:pt idx="39">
                  <c:v>45445</c:v>
                </c:pt>
                <c:pt idx="40">
                  <c:v>45452</c:v>
                </c:pt>
                <c:pt idx="41">
                  <c:v>45459</c:v>
                </c:pt>
                <c:pt idx="42">
                  <c:v>45466</c:v>
                </c:pt>
                <c:pt idx="43">
                  <c:v>45473</c:v>
                </c:pt>
                <c:pt idx="44">
                  <c:v>45480</c:v>
                </c:pt>
                <c:pt idx="45">
                  <c:v>45487</c:v>
                </c:pt>
                <c:pt idx="46">
                  <c:v>45494</c:v>
                </c:pt>
                <c:pt idx="47">
                  <c:v>45501</c:v>
                </c:pt>
                <c:pt idx="48">
                  <c:v>45508</c:v>
                </c:pt>
                <c:pt idx="49">
                  <c:v>45515</c:v>
                </c:pt>
                <c:pt idx="50">
                  <c:v>45522</c:v>
                </c:pt>
                <c:pt idx="51">
                  <c:v>45529</c:v>
                </c:pt>
                <c:pt idx="52">
                  <c:v>45536</c:v>
                </c:pt>
                <c:pt idx="53">
                  <c:v>45543</c:v>
                </c:pt>
                <c:pt idx="54">
                  <c:v>45550</c:v>
                </c:pt>
                <c:pt idx="55">
                  <c:v>45557</c:v>
                </c:pt>
                <c:pt idx="56">
                  <c:v>45564</c:v>
                </c:pt>
                <c:pt idx="57">
                  <c:v>45571</c:v>
                </c:pt>
                <c:pt idx="58">
                  <c:v>45578</c:v>
                </c:pt>
                <c:pt idx="59">
                  <c:v>45585</c:v>
                </c:pt>
                <c:pt idx="60">
                  <c:v>45592</c:v>
                </c:pt>
                <c:pt idx="61">
                  <c:v>45599</c:v>
                </c:pt>
                <c:pt idx="62">
                  <c:v>45606</c:v>
                </c:pt>
                <c:pt idx="63">
                  <c:v>45613</c:v>
                </c:pt>
                <c:pt idx="64">
                  <c:v>45620</c:v>
                </c:pt>
                <c:pt idx="65">
                  <c:v>45627</c:v>
                </c:pt>
                <c:pt idx="66">
                  <c:v>45634</c:v>
                </c:pt>
                <c:pt idx="67">
                  <c:v>45641</c:v>
                </c:pt>
                <c:pt idx="68">
                  <c:v>45648</c:v>
                </c:pt>
                <c:pt idx="69">
                  <c:v>45655</c:v>
                </c:pt>
                <c:pt idx="70">
                  <c:v>45662</c:v>
                </c:pt>
                <c:pt idx="71">
                  <c:v>45669</c:v>
                </c:pt>
                <c:pt idx="72">
                  <c:v>45676</c:v>
                </c:pt>
                <c:pt idx="73">
                  <c:v>45683</c:v>
                </c:pt>
                <c:pt idx="74">
                  <c:v>45690</c:v>
                </c:pt>
                <c:pt idx="75">
                  <c:v>45697</c:v>
                </c:pt>
                <c:pt idx="76">
                  <c:v>45704</c:v>
                </c:pt>
                <c:pt idx="77">
                  <c:v>45711</c:v>
                </c:pt>
                <c:pt idx="78">
                  <c:v>45718</c:v>
                </c:pt>
                <c:pt idx="79">
                  <c:v>45725</c:v>
                </c:pt>
                <c:pt idx="80">
                  <c:v>45732</c:v>
                </c:pt>
                <c:pt idx="81">
                  <c:v>45739</c:v>
                </c:pt>
                <c:pt idx="82">
                  <c:v>45746</c:v>
                </c:pt>
                <c:pt idx="83">
                  <c:v>45753</c:v>
                </c:pt>
                <c:pt idx="84">
                  <c:v>45760</c:v>
                </c:pt>
                <c:pt idx="85">
                  <c:v>45767</c:v>
                </c:pt>
                <c:pt idx="86">
                  <c:v>45774</c:v>
                </c:pt>
                <c:pt idx="87">
                  <c:v>45781</c:v>
                </c:pt>
                <c:pt idx="88">
                  <c:v>45788</c:v>
                </c:pt>
                <c:pt idx="89">
                  <c:v>45795</c:v>
                </c:pt>
                <c:pt idx="90">
                  <c:v>45802</c:v>
                </c:pt>
                <c:pt idx="91">
                  <c:v>45809</c:v>
                </c:pt>
                <c:pt idx="92">
                  <c:v>45816</c:v>
                </c:pt>
                <c:pt idx="93">
                  <c:v>45823</c:v>
                </c:pt>
                <c:pt idx="94">
                  <c:v>45830</c:v>
                </c:pt>
                <c:pt idx="95">
                  <c:v>45837</c:v>
                </c:pt>
                <c:pt idx="96">
                  <c:v>45844</c:v>
                </c:pt>
                <c:pt idx="97">
                  <c:v>45851</c:v>
                </c:pt>
                <c:pt idx="98">
                  <c:v>45858</c:v>
                </c:pt>
                <c:pt idx="99">
                  <c:v>45865</c:v>
                </c:pt>
                <c:pt idx="100">
                  <c:v>45872</c:v>
                </c:pt>
                <c:pt idx="101">
                  <c:v>45879</c:v>
                </c:pt>
                <c:pt idx="102">
                  <c:v>45886</c:v>
                </c:pt>
                <c:pt idx="103">
                  <c:v>45893</c:v>
                </c:pt>
                <c:pt idx="104">
                  <c:v>45900</c:v>
                </c:pt>
                <c:pt idx="105">
                  <c:v>45907</c:v>
                </c:pt>
                <c:pt idx="106">
                  <c:v>45914</c:v>
                </c:pt>
                <c:pt idx="107">
                  <c:v>45921</c:v>
                </c:pt>
                <c:pt idx="108">
                  <c:v>45928</c:v>
                </c:pt>
                <c:pt idx="109">
                  <c:v>45935</c:v>
                </c:pt>
                <c:pt idx="110">
                  <c:v>45942</c:v>
                </c:pt>
                <c:pt idx="111">
                  <c:v>45949</c:v>
                </c:pt>
                <c:pt idx="112">
                  <c:v>45956</c:v>
                </c:pt>
                <c:pt idx="113">
                  <c:v>45963</c:v>
                </c:pt>
                <c:pt idx="114">
                  <c:v>45970</c:v>
                </c:pt>
                <c:pt idx="115">
                  <c:v>45977</c:v>
                </c:pt>
                <c:pt idx="116">
                  <c:v>45984</c:v>
                </c:pt>
                <c:pt idx="117">
                  <c:v>45991</c:v>
                </c:pt>
                <c:pt idx="118">
                  <c:v>45998</c:v>
                </c:pt>
                <c:pt idx="119">
                  <c:v>46005</c:v>
                </c:pt>
              </c:numCache>
            </c:numRef>
          </c:cat>
          <c:val>
            <c:numRef>
              <c:f>'DATA Pathway stages all Waits'!$AC$3:$AC$122</c:f>
              <c:numCache>
                <c:formatCode>General</c:formatCode>
                <c:ptCount val="120"/>
                <c:pt idx="0">
                  <c:v>240</c:v>
                </c:pt>
                <c:pt idx="1">
                  <c:v>242</c:v>
                </c:pt>
                <c:pt idx="2">
                  <c:v>220</c:v>
                </c:pt>
                <c:pt idx="3">
                  <c:v>241</c:v>
                </c:pt>
                <c:pt idx="4">
                  <c:v>262</c:v>
                </c:pt>
                <c:pt idx="5">
                  <c:v>267</c:v>
                </c:pt>
                <c:pt idx="6">
                  <c:v>283</c:v>
                </c:pt>
                <c:pt idx="7">
                  <c:v>311</c:v>
                </c:pt>
                <c:pt idx="8">
                  <c:v>291</c:v>
                </c:pt>
                <c:pt idx="9">
                  <c:v>321</c:v>
                </c:pt>
                <c:pt idx="10">
                  <c:v>289</c:v>
                </c:pt>
                <c:pt idx="11">
                  <c:v>287</c:v>
                </c:pt>
                <c:pt idx="12">
                  <c:v>301</c:v>
                </c:pt>
                <c:pt idx="13">
                  <c:v>284</c:v>
                </c:pt>
                <c:pt idx="14">
                  <c:v>242</c:v>
                </c:pt>
                <c:pt idx="15">
                  <c:v>194</c:v>
                </c:pt>
                <c:pt idx="16">
                  <c:v>205</c:v>
                </c:pt>
                <c:pt idx="17">
                  <c:v>188</c:v>
                </c:pt>
                <c:pt idx="18">
                  <c:v>167</c:v>
                </c:pt>
                <c:pt idx="19">
                  <c:v>125</c:v>
                </c:pt>
                <c:pt idx="20">
                  <c:v>121</c:v>
                </c:pt>
                <c:pt idx="21">
                  <c:v>121</c:v>
                </c:pt>
                <c:pt idx="22">
                  <c:v>141</c:v>
                </c:pt>
                <c:pt idx="23">
                  <c:v>133</c:v>
                </c:pt>
                <c:pt idx="24">
                  <c:v>121</c:v>
                </c:pt>
                <c:pt idx="25">
                  <c:v>96</c:v>
                </c:pt>
                <c:pt idx="26">
                  <c:v>104</c:v>
                </c:pt>
                <c:pt idx="27">
                  <c:v>87</c:v>
                </c:pt>
                <c:pt idx="28">
                  <c:v>98</c:v>
                </c:pt>
                <c:pt idx="29">
                  <c:v>103</c:v>
                </c:pt>
                <c:pt idx="30">
                  <c:v>90</c:v>
                </c:pt>
                <c:pt idx="31">
                  <c:v>66</c:v>
                </c:pt>
                <c:pt idx="32">
                  <c:v>77</c:v>
                </c:pt>
                <c:pt idx="33">
                  <c:v>74</c:v>
                </c:pt>
                <c:pt idx="34">
                  <c:v>76</c:v>
                </c:pt>
                <c:pt idx="35">
                  <c:v>123</c:v>
                </c:pt>
                <c:pt idx="36">
                  <c:v>171</c:v>
                </c:pt>
                <c:pt idx="37">
                  <c:v>170</c:v>
                </c:pt>
                <c:pt idx="38">
                  <c:v>190</c:v>
                </c:pt>
                <c:pt idx="39">
                  <c:v>193</c:v>
                </c:pt>
                <c:pt idx="40">
                  <c:v>179</c:v>
                </c:pt>
                <c:pt idx="41">
                  <c:v>180</c:v>
                </c:pt>
                <c:pt idx="42">
                  <c:v>170</c:v>
                </c:pt>
                <c:pt idx="43">
                  <c:v>187</c:v>
                </c:pt>
                <c:pt idx="44">
                  <c:v>183</c:v>
                </c:pt>
                <c:pt idx="45">
                  <c:v>207</c:v>
                </c:pt>
                <c:pt idx="46">
                  <c:v>182</c:v>
                </c:pt>
                <c:pt idx="47">
                  <c:v>202</c:v>
                </c:pt>
                <c:pt idx="48">
                  <c:v>152</c:v>
                </c:pt>
                <c:pt idx="49">
                  <c:v>147</c:v>
                </c:pt>
                <c:pt idx="50">
                  <c:v>154</c:v>
                </c:pt>
                <c:pt idx="51">
                  <c:v>143</c:v>
                </c:pt>
                <c:pt idx="52">
                  <c:v>163</c:v>
                </c:pt>
                <c:pt idx="53">
                  <c:v>156</c:v>
                </c:pt>
                <c:pt idx="54">
                  <c:v>132</c:v>
                </c:pt>
                <c:pt idx="55">
                  <c:v>116</c:v>
                </c:pt>
                <c:pt idx="56">
                  <c:v>139</c:v>
                </c:pt>
                <c:pt idx="57">
                  <c:v>166</c:v>
                </c:pt>
                <c:pt idx="58">
                  <c:v>165</c:v>
                </c:pt>
                <c:pt idx="59">
                  <c:v>172</c:v>
                </c:pt>
                <c:pt idx="60">
                  <c:v>150</c:v>
                </c:pt>
                <c:pt idx="61">
                  <c:v>152</c:v>
                </c:pt>
                <c:pt idx="62">
                  <c:v>174</c:v>
                </c:pt>
                <c:pt idx="63">
                  <c:v>144</c:v>
                </c:pt>
                <c:pt idx="64">
                  <c:v>151</c:v>
                </c:pt>
                <c:pt idx="65">
                  <c:v>176</c:v>
                </c:pt>
                <c:pt idx="66">
                  <c:v>187</c:v>
                </c:pt>
                <c:pt idx="67">
                  <c:v>200</c:v>
                </c:pt>
                <c:pt idx="68">
                  <c:v>160</c:v>
                </c:pt>
                <c:pt idx="69">
                  <c:v>170</c:v>
                </c:pt>
                <c:pt idx="70">
                  <c:v>180</c:v>
                </c:pt>
                <c:pt idx="71">
                  <c:v>178</c:v>
                </c:pt>
                <c:pt idx="72">
                  <c:v>198</c:v>
                </c:pt>
                <c:pt idx="73">
                  <c:v>253</c:v>
                </c:pt>
                <c:pt idx="74">
                  <c:v>290</c:v>
                </c:pt>
                <c:pt idx="75">
                  <c:v>207</c:v>
                </c:pt>
                <c:pt idx="76">
                  <c:v>174</c:v>
                </c:pt>
                <c:pt idx="77">
                  <c:v>272</c:v>
                </c:pt>
                <c:pt idx="78">
                  <c:v>261</c:v>
                </c:pt>
                <c:pt idx="79">
                  <c:v>302</c:v>
                </c:pt>
                <c:pt idx="80">
                  <c:v>267</c:v>
                </c:pt>
                <c:pt idx="81">
                  <c:v>238</c:v>
                </c:pt>
                <c:pt idx="82">
                  <c:v>256</c:v>
                </c:pt>
                <c:pt idx="83">
                  <c:v>241</c:v>
                </c:pt>
                <c:pt idx="84">
                  <c:v>259</c:v>
                </c:pt>
                <c:pt idx="85">
                  <c:v>264</c:v>
                </c:pt>
                <c:pt idx="86">
                  <c:v>222</c:v>
                </c:pt>
                <c:pt idx="87">
                  <c:v>269</c:v>
                </c:pt>
                <c:pt idx="88">
                  <c:v>226</c:v>
                </c:pt>
                <c:pt idx="89">
                  <c:v>252</c:v>
                </c:pt>
                <c:pt idx="90">
                  <c:v>311</c:v>
                </c:pt>
                <c:pt idx="91">
                  <c:v>219</c:v>
                </c:pt>
                <c:pt idx="92">
                  <c:v>228</c:v>
                </c:pt>
                <c:pt idx="93">
                  <c:v>244</c:v>
                </c:pt>
                <c:pt idx="94">
                  <c:v>226</c:v>
                </c:pt>
                <c:pt idx="95">
                  <c:v>221</c:v>
                </c:pt>
                <c:pt idx="96">
                  <c:v>196</c:v>
                </c:pt>
                <c:pt idx="97">
                  <c:v>170</c:v>
                </c:pt>
                <c:pt idx="98">
                  <c:v>169</c:v>
                </c:pt>
                <c:pt idx="99">
                  <c:v>154</c:v>
                </c:pt>
                <c:pt idx="100">
                  <c:v>144</c:v>
                </c:pt>
                <c:pt idx="101">
                  <c:v>175</c:v>
                </c:pt>
                <c:pt idx="102">
                  <c:v>188</c:v>
                </c:pt>
                <c:pt idx="103">
                  <c:v>191</c:v>
                </c:pt>
                <c:pt idx="104">
                  <c:v>249</c:v>
                </c:pt>
                <c:pt idx="105">
                  <c:v>230</c:v>
                </c:pt>
                <c:pt idx="106">
                  <c:v>263</c:v>
                </c:pt>
                <c:pt idx="107">
                  <c:v>305</c:v>
                </c:pt>
                <c:pt idx="108">
                  <c:v>294</c:v>
                </c:pt>
                <c:pt idx="109">
                  <c:v>244</c:v>
                </c:pt>
                <c:pt idx="110">
                  <c:v>279</c:v>
                </c:pt>
                <c:pt idx="111">
                  <c:v>287</c:v>
                </c:pt>
                <c:pt idx="112">
                  <c:v>288</c:v>
                </c:pt>
                <c:pt idx="113">
                  <c:v>275</c:v>
                </c:pt>
                <c:pt idx="114">
                  <c:v>259</c:v>
                </c:pt>
                <c:pt idx="115">
                  <c:v>243</c:v>
                </c:pt>
                <c:pt idx="116">
                  <c:v>228</c:v>
                </c:pt>
                <c:pt idx="117">
                  <c:v>235</c:v>
                </c:pt>
              </c:numCache>
            </c:numRef>
          </c:val>
          <c:smooth val="0"/>
          <c:extLst>
            <c:ext xmlns:c16="http://schemas.microsoft.com/office/drawing/2014/chart" uri="{C3380CC4-5D6E-409C-BE32-E72D297353CC}">
              <c16:uniqueId val="{00000002-CD89-4BA3-93B8-70EB1F36AF0C}"/>
            </c:ext>
          </c:extLst>
        </c:ser>
        <c:ser>
          <c:idx val="3"/>
          <c:order val="3"/>
          <c:tx>
            <c:strRef>
              <c:f>'DATA Pathway stages all Waits'!$AD$2</c:f>
              <c:strCache>
                <c:ptCount val="1"/>
                <c:pt idx="0">
                  <c:v>STT Endoscopy</c:v>
                </c:pt>
              </c:strCache>
            </c:strRef>
          </c:tx>
          <c:spPr>
            <a:ln w="28575" cap="rnd">
              <a:solidFill>
                <a:schemeClr val="accent4"/>
              </a:solidFill>
              <a:round/>
            </a:ln>
            <a:effectLst/>
          </c:spPr>
          <c:marker>
            <c:symbol val="none"/>
          </c:marker>
          <c:cat>
            <c:numRef>
              <c:f>'DATA Pathway stages all Waits'!$Z$3:$Z$122</c:f>
              <c:numCache>
                <c:formatCode>dd\ mmm</c:formatCode>
                <c:ptCount val="120"/>
                <c:pt idx="0">
                  <c:v>45172</c:v>
                </c:pt>
                <c:pt idx="1">
                  <c:v>45179</c:v>
                </c:pt>
                <c:pt idx="2">
                  <c:v>45186</c:v>
                </c:pt>
                <c:pt idx="3">
                  <c:v>45193</c:v>
                </c:pt>
                <c:pt idx="4">
                  <c:v>45200</c:v>
                </c:pt>
                <c:pt idx="5">
                  <c:v>45207</c:v>
                </c:pt>
                <c:pt idx="6">
                  <c:v>45214</c:v>
                </c:pt>
                <c:pt idx="7">
                  <c:v>45221</c:v>
                </c:pt>
                <c:pt idx="8">
                  <c:v>45228</c:v>
                </c:pt>
                <c:pt idx="9">
                  <c:v>45235</c:v>
                </c:pt>
                <c:pt idx="10">
                  <c:v>45242</c:v>
                </c:pt>
                <c:pt idx="11">
                  <c:v>45249</c:v>
                </c:pt>
                <c:pt idx="12">
                  <c:v>45256</c:v>
                </c:pt>
                <c:pt idx="13">
                  <c:v>45263</c:v>
                </c:pt>
                <c:pt idx="14">
                  <c:v>45270</c:v>
                </c:pt>
                <c:pt idx="15">
                  <c:v>45277</c:v>
                </c:pt>
                <c:pt idx="16">
                  <c:v>45284</c:v>
                </c:pt>
                <c:pt idx="17">
                  <c:v>45291</c:v>
                </c:pt>
                <c:pt idx="18">
                  <c:v>45298</c:v>
                </c:pt>
                <c:pt idx="19">
                  <c:v>45305</c:v>
                </c:pt>
                <c:pt idx="20">
                  <c:v>45312</c:v>
                </c:pt>
                <c:pt idx="21">
                  <c:v>45319</c:v>
                </c:pt>
                <c:pt idx="22">
                  <c:v>45326</c:v>
                </c:pt>
                <c:pt idx="23">
                  <c:v>45333</c:v>
                </c:pt>
                <c:pt idx="24">
                  <c:v>45340</c:v>
                </c:pt>
                <c:pt idx="25">
                  <c:v>45347</c:v>
                </c:pt>
                <c:pt idx="26">
                  <c:v>45354</c:v>
                </c:pt>
                <c:pt idx="27">
                  <c:v>45361</c:v>
                </c:pt>
                <c:pt idx="28">
                  <c:v>45368</c:v>
                </c:pt>
                <c:pt idx="29">
                  <c:v>45375</c:v>
                </c:pt>
                <c:pt idx="30">
                  <c:v>45382</c:v>
                </c:pt>
                <c:pt idx="31">
                  <c:v>45389</c:v>
                </c:pt>
                <c:pt idx="32">
                  <c:v>45396</c:v>
                </c:pt>
                <c:pt idx="33">
                  <c:v>45403</c:v>
                </c:pt>
                <c:pt idx="34">
                  <c:v>45410</c:v>
                </c:pt>
                <c:pt idx="35">
                  <c:v>45417</c:v>
                </c:pt>
                <c:pt idx="36">
                  <c:v>45424</c:v>
                </c:pt>
                <c:pt idx="37">
                  <c:v>45431</c:v>
                </c:pt>
                <c:pt idx="38">
                  <c:v>45438</c:v>
                </c:pt>
                <c:pt idx="39">
                  <c:v>45445</c:v>
                </c:pt>
                <c:pt idx="40">
                  <c:v>45452</c:v>
                </c:pt>
                <c:pt idx="41">
                  <c:v>45459</c:v>
                </c:pt>
                <c:pt idx="42">
                  <c:v>45466</c:v>
                </c:pt>
                <c:pt idx="43">
                  <c:v>45473</c:v>
                </c:pt>
                <c:pt idx="44">
                  <c:v>45480</c:v>
                </c:pt>
                <c:pt idx="45">
                  <c:v>45487</c:v>
                </c:pt>
                <c:pt idx="46">
                  <c:v>45494</c:v>
                </c:pt>
                <c:pt idx="47">
                  <c:v>45501</c:v>
                </c:pt>
                <c:pt idx="48">
                  <c:v>45508</c:v>
                </c:pt>
                <c:pt idx="49">
                  <c:v>45515</c:v>
                </c:pt>
                <c:pt idx="50">
                  <c:v>45522</c:v>
                </c:pt>
                <c:pt idx="51">
                  <c:v>45529</c:v>
                </c:pt>
                <c:pt idx="52">
                  <c:v>45536</c:v>
                </c:pt>
                <c:pt idx="53">
                  <c:v>45543</c:v>
                </c:pt>
                <c:pt idx="54">
                  <c:v>45550</c:v>
                </c:pt>
                <c:pt idx="55">
                  <c:v>45557</c:v>
                </c:pt>
                <c:pt idx="56">
                  <c:v>45564</c:v>
                </c:pt>
                <c:pt idx="57">
                  <c:v>45571</c:v>
                </c:pt>
                <c:pt idx="58">
                  <c:v>45578</c:v>
                </c:pt>
                <c:pt idx="59">
                  <c:v>45585</c:v>
                </c:pt>
                <c:pt idx="60">
                  <c:v>45592</c:v>
                </c:pt>
                <c:pt idx="61">
                  <c:v>45599</c:v>
                </c:pt>
                <c:pt idx="62">
                  <c:v>45606</c:v>
                </c:pt>
                <c:pt idx="63">
                  <c:v>45613</c:v>
                </c:pt>
                <c:pt idx="64">
                  <c:v>45620</c:v>
                </c:pt>
                <c:pt idx="65">
                  <c:v>45627</c:v>
                </c:pt>
                <c:pt idx="66">
                  <c:v>45634</c:v>
                </c:pt>
                <c:pt idx="67">
                  <c:v>45641</c:v>
                </c:pt>
                <c:pt idx="68">
                  <c:v>45648</c:v>
                </c:pt>
                <c:pt idx="69">
                  <c:v>45655</c:v>
                </c:pt>
                <c:pt idx="70">
                  <c:v>45662</c:v>
                </c:pt>
                <c:pt idx="71">
                  <c:v>45669</c:v>
                </c:pt>
                <c:pt idx="72">
                  <c:v>45676</c:v>
                </c:pt>
                <c:pt idx="73">
                  <c:v>45683</c:v>
                </c:pt>
                <c:pt idx="74">
                  <c:v>45690</c:v>
                </c:pt>
                <c:pt idx="75">
                  <c:v>45697</c:v>
                </c:pt>
                <c:pt idx="76">
                  <c:v>45704</c:v>
                </c:pt>
                <c:pt idx="77">
                  <c:v>45711</c:v>
                </c:pt>
                <c:pt idx="78">
                  <c:v>45718</c:v>
                </c:pt>
                <c:pt idx="79">
                  <c:v>45725</c:v>
                </c:pt>
                <c:pt idx="80">
                  <c:v>45732</c:v>
                </c:pt>
                <c:pt idx="81">
                  <c:v>45739</c:v>
                </c:pt>
                <c:pt idx="82">
                  <c:v>45746</c:v>
                </c:pt>
                <c:pt idx="83">
                  <c:v>45753</c:v>
                </c:pt>
                <c:pt idx="84">
                  <c:v>45760</c:v>
                </c:pt>
                <c:pt idx="85">
                  <c:v>45767</c:v>
                </c:pt>
                <c:pt idx="86">
                  <c:v>45774</c:v>
                </c:pt>
                <c:pt idx="87">
                  <c:v>45781</c:v>
                </c:pt>
                <c:pt idx="88">
                  <c:v>45788</c:v>
                </c:pt>
                <c:pt idx="89">
                  <c:v>45795</c:v>
                </c:pt>
                <c:pt idx="90">
                  <c:v>45802</c:v>
                </c:pt>
                <c:pt idx="91">
                  <c:v>45809</c:v>
                </c:pt>
                <c:pt idx="92">
                  <c:v>45816</c:v>
                </c:pt>
                <c:pt idx="93">
                  <c:v>45823</c:v>
                </c:pt>
                <c:pt idx="94">
                  <c:v>45830</c:v>
                </c:pt>
                <c:pt idx="95">
                  <c:v>45837</c:v>
                </c:pt>
                <c:pt idx="96">
                  <c:v>45844</c:v>
                </c:pt>
                <c:pt idx="97">
                  <c:v>45851</c:v>
                </c:pt>
                <c:pt idx="98">
                  <c:v>45858</c:v>
                </c:pt>
                <c:pt idx="99">
                  <c:v>45865</c:v>
                </c:pt>
                <c:pt idx="100">
                  <c:v>45872</c:v>
                </c:pt>
                <c:pt idx="101">
                  <c:v>45879</c:v>
                </c:pt>
                <c:pt idx="102">
                  <c:v>45886</c:v>
                </c:pt>
                <c:pt idx="103">
                  <c:v>45893</c:v>
                </c:pt>
                <c:pt idx="104">
                  <c:v>45900</c:v>
                </c:pt>
                <c:pt idx="105">
                  <c:v>45907</c:v>
                </c:pt>
                <c:pt idx="106">
                  <c:v>45914</c:v>
                </c:pt>
                <c:pt idx="107">
                  <c:v>45921</c:v>
                </c:pt>
                <c:pt idx="108">
                  <c:v>45928</c:v>
                </c:pt>
                <c:pt idx="109">
                  <c:v>45935</c:v>
                </c:pt>
                <c:pt idx="110">
                  <c:v>45942</c:v>
                </c:pt>
                <c:pt idx="111">
                  <c:v>45949</c:v>
                </c:pt>
                <c:pt idx="112">
                  <c:v>45956</c:v>
                </c:pt>
                <c:pt idx="113">
                  <c:v>45963</c:v>
                </c:pt>
                <c:pt idx="114">
                  <c:v>45970</c:v>
                </c:pt>
                <c:pt idx="115">
                  <c:v>45977</c:v>
                </c:pt>
                <c:pt idx="116">
                  <c:v>45984</c:v>
                </c:pt>
                <c:pt idx="117">
                  <c:v>45991</c:v>
                </c:pt>
                <c:pt idx="118">
                  <c:v>45998</c:v>
                </c:pt>
                <c:pt idx="119">
                  <c:v>46005</c:v>
                </c:pt>
              </c:numCache>
            </c:numRef>
          </c:cat>
          <c:val>
            <c:numRef>
              <c:f>'DATA Pathway stages all Waits'!$AD$3:$AD$122</c:f>
              <c:numCache>
                <c:formatCode>General</c:formatCode>
                <c:ptCount val="120"/>
                <c:pt idx="0">
                  <c:v>0</c:v>
                </c:pt>
                <c:pt idx="1">
                  <c:v>0</c:v>
                </c:pt>
                <c:pt idx="2">
                  <c:v>0</c:v>
                </c:pt>
                <c:pt idx="3">
                  <c:v>0</c:v>
                </c:pt>
                <c:pt idx="4">
                  <c:v>0</c:v>
                </c:pt>
                <c:pt idx="5">
                  <c:v>0</c:v>
                </c:pt>
                <c:pt idx="6">
                  <c:v>0</c:v>
                </c:pt>
                <c:pt idx="7">
                  <c:v>0</c:v>
                </c:pt>
                <c:pt idx="8">
                  <c:v>0</c:v>
                </c:pt>
                <c:pt idx="9">
                  <c:v>0</c:v>
                </c:pt>
                <c:pt idx="10">
                  <c:v>0</c:v>
                </c:pt>
                <c:pt idx="11">
                  <c:v>0</c:v>
                </c:pt>
                <c:pt idx="12">
                  <c:v>0</c:v>
                </c:pt>
                <c:pt idx="13">
                  <c:v>8</c:v>
                </c:pt>
                <c:pt idx="14">
                  <c:v>43</c:v>
                </c:pt>
                <c:pt idx="15">
                  <c:v>78</c:v>
                </c:pt>
                <c:pt idx="16">
                  <c:v>89</c:v>
                </c:pt>
                <c:pt idx="17">
                  <c:v>63</c:v>
                </c:pt>
                <c:pt idx="18">
                  <c:v>71</c:v>
                </c:pt>
                <c:pt idx="19">
                  <c:v>79</c:v>
                </c:pt>
                <c:pt idx="20">
                  <c:v>77</c:v>
                </c:pt>
                <c:pt idx="21">
                  <c:v>76</c:v>
                </c:pt>
                <c:pt idx="22">
                  <c:v>80</c:v>
                </c:pt>
                <c:pt idx="23">
                  <c:v>82</c:v>
                </c:pt>
                <c:pt idx="24">
                  <c:v>128</c:v>
                </c:pt>
                <c:pt idx="25">
                  <c:v>108</c:v>
                </c:pt>
                <c:pt idx="26">
                  <c:v>119</c:v>
                </c:pt>
                <c:pt idx="27">
                  <c:v>135</c:v>
                </c:pt>
                <c:pt idx="28">
                  <c:v>122</c:v>
                </c:pt>
                <c:pt idx="29">
                  <c:v>116</c:v>
                </c:pt>
                <c:pt idx="30">
                  <c:v>115</c:v>
                </c:pt>
                <c:pt idx="31">
                  <c:v>133</c:v>
                </c:pt>
                <c:pt idx="32">
                  <c:v>135</c:v>
                </c:pt>
                <c:pt idx="33">
                  <c:v>141</c:v>
                </c:pt>
                <c:pt idx="34">
                  <c:v>110</c:v>
                </c:pt>
                <c:pt idx="35">
                  <c:v>109</c:v>
                </c:pt>
                <c:pt idx="36">
                  <c:v>144</c:v>
                </c:pt>
                <c:pt idx="37">
                  <c:v>176</c:v>
                </c:pt>
                <c:pt idx="38">
                  <c:v>167</c:v>
                </c:pt>
                <c:pt idx="39">
                  <c:v>163</c:v>
                </c:pt>
                <c:pt idx="40">
                  <c:v>151</c:v>
                </c:pt>
                <c:pt idx="41">
                  <c:v>146</c:v>
                </c:pt>
                <c:pt idx="42">
                  <c:v>125</c:v>
                </c:pt>
                <c:pt idx="43">
                  <c:v>139</c:v>
                </c:pt>
                <c:pt idx="44">
                  <c:v>118</c:v>
                </c:pt>
                <c:pt idx="45">
                  <c:v>103</c:v>
                </c:pt>
                <c:pt idx="46">
                  <c:v>117</c:v>
                </c:pt>
                <c:pt idx="47">
                  <c:v>135</c:v>
                </c:pt>
                <c:pt idx="48">
                  <c:v>108</c:v>
                </c:pt>
                <c:pt idx="49">
                  <c:v>106</c:v>
                </c:pt>
                <c:pt idx="50">
                  <c:v>111</c:v>
                </c:pt>
                <c:pt idx="51">
                  <c:v>90</c:v>
                </c:pt>
                <c:pt idx="52">
                  <c:v>110</c:v>
                </c:pt>
                <c:pt idx="53">
                  <c:v>106</c:v>
                </c:pt>
                <c:pt idx="54">
                  <c:v>103</c:v>
                </c:pt>
                <c:pt idx="55">
                  <c:v>100</c:v>
                </c:pt>
                <c:pt idx="56">
                  <c:v>110</c:v>
                </c:pt>
                <c:pt idx="57">
                  <c:v>101</c:v>
                </c:pt>
                <c:pt idx="58">
                  <c:v>107</c:v>
                </c:pt>
                <c:pt idx="59">
                  <c:v>98</c:v>
                </c:pt>
                <c:pt idx="60">
                  <c:v>90</c:v>
                </c:pt>
                <c:pt idx="61">
                  <c:v>96</c:v>
                </c:pt>
                <c:pt idx="62">
                  <c:v>85</c:v>
                </c:pt>
                <c:pt idx="63">
                  <c:v>98</c:v>
                </c:pt>
                <c:pt idx="64">
                  <c:v>85</c:v>
                </c:pt>
                <c:pt idx="65">
                  <c:v>92</c:v>
                </c:pt>
                <c:pt idx="66">
                  <c:v>120</c:v>
                </c:pt>
                <c:pt idx="67">
                  <c:v>114</c:v>
                </c:pt>
                <c:pt idx="68">
                  <c:v>125</c:v>
                </c:pt>
                <c:pt idx="69">
                  <c:v>130</c:v>
                </c:pt>
                <c:pt idx="70">
                  <c:v>112</c:v>
                </c:pt>
                <c:pt idx="71">
                  <c:v>96</c:v>
                </c:pt>
                <c:pt idx="72">
                  <c:v>110</c:v>
                </c:pt>
                <c:pt idx="73">
                  <c:v>96</c:v>
                </c:pt>
                <c:pt idx="74">
                  <c:v>85</c:v>
                </c:pt>
                <c:pt idx="75">
                  <c:v>97</c:v>
                </c:pt>
                <c:pt idx="76">
                  <c:v>109</c:v>
                </c:pt>
                <c:pt idx="77">
                  <c:v>133</c:v>
                </c:pt>
                <c:pt idx="78">
                  <c:v>112</c:v>
                </c:pt>
                <c:pt idx="79">
                  <c:v>120</c:v>
                </c:pt>
                <c:pt idx="80">
                  <c:v>98</c:v>
                </c:pt>
                <c:pt idx="81">
                  <c:v>119</c:v>
                </c:pt>
                <c:pt idx="82">
                  <c:v>106</c:v>
                </c:pt>
                <c:pt idx="83">
                  <c:v>98</c:v>
                </c:pt>
                <c:pt idx="84">
                  <c:v>93</c:v>
                </c:pt>
                <c:pt idx="85">
                  <c:v>111</c:v>
                </c:pt>
                <c:pt idx="86">
                  <c:v>94</c:v>
                </c:pt>
                <c:pt idx="87">
                  <c:v>93</c:v>
                </c:pt>
                <c:pt idx="88">
                  <c:v>77</c:v>
                </c:pt>
                <c:pt idx="89">
                  <c:v>106</c:v>
                </c:pt>
                <c:pt idx="90">
                  <c:v>105</c:v>
                </c:pt>
                <c:pt idx="91">
                  <c:v>99</c:v>
                </c:pt>
                <c:pt idx="92">
                  <c:v>107</c:v>
                </c:pt>
                <c:pt idx="93">
                  <c:v>100</c:v>
                </c:pt>
                <c:pt idx="94">
                  <c:v>99</c:v>
                </c:pt>
                <c:pt idx="95">
                  <c:v>107</c:v>
                </c:pt>
                <c:pt idx="96">
                  <c:v>112</c:v>
                </c:pt>
                <c:pt idx="97">
                  <c:v>127</c:v>
                </c:pt>
                <c:pt idx="98">
                  <c:v>122</c:v>
                </c:pt>
                <c:pt idx="99">
                  <c:v>107</c:v>
                </c:pt>
                <c:pt idx="100">
                  <c:v>111</c:v>
                </c:pt>
                <c:pt idx="101">
                  <c:v>119</c:v>
                </c:pt>
                <c:pt idx="102">
                  <c:v>118</c:v>
                </c:pt>
                <c:pt idx="103">
                  <c:v>115</c:v>
                </c:pt>
                <c:pt idx="104">
                  <c:v>105</c:v>
                </c:pt>
                <c:pt idx="105">
                  <c:v>126</c:v>
                </c:pt>
                <c:pt idx="106">
                  <c:v>110</c:v>
                </c:pt>
                <c:pt idx="107">
                  <c:v>132</c:v>
                </c:pt>
                <c:pt idx="108">
                  <c:v>150</c:v>
                </c:pt>
                <c:pt idx="109">
                  <c:v>136</c:v>
                </c:pt>
                <c:pt idx="110">
                  <c:v>114</c:v>
                </c:pt>
                <c:pt idx="111">
                  <c:v>118</c:v>
                </c:pt>
                <c:pt idx="112">
                  <c:v>124</c:v>
                </c:pt>
                <c:pt idx="113">
                  <c:v>107</c:v>
                </c:pt>
                <c:pt idx="114">
                  <c:v>138</c:v>
                </c:pt>
                <c:pt idx="115">
                  <c:v>159</c:v>
                </c:pt>
                <c:pt idx="116">
                  <c:v>142</c:v>
                </c:pt>
                <c:pt idx="117">
                  <c:v>131</c:v>
                </c:pt>
              </c:numCache>
            </c:numRef>
          </c:val>
          <c:smooth val="0"/>
          <c:extLst>
            <c:ext xmlns:c16="http://schemas.microsoft.com/office/drawing/2014/chart" uri="{C3380CC4-5D6E-409C-BE32-E72D297353CC}">
              <c16:uniqueId val="{00000003-CD89-4BA3-93B8-70EB1F36AF0C}"/>
            </c:ext>
          </c:extLst>
        </c:ser>
        <c:ser>
          <c:idx val="4"/>
          <c:order val="4"/>
          <c:tx>
            <c:strRef>
              <c:f>'DATA Pathway stages all Waits'!$AE$2</c:f>
              <c:strCache>
                <c:ptCount val="1"/>
                <c:pt idx="0">
                  <c:v>Pathology</c:v>
                </c:pt>
              </c:strCache>
            </c:strRef>
          </c:tx>
          <c:spPr>
            <a:ln w="28575" cap="rnd">
              <a:solidFill>
                <a:schemeClr val="accent5"/>
              </a:solidFill>
              <a:round/>
            </a:ln>
            <a:effectLst/>
          </c:spPr>
          <c:marker>
            <c:symbol val="none"/>
          </c:marker>
          <c:cat>
            <c:numRef>
              <c:f>'DATA Pathway stages all Waits'!$Z$3:$Z$122</c:f>
              <c:numCache>
                <c:formatCode>dd\ mmm</c:formatCode>
                <c:ptCount val="120"/>
                <c:pt idx="0">
                  <c:v>45172</c:v>
                </c:pt>
                <c:pt idx="1">
                  <c:v>45179</c:v>
                </c:pt>
                <c:pt idx="2">
                  <c:v>45186</c:v>
                </c:pt>
                <c:pt idx="3">
                  <c:v>45193</c:v>
                </c:pt>
                <c:pt idx="4">
                  <c:v>45200</c:v>
                </c:pt>
                <c:pt idx="5">
                  <c:v>45207</c:v>
                </c:pt>
                <c:pt idx="6">
                  <c:v>45214</c:v>
                </c:pt>
                <c:pt idx="7">
                  <c:v>45221</c:v>
                </c:pt>
                <c:pt idx="8">
                  <c:v>45228</c:v>
                </c:pt>
                <c:pt idx="9">
                  <c:v>45235</c:v>
                </c:pt>
                <c:pt idx="10">
                  <c:v>45242</c:v>
                </c:pt>
                <c:pt idx="11">
                  <c:v>45249</c:v>
                </c:pt>
                <c:pt idx="12">
                  <c:v>45256</c:v>
                </c:pt>
                <c:pt idx="13">
                  <c:v>45263</c:v>
                </c:pt>
                <c:pt idx="14">
                  <c:v>45270</c:v>
                </c:pt>
                <c:pt idx="15">
                  <c:v>45277</c:v>
                </c:pt>
                <c:pt idx="16">
                  <c:v>45284</c:v>
                </c:pt>
                <c:pt idx="17">
                  <c:v>45291</c:v>
                </c:pt>
                <c:pt idx="18">
                  <c:v>45298</c:v>
                </c:pt>
                <c:pt idx="19">
                  <c:v>45305</c:v>
                </c:pt>
                <c:pt idx="20">
                  <c:v>45312</c:v>
                </c:pt>
                <c:pt idx="21">
                  <c:v>45319</c:v>
                </c:pt>
                <c:pt idx="22">
                  <c:v>45326</c:v>
                </c:pt>
                <c:pt idx="23">
                  <c:v>45333</c:v>
                </c:pt>
                <c:pt idx="24">
                  <c:v>45340</c:v>
                </c:pt>
                <c:pt idx="25">
                  <c:v>45347</c:v>
                </c:pt>
                <c:pt idx="26">
                  <c:v>45354</c:v>
                </c:pt>
                <c:pt idx="27">
                  <c:v>45361</c:v>
                </c:pt>
                <c:pt idx="28">
                  <c:v>45368</c:v>
                </c:pt>
                <c:pt idx="29">
                  <c:v>45375</c:v>
                </c:pt>
                <c:pt idx="30">
                  <c:v>45382</c:v>
                </c:pt>
                <c:pt idx="31">
                  <c:v>45389</c:v>
                </c:pt>
                <c:pt idx="32">
                  <c:v>45396</c:v>
                </c:pt>
                <c:pt idx="33">
                  <c:v>45403</c:v>
                </c:pt>
                <c:pt idx="34">
                  <c:v>45410</c:v>
                </c:pt>
                <c:pt idx="35">
                  <c:v>45417</c:v>
                </c:pt>
                <c:pt idx="36">
                  <c:v>45424</c:v>
                </c:pt>
                <c:pt idx="37">
                  <c:v>45431</c:v>
                </c:pt>
                <c:pt idx="38">
                  <c:v>45438</c:v>
                </c:pt>
                <c:pt idx="39">
                  <c:v>45445</c:v>
                </c:pt>
                <c:pt idx="40">
                  <c:v>45452</c:v>
                </c:pt>
                <c:pt idx="41">
                  <c:v>45459</c:v>
                </c:pt>
                <c:pt idx="42">
                  <c:v>45466</c:v>
                </c:pt>
                <c:pt idx="43">
                  <c:v>45473</c:v>
                </c:pt>
                <c:pt idx="44">
                  <c:v>45480</c:v>
                </c:pt>
                <c:pt idx="45">
                  <c:v>45487</c:v>
                </c:pt>
                <c:pt idx="46">
                  <c:v>45494</c:v>
                </c:pt>
                <c:pt idx="47">
                  <c:v>45501</c:v>
                </c:pt>
                <c:pt idx="48">
                  <c:v>45508</c:v>
                </c:pt>
                <c:pt idx="49">
                  <c:v>45515</c:v>
                </c:pt>
                <c:pt idx="50">
                  <c:v>45522</c:v>
                </c:pt>
                <c:pt idx="51">
                  <c:v>45529</c:v>
                </c:pt>
                <c:pt idx="52">
                  <c:v>45536</c:v>
                </c:pt>
                <c:pt idx="53">
                  <c:v>45543</c:v>
                </c:pt>
                <c:pt idx="54">
                  <c:v>45550</c:v>
                </c:pt>
                <c:pt idx="55">
                  <c:v>45557</c:v>
                </c:pt>
                <c:pt idx="56">
                  <c:v>45564</c:v>
                </c:pt>
                <c:pt idx="57">
                  <c:v>45571</c:v>
                </c:pt>
                <c:pt idx="58">
                  <c:v>45578</c:v>
                </c:pt>
                <c:pt idx="59">
                  <c:v>45585</c:v>
                </c:pt>
                <c:pt idx="60">
                  <c:v>45592</c:v>
                </c:pt>
                <c:pt idx="61">
                  <c:v>45599</c:v>
                </c:pt>
                <c:pt idx="62">
                  <c:v>45606</c:v>
                </c:pt>
                <c:pt idx="63">
                  <c:v>45613</c:v>
                </c:pt>
                <c:pt idx="64">
                  <c:v>45620</c:v>
                </c:pt>
                <c:pt idx="65">
                  <c:v>45627</c:v>
                </c:pt>
                <c:pt idx="66">
                  <c:v>45634</c:v>
                </c:pt>
                <c:pt idx="67">
                  <c:v>45641</c:v>
                </c:pt>
                <c:pt idx="68">
                  <c:v>45648</c:v>
                </c:pt>
                <c:pt idx="69">
                  <c:v>45655</c:v>
                </c:pt>
                <c:pt idx="70">
                  <c:v>45662</c:v>
                </c:pt>
                <c:pt idx="71">
                  <c:v>45669</c:v>
                </c:pt>
                <c:pt idx="72">
                  <c:v>45676</c:v>
                </c:pt>
                <c:pt idx="73">
                  <c:v>45683</c:v>
                </c:pt>
                <c:pt idx="74">
                  <c:v>45690</c:v>
                </c:pt>
                <c:pt idx="75">
                  <c:v>45697</c:v>
                </c:pt>
                <c:pt idx="76">
                  <c:v>45704</c:v>
                </c:pt>
                <c:pt idx="77">
                  <c:v>45711</c:v>
                </c:pt>
                <c:pt idx="78">
                  <c:v>45718</c:v>
                </c:pt>
                <c:pt idx="79">
                  <c:v>45725</c:v>
                </c:pt>
                <c:pt idx="80">
                  <c:v>45732</c:v>
                </c:pt>
                <c:pt idx="81">
                  <c:v>45739</c:v>
                </c:pt>
                <c:pt idx="82">
                  <c:v>45746</c:v>
                </c:pt>
                <c:pt idx="83">
                  <c:v>45753</c:v>
                </c:pt>
                <c:pt idx="84">
                  <c:v>45760</c:v>
                </c:pt>
                <c:pt idx="85">
                  <c:v>45767</c:v>
                </c:pt>
                <c:pt idx="86">
                  <c:v>45774</c:v>
                </c:pt>
                <c:pt idx="87">
                  <c:v>45781</c:v>
                </c:pt>
                <c:pt idx="88">
                  <c:v>45788</c:v>
                </c:pt>
                <c:pt idx="89">
                  <c:v>45795</c:v>
                </c:pt>
                <c:pt idx="90">
                  <c:v>45802</c:v>
                </c:pt>
                <c:pt idx="91">
                  <c:v>45809</c:v>
                </c:pt>
                <c:pt idx="92">
                  <c:v>45816</c:v>
                </c:pt>
                <c:pt idx="93">
                  <c:v>45823</c:v>
                </c:pt>
                <c:pt idx="94">
                  <c:v>45830</c:v>
                </c:pt>
                <c:pt idx="95">
                  <c:v>45837</c:v>
                </c:pt>
                <c:pt idx="96">
                  <c:v>45844</c:v>
                </c:pt>
                <c:pt idx="97">
                  <c:v>45851</c:v>
                </c:pt>
                <c:pt idx="98">
                  <c:v>45858</c:v>
                </c:pt>
                <c:pt idx="99">
                  <c:v>45865</c:v>
                </c:pt>
                <c:pt idx="100">
                  <c:v>45872</c:v>
                </c:pt>
                <c:pt idx="101">
                  <c:v>45879</c:v>
                </c:pt>
                <c:pt idx="102">
                  <c:v>45886</c:v>
                </c:pt>
                <c:pt idx="103">
                  <c:v>45893</c:v>
                </c:pt>
                <c:pt idx="104">
                  <c:v>45900</c:v>
                </c:pt>
                <c:pt idx="105">
                  <c:v>45907</c:v>
                </c:pt>
                <c:pt idx="106">
                  <c:v>45914</c:v>
                </c:pt>
                <c:pt idx="107">
                  <c:v>45921</c:v>
                </c:pt>
                <c:pt idx="108">
                  <c:v>45928</c:v>
                </c:pt>
                <c:pt idx="109">
                  <c:v>45935</c:v>
                </c:pt>
                <c:pt idx="110">
                  <c:v>45942</c:v>
                </c:pt>
                <c:pt idx="111">
                  <c:v>45949</c:v>
                </c:pt>
                <c:pt idx="112">
                  <c:v>45956</c:v>
                </c:pt>
                <c:pt idx="113">
                  <c:v>45963</c:v>
                </c:pt>
                <c:pt idx="114">
                  <c:v>45970</c:v>
                </c:pt>
                <c:pt idx="115">
                  <c:v>45977</c:v>
                </c:pt>
                <c:pt idx="116">
                  <c:v>45984</c:v>
                </c:pt>
                <c:pt idx="117">
                  <c:v>45991</c:v>
                </c:pt>
                <c:pt idx="118">
                  <c:v>45998</c:v>
                </c:pt>
                <c:pt idx="119">
                  <c:v>46005</c:v>
                </c:pt>
              </c:numCache>
            </c:numRef>
          </c:cat>
          <c:val>
            <c:numRef>
              <c:f>'DATA Pathway stages all Waits'!$AE$3:$AE$122</c:f>
              <c:numCache>
                <c:formatCode>General</c:formatCode>
                <c:ptCount val="120"/>
                <c:pt idx="0">
                  <c:v>193</c:v>
                </c:pt>
                <c:pt idx="1">
                  <c:v>204</c:v>
                </c:pt>
                <c:pt idx="2">
                  <c:v>184</c:v>
                </c:pt>
                <c:pt idx="3">
                  <c:v>120</c:v>
                </c:pt>
                <c:pt idx="4">
                  <c:v>121</c:v>
                </c:pt>
                <c:pt idx="5">
                  <c:v>89</c:v>
                </c:pt>
                <c:pt idx="6">
                  <c:v>84</c:v>
                </c:pt>
                <c:pt idx="7">
                  <c:v>125</c:v>
                </c:pt>
                <c:pt idx="8">
                  <c:v>126</c:v>
                </c:pt>
                <c:pt idx="9">
                  <c:v>101</c:v>
                </c:pt>
                <c:pt idx="10">
                  <c:v>128</c:v>
                </c:pt>
                <c:pt idx="11">
                  <c:v>118</c:v>
                </c:pt>
                <c:pt idx="12">
                  <c:v>123</c:v>
                </c:pt>
                <c:pt idx="13">
                  <c:v>102</c:v>
                </c:pt>
                <c:pt idx="14">
                  <c:v>102</c:v>
                </c:pt>
                <c:pt idx="15">
                  <c:v>114</c:v>
                </c:pt>
                <c:pt idx="16">
                  <c:v>116</c:v>
                </c:pt>
                <c:pt idx="17">
                  <c:v>117</c:v>
                </c:pt>
                <c:pt idx="18">
                  <c:v>141</c:v>
                </c:pt>
                <c:pt idx="19">
                  <c:v>115</c:v>
                </c:pt>
                <c:pt idx="20">
                  <c:v>111</c:v>
                </c:pt>
                <c:pt idx="21">
                  <c:v>114</c:v>
                </c:pt>
                <c:pt idx="22">
                  <c:v>95</c:v>
                </c:pt>
                <c:pt idx="23">
                  <c:v>93</c:v>
                </c:pt>
                <c:pt idx="24">
                  <c:v>104</c:v>
                </c:pt>
                <c:pt idx="25">
                  <c:v>130</c:v>
                </c:pt>
                <c:pt idx="26">
                  <c:v>130</c:v>
                </c:pt>
                <c:pt idx="27">
                  <c:v>135</c:v>
                </c:pt>
                <c:pt idx="28">
                  <c:v>131</c:v>
                </c:pt>
                <c:pt idx="29">
                  <c:v>163</c:v>
                </c:pt>
                <c:pt idx="30">
                  <c:v>170</c:v>
                </c:pt>
                <c:pt idx="31">
                  <c:v>129</c:v>
                </c:pt>
                <c:pt idx="32">
                  <c:v>105</c:v>
                </c:pt>
                <c:pt idx="33">
                  <c:v>140</c:v>
                </c:pt>
                <c:pt idx="34">
                  <c:v>121</c:v>
                </c:pt>
                <c:pt idx="35">
                  <c:v>135</c:v>
                </c:pt>
                <c:pt idx="36">
                  <c:v>110</c:v>
                </c:pt>
                <c:pt idx="37">
                  <c:v>115</c:v>
                </c:pt>
                <c:pt idx="38">
                  <c:v>114</c:v>
                </c:pt>
                <c:pt idx="39">
                  <c:v>116</c:v>
                </c:pt>
                <c:pt idx="40">
                  <c:v>137</c:v>
                </c:pt>
                <c:pt idx="41">
                  <c:v>145</c:v>
                </c:pt>
                <c:pt idx="42">
                  <c:v>116</c:v>
                </c:pt>
                <c:pt idx="43">
                  <c:v>110</c:v>
                </c:pt>
                <c:pt idx="44">
                  <c:v>77</c:v>
                </c:pt>
                <c:pt idx="45">
                  <c:v>90</c:v>
                </c:pt>
                <c:pt idx="46">
                  <c:v>124</c:v>
                </c:pt>
                <c:pt idx="47">
                  <c:v>140</c:v>
                </c:pt>
                <c:pt idx="48">
                  <c:v>117</c:v>
                </c:pt>
                <c:pt idx="49">
                  <c:v>125</c:v>
                </c:pt>
                <c:pt idx="50">
                  <c:v>120</c:v>
                </c:pt>
                <c:pt idx="51">
                  <c:v>115</c:v>
                </c:pt>
                <c:pt idx="52">
                  <c:v>100</c:v>
                </c:pt>
                <c:pt idx="53">
                  <c:v>101</c:v>
                </c:pt>
                <c:pt idx="54">
                  <c:v>100</c:v>
                </c:pt>
                <c:pt idx="55">
                  <c:v>130</c:v>
                </c:pt>
                <c:pt idx="56">
                  <c:v>128</c:v>
                </c:pt>
                <c:pt idx="57">
                  <c:v>127</c:v>
                </c:pt>
                <c:pt idx="58">
                  <c:v>123</c:v>
                </c:pt>
                <c:pt idx="59">
                  <c:v>129</c:v>
                </c:pt>
                <c:pt idx="60">
                  <c:v>135</c:v>
                </c:pt>
                <c:pt idx="61">
                  <c:v>136</c:v>
                </c:pt>
                <c:pt idx="62">
                  <c:v>117</c:v>
                </c:pt>
                <c:pt idx="63">
                  <c:v>117</c:v>
                </c:pt>
                <c:pt idx="64">
                  <c:v>132</c:v>
                </c:pt>
                <c:pt idx="65">
                  <c:v>134</c:v>
                </c:pt>
                <c:pt idx="66">
                  <c:v>134</c:v>
                </c:pt>
                <c:pt idx="67">
                  <c:v>113</c:v>
                </c:pt>
                <c:pt idx="68">
                  <c:v>129</c:v>
                </c:pt>
                <c:pt idx="69">
                  <c:v>113</c:v>
                </c:pt>
                <c:pt idx="70">
                  <c:v>121</c:v>
                </c:pt>
                <c:pt idx="71">
                  <c:v>89</c:v>
                </c:pt>
                <c:pt idx="72">
                  <c:v>122</c:v>
                </c:pt>
                <c:pt idx="73">
                  <c:v>126</c:v>
                </c:pt>
                <c:pt idx="74">
                  <c:v>138</c:v>
                </c:pt>
                <c:pt idx="75">
                  <c:v>155</c:v>
                </c:pt>
                <c:pt idx="76">
                  <c:v>148</c:v>
                </c:pt>
                <c:pt idx="77">
                  <c:v>144</c:v>
                </c:pt>
                <c:pt idx="78">
                  <c:v>146</c:v>
                </c:pt>
                <c:pt idx="79">
                  <c:v>150</c:v>
                </c:pt>
                <c:pt idx="80">
                  <c:v>136</c:v>
                </c:pt>
                <c:pt idx="81">
                  <c:v>151</c:v>
                </c:pt>
                <c:pt idx="82">
                  <c:v>173</c:v>
                </c:pt>
                <c:pt idx="83">
                  <c:v>188</c:v>
                </c:pt>
                <c:pt idx="84">
                  <c:v>196</c:v>
                </c:pt>
                <c:pt idx="85">
                  <c:v>191</c:v>
                </c:pt>
                <c:pt idx="86">
                  <c:v>183</c:v>
                </c:pt>
                <c:pt idx="87">
                  <c:v>169</c:v>
                </c:pt>
                <c:pt idx="88">
                  <c:v>172</c:v>
                </c:pt>
                <c:pt idx="89">
                  <c:v>146</c:v>
                </c:pt>
                <c:pt idx="90">
                  <c:v>157</c:v>
                </c:pt>
                <c:pt idx="91">
                  <c:v>174</c:v>
                </c:pt>
                <c:pt idx="92">
                  <c:v>205</c:v>
                </c:pt>
                <c:pt idx="93">
                  <c:v>176</c:v>
                </c:pt>
                <c:pt idx="94">
                  <c:v>185</c:v>
                </c:pt>
                <c:pt idx="95">
                  <c:v>181</c:v>
                </c:pt>
                <c:pt idx="96">
                  <c:v>190</c:v>
                </c:pt>
                <c:pt idx="97">
                  <c:v>178</c:v>
                </c:pt>
                <c:pt idx="98">
                  <c:v>157</c:v>
                </c:pt>
                <c:pt idx="99">
                  <c:v>158</c:v>
                </c:pt>
                <c:pt idx="100">
                  <c:v>157</c:v>
                </c:pt>
                <c:pt idx="101">
                  <c:v>173</c:v>
                </c:pt>
                <c:pt idx="102">
                  <c:v>141</c:v>
                </c:pt>
                <c:pt idx="103">
                  <c:v>143</c:v>
                </c:pt>
                <c:pt idx="104">
                  <c:v>150</c:v>
                </c:pt>
                <c:pt idx="105">
                  <c:v>145</c:v>
                </c:pt>
                <c:pt idx="106">
                  <c:v>164</c:v>
                </c:pt>
                <c:pt idx="107">
                  <c:v>197</c:v>
                </c:pt>
                <c:pt idx="108">
                  <c:v>183</c:v>
                </c:pt>
                <c:pt idx="109">
                  <c:v>168</c:v>
                </c:pt>
                <c:pt idx="110">
                  <c:v>168</c:v>
                </c:pt>
                <c:pt idx="111">
                  <c:v>146</c:v>
                </c:pt>
                <c:pt idx="112">
                  <c:v>145</c:v>
                </c:pt>
                <c:pt idx="113">
                  <c:v>157</c:v>
                </c:pt>
                <c:pt idx="114">
                  <c:v>186</c:v>
                </c:pt>
                <c:pt idx="115">
                  <c:v>172</c:v>
                </c:pt>
                <c:pt idx="116">
                  <c:v>125</c:v>
                </c:pt>
                <c:pt idx="117">
                  <c:v>167</c:v>
                </c:pt>
              </c:numCache>
            </c:numRef>
          </c:val>
          <c:smooth val="0"/>
          <c:extLst>
            <c:ext xmlns:c16="http://schemas.microsoft.com/office/drawing/2014/chart" uri="{C3380CC4-5D6E-409C-BE32-E72D297353CC}">
              <c16:uniqueId val="{00000004-CD89-4BA3-93B8-70EB1F36AF0C}"/>
            </c:ext>
          </c:extLst>
        </c:ser>
        <c:dLbls>
          <c:showLegendKey val="0"/>
          <c:showVal val="0"/>
          <c:showCatName val="0"/>
          <c:showSerName val="0"/>
          <c:showPercent val="0"/>
          <c:showBubbleSize val="0"/>
        </c:dLbls>
        <c:smooth val="0"/>
        <c:axId val="1188881951"/>
        <c:axId val="1188884831"/>
      </c:lineChart>
      <c:dateAx>
        <c:axId val="1188881951"/>
        <c:scaling>
          <c:orientation val="minMax"/>
        </c:scaling>
        <c:delete val="0"/>
        <c:axPos val="b"/>
        <c:numFmt formatCode="m/d/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400" b="0" i="0" u="none" strike="noStrike" kern="1200" baseline="0">
                <a:solidFill>
                  <a:schemeClr val="tx1">
                    <a:lumMod val="65000"/>
                    <a:lumOff val="35000"/>
                  </a:schemeClr>
                </a:solidFill>
                <a:latin typeface="+mn-lt"/>
                <a:ea typeface="+mn-ea"/>
                <a:cs typeface="+mn-cs"/>
              </a:defRPr>
            </a:pPr>
            <a:endParaRPr lang="en-US"/>
          </a:p>
        </c:txPr>
        <c:crossAx val="1188884831"/>
        <c:crosses val="autoZero"/>
        <c:auto val="1"/>
        <c:lblOffset val="100"/>
        <c:baseTimeUnit val="days"/>
        <c:majorUnit val="7"/>
        <c:majorTimeUnit val="days"/>
        <c:minorUnit val="7"/>
        <c:minorTimeUnit val="days"/>
      </c:dateAx>
      <c:valAx>
        <c:axId val="118888483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8881951"/>
        <c:crosses val="autoZero"/>
        <c:crossBetween val="between"/>
      </c:valAx>
      <c:spPr>
        <a:noFill/>
        <a:ln>
          <a:noFill/>
        </a:ln>
        <a:effectLst/>
      </c:spPr>
    </c:plotArea>
    <c:legend>
      <c:legendPos val="b"/>
      <c:layout>
        <c:manualLayout>
          <c:xMode val="edge"/>
          <c:yMode val="edge"/>
          <c:x val="0.10927475617195223"/>
          <c:y val="0.11396239404500667"/>
          <c:w val="0.81225366631151308"/>
          <c:h val="8.784548729951181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C6FA6"/>
    <w:rsid w:val="002E7994"/>
    <w:rsid w:val="00453B42"/>
    <w:rsid w:val="0045583A"/>
    <w:rsid w:val="004C36A7"/>
    <w:rsid w:val="005B331C"/>
    <w:rsid w:val="005E70A9"/>
    <w:rsid w:val="00954F27"/>
    <w:rsid w:val="00963263"/>
    <w:rsid w:val="009907EE"/>
    <w:rsid w:val="00997553"/>
    <w:rsid w:val="00AF33F6"/>
    <w:rsid w:val="00B80F8B"/>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B5EEF84A-092D-4A07-A514-FB34FBFF8204}"/>
</file>

<file path=customXml/itemProps3.xml><?xml version="1.0" encoding="utf-8"?>
<ds:datastoreItem xmlns:ds="http://schemas.openxmlformats.org/officeDocument/2006/customXml" ds:itemID="{033D9385-8E67-4BD8-8966-0F63A1E0430D}"/>
</file>

<file path=customXml/itemProps4.xml><?xml version="1.0" encoding="utf-8"?>
<ds:datastoreItem xmlns:ds="http://schemas.openxmlformats.org/officeDocument/2006/customXml" ds:itemID="{2DC69C35-A277-4FB5-B931-1B5DAFE9FA81}"/>
</file>

<file path=docProps/app.xml><?xml version="1.0" encoding="utf-8"?>
<Properties xmlns="http://schemas.openxmlformats.org/officeDocument/2006/extended-properties" xmlns:vt="http://schemas.openxmlformats.org/officeDocument/2006/docPropsVTypes">
  <Template>Normal</Template>
  <TotalTime>2</TotalTime>
  <Pages>16</Pages>
  <Words>3712</Words>
  <Characters>20308</Characters>
  <Application>Microsoft Office Word</Application>
  <DocSecurity>0</DocSecurity>
  <Lines>597</Lines>
  <Paragraphs>296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Meghann Protheroe (Swansea Bay UHB - Performance)</cp:lastModifiedBy>
  <cp:revision>3</cp:revision>
  <dcterms:created xsi:type="dcterms:W3CDTF">2025-12-15T00:03:00Z</dcterms:created>
  <dcterms:modified xsi:type="dcterms:W3CDTF">2025-12-15T00:04:00Z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