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72ED3"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1D88DA" w14:textId="77777777" w:rsidTr="00DA76AD">
        <w:tc>
          <w:tcPr>
            <w:tcW w:w="2547" w:type="dxa"/>
          </w:tcPr>
          <w:p w14:paraId="5D93709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7C5293EF" w14:textId="3F0E0EA8" w:rsidR="00F5082D" w:rsidRPr="00FA0CA9" w:rsidRDefault="0046705A" w:rsidP="00FA0CA9">
                <w:pPr>
                  <w:rPr>
                    <w:rFonts w:ascii="Arial" w:hAnsi="Arial" w:cs="Arial"/>
                    <w:b/>
                    <w:sz w:val="24"/>
                    <w:szCs w:val="24"/>
                  </w:rPr>
                </w:pPr>
                <w:r>
                  <w:rPr>
                    <w:rFonts w:ascii="Arial" w:hAnsi="Arial" w:cs="Arial"/>
                    <w:b/>
                    <w:sz w:val="24"/>
                    <w:szCs w:val="24"/>
                  </w:rPr>
                  <w:t>10 September 2024</w:t>
                </w:r>
              </w:p>
            </w:tc>
          </w:sdtContent>
        </w:sdt>
        <w:tc>
          <w:tcPr>
            <w:tcW w:w="2368" w:type="dxa"/>
            <w:gridSpan w:val="3"/>
          </w:tcPr>
          <w:p w14:paraId="0702448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D0C40C4" w14:textId="426BC0B9" w:rsidR="00F5082D" w:rsidRPr="00FA0CA9" w:rsidRDefault="00756BAC" w:rsidP="00FA0CA9">
            <w:pPr>
              <w:rPr>
                <w:rFonts w:ascii="Arial" w:hAnsi="Arial" w:cs="Arial"/>
                <w:b/>
                <w:sz w:val="24"/>
                <w:szCs w:val="24"/>
              </w:rPr>
            </w:pPr>
            <w:r>
              <w:rPr>
                <w:rFonts w:ascii="Arial" w:hAnsi="Arial" w:cs="Arial"/>
                <w:b/>
                <w:sz w:val="24"/>
                <w:szCs w:val="24"/>
              </w:rPr>
              <w:t>4.1</w:t>
            </w:r>
          </w:p>
        </w:tc>
      </w:tr>
      <w:tr w:rsidR="00083FC0" w:rsidRPr="00034194" w14:paraId="7BD51F60" w14:textId="77777777" w:rsidTr="00DA76AD">
        <w:tc>
          <w:tcPr>
            <w:tcW w:w="2547" w:type="dxa"/>
          </w:tcPr>
          <w:p w14:paraId="3A17F18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C73E4A6" w14:textId="0E9C8B7E" w:rsidR="00756BAC" w:rsidRDefault="00756BAC" w:rsidP="00756BAC">
            <w:pPr>
              <w:rPr>
                <w:rFonts w:ascii="Arial" w:hAnsi="Arial" w:cs="Arial"/>
                <w:b/>
                <w:sz w:val="24"/>
                <w:szCs w:val="24"/>
              </w:rPr>
            </w:pPr>
            <w:r>
              <w:rPr>
                <w:rFonts w:ascii="Arial" w:hAnsi="Arial" w:cs="Arial"/>
                <w:b/>
                <w:sz w:val="24"/>
                <w:szCs w:val="24"/>
              </w:rPr>
              <w:t>Mental Health (Wales) Measur</w:t>
            </w:r>
            <w:r w:rsidR="006620D8">
              <w:rPr>
                <w:rFonts w:ascii="Arial" w:hAnsi="Arial" w:cs="Arial"/>
                <w:b/>
                <w:sz w:val="24"/>
                <w:szCs w:val="24"/>
              </w:rPr>
              <w:t>e 2010 Performance Report (Aug 2023 to Jul</w:t>
            </w:r>
            <w:r>
              <w:rPr>
                <w:rFonts w:ascii="Arial" w:hAnsi="Arial" w:cs="Arial"/>
                <w:b/>
                <w:sz w:val="24"/>
                <w:szCs w:val="24"/>
              </w:rPr>
              <w:t xml:space="preserve"> 2024)</w:t>
            </w:r>
          </w:p>
          <w:p w14:paraId="4399BC2F" w14:textId="77777777" w:rsidR="00034194" w:rsidRPr="00FA0CA9" w:rsidRDefault="00034194" w:rsidP="00FA0CA9">
            <w:pPr>
              <w:rPr>
                <w:rFonts w:ascii="Arial" w:hAnsi="Arial" w:cs="Arial"/>
                <w:b/>
                <w:sz w:val="24"/>
                <w:szCs w:val="24"/>
              </w:rPr>
            </w:pPr>
          </w:p>
        </w:tc>
      </w:tr>
      <w:tr w:rsidR="00083FC0" w:rsidRPr="00034194" w14:paraId="14AAB0BA" w14:textId="77777777" w:rsidTr="00DA76AD">
        <w:tc>
          <w:tcPr>
            <w:tcW w:w="2547" w:type="dxa"/>
          </w:tcPr>
          <w:p w14:paraId="3A21B0F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98DEC30" w14:textId="7C2E1483" w:rsidR="00034194" w:rsidRPr="00FA0CA9" w:rsidRDefault="00756BAC" w:rsidP="00756BAC">
            <w:pPr>
              <w:tabs>
                <w:tab w:val="left" w:pos="2505"/>
              </w:tabs>
              <w:rPr>
                <w:rFonts w:ascii="Arial" w:hAnsi="Arial" w:cs="Arial"/>
                <w:sz w:val="24"/>
                <w:szCs w:val="24"/>
              </w:rPr>
            </w:pPr>
            <w:r>
              <w:rPr>
                <w:rFonts w:ascii="Arial" w:hAnsi="Arial" w:cs="Arial"/>
                <w:sz w:val="24"/>
                <w:szCs w:val="24"/>
              </w:rPr>
              <w:t>Mary Moss, Specialist Data Analyst</w:t>
            </w:r>
          </w:p>
        </w:tc>
      </w:tr>
      <w:tr w:rsidR="00762BBE" w:rsidRPr="00034194" w14:paraId="5BFD4AF4" w14:textId="77777777" w:rsidTr="00DA76AD">
        <w:tc>
          <w:tcPr>
            <w:tcW w:w="2547" w:type="dxa"/>
          </w:tcPr>
          <w:p w14:paraId="734A876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D38ED89" w14:textId="061E03DE" w:rsidR="00762BBE" w:rsidRPr="00FA0CA9" w:rsidRDefault="00756BAC" w:rsidP="00762BBE">
            <w:pPr>
              <w:rPr>
                <w:rFonts w:ascii="Arial" w:hAnsi="Arial" w:cs="Arial"/>
                <w:sz w:val="24"/>
                <w:szCs w:val="24"/>
              </w:rPr>
            </w:pPr>
            <w:r>
              <w:rPr>
                <w:rFonts w:ascii="Arial" w:hAnsi="Arial" w:cs="Arial"/>
                <w:sz w:val="24"/>
                <w:szCs w:val="24"/>
              </w:rPr>
              <w:t>Malcolm Jones, Associate Service Director MH</w:t>
            </w:r>
          </w:p>
        </w:tc>
      </w:tr>
      <w:tr w:rsidR="00756BAC" w:rsidRPr="00034194" w14:paraId="56E73FB0" w14:textId="77777777" w:rsidTr="00DA76AD">
        <w:tc>
          <w:tcPr>
            <w:tcW w:w="2547" w:type="dxa"/>
          </w:tcPr>
          <w:p w14:paraId="1F315699" w14:textId="77777777" w:rsidR="00756BAC" w:rsidRPr="00FA0CA9" w:rsidRDefault="00756BAC" w:rsidP="00756B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2D3EAE6" w14:textId="32EAC9CE" w:rsidR="00756BAC" w:rsidRPr="00FA0CA9" w:rsidRDefault="00944A89" w:rsidP="00162ACE">
            <w:pPr>
              <w:rPr>
                <w:rFonts w:ascii="Arial" w:hAnsi="Arial" w:cs="Arial"/>
                <w:sz w:val="24"/>
                <w:szCs w:val="24"/>
              </w:rPr>
            </w:pPr>
            <w:r>
              <w:rPr>
                <w:rFonts w:ascii="Arial" w:hAnsi="Arial" w:cs="Arial"/>
                <w:sz w:val="24"/>
                <w:szCs w:val="24"/>
              </w:rPr>
              <w:t>Dermot Nolan</w:t>
            </w:r>
            <w:r w:rsidR="00162ACE">
              <w:rPr>
                <w:rFonts w:ascii="Arial" w:hAnsi="Arial" w:cs="Arial"/>
                <w:sz w:val="24"/>
                <w:szCs w:val="24"/>
              </w:rPr>
              <w:t>,</w:t>
            </w:r>
            <w:r w:rsidR="00756BAC">
              <w:rPr>
                <w:rFonts w:ascii="Arial" w:hAnsi="Arial" w:cs="Arial"/>
                <w:sz w:val="24"/>
                <w:szCs w:val="24"/>
              </w:rPr>
              <w:t xml:space="preserve"> </w:t>
            </w:r>
            <w:r>
              <w:rPr>
                <w:rFonts w:ascii="Arial" w:hAnsi="Arial" w:cs="Arial"/>
                <w:sz w:val="24"/>
                <w:szCs w:val="24"/>
              </w:rPr>
              <w:t xml:space="preserve">Joint Service Group </w:t>
            </w:r>
            <w:r w:rsidR="00756BAC">
              <w:rPr>
                <w:rFonts w:ascii="Arial" w:hAnsi="Arial" w:cs="Arial"/>
                <w:sz w:val="24"/>
                <w:szCs w:val="24"/>
              </w:rPr>
              <w:t>Director of Mental Health &amp; Learning Disabilities Delivery Unit</w:t>
            </w:r>
          </w:p>
        </w:tc>
      </w:tr>
      <w:tr w:rsidR="00756BAC" w:rsidRPr="00034194" w14:paraId="56B15F3F" w14:textId="77777777" w:rsidTr="00DA76AD">
        <w:tc>
          <w:tcPr>
            <w:tcW w:w="2547" w:type="dxa"/>
          </w:tcPr>
          <w:p w14:paraId="00831D61"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10ACEEE" w14:textId="49A5D45E" w:rsidR="00756BAC" w:rsidRPr="00FA0CA9" w:rsidRDefault="00756BAC" w:rsidP="00756BAC">
            <w:pPr>
              <w:rPr>
                <w:rFonts w:ascii="Arial" w:hAnsi="Arial" w:cs="Arial"/>
                <w:sz w:val="24"/>
                <w:szCs w:val="24"/>
              </w:rPr>
            </w:pPr>
            <w:r w:rsidRPr="00756BAC">
              <w:rPr>
                <w:rFonts w:ascii="Arial" w:hAnsi="Arial" w:cs="Arial"/>
                <w:sz w:val="24"/>
                <w:szCs w:val="24"/>
              </w:rPr>
              <w:t xml:space="preserve">Open </w:t>
            </w:r>
          </w:p>
        </w:tc>
      </w:tr>
      <w:tr w:rsidR="00756BAC" w:rsidRPr="00034194" w14:paraId="164BC548" w14:textId="77777777" w:rsidTr="00DA76AD">
        <w:tc>
          <w:tcPr>
            <w:tcW w:w="2547" w:type="dxa"/>
          </w:tcPr>
          <w:p w14:paraId="6D9FD092" w14:textId="77777777" w:rsidR="00756BAC" w:rsidRPr="00FA0CA9" w:rsidRDefault="00756BAC" w:rsidP="00756B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691DC2" w14:textId="77777777" w:rsidR="00756BAC" w:rsidRPr="00FA0CA9" w:rsidRDefault="00756BAC" w:rsidP="00756BAC">
            <w:pPr>
              <w:ind w:right="96"/>
              <w:rPr>
                <w:rFonts w:ascii="Arial" w:hAnsi="Arial" w:cs="Arial"/>
                <w:color w:val="FF0000"/>
                <w:sz w:val="24"/>
                <w:szCs w:val="24"/>
              </w:rPr>
            </w:pPr>
          </w:p>
          <w:p w14:paraId="18A777F1" w14:textId="126EF22F" w:rsidR="00756BAC" w:rsidRPr="00FA0CA9" w:rsidRDefault="00756BAC" w:rsidP="00756BAC">
            <w:pPr>
              <w:ind w:right="96"/>
              <w:rPr>
                <w:rFonts w:ascii="Arial" w:hAnsi="Arial" w:cs="Arial"/>
                <w:color w:val="FF0000"/>
                <w:sz w:val="24"/>
                <w:szCs w:val="24"/>
              </w:rPr>
            </w:pPr>
            <w:r>
              <w:rPr>
                <w:rFonts w:ascii="Arial" w:hAnsi="Arial" w:cs="Arial"/>
                <w:sz w:val="24"/>
                <w:szCs w:val="24"/>
              </w:rPr>
              <w:t>This report has been compiled to inform the Legislative Committee of performance against the Mental Health Measure (Wales) 2010.</w:t>
            </w:r>
          </w:p>
          <w:p w14:paraId="6BB11192" w14:textId="77777777" w:rsidR="00756BAC" w:rsidRPr="00FA0CA9" w:rsidRDefault="00756BAC" w:rsidP="00756BAC">
            <w:pPr>
              <w:ind w:right="96"/>
              <w:rPr>
                <w:rFonts w:ascii="Arial" w:hAnsi="Arial" w:cs="Arial"/>
                <w:color w:val="FF0000"/>
                <w:sz w:val="24"/>
                <w:szCs w:val="24"/>
              </w:rPr>
            </w:pPr>
          </w:p>
          <w:p w14:paraId="02FBF0A6" w14:textId="77777777" w:rsidR="00756BAC" w:rsidRPr="00FA0CA9" w:rsidRDefault="00756BAC" w:rsidP="00756BAC">
            <w:pPr>
              <w:rPr>
                <w:rFonts w:ascii="Arial" w:hAnsi="Arial" w:cs="Arial"/>
                <w:sz w:val="24"/>
                <w:szCs w:val="24"/>
              </w:rPr>
            </w:pPr>
          </w:p>
        </w:tc>
      </w:tr>
      <w:tr w:rsidR="00756BAC" w:rsidRPr="00034194" w14:paraId="7B847DBC" w14:textId="77777777" w:rsidTr="00DA76AD">
        <w:tc>
          <w:tcPr>
            <w:tcW w:w="2547" w:type="dxa"/>
          </w:tcPr>
          <w:p w14:paraId="73DC1EBE" w14:textId="77777777" w:rsidR="00756BAC" w:rsidRPr="00FA0CA9" w:rsidRDefault="00756BAC" w:rsidP="00756BAC">
            <w:pPr>
              <w:rPr>
                <w:rFonts w:ascii="Arial" w:hAnsi="Arial" w:cs="Arial"/>
                <w:b/>
                <w:sz w:val="24"/>
                <w:szCs w:val="24"/>
              </w:rPr>
            </w:pPr>
            <w:r w:rsidRPr="00FA0CA9">
              <w:rPr>
                <w:rFonts w:ascii="Arial" w:hAnsi="Arial" w:cs="Arial"/>
                <w:b/>
                <w:sz w:val="24"/>
                <w:szCs w:val="24"/>
              </w:rPr>
              <w:t>Key Issues</w:t>
            </w:r>
          </w:p>
          <w:p w14:paraId="5E9449B8" w14:textId="77777777" w:rsidR="00756BAC" w:rsidRPr="00FA0CA9" w:rsidRDefault="00756BAC" w:rsidP="00756BAC">
            <w:pPr>
              <w:rPr>
                <w:rFonts w:ascii="Arial" w:hAnsi="Arial" w:cs="Arial"/>
                <w:b/>
                <w:sz w:val="24"/>
                <w:szCs w:val="24"/>
              </w:rPr>
            </w:pPr>
          </w:p>
          <w:p w14:paraId="79DD0ADB" w14:textId="77777777" w:rsidR="00756BAC" w:rsidRPr="00FA0CA9" w:rsidRDefault="00756BAC" w:rsidP="00756BAC">
            <w:pPr>
              <w:rPr>
                <w:rFonts w:ascii="Arial" w:hAnsi="Arial" w:cs="Arial"/>
                <w:b/>
                <w:sz w:val="24"/>
                <w:szCs w:val="24"/>
              </w:rPr>
            </w:pPr>
          </w:p>
          <w:p w14:paraId="2FF66CCB" w14:textId="77777777" w:rsidR="00756BAC" w:rsidRPr="00FA0CA9" w:rsidRDefault="00756BAC" w:rsidP="00756BAC">
            <w:pPr>
              <w:rPr>
                <w:rFonts w:ascii="Arial" w:hAnsi="Arial" w:cs="Arial"/>
                <w:b/>
                <w:sz w:val="24"/>
                <w:szCs w:val="24"/>
              </w:rPr>
            </w:pPr>
          </w:p>
        </w:tc>
        <w:tc>
          <w:tcPr>
            <w:tcW w:w="6469" w:type="dxa"/>
            <w:gridSpan w:val="6"/>
          </w:tcPr>
          <w:p w14:paraId="332DB4F9" w14:textId="2D406D96" w:rsidR="00756BAC" w:rsidRPr="00FA0CA9" w:rsidRDefault="00756BAC" w:rsidP="00756BAC">
            <w:pPr>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p>
        </w:tc>
      </w:tr>
      <w:tr w:rsidR="00756BAC" w:rsidRPr="00034194" w14:paraId="3197488B" w14:textId="77777777" w:rsidTr="00DA76AD">
        <w:trPr>
          <w:trHeight w:val="97"/>
        </w:trPr>
        <w:tc>
          <w:tcPr>
            <w:tcW w:w="2547" w:type="dxa"/>
            <w:vMerge w:val="restart"/>
          </w:tcPr>
          <w:p w14:paraId="24D887DD"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Specific Action Required </w:t>
            </w:r>
          </w:p>
          <w:p w14:paraId="21E0F8C9" w14:textId="77777777" w:rsidR="00756BAC" w:rsidRPr="00FA0CA9" w:rsidRDefault="00756BAC" w:rsidP="00756BA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B50625" w14:textId="77777777" w:rsidR="00756BAC" w:rsidRPr="00FA0CA9" w:rsidRDefault="00756BAC" w:rsidP="00756BA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1B98C17" w14:textId="77777777" w:rsidR="00756BAC" w:rsidRPr="00FA0CA9" w:rsidRDefault="00756BAC" w:rsidP="00756BA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6400F3F" w14:textId="77777777" w:rsidR="00756BAC" w:rsidRPr="00FA0CA9" w:rsidRDefault="00756BAC" w:rsidP="00756BA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295A2E7" w14:textId="77777777" w:rsidR="00756BAC" w:rsidRPr="00FA0CA9" w:rsidRDefault="00756BAC" w:rsidP="00756BAC">
            <w:pPr>
              <w:rPr>
                <w:rFonts w:ascii="Arial" w:hAnsi="Arial" w:cs="Arial"/>
                <w:b/>
                <w:sz w:val="24"/>
                <w:szCs w:val="24"/>
              </w:rPr>
            </w:pPr>
            <w:r w:rsidRPr="00FA0CA9">
              <w:rPr>
                <w:rFonts w:ascii="Arial" w:hAnsi="Arial" w:cs="Arial"/>
                <w:b/>
                <w:sz w:val="24"/>
                <w:szCs w:val="24"/>
              </w:rPr>
              <w:t>Approval</w:t>
            </w:r>
          </w:p>
        </w:tc>
      </w:tr>
      <w:tr w:rsidR="00756BAC" w:rsidRPr="00034194" w14:paraId="64D95131" w14:textId="77777777" w:rsidTr="00DA76AD">
        <w:trPr>
          <w:trHeight w:val="96"/>
        </w:trPr>
        <w:tc>
          <w:tcPr>
            <w:tcW w:w="2547" w:type="dxa"/>
            <w:vMerge/>
          </w:tcPr>
          <w:p w14:paraId="13C6C10F" w14:textId="77777777" w:rsidR="00756BAC" w:rsidRPr="00FA0CA9" w:rsidRDefault="00756BAC" w:rsidP="00756BA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AE917A4"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B3CDB72" w14:textId="2A0956A8"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8BBA1B2" w14:textId="05CE34CA"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36F81C"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56BAC" w:rsidRPr="00034194" w14:paraId="4D6054CF" w14:textId="77777777" w:rsidTr="00DA76AD">
        <w:tc>
          <w:tcPr>
            <w:tcW w:w="2547" w:type="dxa"/>
          </w:tcPr>
          <w:p w14:paraId="000CAAEF" w14:textId="77777777" w:rsidR="00756BAC" w:rsidRPr="00FA0CA9" w:rsidRDefault="00756BAC" w:rsidP="00756BAC">
            <w:pPr>
              <w:rPr>
                <w:rFonts w:ascii="Arial" w:hAnsi="Arial" w:cs="Arial"/>
                <w:b/>
                <w:sz w:val="24"/>
                <w:szCs w:val="24"/>
              </w:rPr>
            </w:pPr>
            <w:r w:rsidRPr="00FA0CA9">
              <w:rPr>
                <w:rFonts w:ascii="Arial" w:hAnsi="Arial" w:cs="Arial"/>
                <w:b/>
                <w:sz w:val="24"/>
                <w:szCs w:val="24"/>
              </w:rPr>
              <w:t>Recommendations</w:t>
            </w:r>
          </w:p>
          <w:p w14:paraId="0106360B" w14:textId="77777777" w:rsidR="00756BAC" w:rsidRPr="00FA0CA9" w:rsidRDefault="00756BAC" w:rsidP="00756BAC">
            <w:pPr>
              <w:rPr>
                <w:rFonts w:ascii="Arial" w:hAnsi="Arial" w:cs="Arial"/>
                <w:b/>
                <w:sz w:val="24"/>
                <w:szCs w:val="24"/>
              </w:rPr>
            </w:pPr>
          </w:p>
        </w:tc>
        <w:tc>
          <w:tcPr>
            <w:tcW w:w="6469" w:type="dxa"/>
            <w:gridSpan w:val="6"/>
          </w:tcPr>
          <w:p w14:paraId="51EFEEF8" w14:textId="77777777" w:rsidR="00756BAC" w:rsidRDefault="00756BAC" w:rsidP="00756BAC">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7CAF89AA"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75413C56"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14:paraId="4A8AE42C" w14:textId="77777777" w:rsidR="00756BAC" w:rsidRPr="00FA0CA9" w:rsidRDefault="00756BAC" w:rsidP="00756BAC">
            <w:pPr>
              <w:pStyle w:val="Default"/>
              <w:rPr>
                <w:rFonts w:ascii="Arial" w:hAnsi="Arial" w:cs="Arial"/>
              </w:rPr>
            </w:pPr>
          </w:p>
        </w:tc>
      </w:tr>
    </w:tbl>
    <w:p w14:paraId="03A26777" w14:textId="77777777" w:rsidR="0020539A" w:rsidRDefault="0020539A"/>
    <w:p w14:paraId="594EE7C7" w14:textId="77777777" w:rsidR="008965CA" w:rsidRPr="008965CA" w:rsidRDefault="0020539A" w:rsidP="008965CA">
      <w:pPr>
        <w:spacing w:after="0" w:line="240" w:lineRule="auto"/>
        <w:jc w:val="center"/>
        <w:rPr>
          <w:rFonts w:ascii="Arial" w:hAnsi="Arial" w:cs="Arial"/>
          <w:b/>
          <w:sz w:val="24"/>
          <w:szCs w:val="24"/>
        </w:rPr>
      </w:pPr>
      <w:r>
        <w:br w:type="page"/>
      </w:r>
      <w:r w:rsidR="008965CA" w:rsidRPr="008965CA">
        <w:rPr>
          <w:rFonts w:ascii="Arial" w:hAnsi="Arial" w:cs="Arial"/>
          <w:b/>
          <w:sz w:val="24"/>
          <w:szCs w:val="24"/>
        </w:rPr>
        <w:lastRenderedPageBreak/>
        <w:t>MENTAL HEALTH (WALES) MEASURE PERFORMANCE REPORT</w:t>
      </w:r>
    </w:p>
    <w:p w14:paraId="14231947" w14:textId="77777777" w:rsidR="00653AEC" w:rsidRPr="0072604C" w:rsidRDefault="00653AEC" w:rsidP="00653AEC">
      <w:pPr>
        <w:spacing w:after="0" w:line="240" w:lineRule="auto"/>
        <w:jc w:val="center"/>
        <w:rPr>
          <w:rFonts w:ascii="Arial" w:hAnsi="Arial" w:cs="Arial"/>
          <w:b/>
          <w:sz w:val="24"/>
          <w:szCs w:val="24"/>
        </w:rPr>
      </w:pPr>
    </w:p>
    <w:p w14:paraId="218D76C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C3ECEEA" w14:textId="77777777" w:rsidR="00756BAC" w:rsidRPr="00756BAC" w:rsidRDefault="00653AEC" w:rsidP="00756BAC">
      <w:pPr>
        <w:spacing w:after="0" w:line="240" w:lineRule="auto"/>
        <w:rPr>
          <w:rFonts w:ascii="Arial" w:hAnsi="Arial" w:cs="Arial"/>
          <w:sz w:val="24"/>
          <w:szCs w:val="24"/>
        </w:rPr>
      </w:pPr>
      <w:r w:rsidRPr="00756BAC">
        <w:rPr>
          <w:rFonts w:ascii="Arial" w:hAnsi="Arial" w:cs="Arial"/>
          <w:sz w:val="24"/>
          <w:szCs w:val="24"/>
        </w:rPr>
        <w:t xml:space="preserve">This </w:t>
      </w:r>
      <w:r w:rsidR="00756BAC" w:rsidRPr="00756BAC">
        <w:rPr>
          <w:rFonts w:ascii="Arial" w:hAnsi="Arial" w:cs="Arial"/>
          <w:sz w:val="24"/>
          <w:szCs w:val="24"/>
        </w:rPr>
        <w:t>report has been compiled to provide assurance to the Legislative Committee of our compliance against the four parts of the Mental Health (Wales) Measure 2010 (the Measure) during the quarter.</w:t>
      </w:r>
    </w:p>
    <w:p w14:paraId="05CA68BF" w14:textId="77777777" w:rsidR="00653AEC" w:rsidRPr="0072604C" w:rsidRDefault="00653AEC" w:rsidP="00653AEC">
      <w:pPr>
        <w:pStyle w:val="ListParagraph"/>
        <w:spacing w:after="0" w:line="240" w:lineRule="auto"/>
        <w:rPr>
          <w:rFonts w:ascii="Arial" w:hAnsi="Arial" w:cs="Arial"/>
          <w:b/>
          <w:sz w:val="24"/>
          <w:szCs w:val="24"/>
        </w:rPr>
      </w:pPr>
    </w:p>
    <w:p w14:paraId="41211D56" w14:textId="71999342"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BAB9AD9" w14:textId="77777777" w:rsidR="00756BAC" w:rsidRPr="0010583C" w:rsidRDefault="00756BAC" w:rsidP="00756BAC">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51602330"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7032D6A8"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6961CC49"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67E70407" w14:textId="77777777" w:rsidR="00756BAC" w:rsidRDefault="00756BAC" w:rsidP="00756BAC">
      <w:pPr>
        <w:pStyle w:val="ListParagraph"/>
        <w:numPr>
          <w:ilvl w:val="0"/>
          <w:numId w:val="12"/>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249275E2" w14:textId="77777777" w:rsidR="00756BAC" w:rsidRDefault="00756BAC" w:rsidP="00756BAC">
      <w:pPr>
        <w:spacing w:after="0" w:line="240" w:lineRule="auto"/>
        <w:ind w:left="360"/>
        <w:rPr>
          <w:rFonts w:ascii="Arial" w:hAnsi="Arial" w:cs="Arial"/>
          <w:sz w:val="24"/>
          <w:szCs w:val="24"/>
        </w:rPr>
      </w:pPr>
    </w:p>
    <w:p w14:paraId="21C123D0" w14:textId="77777777" w:rsidR="00756BAC" w:rsidRDefault="00756BAC" w:rsidP="00756BAC">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0987ABB2" w14:textId="77777777" w:rsidR="00756BAC" w:rsidRDefault="00756BAC" w:rsidP="00756BAC">
      <w:pPr>
        <w:spacing w:after="0" w:line="240" w:lineRule="auto"/>
        <w:rPr>
          <w:rFonts w:ascii="Arial" w:hAnsi="Arial" w:cs="Arial"/>
          <w:sz w:val="24"/>
          <w:szCs w:val="24"/>
        </w:rPr>
      </w:pPr>
    </w:p>
    <w:p w14:paraId="34D289EE" w14:textId="77777777" w:rsidR="00756BAC" w:rsidRDefault="00756BAC" w:rsidP="00756BAC">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0C024721" w14:textId="77777777" w:rsidR="00756BAC" w:rsidRDefault="00756BAC" w:rsidP="00756BAC">
      <w:pPr>
        <w:spacing w:after="0" w:line="240" w:lineRule="auto"/>
        <w:ind w:left="360"/>
        <w:rPr>
          <w:rFonts w:ascii="Arial" w:hAnsi="Arial" w:cs="Arial"/>
          <w:sz w:val="24"/>
          <w:szCs w:val="24"/>
          <w:u w:val="single"/>
        </w:rPr>
      </w:pPr>
    </w:p>
    <w:p w14:paraId="4E6F8465" w14:textId="77777777" w:rsidR="00756BAC" w:rsidRDefault="00756BAC" w:rsidP="00756BAC">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assessments by the Local Primary Mental Health (LPMHSS) undertaken within 28 days of referrals.</w:t>
      </w:r>
    </w:p>
    <w:p w14:paraId="2736F481" w14:textId="77777777" w:rsidR="00756BAC" w:rsidRDefault="00756BAC" w:rsidP="00756BAC">
      <w:pPr>
        <w:tabs>
          <w:tab w:val="left" w:pos="0"/>
        </w:tabs>
        <w:spacing w:after="0" w:line="240" w:lineRule="auto"/>
        <w:rPr>
          <w:rFonts w:ascii="Arial" w:hAnsi="Arial" w:cs="Arial"/>
          <w:sz w:val="24"/>
          <w:szCs w:val="24"/>
        </w:rPr>
      </w:pPr>
    </w:p>
    <w:p w14:paraId="024EBC3A" w14:textId="77777777" w:rsidR="00756BAC" w:rsidRDefault="00756BAC" w:rsidP="00756BAC">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2197BBDD" w14:textId="77777777" w:rsidR="00756BAC" w:rsidRDefault="00756BAC" w:rsidP="00756BAC">
      <w:pPr>
        <w:tabs>
          <w:tab w:val="left" w:pos="0"/>
          <w:tab w:val="left" w:pos="426"/>
        </w:tabs>
        <w:spacing w:after="0" w:line="240" w:lineRule="auto"/>
        <w:ind w:left="284"/>
        <w:rPr>
          <w:rFonts w:ascii="Arial" w:hAnsi="Arial" w:cs="Arial"/>
          <w:sz w:val="24"/>
          <w:szCs w:val="24"/>
        </w:rPr>
      </w:pPr>
    </w:p>
    <w:p w14:paraId="550EC901" w14:textId="77777777" w:rsidR="00756BAC" w:rsidRDefault="00756BAC" w:rsidP="00756BAC">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3342134A" w14:textId="77777777" w:rsidR="00756BAC" w:rsidRDefault="00756BAC" w:rsidP="00756BAC">
      <w:pPr>
        <w:tabs>
          <w:tab w:val="left" w:pos="0"/>
          <w:tab w:val="left" w:pos="426"/>
        </w:tabs>
        <w:spacing w:after="0" w:line="240" w:lineRule="auto"/>
        <w:ind w:left="284"/>
        <w:rPr>
          <w:rFonts w:ascii="Arial" w:hAnsi="Arial" w:cs="Arial"/>
          <w:sz w:val="24"/>
          <w:szCs w:val="24"/>
          <w:u w:val="single"/>
        </w:rPr>
      </w:pPr>
    </w:p>
    <w:p w14:paraId="08EAD541"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3403CA26" w14:textId="77777777" w:rsidR="00756BAC" w:rsidRDefault="00756BAC" w:rsidP="00756BAC">
      <w:pPr>
        <w:tabs>
          <w:tab w:val="left" w:pos="426"/>
        </w:tabs>
        <w:spacing w:after="0" w:line="240" w:lineRule="auto"/>
        <w:ind w:left="284"/>
        <w:rPr>
          <w:rFonts w:ascii="Arial" w:hAnsi="Arial" w:cs="Arial"/>
          <w:sz w:val="24"/>
          <w:szCs w:val="24"/>
        </w:rPr>
      </w:pPr>
    </w:p>
    <w:p w14:paraId="106EDBBD"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07F0A387" w14:textId="77777777" w:rsidR="00756BAC" w:rsidRDefault="00756BAC" w:rsidP="00756BAC">
      <w:pPr>
        <w:tabs>
          <w:tab w:val="left" w:pos="426"/>
        </w:tabs>
        <w:spacing w:after="0" w:line="240" w:lineRule="auto"/>
        <w:ind w:left="284"/>
        <w:rPr>
          <w:rFonts w:ascii="Arial" w:hAnsi="Arial" w:cs="Arial"/>
          <w:sz w:val="24"/>
          <w:szCs w:val="24"/>
          <w:u w:val="single"/>
        </w:rPr>
      </w:pPr>
    </w:p>
    <w:p w14:paraId="35BE188F"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58C0E75C" w14:textId="77777777" w:rsidR="00756BAC" w:rsidRDefault="00756BAC" w:rsidP="00756BAC">
      <w:pPr>
        <w:tabs>
          <w:tab w:val="left" w:pos="426"/>
        </w:tabs>
        <w:spacing w:after="0" w:line="240" w:lineRule="auto"/>
        <w:ind w:left="284"/>
        <w:rPr>
          <w:rFonts w:ascii="Arial" w:hAnsi="Arial" w:cs="Arial"/>
          <w:sz w:val="24"/>
          <w:szCs w:val="24"/>
        </w:rPr>
      </w:pPr>
    </w:p>
    <w:p w14:paraId="7B78A436"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5E40AC1E" w14:textId="77777777" w:rsidR="00756BAC" w:rsidRDefault="00756BAC" w:rsidP="00756BAC">
      <w:pPr>
        <w:tabs>
          <w:tab w:val="left" w:pos="426"/>
        </w:tabs>
        <w:spacing w:after="0" w:line="240" w:lineRule="auto"/>
        <w:ind w:left="284"/>
        <w:rPr>
          <w:rFonts w:ascii="Arial" w:hAnsi="Arial" w:cs="Arial"/>
          <w:sz w:val="24"/>
          <w:szCs w:val="24"/>
          <w:u w:val="single"/>
        </w:rPr>
      </w:pPr>
    </w:p>
    <w:p w14:paraId="7217E884"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1A400631" w14:textId="77777777" w:rsidR="00756BAC" w:rsidRDefault="00756BAC" w:rsidP="00756BAC">
      <w:pPr>
        <w:tabs>
          <w:tab w:val="left" w:pos="426"/>
        </w:tabs>
        <w:spacing w:after="0" w:line="240" w:lineRule="auto"/>
        <w:rPr>
          <w:rFonts w:ascii="Arial" w:hAnsi="Arial" w:cs="Arial"/>
          <w:sz w:val="24"/>
          <w:szCs w:val="24"/>
        </w:rPr>
      </w:pPr>
    </w:p>
    <w:p w14:paraId="2BB336BA" w14:textId="77777777" w:rsidR="00756BAC" w:rsidRPr="00756BAC" w:rsidRDefault="00756BAC" w:rsidP="00756BAC">
      <w:pPr>
        <w:spacing w:after="0" w:line="240" w:lineRule="auto"/>
        <w:rPr>
          <w:rFonts w:ascii="Arial" w:hAnsi="Arial" w:cs="Arial"/>
          <w:b/>
          <w:sz w:val="24"/>
          <w:szCs w:val="24"/>
        </w:rPr>
      </w:pPr>
    </w:p>
    <w:p w14:paraId="7C9E73C8" w14:textId="77777777" w:rsidR="00653AEC" w:rsidRPr="0072604C" w:rsidRDefault="00653AEC" w:rsidP="00653AEC">
      <w:pPr>
        <w:pStyle w:val="ListParagraph"/>
        <w:spacing w:after="0" w:line="240" w:lineRule="auto"/>
        <w:rPr>
          <w:rFonts w:ascii="Arial" w:hAnsi="Arial" w:cs="Arial"/>
          <w:b/>
          <w:sz w:val="24"/>
          <w:szCs w:val="24"/>
        </w:rPr>
      </w:pPr>
    </w:p>
    <w:p w14:paraId="65CCC09B" w14:textId="1FC495B0"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53AF4592" w14:textId="77777777" w:rsidR="00756BAC" w:rsidRPr="00756BAC" w:rsidRDefault="00756BAC" w:rsidP="00756BAC">
      <w:pPr>
        <w:spacing w:after="0" w:line="240" w:lineRule="auto"/>
        <w:ind w:left="360"/>
        <w:rPr>
          <w:rFonts w:ascii="Arial" w:hAnsi="Arial" w:cs="Arial"/>
          <w:b/>
          <w:sz w:val="24"/>
          <w:szCs w:val="24"/>
        </w:rPr>
      </w:pPr>
    </w:p>
    <w:p w14:paraId="71C40282" w14:textId="77777777" w:rsidR="00516544" w:rsidRDefault="00E11667" w:rsidP="00E11667">
      <w:pPr>
        <w:spacing w:after="0" w:line="240" w:lineRule="auto"/>
        <w:ind w:left="360"/>
        <w:rPr>
          <w:rFonts w:ascii="Arial" w:hAnsi="Arial" w:cs="Arial"/>
          <w:b/>
          <w:sz w:val="24"/>
          <w:szCs w:val="24"/>
        </w:rPr>
      </w:pPr>
      <w:r w:rsidRPr="00E11667">
        <w:rPr>
          <w:rFonts w:ascii="Arial" w:hAnsi="Arial" w:cs="Arial"/>
          <w:b/>
          <w:sz w:val="24"/>
          <w:szCs w:val="24"/>
        </w:rPr>
        <w:t>3.1</w:t>
      </w:r>
      <w:r w:rsidRPr="00E11667">
        <w:rPr>
          <w:rFonts w:ascii="Arial" w:hAnsi="Arial" w:cs="Arial"/>
          <w:b/>
          <w:sz w:val="24"/>
          <w:szCs w:val="24"/>
        </w:rPr>
        <w:tab/>
        <w:t xml:space="preserve">  </w:t>
      </w:r>
      <w:r w:rsidRPr="000543E3">
        <w:rPr>
          <w:rFonts w:ascii="Arial" w:hAnsi="Arial" w:cs="Arial"/>
          <w:b/>
          <w:sz w:val="24"/>
          <w:szCs w:val="24"/>
        </w:rPr>
        <w:t>Performance Information via data collection (</w:t>
      </w:r>
      <w:r w:rsidR="00AC37B7">
        <w:rPr>
          <w:rFonts w:ascii="Arial" w:hAnsi="Arial" w:cs="Arial"/>
          <w:b/>
          <w:sz w:val="24"/>
          <w:szCs w:val="24"/>
        </w:rPr>
        <w:t>1</w:t>
      </w:r>
      <w:r w:rsidR="00AC37B7" w:rsidRPr="00AC37B7">
        <w:rPr>
          <w:rFonts w:ascii="Arial" w:hAnsi="Arial" w:cs="Arial"/>
          <w:b/>
          <w:sz w:val="24"/>
          <w:szCs w:val="24"/>
          <w:vertAlign w:val="superscript"/>
        </w:rPr>
        <w:t>st</w:t>
      </w:r>
      <w:r w:rsidR="0046705A">
        <w:rPr>
          <w:rFonts w:ascii="Arial" w:hAnsi="Arial" w:cs="Arial"/>
          <w:b/>
          <w:sz w:val="24"/>
          <w:szCs w:val="24"/>
        </w:rPr>
        <w:t xml:space="preserve"> Aug</w:t>
      </w:r>
      <w:r w:rsidR="00AC37B7">
        <w:rPr>
          <w:rFonts w:ascii="Arial" w:hAnsi="Arial" w:cs="Arial"/>
          <w:b/>
          <w:sz w:val="24"/>
          <w:szCs w:val="24"/>
        </w:rPr>
        <w:t xml:space="preserve"> 23</w:t>
      </w:r>
      <w:r w:rsidRPr="000543E3">
        <w:rPr>
          <w:rFonts w:ascii="Arial" w:hAnsi="Arial" w:cs="Arial"/>
          <w:b/>
          <w:sz w:val="24"/>
          <w:szCs w:val="24"/>
        </w:rPr>
        <w:t xml:space="preserve"> t</w:t>
      </w:r>
      <w:r w:rsidR="0046705A">
        <w:rPr>
          <w:rFonts w:ascii="Arial" w:hAnsi="Arial" w:cs="Arial"/>
          <w:b/>
          <w:sz w:val="24"/>
          <w:szCs w:val="24"/>
        </w:rPr>
        <w:t>o 31</w:t>
      </w:r>
      <w:r w:rsidR="0046705A" w:rsidRPr="0046705A">
        <w:rPr>
          <w:rFonts w:ascii="Arial" w:hAnsi="Arial" w:cs="Arial"/>
          <w:b/>
          <w:sz w:val="24"/>
          <w:szCs w:val="24"/>
          <w:vertAlign w:val="superscript"/>
        </w:rPr>
        <w:t>st</w:t>
      </w:r>
      <w:r w:rsidR="0046705A">
        <w:rPr>
          <w:rFonts w:ascii="Arial" w:hAnsi="Arial" w:cs="Arial"/>
          <w:b/>
          <w:sz w:val="24"/>
          <w:szCs w:val="24"/>
        </w:rPr>
        <w:t xml:space="preserve"> Jul</w:t>
      </w:r>
      <w:r>
        <w:rPr>
          <w:rFonts w:ascii="Arial" w:hAnsi="Arial" w:cs="Arial"/>
          <w:b/>
          <w:sz w:val="24"/>
          <w:szCs w:val="24"/>
        </w:rPr>
        <w:t xml:space="preserve"> 24</w:t>
      </w:r>
      <w:r w:rsidRPr="000543E3">
        <w:rPr>
          <w:rFonts w:ascii="Arial" w:hAnsi="Arial" w:cs="Arial"/>
          <w:b/>
          <w:sz w:val="24"/>
          <w:szCs w:val="24"/>
        </w:rPr>
        <w:t>)</w:t>
      </w:r>
      <w:r>
        <w:rPr>
          <w:rFonts w:ascii="Arial" w:hAnsi="Arial" w:cs="Arial"/>
          <w:b/>
          <w:sz w:val="24"/>
          <w:szCs w:val="24"/>
        </w:rPr>
        <w:t xml:space="preserve">. </w:t>
      </w:r>
    </w:p>
    <w:p w14:paraId="7B05EB5F" w14:textId="735AFF33" w:rsidR="00653AEC" w:rsidRPr="0072604C" w:rsidRDefault="00516544" w:rsidP="00E11667">
      <w:pPr>
        <w:spacing w:after="0" w:line="240" w:lineRule="auto"/>
        <w:ind w:left="360"/>
        <w:rPr>
          <w:rFonts w:ascii="Arial" w:hAnsi="Arial" w:cs="Arial"/>
          <w:color w:val="FF0000"/>
          <w:sz w:val="24"/>
          <w:szCs w:val="24"/>
        </w:rPr>
      </w:pPr>
      <w:r>
        <w:rPr>
          <w:rFonts w:ascii="Arial" w:hAnsi="Arial" w:cs="Arial"/>
          <w:b/>
          <w:sz w:val="24"/>
          <w:szCs w:val="24"/>
        </w:rPr>
        <w:t>All Wales Data for July has not yet been published by WG.</w:t>
      </w:r>
      <w:r w:rsidR="00E11667">
        <w:rPr>
          <w:rFonts w:ascii="Arial" w:hAnsi="Arial" w:cs="Arial"/>
          <w:b/>
          <w:sz w:val="24"/>
          <w:szCs w:val="24"/>
        </w:rPr>
        <w:t xml:space="preserve"> </w:t>
      </w:r>
    </w:p>
    <w:p w14:paraId="2D239F63" w14:textId="77777777" w:rsidR="00653AEC" w:rsidRPr="0072604C" w:rsidRDefault="00653AEC" w:rsidP="00653AEC">
      <w:pPr>
        <w:pStyle w:val="ListParagraph"/>
        <w:spacing w:after="0" w:line="240" w:lineRule="auto"/>
        <w:rPr>
          <w:rFonts w:ascii="Arial" w:hAnsi="Arial" w:cs="Arial"/>
          <w:color w:val="FF0000"/>
          <w:sz w:val="24"/>
          <w:szCs w:val="24"/>
        </w:rPr>
      </w:pPr>
    </w:p>
    <w:p w14:paraId="31AF1EBD" w14:textId="77777777" w:rsidR="00E11667" w:rsidRPr="00E11667" w:rsidRDefault="00E11667" w:rsidP="00E11667">
      <w:pPr>
        <w:spacing w:after="0" w:line="240" w:lineRule="auto"/>
        <w:rPr>
          <w:rFonts w:ascii="Arial" w:hAnsi="Arial" w:cs="Arial"/>
          <w:sz w:val="24"/>
          <w:szCs w:val="24"/>
        </w:rPr>
      </w:pPr>
      <w:r w:rsidRPr="00E11667">
        <w:rPr>
          <w:rFonts w:ascii="Arial" w:hAnsi="Arial" w:cs="Arial"/>
          <w:sz w:val="24"/>
          <w:szCs w:val="24"/>
        </w:rPr>
        <w:t>Data collection across all localities within the Health Board highlights compliance for each of the four parts of the measure</w:t>
      </w:r>
      <w:r w:rsidRPr="00E11667">
        <w:rPr>
          <w:rFonts w:ascii="Arial" w:hAnsi="Arial" w:cs="Arial"/>
          <w:i/>
          <w:sz w:val="24"/>
          <w:szCs w:val="24"/>
        </w:rPr>
        <w:t xml:space="preserve">. </w:t>
      </w:r>
    </w:p>
    <w:p w14:paraId="263B1619" w14:textId="77777777" w:rsidR="00E11667" w:rsidRPr="00E11667" w:rsidRDefault="00E11667" w:rsidP="00E11667">
      <w:pPr>
        <w:spacing w:after="0" w:line="240" w:lineRule="auto"/>
        <w:rPr>
          <w:rFonts w:ascii="Arial" w:hAnsi="Arial" w:cs="Arial"/>
          <w:i/>
          <w:sz w:val="24"/>
          <w:szCs w:val="24"/>
        </w:rPr>
      </w:pPr>
      <w:r w:rsidRPr="00E11667">
        <w:rPr>
          <w:rFonts w:ascii="Arial" w:hAnsi="Arial" w:cs="Arial"/>
          <w:i/>
          <w:sz w:val="24"/>
          <w:szCs w:val="24"/>
        </w:rPr>
        <w:tab/>
      </w:r>
    </w:p>
    <w:p w14:paraId="43CB83F7" w14:textId="77777777" w:rsidR="00E11667" w:rsidRPr="00E11667" w:rsidRDefault="00E11667" w:rsidP="00E11667">
      <w:pPr>
        <w:spacing w:after="0" w:line="240" w:lineRule="auto"/>
        <w:rPr>
          <w:rFonts w:ascii="Arial" w:hAnsi="Arial" w:cs="Arial"/>
          <w:sz w:val="24"/>
          <w:szCs w:val="24"/>
          <w:u w:val="single"/>
        </w:rPr>
      </w:pPr>
      <w:r w:rsidRPr="00E11667">
        <w:rPr>
          <w:rFonts w:ascii="Arial" w:hAnsi="Arial" w:cs="Arial"/>
          <w:sz w:val="24"/>
          <w:szCs w:val="24"/>
          <w:u w:val="single"/>
        </w:rPr>
        <w:t>Part 1 Local Primary Mental Health Support Services Measure</w:t>
      </w:r>
    </w:p>
    <w:p w14:paraId="71926E1F" w14:textId="77777777" w:rsidR="00E11667" w:rsidRPr="00E11667" w:rsidRDefault="00E11667" w:rsidP="00E11667">
      <w:pPr>
        <w:shd w:val="clear" w:color="auto" w:fill="FFFFFF"/>
        <w:spacing w:after="0" w:line="240" w:lineRule="auto"/>
        <w:rPr>
          <w:rFonts w:ascii="Arial" w:eastAsia="Times New Roman" w:hAnsi="Arial" w:cs="Arial"/>
          <w:sz w:val="24"/>
          <w:szCs w:val="24"/>
          <w:lang w:eastAsia="en-GB"/>
        </w:rPr>
      </w:pPr>
    </w:p>
    <w:p w14:paraId="1997A1D6" w14:textId="4098B2B7" w:rsidR="00E11667" w:rsidRPr="00E11667" w:rsidRDefault="00E11667" w:rsidP="00E11667">
      <w:pPr>
        <w:spacing w:after="0" w:line="240" w:lineRule="auto"/>
        <w:rPr>
          <w:rFonts w:ascii="Arial" w:eastAsia="Times New Roman" w:hAnsi="Arial" w:cs="Arial"/>
          <w:sz w:val="24"/>
          <w:szCs w:val="24"/>
          <w:lang w:eastAsia="en-GB"/>
        </w:rPr>
      </w:pPr>
      <w:r w:rsidRPr="00E11667">
        <w:rPr>
          <w:rFonts w:ascii="Arial" w:eastAsia="Times New Roman" w:hAnsi="Arial" w:cs="Arial"/>
          <w:b/>
          <w:sz w:val="24"/>
          <w:szCs w:val="24"/>
          <w:lang w:eastAsia="en-GB"/>
        </w:rPr>
        <w:t>Assessments</w:t>
      </w:r>
      <w:r w:rsidRPr="00E11667">
        <w:rPr>
          <w:rFonts w:ascii="Arial" w:eastAsia="Times New Roman" w:hAnsi="Arial" w:cs="Arial"/>
          <w:sz w:val="24"/>
          <w:szCs w:val="24"/>
          <w:lang w:eastAsia="en-GB"/>
        </w:rPr>
        <w:t xml:space="preserve"> – Adult MH met the </w:t>
      </w:r>
      <w:r w:rsidRPr="00E11667">
        <w:rPr>
          <w:rFonts w:ascii="Arial" w:eastAsia="Times New Roman" w:hAnsi="Arial" w:cs="Arial"/>
          <w:b/>
          <w:sz w:val="24"/>
          <w:szCs w:val="24"/>
          <w:lang w:eastAsia="en-GB"/>
        </w:rPr>
        <w:t>target (80%</w:t>
      </w:r>
      <w:r w:rsidRPr="00E11667">
        <w:rPr>
          <w:rFonts w:ascii="Arial" w:eastAsia="Times New Roman" w:hAnsi="Arial" w:cs="Arial"/>
          <w:sz w:val="24"/>
          <w:szCs w:val="24"/>
          <w:lang w:eastAsia="en-GB"/>
        </w:rPr>
        <w:t xml:space="preserve">) </w:t>
      </w:r>
      <w:r w:rsidR="00C2478C">
        <w:rPr>
          <w:rFonts w:ascii="Arial" w:eastAsia="Times New Roman" w:hAnsi="Arial" w:cs="Arial"/>
          <w:sz w:val="24"/>
          <w:szCs w:val="24"/>
          <w:lang w:eastAsia="en-GB"/>
        </w:rPr>
        <w:t>for the twelve months.</w:t>
      </w:r>
      <w:r w:rsidRPr="00E11667">
        <w:rPr>
          <w:rFonts w:ascii="Arial" w:eastAsia="Times New Roman" w:hAnsi="Arial" w:cs="Arial"/>
          <w:sz w:val="24"/>
          <w:szCs w:val="24"/>
          <w:lang w:eastAsia="en-GB"/>
        </w:rPr>
        <w:t xml:space="preserve"> Includi</w:t>
      </w:r>
      <w:r w:rsidR="0046705A">
        <w:rPr>
          <w:rFonts w:ascii="Arial" w:eastAsia="Times New Roman" w:hAnsi="Arial" w:cs="Arial"/>
          <w:sz w:val="24"/>
          <w:szCs w:val="24"/>
          <w:lang w:eastAsia="en-GB"/>
        </w:rPr>
        <w:t>ng CAMHS we met the target seven</w:t>
      </w:r>
      <w:r w:rsidR="00C2478C">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of the twelve mon</w:t>
      </w:r>
      <w:r w:rsidR="00261D9F">
        <w:rPr>
          <w:rFonts w:ascii="Arial" w:eastAsia="Times New Roman" w:hAnsi="Arial" w:cs="Arial"/>
          <w:sz w:val="24"/>
          <w:szCs w:val="24"/>
          <w:lang w:eastAsia="en-GB"/>
        </w:rPr>
        <w:t>ths</w:t>
      </w:r>
      <w:r w:rsidR="0046705A">
        <w:rPr>
          <w:rFonts w:ascii="Arial" w:eastAsia="Times New Roman" w:hAnsi="Arial" w:cs="Arial"/>
          <w:sz w:val="24"/>
          <w:szCs w:val="24"/>
          <w:lang w:eastAsia="en-GB"/>
        </w:rPr>
        <w:t xml:space="preserve">. </w:t>
      </w:r>
      <w:r w:rsidR="00261D9F">
        <w:rPr>
          <w:rFonts w:ascii="Arial" w:eastAsia="Times New Roman" w:hAnsi="Arial" w:cs="Arial"/>
          <w:sz w:val="24"/>
          <w:szCs w:val="24"/>
          <w:lang w:eastAsia="en-GB"/>
        </w:rPr>
        <w:t xml:space="preserve"> </w:t>
      </w:r>
      <w:r w:rsidR="00157BB7">
        <w:rPr>
          <w:rFonts w:ascii="Arial" w:eastAsia="Times New Roman" w:hAnsi="Arial" w:cs="Arial"/>
          <w:sz w:val="24"/>
          <w:szCs w:val="24"/>
          <w:lang w:eastAsia="en-GB"/>
        </w:rPr>
        <w:t xml:space="preserve">All Wales data for </w:t>
      </w:r>
      <w:r w:rsidR="00516544">
        <w:rPr>
          <w:rFonts w:ascii="Arial" w:eastAsia="Times New Roman" w:hAnsi="Arial" w:cs="Arial"/>
          <w:sz w:val="24"/>
          <w:szCs w:val="24"/>
          <w:lang w:eastAsia="en-GB"/>
        </w:rPr>
        <w:t>June</w:t>
      </w:r>
      <w:r w:rsidR="00C2478C">
        <w:rPr>
          <w:rFonts w:ascii="Arial" w:eastAsia="Times New Roman" w:hAnsi="Arial" w:cs="Arial"/>
          <w:sz w:val="24"/>
          <w:szCs w:val="24"/>
          <w:lang w:eastAsia="en-GB"/>
        </w:rPr>
        <w:t xml:space="preserve"> </w:t>
      </w:r>
      <w:r w:rsidR="00157BB7">
        <w:rPr>
          <w:rFonts w:ascii="Arial" w:eastAsia="Times New Roman" w:hAnsi="Arial" w:cs="Arial"/>
          <w:sz w:val="24"/>
          <w:szCs w:val="24"/>
          <w:lang w:eastAsia="en-GB"/>
        </w:rPr>
        <w:t>ranged for under 18’s (</w:t>
      </w:r>
      <w:r w:rsidR="00516544">
        <w:rPr>
          <w:rFonts w:ascii="Arial" w:eastAsia="Times New Roman" w:hAnsi="Arial" w:cs="Arial"/>
          <w:sz w:val="24"/>
          <w:szCs w:val="24"/>
          <w:lang w:eastAsia="en-GB"/>
        </w:rPr>
        <w:t>64</w:t>
      </w:r>
      <w:r w:rsidR="00C2478C">
        <w:rPr>
          <w:rFonts w:ascii="Arial" w:eastAsia="Times New Roman" w:hAnsi="Arial" w:cs="Arial"/>
          <w:sz w:val="24"/>
          <w:szCs w:val="24"/>
          <w:lang w:eastAsia="en-GB"/>
        </w:rPr>
        <w:t xml:space="preserve">% to </w:t>
      </w:r>
      <w:r w:rsidR="00516544">
        <w:rPr>
          <w:rFonts w:ascii="Arial" w:eastAsia="Times New Roman" w:hAnsi="Arial" w:cs="Arial"/>
          <w:sz w:val="24"/>
          <w:szCs w:val="24"/>
          <w:lang w:eastAsia="en-GB"/>
        </w:rPr>
        <w:t>100</w:t>
      </w:r>
      <w:r w:rsidR="00C2478C">
        <w:rPr>
          <w:rFonts w:ascii="Arial" w:eastAsia="Times New Roman" w:hAnsi="Arial" w:cs="Arial"/>
          <w:sz w:val="24"/>
          <w:szCs w:val="24"/>
          <w:lang w:eastAsia="en-GB"/>
        </w:rPr>
        <w:t xml:space="preserve">%, SBU </w:t>
      </w:r>
      <w:r w:rsidR="00516544">
        <w:rPr>
          <w:rFonts w:ascii="Arial" w:eastAsia="Times New Roman" w:hAnsi="Arial" w:cs="Arial"/>
          <w:sz w:val="24"/>
          <w:szCs w:val="24"/>
          <w:lang w:eastAsia="en-GB"/>
        </w:rPr>
        <w:t>64</w:t>
      </w:r>
      <w:r w:rsidRPr="00E11667">
        <w:rPr>
          <w:rFonts w:ascii="Arial" w:eastAsia="Times New Roman" w:hAnsi="Arial" w:cs="Arial"/>
          <w:sz w:val="24"/>
          <w:szCs w:val="24"/>
          <w:lang w:eastAsia="en-GB"/>
        </w:rPr>
        <w:t>%).</w:t>
      </w:r>
      <w:r w:rsidR="00261D9F">
        <w:rPr>
          <w:rFonts w:ascii="Arial" w:eastAsia="Times New Roman" w:hAnsi="Arial" w:cs="Arial"/>
          <w:sz w:val="24"/>
          <w:szCs w:val="24"/>
          <w:lang w:eastAsia="en-GB"/>
        </w:rPr>
        <w:t xml:space="preserve"> </w:t>
      </w:r>
      <w:r w:rsidRPr="00E11667">
        <w:rPr>
          <w:rFonts w:ascii="Arial" w:eastAsia="Times New Roman" w:hAnsi="Arial" w:cs="Arial"/>
          <w:sz w:val="24"/>
          <w:szCs w:val="24"/>
          <w:lang w:eastAsia="en-GB"/>
        </w:rPr>
        <w:t xml:space="preserve"> Over</w:t>
      </w:r>
      <w:r w:rsidR="00516544">
        <w:rPr>
          <w:rFonts w:ascii="Arial" w:eastAsia="Times New Roman" w:hAnsi="Arial" w:cs="Arial"/>
          <w:sz w:val="24"/>
          <w:szCs w:val="24"/>
          <w:lang w:eastAsia="en-GB"/>
        </w:rPr>
        <w:t xml:space="preserve"> 18’s All Wales data in June </w:t>
      </w:r>
      <w:r w:rsidR="00C2478C">
        <w:rPr>
          <w:rFonts w:ascii="Arial" w:eastAsia="Times New Roman" w:hAnsi="Arial" w:cs="Arial"/>
          <w:sz w:val="24"/>
          <w:szCs w:val="24"/>
          <w:lang w:eastAsia="en-GB"/>
        </w:rPr>
        <w:t>ranged from (</w:t>
      </w:r>
      <w:r w:rsidR="00516544">
        <w:rPr>
          <w:rFonts w:ascii="Arial" w:eastAsia="Times New Roman" w:hAnsi="Arial" w:cs="Arial"/>
          <w:sz w:val="24"/>
          <w:szCs w:val="24"/>
          <w:lang w:eastAsia="en-GB"/>
        </w:rPr>
        <w:t>16</w:t>
      </w:r>
      <w:r w:rsidR="00C2478C">
        <w:rPr>
          <w:rFonts w:ascii="Arial" w:eastAsia="Times New Roman" w:hAnsi="Arial" w:cs="Arial"/>
          <w:sz w:val="24"/>
          <w:szCs w:val="24"/>
          <w:lang w:eastAsia="en-GB"/>
        </w:rPr>
        <w:t xml:space="preserve">% to </w:t>
      </w:r>
      <w:r w:rsidR="00865024">
        <w:rPr>
          <w:rFonts w:ascii="Arial" w:eastAsia="Times New Roman" w:hAnsi="Arial" w:cs="Arial"/>
          <w:sz w:val="24"/>
          <w:szCs w:val="24"/>
          <w:lang w:eastAsia="en-GB"/>
        </w:rPr>
        <w:t>99</w:t>
      </w:r>
      <w:r w:rsidR="00C2478C">
        <w:rPr>
          <w:rFonts w:ascii="Arial" w:eastAsia="Times New Roman" w:hAnsi="Arial" w:cs="Arial"/>
          <w:sz w:val="24"/>
          <w:szCs w:val="24"/>
          <w:lang w:eastAsia="en-GB"/>
        </w:rPr>
        <w:t xml:space="preserve">%, SBU </w:t>
      </w:r>
      <w:r w:rsidR="00865024">
        <w:rPr>
          <w:rFonts w:ascii="Arial" w:eastAsia="Times New Roman" w:hAnsi="Arial" w:cs="Arial"/>
          <w:sz w:val="24"/>
          <w:szCs w:val="24"/>
          <w:lang w:eastAsia="en-GB"/>
        </w:rPr>
        <w:t>99</w:t>
      </w:r>
      <w:r w:rsidRPr="00E11667">
        <w:rPr>
          <w:rFonts w:ascii="Arial" w:eastAsia="Times New Roman" w:hAnsi="Arial" w:cs="Arial"/>
          <w:sz w:val="24"/>
          <w:szCs w:val="24"/>
          <w:lang w:eastAsia="en-GB"/>
        </w:rPr>
        <w:t xml:space="preserve">%). </w:t>
      </w:r>
      <w:r w:rsidRPr="00E11667">
        <w:rPr>
          <w:rFonts w:ascii="Arial" w:eastAsia="Times New Roman" w:hAnsi="Arial" w:cs="Arial"/>
          <w:b/>
          <w:sz w:val="24"/>
          <w:szCs w:val="24"/>
          <w:lang w:eastAsia="en-GB"/>
        </w:rPr>
        <w:t>(Appendix 1)</w:t>
      </w:r>
      <w:r w:rsidRPr="00E11667">
        <w:rPr>
          <w:rFonts w:ascii="Arial" w:eastAsia="Times New Roman" w:hAnsi="Arial" w:cs="Arial"/>
          <w:sz w:val="24"/>
          <w:szCs w:val="24"/>
          <w:lang w:eastAsia="en-GB"/>
        </w:rPr>
        <w:t xml:space="preserve">                                                                                                                                                                                                                      </w:t>
      </w:r>
    </w:p>
    <w:p w14:paraId="69284AE8" w14:textId="77777777" w:rsidR="00E11667" w:rsidRPr="00E11667" w:rsidRDefault="00E11667" w:rsidP="00E11667">
      <w:pPr>
        <w:spacing w:after="0" w:line="240" w:lineRule="auto"/>
        <w:rPr>
          <w:rFonts w:ascii="Arial" w:hAnsi="Arial" w:cs="Arial"/>
          <w:b/>
          <w:sz w:val="24"/>
          <w:szCs w:val="24"/>
        </w:rPr>
      </w:pPr>
    </w:p>
    <w:p w14:paraId="49CEA103" w14:textId="27930858" w:rsidR="00E11667" w:rsidRPr="00E11667" w:rsidRDefault="00E11667" w:rsidP="00E11667">
      <w:pPr>
        <w:spacing w:after="0" w:line="240" w:lineRule="auto"/>
        <w:rPr>
          <w:rFonts w:ascii="Arial" w:hAnsi="Arial" w:cs="Arial"/>
          <w:b/>
          <w:sz w:val="24"/>
          <w:szCs w:val="24"/>
        </w:rPr>
      </w:pPr>
      <w:r w:rsidRPr="00E11667">
        <w:rPr>
          <w:rFonts w:ascii="Arial" w:hAnsi="Arial" w:cs="Arial"/>
          <w:b/>
          <w:sz w:val="24"/>
          <w:szCs w:val="24"/>
        </w:rPr>
        <w:t>Interventions</w:t>
      </w:r>
      <w:r w:rsidRPr="00E11667">
        <w:rPr>
          <w:rFonts w:ascii="Arial" w:hAnsi="Arial" w:cs="Arial"/>
          <w:sz w:val="24"/>
          <w:szCs w:val="24"/>
        </w:rPr>
        <w:t xml:space="preserve"> – Adult MH met the </w:t>
      </w:r>
      <w:r w:rsidRPr="00E11667">
        <w:rPr>
          <w:rFonts w:ascii="Arial" w:hAnsi="Arial" w:cs="Arial"/>
          <w:b/>
          <w:sz w:val="24"/>
          <w:szCs w:val="24"/>
        </w:rPr>
        <w:t>target (80%</w:t>
      </w:r>
      <w:r w:rsidRPr="00E11667">
        <w:rPr>
          <w:rFonts w:ascii="Arial" w:hAnsi="Arial" w:cs="Arial"/>
          <w:sz w:val="24"/>
          <w:szCs w:val="24"/>
        </w:rPr>
        <w:t>) for the twelve months.  Includi</w:t>
      </w:r>
      <w:r w:rsidR="00C2478C">
        <w:rPr>
          <w:rFonts w:ascii="Arial" w:hAnsi="Arial" w:cs="Arial"/>
          <w:sz w:val="24"/>
          <w:szCs w:val="24"/>
        </w:rPr>
        <w:t>ng CAMHS we met the target eleven</w:t>
      </w:r>
      <w:r w:rsidRPr="00E11667">
        <w:rPr>
          <w:rFonts w:ascii="Arial" w:hAnsi="Arial" w:cs="Arial"/>
          <w:sz w:val="24"/>
          <w:szCs w:val="24"/>
        </w:rPr>
        <w:t xml:space="preserve"> of the twelve months.</w:t>
      </w:r>
      <w:r w:rsidRPr="00E11667">
        <w:rPr>
          <w:rFonts w:ascii="Arial" w:hAnsi="Arial" w:cs="Arial"/>
          <w:color w:val="FF0000"/>
          <w:sz w:val="24"/>
          <w:szCs w:val="24"/>
        </w:rPr>
        <w:t xml:space="preserve">  </w:t>
      </w:r>
      <w:r w:rsidR="00157BB7">
        <w:rPr>
          <w:rFonts w:ascii="Arial" w:hAnsi="Arial" w:cs="Arial"/>
          <w:sz w:val="24"/>
          <w:szCs w:val="24"/>
        </w:rPr>
        <w:t>All Wales data fo</w:t>
      </w:r>
      <w:r w:rsidR="00516544">
        <w:rPr>
          <w:rFonts w:ascii="Arial" w:hAnsi="Arial" w:cs="Arial"/>
          <w:sz w:val="24"/>
          <w:szCs w:val="24"/>
        </w:rPr>
        <w:t>r June</w:t>
      </w:r>
      <w:r w:rsidR="00865024">
        <w:rPr>
          <w:rFonts w:ascii="Arial" w:hAnsi="Arial" w:cs="Arial"/>
          <w:sz w:val="24"/>
          <w:szCs w:val="24"/>
        </w:rPr>
        <w:t xml:space="preserve"> </w:t>
      </w:r>
      <w:r w:rsidR="00157BB7">
        <w:rPr>
          <w:rFonts w:ascii="Arial" w:hAnsi="Arial" w:cs="Arial"/>
          <w:sz w:val="24"/>
          <w:szCs w:val="24"/>
        </w:rPr>
        <w:t>ranged from under 18’s (</w:t>
      </w:r>
      <w:r w:rsidR="00516544">
        <w:rPr>
          <w:rFonts w:ascii="Arial" w:hAnsi="Arial" w:cs="Arial"/>
          <w:sz w:val="24"/>
          <w:szCs w:val="24"/>
        </w:rPr>
        <w:t>4.2</w:t>
      </w:r>
      <w:r w:rsidR="00157BB7">
        <w:rPr>
          <w:rFonts w:ascii="Arial" w:hAnsi="Arial" w:cs="Arial"/>
          <w:sz w:val="24"/>
          <w:szCs w:val="24"/>
        </w:rPr>
        <w:t xml:space="preserve">% to </w:t>
      </w:r>
      <w:r w:rsidR="00516544">
        <w:rPr>
          <w:rFonts w:ascii="Arial" w:hAnsi="Arial" w:cs="Arial"/>
          <w:sz w:val="24"/>
          <w:szCs w:val="24"/>
        </w:rPr>
        <w:t>100</w:t>
      </w:r>
      <w:r w:rsidR="00157BB7">
        <w:rPr>
          <w:rFonts w:ascii="Arial" w:hAnsi="Arial" w:cs="Arial"/>
          <w:sz w:val="24"/>
          <w:szCs w:val="24"/>
        </w:rPr>
        <w:t xml:space="preserve">%, SBU </w:t>
      </w:r>
      <w:r w:rsidR="00516544">
        <w:rPr>
          <w:rFonts w:ascii="Arial" w:hAnsi="Arial" w:cs="Arial"/>
          <w:sz w:val="24"/>
          <w:szCs w:val="24"/>
        </w:rPr>
        <w:t>100</w:t>
      </w:r>
      <w:r w:rsidR="00157BB7">
        <w:rPr>
          <w:rFonts w:ascii="Arial" w:hAnsi="Arial" w:cs="Arial"/>
          <w:sz w:val="24"/>
          <w:szCs w:val="24"/>
        </w:rPr>
        <w:t>%), over 18’s (</w:t>
      </w:r>
      <w:r w:rsidR="00516544">
        <w:rPr>
          <w:rFonts w:ascii="Arial" w:hAnsi="Arial" w:cs="Arial"/>
          <w:sz w:val="24"/>
          <w:szCs w:val="24"/>
        </w:rPr>
        <w:t>17.9</w:t>
      </w:r>
      <w:r w:rsidR="00C2478C">
        <w:rPr>
          <w:rFonts w:ascii="Arial" w:hAnsi="Arial" w:cs="Arial"/>
          <w:sz w:val="24"/>
          <w:szCs w:val="24"/>
        </w:rPr>
        <w:t xml:space="preserve">% to </w:t>
      </w:r>
      <w:r w:rsidR="00516544">
        <w:rPr>
          <w:rFonts w:ascii="Arial" w:hAnsi="Arial" w:cs="Arial"/>
          <w:sz w:val="24"/>
          <w:szCs w:val="24"/>
        </w:rPr>
        <w:t>99</w:t>
      </w:r>
      <w:r w:rsidRPr="00E11667">
        <w:rPr>
          <w:rFonts w:ascii="Arial" w:hAnsi="Arial" w:cs="Arial"/>
          <w:sz w:val="24"/>
          <w:szCs w:val="24"/>
        </w:rPr>
        <w:t xml:space="preserve">%, SBU </w:t>
      </w:r>
      <w:r w:rsidR="00516544">
        <w:rPr>
          <w:rFonts w:ascii="Arial" w:hAnsi="Arial" w:cs="Arial"/>
          <w:sz w:val="24"/>
          <w:szCs w:val="24"/>
        </w:rPr>
        <w:t>98</w:t>
      </w:r>
      <w:r w:rsidRPr="00E11667">
        <w:rPr>
          <w:rFonts w:ascii="Arial" w:hAnsi="Arial" w:cs="Arial"/>
          <w:sz w:val="24"/>
          <w:szCs w:val="24"/>
        </w:rPr>
        <w:t xml:space="preserve">%).  </w:t>
      </w:r>
      <w:r w:rsidRPr="00E11667">
        <w:rPr>
          <w:rFonts w:ascii="Arial" w:hAnsi="Arial" w:cs="Arial"/>
          <w:b/>
          <w:sz w:val="24"/>
          <w:szCs w:val="24"/>
        </w:rPr>
        <w:t>(Appendix 2)</w:t>
      </w:r>
    </w:p>
    <w:p w14:paraId="1703DE2A" w14:textId="77777777" w:rsidR="00E11667" w:rsidRPr="00E11667" w:rsidRDefault="00E11667" w:rsidP="00E11667">
      <w:pPr>
        <w:spacing w:after="0" w:line="240" w:lineRule="auto"/>
        <w:rPr>
          <w:rFonts w:ascii="Arial" w:hAnsi="Arial" w:cs="Arial"/>
          <w:b/>
          <w:sz w:val="24"/>
          <w:szCs w:val="24"/>
        </w:rPr>
      </w:pPr>
    </w:p>
    <w:p w14:paraId="0A6E9E38" w14:textId="77777777" w:rsidR="00E11667" w:rsidRPr="00E11667" w:rsidRDefault="00E11667" w:rsidP="00E11667">
      <w:pPr>
        <w:tabs>
          <w:tab w:val="left" w:pos="0"/>
          <w:tab w:val="left" w:pos="426"/>
        </w:tabs>
        <w:spacing w:after="0" w:line="240" w:lineRule="auto"/>
        <w:rPr>
          <w:rFonts w:ascii="Arial" w:hAnsi="Arial" w:cs="Arial"/>
          <w:sz w:val="24"/>
          <w:szCs w:val="24"/>
          <w:u w:val="single"/>
        </w:rPr>
      </w:pPr>
      <w:r w:rsidRPr="00E11667">
        <w:rPr>
          <w:rFonts w:ascii="Arial" w:hAnsi="Arial" w:cs="Arial"/>
          <w:sz w:val="24"/>
          <w:szCs w:val="24"/>
          <w:u w:val="single"/>
        </w:rPr>
        <w:t>Part 2 Mental Health Measure (Care and Treatment Plans)</w:t>
      </w:r>
    </w:p>
    <w:p w14:paraId="50B87D38"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50A8B3FF"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The data covers Adult, Older People, CAMHS and Learning disability services. We met the target for Older People, CAMHS and Learning Disabilities but were slightly under for Adult. </w:t>
      </w:r>
    </w:p>
    <w:p w14:paraId="730E11A1"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5FCBCA31" w14:textId="0E3CA129"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An analysis of the data showed the area of most concern in the Adult CMHTs is in Swansea.</w:t>
      </w:r>
      <w:r w:rsidR="00C2478C">
        <w:rPr>
          <w:rFonts w:ascii="Arial" w:hAnsi="Arial" w:cs="Arial"/>
          <w:sz w:val="24"/>
          <w:szCs w:val="24"/>
        </w:rPr>
        <w:t xml:space="preserve"> </w:t>
      </w:r>
      <w:r w:rsidR="00E015DC">
        <w:rPr>
          <w:rFonts w:ascii="Arial" w:hAnsi="Arial" w:cs="Arial"/>
          <w:sz w:val="24"/>
          <w:szCs w:val="24"/>
        </w:rPr>
        <w:t xml:space="preserve"> The position at the end of July</w:t>
      </w:r>
      <w:r w:rsidRPr="00E11667">
        <w:rPr>
          <w:rFonts w:ascii="Arial" w:hAnsi="Arial" w:cs="Arial"/>
          <w:sz w:val="24"/>
          <w:szCs w:val="24"/>
        </w:rPr>
        <w:t xml:space="preserve"> 24 showed health above target in </w:t>
      </w:r>
      <w:r w:rsidR="00E015DC">
        <w:rPr>
          <w:rFonts w:ascii="Arial" w:hAnsi="Arial" w:cs="Arial"/>
          <w:sz w:val="24"/>
          <w:szCs w:val="24"/>
        </w:rPr>
        <w:t>all areas in Swansea.</w:t>
      </w:r>
    </w:p>
    <w:p w14:paraId="2818913E" w14:textId="77777777" w:rsidR="00E11667" w:rsidRPr="00E11667" w:rsidRDefault="00E11667" w:rsidP="00E11667">
      <w:pPr>
        <w:tabs>
          <w:tab w:val="left" w:pos="0"/>
          <w:tab w:val="left" w:pos="426"/>
        </w:tabs>
        <w:spacing w:after="0" w:line="240" w:lineRule="auto"/>
        <w:rPr>
          <w:rFonts w:ascii="Arial" w:hAnsi="Arial" w:cs="Arial"/>
          <w:b/>
          <w:sz w:val="24"/>
          <w:szCs w:val="24"/>
        </w:rPr>
      </w:pPr>
    </w:p>
    <w:tbl>
      <w:tblPr>
        <w:tblStyle w:val="TableGrid1"/>
        <w:tblW w:w="0" w:type="auto"/>
        <w:tblLook w:val="04A0" w:firstRow="1" w:lastRow="0" w:firstColumn="1" w:lastColumn="0" w:noHBand="0" w:noVBand="1"/>
      </w:tblPr>
      <w:tblGrid>
        <w:gridCol w:w="3005"/>
        <w:gridCol w:w="3005"/>
        <w:gridCol w:w="3006"/>
      </w:tblGrid>
      <w:tr w:rsidR="00E11667" w:rsidRPr="00E11667" w14:paraId="1230E7C9" w14:textId="77777777" w:rsidTr="00570316">
        <w:tc>
          <w:tcPr>
            <w:tcW w:w="3005" w:type="dxa"/>
            <w:shd w:val="clear" w:color="auto" w:fill="BFBFBF" w:themeFill="background1" w:themeFillShade="BF"/>
          </w:tcPr>
          <w:p w14:paraId="5188D063" w14:textId="77777777" w:rsidR="00E11667" w:rsidRPr="00E11667" w:rsidRDefault="00E11667" w:rsidP="00E11667">
            <w:pPr>
              <w:tabs>
                <w:tab w:val="left" w:pos="0"/>
                <w:tab w:val="left" w:pos="426"/>
              </w:tabs>
              <w:rPr>
                <w:rFonts w:ascii="Arial" w:hAnsi="Arial" w:cs="Arial"/>
                <w:b/>
                <w:sz w:val="24"/>
                <w:szCs w:val="24"/>
              </w:rPr>
            </w:pPr>
            <w:r w:rsidRPr="00E11667">
              <w:rPr>
                <w:rFonts w:ascii="Arial" w:hAnsi="Arial" w:cs="Arial"/>
                <w:b/>
                <w:sz w:val="24"/>
                <w:szCs w:val="24"/>
              </w:rPr>
              <w:t>Adult CMHTs</w:t>
            </w:r>
          </w:p>
        </w:tc>
        <w:tc>
          <w:tcPr>
            <w:tcW w:w="3005" w:type="dxa"/>
            <w:shd w:val="clear" w:color="auto" w:fill="BFBFBF" w:themeFill="background1" w:themeFillShade="BF"/>
          </w:tcPr>
          <w:p w14:paraId="08AF5024" w14:textId="77777777" w:rsidR="00E11667" w:rsidRPr="00E11667" w:rsidRDefault="00E11667" w:rsidP="00E11667">
            <w:pPr>
              <w:tabs>
                <w:tab w:val="left" w:pos="0"/>
                <w:tab w:val="left" w:pos="426"/>
              </w:tabs>
              <w:jc w:val="center"/>
              <w:rPr>
                <w:rFonts w:ascii="Arial" w:hAnsi="Arial" w:cs="Arial"/>
                <w:b/>
                <w:sz w:val="24"/>
                <w:szCs w:val="24"/>
              </w:rPr>
            </w:pPr>
            <w:r w:rsidRPr="00E11667">
              <w:rPr>
                <w:rFonts w:ascii="Arial" w:hAnsi="Arial" w:cs="Arial"/>
                <w:b/>
                <w:sz w:val="24"/>
                <w:szCs w:val="24"/>
              </w:rPr>
              <w:t>LA Compliance</w:t>
            </w:r>
          </w:p>
        </w:tc>
        <w:tc>
          <w:tcPr>
            <w:tcW w:w="3006" w:type="dxa"/>
            <w:tcBorders>
              <w:bottom w:val="single" w:sz="4" w:space="0" w:color="auto"/>
            </w:tcBorders>
            <w:shd w:val="clear" w:color="auto" w:fill="BFBFBF" w:themeFill="background1" w:themeFillShade="BF"/>
          </w:tcPr>
          <w:p w14:paraId="48A23751" w14:textId="77777777" w:rsidR="00E11667" w:rsidRPr="00E11667" w:rsidRDefault="00E11667" w:rsidP="00E11667">
            <w:pPr>
              <w:tabs>
                <w:tab w:val="left" w:pos="0"/>
                <w:tab w:val="left" w:pos="426"/>
              </w:tabs>
              <w:jc w:val="center"/>
              <w:rPr>
                <w:rFonts w:ascii="Arial" w:hAnsi="Arial" w:cs="Arial"/>
                <w:b/>
                <w:sz w:val="24"/>
                <w:szCs w:val="24"/>
              </w:rPr>
            </w:pPr>
            <w:r w:rsidRPr="00E11667">
              <w:rPr>
                <w:rFonts w:ascii="Arial" w:hAnsi="Arial" w:cs="Arial"/>
                <w:b/>
                <w:sz w:val="24"/>
                <w:szCs w:val="24"/>
              </w:rPr>
              <w:t>HB Compliance</w:t>
            </w:r>
          </w:p>
        </w:tc>
      </w:tr>
      <w:tr w:rsidR="00E11667" w:rsidRPr="00E11667" w14:paraId="067C24E9" w14:textId="77777777" w:rsidTr="00570316">
        <w:tc>
          <w:tcPr>
            <w:tcW w:w="3005" w:type="dxa"/>
          </w:tcPr>
          <w:p w14:paraId="7938B6D3"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14:paraId="0FCAAE52" w14:textId="60B54F4F"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81.40</w:t>
            </w:r>
            <w:r w:rsidR="00AD3C57">
              <w:rPr>
                <w:rFonts w:ascii="Arial" w:eastAsia="Times New Roman" w:hAnsi="Arial"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D8E4864" w14:textId="08C65AAB"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94.87</w:t>
            </w:r>
            <w:r w:rsidR="00AD3C57">
              <w:rPr>
                <w:rFonts w:ascii="Arial" w:eastAsia="Times New Roman" w:hAnsi="Arial" w:cs="Arial"/>
                <w:color w:val="000000"/>
                <w:sz w:val="24"/>
                <w:szCs w:val="24"/>
                <w:lang w:eastAsia="en-GB"/>
              </w:rPr>
              <w:t>%</w:t>
            </w:r>
          </w:p>
        </w:tc>
      </w:tr>
      <w:tr w:rsidR="00E11667" w:rsidRPr="00E11667" w14:paraId="14850E94" w14:textId="77777777" w:rsidTr="00570316">
        <w:tc>
          <w:tcPr>
            <w:tcW w:w="3005" w:type="dxa"/>
          </w:tcPr>
          <w:p w14:paraId="63A0A66E"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14:paraId="251DB51C" w14:textId="58930A0F"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82.88</w:t>
            </w:r>
            <w:r w:rsidR="00AD3C57">
              <w:rPr>
                <w:rFonts w:ascii="Arial" w:eastAsia="Times New Roman" w:hAnsi="Arial"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7FB9C344" w14:textId="0FBAEE6A"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92.89</w:t>
            </w:r>
            <w:r w:rsidR="00AD3C57">
              <w:rPr>
                <w:rFonts w:ascii="Arial" w:eastAsia="Times New Roman" w:hAnsi="Arial" w:cs="Arial"/>
                <w:color w:val="000000"/>
                <w:sz w:val="24"/>
                <w:szCs w:val="24"/>
                <w:lang w:eastAsia="en-GB"/>
              </w:rPr>
              <w:t>%</w:t>
            </w:r>
          </w:p>
        </w:tc>
      </w:tr>
      <w:tr w:rsidR="00E11667" w:rsidRPr="00E11667" w14:paraId="6608FB05" w14:textId="77777777" w:rsidTr="00E015DC">
        <w:tc>
          <w:tcPr>
            <w:tcW w:w="3005" w:type="dxa"/>
            <w:tcBorders>
              <w:top w:val="single" w:sz="4" w:space="0" w:color="auto"/>
            </w:tcBorders>
          </w:tcPr>
          <w:p w14:paraId="4F8CF571"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14:paraId="6DB0DA4C" w14:textId="7AAF0ACA"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82.80</w:t>
            </w:r>
            <w:r w:rsidR="00AD3C57">
              <w:rPr>
                <w:rFonts w:ascii="Arial" w:eastAsia="Times New Roman" w:hAnsi="Arial"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34B3852E" w14:textId="2DA7322B" w:rsidR="00E11667" w:rsidRPr="00E11667" w:rsidRDefault="00E015DC" w:rsidP="00E1166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93.77</w:t>
            </w:r>
            <w:r w:rsidR="00AD3C57">
              <w:rPr>
                <w:rFonts w:ascii="Arial" w:eastAsia="Times New Roman" w:hAnsi="Arial" w:cs="Arial"/>
                <w:color w:val="000000"/>
                <w:sz w:val="24"/>
                <w:szCs w:val="24"/>
                <w:lang w:eastAsia="en-GB"/>
              </w:rPr>
              <w:t>%</w:t>
            </w:r>
          </w:p>
        </w:tc>
      </w:tr>
    </w:tbl>
    <w:p w14:paraId="0192C955" w14:textId="77777777" w:rsidR="00E11667" w:rsidRPr="00E11667" w:rsidRDefault="00E11667" w:rsidP="00E11667">
      <w:pPr>
        <w:tabs>
          <w:tab w:val="left" w:pos="0"/>
          <w:tab w:val="left" w:pos="426"/>
        </w:tabs>
        <w:spacing w:after="0" w:line="240" w:lineRule="auto"/>
        <w:rPr>
          <w:rFonts w:ascii="Arial" w:hAnsi="Arial" w:cs="Arial"/>
          <w:b/>
          <w:sz w:val="24"/>
          <w:szCs w:val="24"/>
        </w:rPr>
      </w:pPr>
    </w:p>
    <w:p w14:paraId="77428589" w14:textId="099F3539"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b/>
          <w:sz w:val="24"/>
          <w:szCs w:val="24"/>
        </w:rPr>
        <w:t>All Wales data</w:t>
      </w:r>
      <w:r w:rsidR="00516544">
        <w:rPr>
          <w:rFonts w:ascii="Arial" w:hAnsi="Arial" w:cs="Arial"/>
          <w:sz w:val="24"/>
          <w:szCs w:val="24"/>
        </w:rPr>
        <w:t xml:space="preserve"> in June</w:t>
      </w:r>
      <w:r w:rsidRPr="00E11667">
        <w:rPr>
          <w:rFonts w:ascii="Arial" w:hAnsi="Arial" w:cs="Arial"/>
          <w:sz w:val="24"/>
          <w:szCs w:val="24"/>
        </w:rPr>
        <w:t xml:space="preserve"> </w:t>
      </w:r>
      <w:r w:rsidRPr="00E11667">
        <w:rPr>
          <w:rFonts w:ascii="Arial" w:hAnsi="Arial" w:cs="Arial"/>
          <w:b/>
          <w:sz w:val="24"/>
          <w:szCs w:val="24"/>
        </w:rPr>
        <w:t>(Target 90%)</w:t>
      </w:r>
      <w:r w:rsidR="00157BB7">
        <w:rPr>
          <w:rFonts w:ascii="Arial" w:hAnsi="Arial" w:cs="Arial"/>
          <w:sz w:val="24"/>
          <w:szCs w:val="24"/>
        </w:rPr>
        <w:t xml:space="preserve"> ranged from under 18’s (</w:t>
      </w:r>
      <w:r w:rsidR="00516544">
        <w:rPr>
          <w:rFonts w:ascii="Arial" w:hAnsi="Arial" w:cs="Arial"/>
          <w:sz w:val="24"/>
          <w:szCs w:val="24"/>
        </w:rPr>
        <w:t>79.4</w:t>
      </w:r>
      <w:r w:rsidR="00157BB7">
        <w:rPr>
          <w:rFonts w:ascii="Arial" w:hAnsi="Arial" w:cs="Arial"/>
          <w:sz w:val="24"/>
          <w:szCs w:val="24"/>
        </w:rPr>
        <w:t xml:space="preserve">% to </w:t>
      </w:r>
      <w:r w:rsidR="00516544">
        <w:rPr>
          <w:rFonts w:ascii="Arial" w:hAnsi="Arial" w:cs="Arial"/>
          <w:sz w:val="24"/>
          <w:szCs w:val="24"/>
        </w:rPr>
        <w:t>96</w:t>
      </w:r>
      <w:r w:rsidR="00157BB7">
        <w:rPr>
          <w:rFonts w:ascii="Arial" w:hAnsi="Arial" w:cs="Arial"/>
          <w:sz w:val="24"/>
          <w:szCs w:val="24"/>
        </w:rPr>
        <w:t xml:space="preserve">%), SBU </w:t>
      </w:r>
      <w:r w:rsidR="00516544">
        <w:rPr>
          <w:rFonts w:ascii="Arial" w:hAnsi="Arial" w:cs="Arial"/>
          <w:sz w:val="24"/>
          <w:szCs w:val="24"/>
        </w:rPr>
        <w:t>94</w:t>
      </w:r>
      <w:r w:rsidR="00157BB7">
        <w:rPr>
          <w:rFonts w:ascii="Arial" w:hAnsi="Arial" w:cs="Arial"/>
          <w:sz w:val="24"/>
          <w:szCs w:val="24"/>
        </w:rPr>
        <w:t>%), over 18’s (</w:t>
      </w:r>
      <w:r w:rsidR="00516544">
        <w:rPr>
          <w:rFonts w:ascii="Arial" w:hAnsi="Arial" w:cs="Arial"/>
          <w:sz w:val="24"/>
          <w:szCs w:val="24"/>
        </w:rPr>
        <w:t>60.3</w:t>
      </w:r>
      <w:r w:rsidR="00157BB7">
        <w:rPr>
          <w:rFonts w:ascii="Arial" w:hAnsi="Arial" w:cs="Arial"/>
          <w:sz w:val="24"/>
          <w:szCs w:val="24"/>
        </w:rPr>
        <w:t xml:space="preserve">% to </w:t>
      </w:r>
      <w:r w:rsidR="00516544">
        <w:rPr>
          <w:rFonts w:ascii="Arial" w:hAnsi="Arial" w:cs="Arial"/>
          <w:sz w:val="24"/>
          <w:szCs w:val="24"/>
        </w:rPr>
        <w:t>95</w:t>
      </w:r>
      <w:r w:rsidRPr="00E11667">
        <w:rPr>
          <w:rFonts w:ascii="Arial" w:hAnsi="Arial" w:cs="Arial"/>
          <w:sz w:val="24"/>
          <w:szCs w:val="24"/>
        </w:rPr>
        <w:t xml:space="preserve">%, SBU </w:t>
      </w:r>
      <w:r w:rsidR="00516544">
        <w:rPr>
          <w:rFonts w:ascii="Arial" w:hAnsi="Arial" w:cs="Arial"/>
          <w:sz w:val="24"/>
          <w:szCs w:val="24"/>
        </w:rPr>
        <w:t>90</w:t>
      </w:r>
      <w:r w:rsidRPr="00E11667">
        <w:rPr>
          <w:rFonts w:ascii="Arial" w:hAnsi="Arial" w:cs="Arial"/>
          <w:sz w:val="24"/>
          <w:szCs w:val="24"/>
        </w:rPr>
        <w:t xml:space="preserve">%) </w:t>
      </w:r>
      <w:r w:rsidRPr="00E11667">
        <w:rPr>
          <w:rFonts w:ascii="Arial" w:hAnsi="Arial" w:cs="Arial"/>
          <w:b/>
          <w:sz w:val="24"/>
          <w:szCs w:val="24"/>
        </w:rPr>
        <w:t>(Appendix 3).</w:t>
      </w:r>
      <w:r w:rsidRPr="00E11667">
        <w:rPr>
          <w:rFonts w:ascii="Arial" w:hAnsi="Arial" w:cs="Arial"/>
          <w:sz w:val="24"/>
          <w:szCs w:val="24"/>
        </w:rPr>
        <w:t xml:space="preserve">     </w:t>
      </w:r>
    </w:p>
    <w:p w14:paraId="6AF5443E" w14:textId="36568DDC"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                  </w:t>
      </w:r>
    </w:p>
    <w:p w14:paraId="5E47F642"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3 Mental Health Measure (self-referrals and timely assessments)</w:t>
      </w:r>
    </w:p>
    <w:p w14:paraId="09BF2602" w14:textId="77777777" w:rsidR="00E11667" w:rsidRPr="00E11667" w:rsidRDefault="00E11667" w:rsidP="00E11667">
      <w:pPr>
        <w:tabs>
          <w:tab w:val="left" w:pos="6061"/>
        </w:tabs>
        <w:spacing w:after="0" w:line="240" w:lineRule="auto"/>
        <w:rPr>
          <w:rFonts w:ascii="Arial" w:hAnsi="Arial" w:cs="Arial"/>
          <w:sz w:val="24"/>
          <w:szCs w:val="24"/>
          <w:u w:val="single"/>
        </w:rPr>
      </w:pPr>
    </w:p>
    <w:p w14:paraId="0521E103" w14:textId="76D019CA" w:rsidR="00E11667" w:rsidRPr="00E11667" w:rsidRDefault="00C2478C" w:rsidP="00E11667">
      <w:pPr>
        <w:tabs>
          <w:tab w:val="left" w:pos="0"/>
          <w:tab w:val="left" w:pos="426"/>
        </w:tabs>
        <w:spacing w:after="0" w:line="240" w:lineRule="auto"/>
        <w:rPr>
          <w:rFonts w:ascii="Arial" w:hAnsi="Arial" w:cs="Arial"/>
          <w:sz w:val="24"/>
          <w:szCs w:val="24"/>
        </w:rPr>
      </w:pPr>
      <w:r>
        <w:rPr>
          <w:rFonts w:ascii="Arial" w:hAnsi="Arial" w:cs="Arial"/>
          <w:sz w:val="24"/>
          <w:szCs w:val="24"/>
        </w:rPr>
        <w:t>SBU met the target for the five</w:t>
      </w:r>
      <w:r w:rsidR="00E11667" w:rsidRPr="00E11667">
        <w:rPr>
          <w:rFonts w:ascii="Arial" w:hAnsi="Arial" w:cs="Arial"/>
          <w:sz w:val="24"/>
          <w:szCs w:val="24"/>
        </w:rPr>
        <w:t xml:space="preserve"> months when Part 3 referrals were received by the service. </w:t>
      </w:r>
      <w:r w:rsidR="00E11667" w:rsidRPr="00E11667">
        <w:rPr>
          <w:rFonts w:ascii="Arial" w:hAnsi="Arial" w:cs="Arial"/>
          <w:b/>
          <w:sz w:val="24"/>
          <w:szCs w:val="24"/>
        </w:rPr>
        <w:t xml:space="preserve">(Appendix 4)  </w:t>
      </w:r>
      <w:r w:rsidR="00E11667" w:rsidRPr="00E11667">
        <w:rPr>
          <w:rFonts w:ascii="Arial" w:hAnsi="Arial" w:cs="Arial"/>
          <w:sz w:val="24"/>
          <w:szCs w:val="24"/>
        </w:rPr>
        <w:t>All Wales data for Part 3 is no longer published.</w:t>
      </w:r>
    </w:p>
    <w:p w14:paraId="7FC1F219"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4E71AA42"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4 Mental Health Measure (Advocacy</w:t>
      </w:r>
    </w:p>
    <w:p w14:paraId="799D8582" w14:textId="77777777" w:rsidR="00E11667" w:rsidRPr="00E11667" w:rsidRDefault="00E11667" w:rsidP="00E11667">
      <w:pPr>
        <w:tabs>
          <w:tab w:val="left" w:pos="426"/>
        </w:tabs>
        <w:spacing w:after="0" w:line="240" w:lineRule="auto"/>
        <w:rPr>
          <w:rFonts w:ascii="Arial" w:hAnsi="Arial" w:cs="Arial"/>
          <w:sz w:val="24"/>
          <w:szCs w:val="24"/>
          <w:u w:val="single"/>
        </w:rPr>
      </w:pPr>
    </w:p>
    <w:p w14:paraId="2B17BCC5" w14:textId="74AB4E7F" w:rsidR="00E11667" w:rsidRPr="00E11667" w:rsidRDefault="00F05286" w:rsidP="00E11667">
      <w:pPr>
        <w:tabs>
          <w:tab w:val="left" w:pos="426"/>
        </w:tabs>
        <w:spacing w:after="0" w:line="240" w:lineRule="auto"/>
        <w:rPr>
          <w:rFonts w:ascii="Arial" w:hAnsi="Arial" w:cs="Arial"/>
          <w:b/>
          <w:sz w:val="24"/>
          <w:szCs w:val="24"/>
        </w:rPr>
      </w:pPr>
      <w:r>
        <w:rPr>
          <w:rFonts w:ascii="Arial" w:hAnsi="Arial" w:cs="Arial"/>
          <w:sz w:val="24"/>
          <w:szCs w:val="24"/>
        </w:rPr>
        <w:t>SBU met the target for the 1</w:t>
      </w:r>
      <w:r w:rsidRPr="00F05286">
        <w:rPr>
          <w:rFonts w:ascii="Arial" w:hAnsi="Arial" w:cs="Arial"/>
          <w:sz w:val="24"/>
          <w:szCs w:val="24"/>
          <w:vertAlign w:val="superscript"/>
        </w:rPr>
        <w:t>st</w:t>
      </w:r>
      <w:r>
        <w:rPr>
          <w:rFonts w:ascii="Arial" w:hAnsi="Arial" w:cs="Arial"/>
          <w:sz w:val="24"/>
          <w:szCs w:val="24"/>
        </w:rPr>
        <w:t xml:space="preserve"> quarter of 2024/2025</w:t>
      </w:r>
      <w:r w:rsidR="00E11667" w:rsidRPr="00E11667">
        <w:rPr>
          <w:rFonts w:ascii="Arial" w:hAnsi="Arial" w:cs="Arial"/>
          <w:sz w:val="24"/>
          <w:szCs w:val="24"/>
        </w:rPr>
        <w:t xml:space="preserve">. </w:t>
      </w:r>
      <w:r w:rsidR="00E11667" w:rsidRPr="00E11667">
        <w:rPr>
          <w:rFonts w:ascii="Arial" w:hAnsi="Arial" w:cs="Arial"/>
          <w:b/>
          <w:sz w:val="24"/>
          <w:szCs w:val="24"/>
        </w:rPr>
        <w:t>(Appendix 5)</w:t>
      </w:r>
    </w:p>
    <w:p w14:paraId="48B1A4D0" w14:textId="6B417F1C" w:rsidR="00E11667" w:rsidRDefault="00E11667" w:rsidP="00E11667">
      <w:pPr>
        <w:tabs>
          <w:tab w:val="left" w:pos="0"/>
          <w:tab w:val="left" w:pos="426"/>
        </w:tabs>
        <w:spacing w:after="0" w:line="240" w:lineRule="auto"/>
        <w:rPr>
          <w:rFonts w:ascii="Arial" w:hAnsi="Arial" w:cs="Arial"/>
          <w:sz w:val="24"/>
          <w:szCs w:val="24"/>
        </w:rPr>
      </w:pPr>
    </w:p>
    <w:p w14:paraId="4AB640C5" w14:textId="290B8BF0" w:rsidR="00E015DC" w:rsidRDefault="00E015DC" w:rsidP="00E11667">
      <w:pPr>
        <w:tabs>
          <w:tab w:val="left" w:pos="0"/>
          <w:tab w:val="left" w:pos="426"/>
        </w:tabs>
        <w:spacing w:after="0" w:line="240" w:lineRule="auto"/>
        <w:rPr>
          <w:rFonts w:ascii="Arial" w:hAnsi="Arial" w:cs="Arial"/>
          <w:sz w:val="24"/>
          <w:szCs w:val="24"/>
        </w:rPr>
      </w:pPr>
    </w:p>
    <w:p w14:paraId="3B0433EE" w14:textId="77777777" w:rsidR="00E015DC" w:rsidRPr="00E11667" w:rsidRDefault="00E015DC" w:rsidP="00E11667">
      <w:pPr>
        <w:tabs>
          <w:tab w:val="left" w:pos="0"/>
          <w:tab w:val="left" w:pos="426"/>
        </w:tabs>
        <w:spacing w:after="0" w:line="240" w:lineRule="auto"/>
        <w:rPr>
          <w:rFonts w:ascii="Arial" w:hAnsi="Arial" w:cs="Arial"/>
          <w:sz w:val="24"/>
          <w:szCs w:val="24"/>
        </w:rPr>
      </w:pPr>
    </w:p>
    <w:p w14:paraId="2C6E3924" w14:textId="77777777" w:rsidR="00E11667" w:rsidRDefault="00E11667" w:rsidP="00653AEC">
      <w:pPr>
        <w:spacing w:after="0" w:line="240" w:lineRule="auto"/>
        <w:rPr>
          <w:rFonts w:ascii="Arial" w:hAnsi="Arial" w:cs="Arial"/>
          <w:color w:val="FF0000"/>
          <w:sz w:val="24"/>
          <w:szCs w:val="24"/>
        </w:rPr>
      </w:pPr>
    </w:p>
    <w:p w14:paraId="58236EF9" w14:textId="77777777" w:rsidR="005740C8" w:rsidRPr="005740C8" w:rsidRDefault="00E11667" w:rsidP="005740C8">
      <w:pPr>
        <w:tabs>
          <w:tab w:val="left" w:pos="0"/>
          <w:tab w:val="left" w:pos="426"/>
        </w:tabs>
        <w:spacing w:after="0" w:line="240" w:lineRule="auto"/>
        <w:rPr>
          <w:rFonts w:ascii="Arial" w:hAnsi="Arial" w:cs="Arial"/>
          <w:b/>
          <w:sz w:val="24"/>
          <w:szCs w:val="24"/>
        </w:rPr>
      </w:pPr>
      <w:r w:rsidRPr="005740C8">
        <w:rPr>
          <w:rFonts w:ascii="Arial" w:hAnsi="Arial" w:cs="Arial"/>
          <w:b/>
          <w:sz w:val="24"/>
          <w:szCs w:val="24"/>
        </w:rPr>
        <w:lastRenderedPageBreak/>
        <w:t>3</w:t>
      </w:r>
      <w:r w:rsidR="005740C8" w:rsidRPr="005740C8">
        <w:rPr>
          <w:rFonts w:ascii="Arial" w:hAnsi="Arial" w:cs="Arial"/>
          <w:b/>
          <w:sz w:val="24"/>
          <w:szCs w:val="24"/>
        </w:rPr>
        <w:t>.2</w:t>
      </w:r>
      <w:r w:rsidRPr="005740C8">
        <w:rPr>
          <w:rFonts w:ascii="Arial" w:hAnsi="Arial" w:cs="Arial"/>
          <w:b/>
          <w:sz w:val="24"/>
          <w:szCs w:val="24"/>
        </w:rPr>
        <w:tab/>
        <w:t xml:space="preserve">  </w:t>
      </w:r>
      <w:r w:rsidR="005740C8" w:rsidRPr="005740C8">
        <w:rPr>
          <w:rFonts w:ascii="Arial" w:hAnsi="Arial" w:cs="Arial"/>
          <w:b/>
          <w:sz w:val="24"/>
          <w:szCs w:val="24"/>
        </w:rPr>
        <w:t xml:space="preserve">Risk Issues highlighted </w:t>
      </w:r>
    </w:p>
    <w:p w14:paraId="79A0B246" w14:textId="63FEF7C3" w:rsidR="009421FB" w:rsidRDefault="009421FB" w:rsidP="00E11667">
      <w:pPr>
        <w:spacing w:before="100" w:beforeAutospacing="1" w:after="100" w:afterAutospacing="1" w:line="240" w:lineRule="auto"/>
        <w:rPr>
          <w:rFonts w:ascii="Arial" w:eastAsia="Times New Roman" w:hAnsi="Arial" w:cs="Arial"/>
          <w:b/>
          <w:color w:val="000000"/>
          <w:sz w:val="24"/>
          <w:szCs w:val="24"/>
          <w:highlight w:val="yellow"/>
          <w:lang w:eastAsia="en-GB"/>
        </w:rPr>
      </w:pPr>
      <w:r>
        <w:rPr>
          <w:color w:val="000000"/>
          <w:sz w:val="27"/>
          <w:szCs w:val="27"/>
        </w:rPr>
        <w:t>Part 2 CTP compliance has continued to improve following the measures put in place. However there needs to be a continued focus on the Adult CMHTs to ensure compliance against the target. This risk remains and the action previously detailed continues.</w:t>
      </w:r>
    </w:p>
    <w:p w14:paraId="32A891D5" w14:textId="77777777" w:rsidR="00AC37B7" w:rsidRDefault="00E11667" w:rsidP="00AC37B7">
      <w:pPr>
        <w:spacing w:before="100" w:beforeAutospacing="1" w:after="100" w:afterAutospacing="1" w:line="240" w:lineRule="auto"/>
        <w:rPr>
          <w:rFonts w:ascii="Arial" w:eastAsia="Times New Roman" w:hAnsi="Arial" w:cs="Arial"/>
          <w:b/>
          <w:color w:val="000000"/>
          <w:sz w:val="24"/>
          <w:szCs w:val="24"/>
          <w:lang w:eastAsia="en-GB"/>
        </w:rPr>
      </w:pPr>
      <w:r w:rsidRPr="009421FB">
        <w:rPr>
          <w:rFonts w:ascii="Arial" w:eastAsia="Times New Roman" w:hAnsi="Arial" w:cs="Arial"/>
          <w:b/>
          <w:color w:val="000000"/>
          <w:sz w:val="24"/>
          <w:szCs w:val="24"/>
          <w:lang w:eastAsia="en-GB"/>
        </w:rPr>
        <w:t>Actions:</w:t>
      </w:r>
    </w:p>
    <w:p w14:paraId="6CC32F33" w14:textId="395CA812" w:rsidR="00653AEC" w:rsidRPr="00AC37B7" w:rsidRDefault="00E11667" w:rsidP="00AC37B7">
      <w:pPr>
        <w:spacing w:before="100" w:beforeAutospacing="1" w:after="100" w:afterAutospacing="1" w:line="240" w:lineRule="auto"/>
        <w:rPr>
          <w:rFonts w:ascii="Arial" w:hAnsi="Arial" w:cs="Arial"/>
          <w:b/>
          <w:sz w:val="24"/>
          <w:szCs w:val="24"/>
        </w:rPr>
      </w:pPr>
      <w:r w:rsidRPr="00AC37B7">
        <w:rPr>
          <w:rFonts w:ascii="Arial" w:eastAsia="Times New Roman" w:hAnsi="Arial" w:cs="Arial"/>
          <w:color w:val="000000"/>
          <w:sz w:val="24"/>
          <w:szCs w:val="24"/>
          <w:lang w:eastAsia="en-GB"/>
        </w:rPr>
        <w:t>Monthly CTP activity report produced displaying compliance for both Health and Local Authority members within each Adult CMHT.</w:t>
      </w:r>
    </w:p>
    <w:p w14:paraId="16F6981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2061E1F" w14:textId="77777777" w:rsidR="005740C8" w:rsidRPr="005740C8" w:rsidRDefault="005740C8" w:rsidP="005740C8">
      <w:pPr>
        <w:spacing w:after="0" w:line="240" w:lineRule="auto"/>
        <w:rPr>
          <w:rFonts w:ascii="Arial" w:hAnsi="Arial" w:cs="Arial"/>
          <w:sz w:val="24"/>
          <w:szCs w:val="24"/>
        </w:rPr>
      </w:pPr>
      <w:r w:rsidRPr="005740C8">
        <w:rPr>
          <w:rFonts w:ascii="Arial" w:hAnsi="Arial" w:cs="Arial"/>
          <w:sz w:val="24"/>
          <w:szCs w:val="24"/>
        </w:rPr>
        <w:t>There are no financial implications as a result of this report or recommendations made.  Operational adjustments to achieve compliance are met from within existing budget lines.</w:t>
      </w:r>
    </w:p>
    <w:p w14:paraId="76A52FB5" w14:textId="77777777" w:rsidR="00653AEC" w:rsidRPr="005740C8" w:rsidRDefault="00653AEC" w:rsidP="005740C8">
      <w:pPr>
        <w:spacing w:after="0" w:line="240" w:lineRule="auto"/>
        <w:rPr>
          <w:rFonts w:ascii="Arial" w:hAnsi="Arial" w:cs="Arial"/>
          <w:b/>
          <w:sz w:val="24"/>
          <w:szCs w:val="24"/>
        </w:rPr>
      </w:pPr>
    </w:p>
    <w:p w14:paraId="3A241E94" w14:textId="2C832511"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E31D584" w14:textId="77777777" w:rsidR="005740C8" w:rsidRPr="005740C8" w:rsidRDefault="005740C8" w:rsidP="005740C8">
      <w:pPr>
        <w:spacing w:after="0" w:line="240" w:lineRule="auto"/>
        <w:rPr>
          <w:rFonts w:ascii="Arial" w:hAnsi="Arial" w:cs="Arial"/>
          <w:b/>
          <w:sz w:val="24"/>
          <w:szCs w:val="24"/>
        </w:rPr>
      </w:pPr>
    </w:p>
    <w:p w14:paraId="24AE8A68" w14:textId="77777777" w:rsidR="005740C8" w:rsidRPr="00DA37D3" w:rsidRDefault="005740C8" w:rsidP="005740C8">
      <w:pPr>
        <w:spacing w:after="0" w:line="240" w:lineRule="auto"/>
        <w:rPr>
          <w:rFonts w:ascii="Arial" w:hAnsi="Arial" w:cs="Arial"/>
          <w:sz w:val="24"/>
          <w:szCs w:val="24"/>
        </w:rPr>
      </w:pPr>
      <w:r w:rsidRPr="00DA37D3">
        <w:rPr>
          <w:rFonts w:ascii="Arial" w:hAnsi="Arial" w:cs="Arial"/>
          <w:sz w:val="24"/>
          <w:szCs w:val="24"/>
        </w:rPr>
        <w:t>The Committee are recommended to</w:t>
      </w:r>
      <w:r>
        <w:rPr>
          <w:rFonts w:ascii="Arial" w:hAnsi="Arial" w:cs="Arial"/>
          <w:sz w:val="24"/>
          <w:szCs w:val="24"/>
        </w:rPr>
        <w:t>:</w:t>
      </w:r>
    </w:p>
    <w:p w14:paraId="570071C6" w14:textId="77777777" w:rsidR="005740C8" w:rsidRPr="00DA37D3" w:rsidRDefault="005740C8" w:rsidP="005740C8">
      <w:pPr>
        <w:spacing w:after="0" w:line="240" w:lineRule="auto"/>
        <w:rPr>
          <w:rFonts w:ascii="Arial" w:hAnsi="Arial" w:cs="Arial"/>
          <w:sz w:val="24"/>
          <w:szCs w:val="24"/>
        </w:rPr>
      </w:pPr>
    </w:p>
    <w:p w14:paraId="4719A966" w14:textId="77777777" w:rsidR="005740C8" w:rsidRDefault="005740C8" w:rsidP="005740C8">
      <w:pPr>
        <w:numPr>
          <w:ilvl w:val="0"/>
          <w:numId w:val="15"/>
        </w:numPr>
        <w:spacing w:after="0" w:line="240" w:lineRule="auto"/>
        <w:contextualSpacing/>
        <w:rPr>
          <w:rFonts w:ascii="Arial" w:hAnsi="Arial" w:cs="Arial"/>
          <w:sz w:val="24"/>
          <w:szCs w:val="24"/>
        </w:rPr>
      </w:pPr>
      <w:r w:rsidRPr="00DA37D3">
        <w:rPr>
          <w:rFonts w:ascii="Arial" w:hAnsi="Arial" w:cs="Arial"/>
          <w:sz w:val="24"/>
          <w:szCs w:val="24"/>
        </w:rPr>
        <w:t>N</w:t>
      </w:r>
      <w:r>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3E847A2F" w14:textId="77777777" w:rsidR="005740C8" w:rsidRDefault="005740C8" w:rsidP="005740C8">
      <w:pPr>
        <w:spacing w:after="0" w:line="240" w:lineRule="auto"/>
        <w:ind w:left="720"/>
        <w:contextualSpacing/>
        <w:rPr>
          <w:rFonts w:ascii="Arial" w:hAnsi="Arial" w:cs="Arial"/>
          <w:sz w:val="24"/>
          <w:szCs w:val="24"/>
        </w:rPr>
      </w:pPr>
    </w:p>
    <w:p w14:paraId="7B502587"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4CBC9EAF" w14:textId="77777777" w:rsidR="005740C8" w:rsidRPr="007C500E" w:rsidRDefault="005740C8" w:rsidP="005740C8">
      <w:pPr>
        <w:pStyle w:val="ListParagraph"/>
        <w:rPr>
          <w:rFonts w:ascii="Arial" w:hAnsi="Arial" w:cs="Arial"/>
          <w:sz w:val="24"/>
          <w:szCs w:val="24"/>
        </w:rPr>
      </w:pPr>
    </w:p>
    <w:p w14:paraId="7B20761D"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significant vacancy factor within the CAMHS service and the active recruitment to increase capacity and thus improve performance outputs.</w:t>
      </w:r>
    </w:p>
    <w:p w14:paraId="27602EDF" w14:textId="77777777" w:rsidR="005740C8" w:rsidRDefault="005740C8" w:rsidP="005740C8">
      <w:pPr>
        <w:pStyle w:val="ListParagraph"/>
        <w:rPr>
          <w:rFonts w:ascii="Arial" w:hAnsi="Arial" w:cs="Arial"/>
          <w:sz w:val="24"/>
          <w:szCs w:val="24"/>
        </w:rPr>
      </w:pPr>
    </w:p>
    <w:tbl>
      <w:tblPr>
        <w:tblStyle w:val="TableGrid"/>
        <w:tblW w:w="9351" w:type="dxa"/>
        <w:tblLayout w:type="fixed"/>
        <w:tblLook w:val="04A0" w:firstRow="1" w:lastRow="0" w:firstColumn="1" w:lastColumn="0" w:noHBand="0" w:noVBand="1"/>
      </w:tblPr>
      <w:tblGrid>
        <w:gridCol w:w="1809"/>
        <w:gridCol w:w="29"/>
        <w:gridCol w:w="5783"/>
        <w:gridCol w:w="1730"/>
      </w:tblGrid>
      <w:tr w:rsidR="00034194" w:rsidRPr="00034194" w14:paraId="482C0A63" w14:textId="77777777" w:rsidTr="00AC37B7">
        <w:tc>
          <w:tcPr>
            <w:tcW w:w="9351" w:type="dxa"/>
            <w:gridSpan w:val="4"/>
            <w:shd w:val="clear" w:color="auto" w:fill="D5DCE4" w:themeFill="text2" w:themeFillTint="33"/>
          </w:tcPr>
          <w:p w14:paraId="2A70E5C9" w14:textId="43C4FA44" w:rsidR="00034194" w:rsidRPr="00034194" w:rsidRDefault="0020539A" w:rsidP="00AC37B7">
            <w:pPr>
              <w:rPr>
                <w:rFonts w:ascii="Arial" w:hAnsi="Arial" w:cs="Arial"/>
                <w:sz w:val="24"/>
                <w:szCs w:val="24"/>
              </w:rPr>
            </w:pPr>
            <w:r>
              <w:rPr>
                <w:rFonts w:ascii="Arial" w:hAnsi="Arial" w:cs="Arial"/>
                <w:b/>
                <w:sz w:val="24"/>
                <w:szCs w:val="24"/>
              </w:rPr>
              <w:t>Governance and Assurance</w:t>
            </w:r>
          </w:p>
        </w:tc>
      </w:tr>
      <w:tr w:rsidR="00F5324A" w:rsidRPr="00034194" w14:paraId="3AD8A854" w14:textId="77777777" w:rsidTr="00AC37B7">
        <w:tc>
          <w:tcPr>
            <w:tcW w:w="1809" w:type="dxa"/>
            <w:vMerge w:val="restart"/>
          </w:tcPr>
          <w:p w14:paraId="5C9764E9" w14:textId="77777777" w:rsidR="00F5324A" w:rsidRDefault="00F5324A">
            <w:pPr>
              <w:rPr>
                <w:rFonts w:ascii="Arial" w:hAnsi="Arial" w:cs="Arial"/>
                <w:b/>
                <w:sz w:val="24"/>
                <w:szCs w:val="24"/>
              </w:rPr>
            </w:pPr>
            <w:r>
              <w:rPr>
                <w:rFonts w:ascii="Arial" w:hAnsi="Arial" w:cs="Arial"/>
                <w:b/>
                <w:sz w:val="24"/>
                <w:szCs w:val="24"/>
              </w:rPr>
              <w:t>Link to Enabling Objectives</w:t>
            </w:r>
          </w:p>
          <w:p w14:paraId="37071C8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542" w:type="dxa"/>
            <w:gridSpan w:val="3"/>
            <w:shd w:val="clear" w:color="auto" w:fill="BDD6EE" w:themeFill="accent1" w:themeFillTint="66"/>
          </w:tcPr>
          <w:p w14:paraId="26DE57B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35B4B2" w14:textId="77777777" w:rsidTr="00AC37B7">
        <w:tc>
          <w:tcPr>
            <w:tcW w:w="1809" w:type="dxa"/>
            <w:vMerge/>
          </w:tcPr>
          <w:p w14:paraId="24BE80F9" w14:textId="77777777" w:rsidR="00F5324A" w:rsidRPr="00034194" w:rsidRDefault="00F5324A">
            <w:pPr>
              <w:rPr>
                <w:rFonts w:ascii="Arial" w:hAnsi="Arial" w:cs="Arial"/>
                <w:b/>
                <w:sz w:val="24"/>
                <w:szCs w:val="24"/>
              </w:rPr>
            </w:pPr>
          </w:p>
        </w:tc>
        <w:tc>
          <w:tcPr>
            <w:tcW w:w="5812" w:type="dxa"/>
            <w:gridSpan w:val="2"/>
          </w:tcPr>
          <w:p w14:paraId="3B669DD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730" w:type="dxa"/>
              </w:tcPr>
              <w:p w14:paraId="6AC2CCBF" w14:textId="4A2EDD44"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41AFE7" w14:textId="77777777" w:rsidTr="00AC37B7">
        <w:tc>
          <w:tcPr>
            <w:tcW w:w="1809" w:type="dxa"/>
            <w:vMerge/>
          </w:tcPr>
          <w:p w14:paraId="7D61ED6C" w14:textId="77777777" w:rsidR="00F5324A" w:rsidRPr="00034194" w:rsidRDefault="00F5324A">
            <w:pPr>
              <w:rPr>
                <w:rFonts w:ascii="Arial" w:hAnsi="Arial" w:cs="Arial"/>
                <w:b/>
                <w:sz w:val="24"/>
                <w:szCs w:val="24"/>
              </w:rPr>
            </w:pPr>
          </w:p>
        </w:tc>
        <w:tc>
          <w:tcPr>
            <w:tcW w:w="5812" w:type="dxa"/>
            <w:gridSpan w:val="2"/>
          </w:tcPr>
          <w:p w14:paraId="30DE437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730" w:type="dxa"/>
              </w:tcPr>
              <w:p w14:paraId="59D00AF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A593A2" w14:textId="77777777" w:rsidTr="00AC37B7">
        <w:tc>
          <w:tcPr>
            <w:tcW w:w="1809" w:type="dxa"/>
            <w:vMerge/>
          </w:tcPr>
          <w:p w14:paraId="7C05E24B" w14:textId="77777777" w:rsidR="00F5324A" w:rsidRPr="00034194" w:rsidRDefault="00F5324A">
            <w:pPr>
              <w:rPr>
                <w:rFonts w:ascii="Arial" w:hAnsi="Arial" w:cs="Arial"/>
                <w:b/>
                <w:sz w:val="24"/>
                <w:szCs w:val="24"/>
              </w:rPr>
            </w:pPr>
          </w:p>
        </w:tc>
        <w:tc>
          <w:tcPr>
            <w:tcW w:w="5812" w:type="dxa"/>
            <w:gridSpan w:val="2"/>
          </w:tcPr>
          <w:p w14:paraId="08C74BF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730" w:type="dxa"/>
              </w:tcPr>
              <w:p w14:paraId="60BADC62" w14:textId="74253090"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0F064" w14:textId="77777777" w:rsidTr="00AC37B7">
        <w:tc>
          <w:tcPr>
            <w:tcW w:w="1809" w:type="dxa"/>
            <w:vMerge/>
          </w:tcPr>
          <w:p w14:paraId="1A1DAD9B" w14:textId="77777777" w:rsidR="00F5324A" w:rsidRPr="00034194" w:rsidRDefault="00F5324A" w:rsidP="00C107F2">
            <w:pPr>
              <w:rPr>
                <w:rFonts w:ascii="Arial" w:hAnsi="Arial" w:cs="Arial"/>
                <w:b/>
                <w:sz w:val="24"/>
                <w:szCs w:val="24"/>
              </w:rPr>
            </w:pPr>
          </w:p>
        </w:tc>
        <w:tc>
          <w:tcPr>
            <w:tcW w:w="7542" w:type="dxa"/>
            <w:gridSpan w:val="3"/>
            <w:shd w:val="clear" w:color="auto" w:fill="BDD6EE" w:themeFill="accent1" w:themeFillTint="66"/>
          </w:tcPr>
          <w:p w14:paraId="7F99E1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54350E" w14:textId="77777777" w:rsidTr="00AC37B7">
        <w:tc>
          <w:tcPr>
            <w:tcW w:w="1809" w:type="dxa"/>
            <w:vMerge/>
          </w:tcPr>
          <w:p w14:paraId="00C31A8D" w14:textId="77777777" w:rsidR="00F5324A" w:rsidRPr="00034194" w:rsidRDefault="00F5324A" w:rsidP="00C107F2">
            <w:pPr>
              <w:rPr>
                <w:rFonts w:ascii="Arial" w:hAnsi="Arial" w:cs="Arial"/>
                <w:b/>
                <w:sz w:val="24"/>
                <w:szCs w:val="24"/>
              </w:rPr>
            </w:pPr>
          </w:p>
        </w:tc>
        <w:tc>
          <w:tcPr>
            <w:tcW w:w="5812" w:type="dxa"/>
            <w:gridSpan w:val="2"/>
          </w:tcPr>
          <w:p w14:paraId="57DE4E1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730" w:type="dxa"/>
              </w:tcPr>
              <w:p w14:paraId="0667A5E7" w14:textId="05D06F62"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1F6679" w14:textId="77777777" w:rsidTr="00AC37B7">
        <w:tc>
          <w:tcPr>
            <w:tcW w:w="1809" w:type="dxa"/>
            <w:vMerge/>
          </w:tcPr>
          <w:p w14:paraId="26844563" w14:textId="77777777" w:rsidR="00F5324A" w:rsidRPr="00034194" w:rsidRDefault="00F5324A" w:rsidP="00C107F2">
            <w:pPr>
              <w:rPr>
                <w:rFonts w:ascii="Arial" w:hAnsi="Arial" w:cs="Arial"/>
                <w:b/>
                <w:sz w:val="24"/>
                <w:szCs w:val="24"/>
              </w:rPr>
            </w:pPr>
          </w:p>
        </w:tc>
        <w:tc>
          <w:tcPr>
            <w:tcW w:w="5812" w:type="dxa"/>
            <w:gridSpan w:val="2"/>
          </w:tcPr>
          <w:p w14:paraId="3B669EA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730" w:type="dxa"/>
              </w:tcPr>
              <w:p w14:paraId="6AE0AB7A" w14:textId="391FB16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DF4636" w14:textId="77777777" w:rsidTr="00AC37B7">
        <w:tc>
          <w:tcPr>
            <w:tcW w:w="1809" w:type="dxa"/>
            <w:vMerge/>
          </w:tcPr>
          <w:p w14:paraId="77AB133C" w14:textId="77777777" w:rsidR="00F5324A" w:rsidRPr="00034194" w:rsidRDefault="00F5324A" w:rsidP="00C107F2">
            <w:pPr>
              <w:rPr>
                <w:rFonts w:ascii="Arial" w:hAnsi="Arial" w:cs="Arial"/>
                <w:b/>
                <w:sz w:val="24"/>
                <w:szCs w:val="24"/>
              </w:rPr>
            </w:pPr>
          </w:p>
        </w:tc>
        <w:tc>
          <w:tcPr>
            <w:tcW w:w="5812" w:type="dxa"/>
            <w:gridSpan w:val="2"/>
          </w:tcPr>
          <w:p w14:paraId="790DD87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730" w:type="dxa"/>
              </w:tcPr>
              <w:p w14:paraId="2336F845" w14:textId="4CA5FE48"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55E2D1" w14:textId="77777777" w:rsidTr="00AC37B7">
        <w:tc>
          <w:tcPr>
            <w:tcW w:w="1809" w:type="dxa"/>
            <w:vMerge/>
          </w:tcPr>
          <w:p w14:paraId="2695429C" w14:textId="77777777" w:rsidR="00F5324A" w:rsidRPr="00034194" w:rsidRDefault="00F5324A" w:rsidP="00C107F2">
            <w:pPr>
              <w:rPr>
                <w:rFonts w:ascii="Arial" w:hAnsi="Arial" w:cs="Arial"/>
                <w:b/>
                <w:sz w:val="24"/>
                <w:szCs w:val="24"/>
              </w:rPr>
            </w:pPr>
          </w:p>
        </w:tc>
        <w:tc>
          <w:tcPr>
            <w:tcW w:w="5812" w:type="dxa"/>
            <w:gridSpan w:val="2"/>
          </w:tcPr>
          <w:p w14:paraId="47292EF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730" w:type="dxa"/>
              </w:tcPr>
              <w:p w14:paraId="11FBA0D6" w14:textId="4C039A01"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1FE18B" w14:textId="77777777" w:rsidTr="00AC37B7">
        <w:tc>
          <w:tcPr>
            <w:tcW w:w="1809" w:type="dxa"/>
            <w:vMerge/>
          </w:tcPr>
          <w:p w14:paraId="62EB6B27" w14:textId="77777777" w:rsidR="00F5324A" w:rsidRPr="00034194" w:rsidRDefault="00F5324A" w:rsidP="00C107F2">
            <w:pPr>
              <w:rPr>
                <w:rFonts w:ascii="Arial" w:hAnsi="Arial" w:cs="Arial"/>
                <w:b/>
                <w:sz w:val="24"/>
                <w:szCs w:val="24"/>
              </w:rPr>
            </w:pPr>
          </w:p>
        </w:tc>
        <w:tc>
          <w:tcPr>
            <w:tcW w:w="5812" w:type="dxa"/>
            <w:gridSpan w:val="2"/>
          </w:tcPr>
          <w:p w14:paraId="7C7AA17D" w14:textId="5AF48F67" w:rsidR="00AC37B7" w:rsidRPr="00F5324A" w:rsidRDefault="00F5324A" w:rsidP="00AC37B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730" w:type="dxa"/>
              </w:tcPr>
              <w:p w14:paraId="07922EF3" w14:textId="3D0DEBA3"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C2684A" w14:textId="77777777" w:rsidTr="00AC37B7">
        <w:tc>
          <w:tcPr>
            <w:tcW w:w="9351" w:type="dxa"/>
            <w:gridSpan w:val="4"/>
            <w:shd w:val="clear" w:color="auto" w:fill="D5DCE4" w:themeFill="text2" w:themeFillTint="33"/>
          </w:tcPr>
          <w:p w14:paraId="781C4CF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C03C7B" w14:textId="77777777" w:rsidTr="00AC37B7">
        <w:tc>
          <w:tcPr>
            <w:tcW w:w="1809" w:type="dxa"/>
            <w:vMerge w:val="restart"/>
          </w:tcPr>
          <w:p w14:paraId="6D27CBC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AC0821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730" w:type="dxa"/>
              </w:tcPr>
              <w:p w14:paraId="364C1B4D" w14:textId="25924F79" w:rsidR="00F5324A" w:rsidRPr="00C95B3C" w:rsidRDefault="005740C8"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ABC012F" w14:textId="77777777" w:rsidTr="00AC37B7">
        <w:tc>
          <w:tcPr>
            <w:tcW w:w="1809" w:type="dxa"/>
            <w:vMerge/>
          </w:tcPr>
          <w:p w14:paraId="09DCF68E" w14:textId="77777777" w:rsidR="00F5324A" w:rsidRPr="00FA0CA9" w:rsidRDefault="00F5324A" w:rsidP="00F5324A">
            <w:pPr>
              <w:rPr>
                <w:rFonts w:ascii="Arial" w:hAnsi="Arial" w:cs="Arial"/>
                <w:b/>
                <w:sz w:val="24"/>
                <w:szCs w:val="24"/>
              </w:rPr>
            </w:pPr>
          </w:p>
        </w:tc>
        <w:tc>
          <w:tcPr>
            <w:tcW w:w="5812" w:type="dxa"/>
            <w:gridSpan w:val="2"/>
          </w:tcPr>
          <w:p w14:paraId="7CEB5E1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730" w:type="dxa"/>
              </w:tcPr>
              <w:p w14:paraId="6C8523D1" w14:textId="2FB524A5"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CD72CBA" w14:textId="77777777" w:rsidTr="00AC37B7">
        <w:tc>
          <w:tcPr>
            <w:tcW w:w="1809" w:type="dxa"/>
            <w:vMerge/>
          </w:tcPr>
          <w:p w14:paraId="29865672" w14:textId="77777777" w:rsidR="00F5324A" w:rsidRPr="00FA0CA9" w:rsidRDefault="00F5324A" w:rsidP="00F5324A">
            <w:pPr>
              <w:rPr>
                <w:rFonts w:ascii="Arial" w:hAnsi="Arial" w:cs="Arial"/>
                <w:b/>
                <w:sz w:val="24"/>
                <w:szCs w:val="24"/>
              </w:rPr>
            </w:pPr>
          </w:p>
        </w:tc>
        <w:tc>
          <w:tcPr>
            <w:tcW w:w="5812" w:type="dxa"/>
            <w:gridSpan w:val="2"/>
          </w:tcPr>
          <w:p w14:paraId="21AF1C3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730" w:type="dxa"/>
              </w:tcPr>
              <w:p w14:paraId="55DB65A4" w14:textId="34823A66"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11E087" w14:textId="77777777" w:rsidTr="00AC37B7">
        <w:tc>
          <w:tcPr>
            <w:tcW w:w="1809" w:type="dxa"/>
            <w:vMerge/>
          </w:tcPr>
          <w:p w14:paraId="45DBC7D7" w14:textId="77777777" w:rsidR="00F5324A" w:rsidRPr="00FA0CA9" w:rsidRDefault="00F5324A" w:rsidP="00F5324A">
            <w:pPr>
              <w:rPr>
                <w:rFonts w:ascii="Arial" w:hAnsi="Arial" w:cs="Arial"/>
                <w:b/>
                <w:sz w:val="24"/>
                <w:szCs w:val="24"/>
              </w:rPr>
            </w:pPr>
          </w:p>
        </w:tc>
        <w:tc>
          <w:tcPr>
            <w:tcW w:w="5812" w:type="dxa"/>
            <w:gridSpan w:val="2"/>
          </w:tcPr>
          <w:p w14:paraId="1B8E6F0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730" w:type="dxa"/>
              </w:tcPr>
              <w:p w14:paraId="4245426B" w14:textId="71B0145C"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C80AFD" w14:textId="77777777" w:rsidTr="00AC37B7">
        <w:tc>
          <w:tcPr>
            <w:tcW w:w="1809" w:type="dxa"/>
            <w:vMerge/>
          </w:tcPr>
          <w:p w14:paraId="26DF9D32" w14:textId="77777777" w:rsidR="00F5324A" w:rsidRPr="00FA0CA9" w:rsidRDefault="00F5324A" w:rsidP="00F5324A">
            <w:pPr>
              <w:rPr>
                <w:rFonts w:ascii="Arial" w:hAnsi="Arial" w:cs="Arial"/>
                <w:b/>
                <w:sz w:val="24"/>
                <w:szCs w:val="24"/>
              </w:rPr>
            </w:pPr>
          </w:p>
        </w:tc>
        <w:tc>
          <w:tcPr>
            <w:tcW w:w="5812" w:type="dxa"/>
            <w:gridSpan w:val="2"/>
          </w:tcPr>
          <w:p w14:paraId="6B9E4E4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730" w:type="dxa"/>
              </w:tcPr>
              <w:p w14:paraId="332D955E" w14:textId="067B894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EC5E75" w14:textId="77777777" w:rsidTr="00AC37B7">
        <w:tc>
          <w:tcPr>
            <w:tcW w:w="1809" w:type="dxa"/>
            <w:vMerge/>
          </w:tcPr>
          <w:p w14:paraId="735A95ED" w14:textId="77777777" w:rsidR="00F5324A" w:rsidRPr="00FA0CA9" w:rsidRDefault="00F5324A" w:rsidP="00F5324A">
            <w:pPr>
              <w:rPr>
                <w:rFonts w:ascii="Arial" w:hAnsi="Arial" w:cs="Arial"/>
                <w:b/>
                <w:sz w:val="24"/>
                <w:szCs w:val="24"/>
              </w:rPr>
            </w:pPr>
          </w:p>
        </w:tc>
        <w:tc>
          <w:tcPr>
            <w:tcW w:w="5812" w:type="dxa"/>
            <w:gridSpan w:val="2"/>
          </w:tcPr>
          <w:p w14:paraId="7536956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730" w:type="dxa"/>
              </w:tcPr>
              <w:p w14:paraId="4A0EE823" w14:textId="224E23E2"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50B64C" w14:textId="77777777" w:rsidTr="00AC37B7">
        <w:tc>
          <w:tcPr>
            <w:tcW w:w="1809" w:type="dxa"/>
            <w:vMerge/>
          </w:tcPr>
          <w:p w14:paraId="5EF07CE1" w14:textId="77777777" w:rsidR="00F5324A" w:rsidRPr="00FA0CA9" w:rsidRDefault="00F5324A" w:rsidP="00F5324A">
            <w:pPr>
              <w:rPr>
                <w:rFonts w:ascii="Arial" w:hAnsi="Arial" w:cs="Arial"/>
                <w:b/>
                <w:sz w:val="24"/>
                <w:szCs w:val="24"/>
              </w:rPr>
            </w:pPr>
          </w:p>
        </w:tc>
        <w:tc>
          <w:tcPr>
            <w:tcW w:w="5812" w:type="dxa"/>
            <w:gridSpan w:val="2"/>
          </w:tcPr>
          <w:p w14:paraId="4AF39D6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730" w:type="dxa"/>
              </w:tcPr>
              <w:p w14:paraId="7EEB48B1" w14:textId="476AA371"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DFB1A9" w14:textId="77777777" w:rsidTr="00AC37B7">
        <w:tc>
          <w:tcPr>
            <w:tcW w:w="9351" w:type="dxa"/>
            <w:gridSpan w:val="4"/>
            <w:shd w:val="clear" w:color="auto" w:fill="D5DCE4" w:themeFill="text2" w:themeFillTint="33"/>
          </w:tcPr>
          <w:p w14:paraId="6A6E4F2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C0E4412" w14:textId="77777777" w:rsidTr="00AC37B7">
        <w:tc>
          <w:tcPr>
            <w:tcW w:w="9351" w:type="dxa"/>
            <w:gridSpan w:val="4"/>
          </w:tcPr>
          <w:p w14:paraId="3BB5B40E"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Quality audits of the Care and Treatment plans in place.</w:t>
            </w:r>
          </w:p>
          <w:p w14:paraId="44C94D56"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Concern re the reduced performance in relation to CTP compliance in adult services.</w:t>
            </w:r>
          </w:p>
          <w:p w14:paraId="48AC7B98" w14:textId="79A8A452" w:rsidR="00F5324A" w:rsidRPr="00FA0CA9" w:rsidRDefault="005740C8" w:rsidP="005740C8">
            <w:pPr>
              <w:rPr>
                <w:rFonts w:ascii="Arial" w:hAnsi="Arial" w:cs="Arial"/>
                <w:b/>
                <w:sz w:val="24"/>
                <w:szCs w:val="24"/>
              </w:rPr>
            </w:pPr>
            <w:r w:rsidRPr="005740C8">
              <w:rPr>
                <w:rFonts w:ascii="Arial" w:hAnsi="Arial" w:cs="Arial"/>
                <w:sz w:val="24"/>
                <w:szCs w:val="24"/>
              </w:rPr>
              <w:t>Patient access challenges within the CAMHS service due to workforce fragility and reduced capacity.</w:t>
            </w:r>
          </w:p>
        </w:tc>
      </w:tr>
      <w:tr w:rsidR="00F5324A" w:rsidRPr="00034194" w14:paraId="085B4D26" w14:textId="77777777" w:rsidTr="00AC37B7">
        <w:tc>
          <w:tcPr>
            <w:tcW w:w="9351" w:type="dxa"/>
            <w:gridSpan w:val="4"/>
            <w:shd w:val="clear" w:color="auto" w:fill="D5DCE4" w:themeFill="text2" w:themeFillTint="33"/>
          </w:tcPr>
          <w:p w14:paraId="6A5635D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6854BF1" w14:textId="77777777" w:rsidTr="00AC37B7">
        <w:tc>
          <w:tcPr>
            <w:tcW w:w="9351" w:type="dxa"/>
            <w:gridSpan w:val="4"/>
          </w:tcPr>
          <w:p w14:paraId="2917F100" w14:textId="1BE281C8"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financial implications.</w:t>
            </w:r>
          </w:p>
        </w:tc>
      </w:tr>
      <w:tr w:rsidR="00F5324A" w:rsidRPr="00BC241D" w14:paraId="4A2987EF" w14:textId="77777777" w:rsidTr="00AC37B7">
        <w:tc>
          <w:tcPr>
            <w:tcW w:w="9351" w:type="dxa"/>
            <w:gridSpan w:val="4"/>
            <w:shd w:val="clear" w:color="auto" w:fill="D5DCE4" w:themeFill="text2" w:themeFillTint="33"/>
          </w:tcPr>
          <w:p w14:paraId="12BF263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41C3AA3" w14:textId="77777777" w:rsidTr="00AC37B7">
        <w:tc>
          <w:tcPr>
            <w:tcW w:w="9351" w:type="dxa"/>
            <w:gridSpan w:val="4"/>
          </w:tcPr>
          <w:p w14:paraId="526FBFC1" w14:textId="7B3F43F8" w:rsidR="00F5324A" w:rsidRPr="00FA0CA9" w:rsidRDefault="005740C8" w:rsidP="005740C8">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14:paraId="752276A5" w14:textId="77777777" w:rsidTr="00AC37B7">
        <w:tc>
          <w:tcPr>
            <w:tcW w:w="9351" w:type="dxa"/>
            <w:gridSpan w:val="4"/>
            <w:shd w:val="clear" w:color="auto" w:fill="D5DCE4" w:themeFill="text2" w:themeFillTint="33"/>
          </w:tcPr>
          <w:p w14:paraId="6A024BC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19EBCD2" w14:textId="77777777" w:rsidTr="00AC37B7">
        <w:tc>
          <w:tcPr>
            <w:tcW w:w="9351" w:type="dxa"/>
            <w:gridSpan w:val="4"/>
          </w:tcPr>
          <w:p w14:paraId="049274FD" w14:textId="1F685E16"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staffing implications as a result of this report.</w:t>
            </w:r>
          </w:p>
        </w:tc>
      </w:tr>
      <w:tr w:rsidR="00F5324A" w:rsidRPr="00034194" w14:paraId="41563F46" w14:textId="77777777" w:rsidTr="00AC37B7">
        <w:tc>
          <w:tcPr>
            <w:tcW w:w="9351" w:type="dxa"/>
            <w:gridSpan w:val="4"/>
            <w:shd w:val="clear" w:color="auto" w:fill="D5DCE4" w:themeFill="text2" w:themeFillTint="33"/>
          </w:tcPr>
          <w:p w14:paraId="41BE6C87"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5B09A3" w14:textId="77777777" w:rsidTr="00AC37B7">
        <w:tc>
          <w:tcPr>
            <w:tcW w:w="9351" w:type="dxa"/>
            <w:gridSpan w:val="4"/>
          </w:tcPr>
          <w:p w14:paraId="66038039" w14:textId="2BEA3C44" w:rsidR="00F5324A" w:rsidRPr="00FA0CA9" w:rsidRDefault="005740C8" w:rsidP="005740C8">
            <w:pPr>
              <w:ind w:right="96"/>
              <w:rPr>
                <w:rFonts w:ascii="Arial" w:hAnsi="Arial" w:cs="Arial"/>
                <w:color w:val="FF0000"/>
                <w:sz w:val="24"/>
                <w:szCs w:val="24"/>
              </w:rPr>
            </w:pPr>
            <w:r w:rsidRPr="007C500E">
              <w:rPr>
                <w:rFonts w:ascii="Arial" w:hAnsi="Arial" w:cs="Arial"/>
                <w:color w:val="000000"/>
                <w:sz w:val="24"/>
                <w:szCs w:val="24"/>
              </w:rPr>
              <w:t>The actions outlined in the report support the five ways of working outlined in the Act. Swansea Bay UHB is working collaboratively with local authorities for the completion of care and treatment plans. We are monitoring this to provide timely interventions which helps to prevent peoples conditions getting worse.</w:t>
            </w:r>
          </w:p>
        </w:tc>
      </w:tr>
      <w:tr w:rsidR="00653AEC" w:rsidRPr="00034194" w14:paraId="23FDA8A6" w14:textId="77777777" w:rsidTr="00AC37B7">
        <w:tc>
          <w:tcPr>
            <w:tcW w:w="1838" w:type="dxa"/>
            <w:gridSpan w:val="2"/>
          </w:tcPr>
          <w:p w14:paraId="528D808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513" w:type="dxa"/>
            <w:gridSpan w:val="2"/>
          </w:tcPr>
          <w:p w14:paraId="157426B5" w14:textId="774CCF01" w:rsidR="00653AEC" w:rsidRPr="00FA0CA9" w:rsidRDefault="005740C8" w:rsidP="005740C8">
            <w:pPr>
              <w:ind w:right="96"/>
              <w:rPr>
                <w:rFonts w:ascii="Arial" w:hAnsi="Arial" w:cs="Arial"/>
                <w:color w:val="FF0000"/>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653AEC" w:rsidRPr="00034194" w14:paraId="023A4C3D" w14:textId="77777777" w:rsidTr="00AC37B7">
        <w:tc>
          <w:tcPr>
            <w:tcW w:w="1838" w:type="dxa"/>
            <w:gridSpan w:val="2"/>
          </w:tcPr>
          <w:p w14:paraId="553BB94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513" w:type="dxa"/>
            <w:gridSpan w:val="2"/>
          </w:tcPr>
          <w:p w14:paraId="3B983C9B" w14:textId="45244E58" w:rsidR="008965CA" w:rsidRPr="00AC37B7" w:rsidRDefault="008965CA" w:rsidP="008965CA">
            <w:pPr>
              <w:rPr>
                <w:rFonts w:ascii="Arial" w:hAnsi="Arial" w:cs="Arial"/>
                <w:b/>
              </w:rPr>
            </w:pPr>
            <w:r w:rsidRPr="00AC37B7">
              <w:rPr>
                <w:rFonts w:ascii="Arial" w:hAnsi="Arial" w:cs="Arial"/>
                <w:b/>
                <w:i/>
              </w:rPr>
              <w:t>Appendix 1</w:t>
            </w:r>
            <w:r w:rsidRPr="00AC37B7">
              <w:rPr>
                <w:rFonts w:ascii="Arial" w:hAnsi="Arial" w:cs="Arial"/>
                <w:b/>
              </w:rPr>
              <w:t xml:space="preserve"> - </w:t>
            </w:r>
            <w:r w:rsidRPr="00AC37B7">
              <w:rPr>
                <w:rFonts w:ascii="Arial" w:hAnsi="Arial" w:cs="Arial"/>
              </w:rPr>
              <w:t xml:space="preserve">Part 1 Local Primary Mental Health Support Services Measure - Assessments by the Local Primary Mental Health (LPMHSS) undertaken within 28 days of referrals </w:t>
            </w:r>
            <w:r w:rsidRPr="00AC37B7">
              <w:rPr>
                <w:rFonts w:ascii="Arial" w:hAnsi="Arial" w:cs="Arial"/>
                <w:b/>
              </w:rPr>
              <w:t>– target 80%</w:t>
            </w:r>
          </w:p>
          <w:p w14:paraId="1CDE5146" w14:textId="1D421E7A" w:rsidR="008965CA" w:rsidRPr="00AC37B7" w:rsidRDefault="008965CA" w:rsidP="008965CA">
            <w:pPr>
              <w:rPr>
                <w:rFonts w:ascii="Arial" w:hAnsi="Arial" w:cs="Arial"/>
                <w:b/>
              </w:rPr>
            </w:pPr>
          </w:p>
          <w:p w14:paraId="290A7D13" w14:textId="77777777" w:rsidR="008965CA" w:rsidRPr="00AC37B7" w:rsidRDefault="008965CA" w:rsidP="008965CA">
            <w:pPr>
              <w:rPr>
                <w:rFonts w:ascii="Arial" w:hAnsi="Arial" w:cs="Arial"/>
                <w:b/>
              </w:rPr>
            </w:pPr>
            <w:r w:rsidRPr="00AC37B7">
              <w:rPr>
                <w:rFonts w:ascii="Arial" w:hAnsi="Arial" w:cs="Arial"/>
                <w:b/>
                <w:i/>
              </w:rPr>
              <w:t>Appendix 2</w:t>
            </w:r>
            <w:r w:rsidRPr="00AC37B7">
              <w:rPr>
                <w:rFonts w:ascii="Arial" w:hAnsi="Arial" w:cs="Arial"/>
                <w:b/>
              </w:rPr>
              <w:t xml:space="preserve">- </w:t>
            </w:r>
            <w:r w:rsidRPr="00AC37B7">
              <w:rPr>
                <w:rFonts w:ascii="Arial" w:hAnsi="Arial" w:cs="Arial"/>
              </w:rPr>
              <w:t xml:space="preserve">Part 1 Local Primary Mental Health Support Services Measure - Interventions (either on an individual or group basis) started within 28 days following an assessment by LPMHSS – </w:t>
            </w:r>
            <w:r w:rsidRPr="00AC37B7">
              <w:rPr>
                <w:rFonts w:ascii="Arial" w:hAnsi="Arial" w:cs="Arial"/>
                <w:b/>
              </w:rPr>
              <w:t>target 80%</w:t>
            </w:r>
          </w:p>
          <w:p w14:paraId="0C97E95E" w14:textId="0D0929A0" w:rsidR="008965CA" w:rsidRPr="00AC37B7" w:rsidRDefault="008965CA" w:rsidP="008965CA">
            <w:pPr>
              <w:rPr>
                <w:rFonts w:ascii="Arial" w:hAnsi="Arial" w:cs="Arial"/>
                <w:b/>
              </w:rPr>
            </w:pPr>
          </w:p>
          <w:p w14:paraId="2C562532" w14:textId="77777777" w:rsidR="00653AEC" w:rsidRPr="00AC37B7" w:rsidRDefault="008965CA" w:rsidP="008965CA">
            <w:pPr>
              <w:ind w:right="96"/>
              <w:rPr>
                <w:rFonts w:ascii="Arial" w:eastAsia="Times New Roman" w:hAnsi="Arial" w:cs="Arial"/>
                <w:b/>
                <w:bCs/>
                <w:color w:val="000000"/>
                <w:lang w:eastAsia="en-GB"/>
              </w:rPr>
            </w:pPr>
            <w:r w:rsidRPr="00AC37B7">
              <w:rPr>
                <w:rFonts w:ascii="Arial" w:hAnsi="Arial" w:cs="Arial"/>
                <w:b/>
                <w:i/>
              </w:rPr>
              <w:t>Appendix 3 -</w:t>
            </w:r>
            <w:r w:rsidRPr="00AC37B7">
              <w:rPr>
                <w:rFonts w:ascii="Arial" w:eastAsia="Times New Roman" w:hAnsi="Arial" w:cs="Arial"/>
                <w:bCs/>
                <w:color w:val="000000"/>
                <w:lang w:eastAsia="en-GB"/>
              </w:rPr>
              <w:t xml:space="preserve">Percentage of patients who are in receipt of secondary care mental health services have a valid care and treatment plan (CTP) at end of month </w:t>
            </w:r>
            <w:r w:rsidRPr="00AC37B7">
              <w:rPr>
                <w:rFonts w:ascii="Arial" w:eastAsia="Times New Roman" w:hAnsi="Arial" w:cs="Arial"/>
                <w:b/>
                <w:bCs/>
                <w:color w:val="000000"/>
                <w:lang w:eastAsia="en-GB"/>
              </w:rPr>
              <w:t>– target 90%</w:t>
            </w:r>
          </w:p>
          <w:p w14:paraId="6B9CD3F7" w14:textId="77777777" w:rsidR="008965CA" w:rsidRPr="00AC37B7" w:rsidRDefault="008965CA" w:rsidP="008965CA">
            <w:pPr>
              <w:ind w:right="96"/>
              <w:rPr>
                <w:rFonts w:ascii="Arial" w:eastAsia="Times New Roman" w:hAnsi="Arial" w:cs="Arial"/>
                <w:b/>
                <w:bCs/>
                <w:color w:val="000000"/>
                <w:lang w:eastAsia="en-GB"/>
              </w:rPr>
            </w:pPr>
          </w:p>
          <w:p w14:paraId="17C13659" w14:textId="74FC6A93" w:rsidR="008965CA" w:rsidRPr="00AC37B7" w:rsidRDefault="008965CA" w:rsidP="008965CA">
            <w:pPr>
              <w:rPr>
                <w:rFonts w:ascii="Arial" w:hAnsi="Arial" w:cs="Arial"/>
                <w:b/>
              </w:rPr>
            </w:pPr>
            <w:r w:rsidRPr="00AC37B7">
              <w:rPr>
                <w:rFonts w:ascii="Arial" w:hAnsi="Arial" w:cs="Arial"/>
                <w:b/>
                <w:i/>
              </w:rPr>
              <w:t>Appendix 4 -</w:t>
            </w:r>
            <w:r w:rsidRPr="00AC37B7">
              <w:rPr>
                <w:rFonts w:ascii="Arial" w:hAnsi="Arial" w:cs="Arial"/>
              </w:rPr>
              <w:t xml:space="preserve">Part 3 Mental Health Measure (self-referrals and timely assessments) – </w:t>
            </w:r>
            <w:r w:rsidRPr="00AC37B7">
              <w:rPr>
                <w:rFonts w:ascii="Arial" w:hAnsi="Arial" w:cs="Arial"/>
                <w:b/>
              </w:rPr>
              <w:t>target 100%.  Data is not reported on all wales level.</w:t>
            </w:r>
          </w:p>
          <w:p w14:paraId="1291753A" w14:textId="77777777" w:rsidR="00AC37B7" w:rsidRPr="00AC37B7" w:rsidRDefault="00AC37B7" w:rsidP="008965CA">
            <w:pPr>
              <w:rPr>
                <w:rFonts w:ascii="Arial" w:hAnsi="Arial" w:cs="Arial"/>
                <w:b/>
              </w:rPr>
            </w:pPr>
          </w:p>
          <w:p w14:paraId="6B56F678" w14:textId="74F978F3" w:rsidR="008965CA" w:rsidRPr="00AC37B7" w:rsidRDefault="008965CA" w:rsidP="00AC37B7">
            <w:pPr>
              <w:rPr>
                <w:rFonts w:ascii="Arial" w:hAnsi="Arial" w:cs="Arial"/>
                <w:color w:val="FF0000"/>
              </w:rPr>
            </w:pPr>
            <w:r w:rsidRPr="00AC37B7">
              <w:rPr>
                <w:rFonts w:ascii="Arial" w:hAnsi="Arial" w:cs="Arial"/>
                <w:b/>
                <w:i/>
              </w:rPr>
              <w:t>Appendix 5</w:t>
            </w:r>
            <w:r w:rsidRPr="00AC37B7">
              <w:rPr>
                <w:rFonts w:ascii="Arial" w:hAnsi="Arial" w:cs="Arial"/>
                <w:i/>
              </w:rPr>
              <w:t xml:space="preserve"> - </w:t>
            </w:r>
            <w:r w:rsidRPr="00AC37B7">
              <w:rPr>
                <w:rFonts w:ascii="Arial" w:hAnsi="Arial" w:cs="Arial"/>
              </w:rPr>
              <w:t xml:space="preserve">Part 4 Mental Health Measure (Advocacy) – </w:t>
            </w:r>
            <w:r w:rsidRPr="00AC37B7">
              <w:rPr>
                <w:rFonts w:ascii="Arial" w:hAnsi="Arial" w:cs="Arial"/>
                <w:b/>
              </w:rPr>
              <w:t>target 100% (reported quarterly)</w:t>
            </w:r>
          </w:p>
        </w:tc>
      </w:tr>
    </w:tbl>
    <w:p w14:paraId="118B7058"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6602A5" w14:textId="77777777" w:rsidR="002C3DD6" w:rsidRDefault="002C3DD6" w:rsidP="00C107F2">
      <w:pPr>
        <w:spacing w:after="0" w:line="240" w:lineRule="auto"/>
      </w:pPr>
      <w:r>
        <w:separator/>
      </w:r>
    </w:p>
  </w:endnote>
  <w:endnote w:type="continuationSeparator" w:id="0">
    <w:p w14:paraId="7AE60D40"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52577189"/>
      <w:docPartObj>
        <w:docPartGallery w:val="Page Numbers (Bottom of Page)"/>
        <w:docPartUnique/>
      </w:docPartObj>
    </w:sdtPr>
    <w:sdtEndPr>
      <w:rPr>
        <w:noProof/>
      </w:rPr>
    </w:sdtEndPr>
    <w:sdtContent>
      <w:p w14:paraId="754E6484" w14:textId="77777777" w:rsidR="00CD32EE" w:rsidRDefault="00CD32EE">
        <w:pPr>
          <w:pStyle w:val="Footer"/>
          <w:jc w:val="right"/>
          <w:rPr>
            <w:noProof/>
          </w:rPr>
        </w:pPr>
        <w:r w:rsidRPr="00767E3E">
          <w:rPr>
            <w:noProof/>
            <w:lang w:eastAsia="en-GB"/>
          </w:rPr>
          <w:drawing>
            <wp:anchor distT="0" distB="0" distL="114300" distR="114300" simplePos="0" relativeHeight="251661312" behindDoc="1" locked="0" layoutInCell="1" allowOverlap="1" wp14:anchorId="180E5D69" wp14:editId="55AEE607">
              <wp:simplePos x="0" y="0"/>
              <wp:positionH relativeFrom="column">
                <wp:posOffset>-101600</wp:posOffset>
              </wp:positionH>
              <wp:positionV relativeFrom="paragraph">
                <wp:posOffset>-33020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29EC0FD8" w14:textId="121B1A5E" w:rsidR="00CD32EE" w:rsidRDefault="00CD32EE">
        <w:pPr>
          <w:pStyle w:val="Footer"/>
          <w:jc w:val="right"/>
        </w:pPr>
        <w:r>
          <w:rPr>
            <w:noProof/>
          </w:rPr>
          <w:t>Mental Health Legislation Committee – Tuesday, 10</w:t>
        </w:r>
        <w:r w:rsidRPr="00CD32EE">
          <w:rPr>
            <w:noProof/>
            <w:vertAlign w:val="superscript"/>
          </w:rPr>
          <w:t>th</w:t>
        </w:r>
        <w:r>
          <w:rPr>
            <w:noProof/>
          </w:rPr>
          <w:t xml:space="preserve"> September </w:t>
        </w:r>
      </w:p>
    </w:sdtContent>
  </w:sdt>
  <w:p w14:paraId="276A73EA" w14:textId="4C5D27C9"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3492AC" w14:textId="77777777" w:rsidR="002C3DD6" w:rsidRDefault="002C3DD6" w:rsidP="00C107F2">
      <w:pPr>
        <w:spacing w:after="0" w:line="240" w:lineRule="auto"/>
      </w:pPr>
      <w:r>
        <w:separator/>
      </w:r>
    </w:p>
  </w:footnote>
  <w:footnote w:type="continuationSeparator" w:id="0">
    <w:p w14:paraId="376043F8"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28E1AF" w14:textId="569C6708" w:rsidR="00767E3E" w:rsidRDefault="00CA6D65">
    <w:pPr>
      <w:pStyle w:val="Header"/>
    </w:pPr>
    <w:r>
      <w:rPr>
        <w:noProof/>
        <w:lang w:eastAsia="en-GB"/>
      </w:rPr>
      <w:drawing>
        <wp:anchor distT="0" distB="0" distL="114300" distR="114300" simplePos="0" relativeHeight="251659264" behindDoc="1" locked="0" layoutInCell="1" allowOverlap="1" wp14:anchorId="71E6DCF3" wp14:editId="2AD41406">
          <wp:simplePos x="0" y="0"/>
          <wp:positionH relativeFrom="margin">
            <wp:align>center</wp:align>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asciiTheme="minorHAnsi" w:hAnsiTheme="minorHAnsi" w:cstheme="minorBidi" w:hint="default"/>
        <w:b w:val="0"/>
        <w:color w:val="FF0000"/>
        <w:sz w:val="22"/>
      </w:rPr>
    </w:lvl>
    <w:lvl w:ilvl="1">
      <w:start w:val="2"/>
      <w:numFmt w:val="decimal"/>
      <w:lvlText w:val="%1.%2"/>
      <w:lvlJc w:val="left"/>
      <w:pPr>
        <w:ind w:left="360" w:hanging="360"/>
      </w:pPr>
      <w:rPr>
        <w:rFonts w:asciiTheme="minorHAnsi" w:hAnsiTheme="minorHAnsi" w:cstheme="minorBidi" w:hint="default"/>
        <w:b w:val="0"/>
        <w:color w:val="FF0000"/>
        <w:sz w:val="22"/>
      </w:rPr>
    </w:lvl>
    <w:lvl w:ilvl="2">
      <w:start w:val="1"/>
      <w:numFmt w:val="decimal"/>
      <w:lvlText w:val="%1.%2.%3"/>
      <w:lvlJc w:val="left"/>
      <w:pPr>
        <w:ind w:left="720" w:hanging="720"/>
      </w:pPr>
      <w:rPr>
        <w:rFonts w:asciiTheme="minorHAnsi" w:hAnsiTheme="minorHAnsi" w:cstheme="minorBidi" w:hint="default"/>
        <w:b w:val="0"/>
        <w:color w:val="FF0000"/>
        <w:sz w:val="22"/>
      </w:rPr>
    </w:lvl>
    <w:lvl w:ilvl="3">
      <w:start w:val="1"/>
      <w:numFmt w:val="decimal"/>
      <w:lvlText w:val="%1.%2.%3.%4"/>
      <w:lvlJc w:val="left"/>
      <w:pPr>
        <w:ind w:left="1080" w:hanging="1080"/>
      </w:pPr>
      <w:rPr>
        <w:rFonts w:asciiTheme="minorHAnsi" w:hAnsiTheme="minorHAnsi" w:cstheme="minorBidi" w:hint="default"/>
        <w:b w:val="0"/>
        <w:color w:val="FF0000"/>
        <w:sz w:val="22"/>
      </w:rPr>
    </w:lvl>
    <w:lvl w:ilvl="4">
      <w:start w:val="1"/>
      <w:numFmt w:val="decimal"/>
      <w:lvlText w:val="%1.%2.%3.%4.%5"/>
      <w:lvlJc w:val="left"/>
      <w:pPr>
        <w:ind w:left="1080" w:hanging="1080"/>
      </w:pPr>
      <w:rPr>
        <w:rFonts w:asciiTheme="minorHAnsi" w:hAnsiTheme="minorHAnsi" w:cstheme="minorBidi" w:hint="default"/>
        <w:b w:val="0"/>
        <w:color w:val="FF0000"/>
        <w:sz w:val="22"/>
      </w:rPr>
    </w:lvl>
    <w:lvl w:ilvl="5">
      <w:start w:val="1"/>
      <w:numFmt w:val="decimal"/>
      <w:lvlText w:val="%1.%2.%3.%4.%5.%6"/>
      <w:lvlJc w:val="left"/>
      <w:pPr>
        <w:ind w:left="1440" w:hanging="1440"/>
      </w:pPr>
      <w:rPr>
        <w:rFonts w:asciiTheme="minorHAnsi" w:hAnsiTheme="minorHAnsi" w:cstheme="minorBidi" w:hint="default"/>
        <w:b w:val="0"/>
        <w:color w:val="FF0000"/>
        <w:sz w:val="22"/>
      </w:rPr>
    </w:lvl>
    <w:lvl w:ilvl="6">
      <w:start w:val="1"/>
      <w:numFmt w:val="decimal"/>
      <w:lvlText w:val="%1.%2.%3.%4.%5.%6.%7"/>
      <w:lvlJc w:val="left"/>
      <w:pPr>
        <w:ind w:left="1440" w:hanging="1440"/>
      </w:pPr>
      <w:rPr>
        <w:rFonts w:asciiTheme="minorHAnsi" w:hAnsiTheme="minorHAnsi" w:cstheme="minorBidi" w:hint="default"/>
        <w:b w:val="0"/>
        <w:color w:val="FF0000"/>
        <w:sz w:val="22"/>
      </w:rPr>
    </w:lvl>
    <w:lvl w:ilvl="7">
      <w:start w:val="1"/>
      <w:numFmt w:val="decimal"/>
      <w:lvlText w:val="%1.%2.%3.%4.%5.%6.%7.%8"/>
      <w:lvlJc w:val="left"/>
      <w:pPr>
        <w:ind w:left="1800" w:hanging="1800"/>
      </w:pPr>
      <w:rPr>
        <w:rFonts w:asciiTheme="minorHAnsi" w:hAnsiTheme="minorHAnsi" w:cstheme="minorBidi" w:hint="default"/>
        <w:b w:val="0"/>
        <w:color w:val="FF0000"/>
        <w:sz w:val="22"/>
      </w:rPr>
    </w:lvl>
    <w:lvl w:ilvl="8">
      <w:start w:val="1"/>
      <w:numFmt w:val="decimal"/>
      <w:lvlText w:val="%1.%2.%3.%4.%5.%6.%7.%8.%9"/>
      <w:lvlJc w:val="left"/>
      <w:pPr>
        <w:ind w:left="1800" w:hanging="1800"/>
      </w:pPr>
      <w:rPr>
        <w:rFonts w:asciiTheme="minorHAnsi" w:hAnsiTheme="minorHAnsi" w:cstheme="minorBidi" w:hint="default"/>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94419174">
    <w:abstractNumId w:val="0"/>
  </w:num>
  <w:num w:numId="2" w16cid:durableId="2121952219">
    <w:abstractNumId w:val="6"/>
  </w:num>
  <w:num w:numId="3" w16cid:durableId="1965189846">
    <w:abstractNumId w:val="5"/>
  </w:num>
  <w:num w:numId="4" w16cid:durableId="1633902885">
    <w:abstractNumId w:val="4"/>
  </w:num>
  <w:num w:numId="5" w16cid:durableId="645403366">
    <w:abstractNumId w:val="2"/>
  </w:num>
  <w:num w:numId="6" w16cid:durableId="1488983832">
    <w:abstractNumId w:val="12"/>
  </w:num>
  <w:num w:numId="7" w16cid:durableId="1632175388">
    <w:abstractNumId w:val="14"/>
  </w:num>
  <w:num w:numId="8" w16cid:durableId="2097170755">
    <w:abstractNumId w:val="7"/>
  </w:num>
  <w:num w:numId="9" w16cid:durableId="1648899834">
    <w:abstractNumId w:val="8"/>
  </w:num>
  <w:num w:numId="10" w16cid:durableId="273485399">
    <w:abstractNumId w:val="11"/>
  </w:num>
  <w:num w:numId="11" w16cid:durableId="1188444302">
    <w:abstractNumId w:val="3"/>
  </w:num>
  <w:num w:numId="12" w16cid:durableId="2078815400">
    <w:abstractNumId w:val="9"/>
  </w:num>
  <w:num w:numId="13" w16cid:durableId="1233999965">
    <w:abstractNumId w:val="13"/>
  </w:num>
  <w:num w:numId="14" w16cid:durableId="815999973">
    <w:abstractNumId w:val="10"/>
  </w:num>
  <w:num w:numId="15" w16cid:durableId="6627071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443A"/>
    <w:rsid w:val="00083FC0"/>
    <w:rsid w:val="00084F90"/>
    <w:rsid w:val="000F361B"/>
    <w:rsid w:val="00133EA1"/>
    <w:rsid w:val="00157BB7"/>
    <w:rsid w:val="0016096B"/>
    <w:rsid w:val="00162ACE"/>
    <w:rsid w:val="0020539A"/>
    <w:rsid w:val="00233330"/>
    <w:rsid w:val="00241662"/>
    <w:rsid w:val="00261D9F"/>
    <w:rsid w:val="00296CD9"/>
    <w:rsid w:val="002C3DD6"/>
    <w:rsid w:val="002F42EC"/>
    <w:rsid w:val="003324CB"/>
    <w:rsid w:val="003C0FF8"/>
    <w:rsid w:val="00414894"/>
    <w:rsid w:val="00461835"/>
    <w:rsid w:val="0046705A"/>
    <w:rsid w:val="00516544"/>
    <w:rsid w:val="0052297E"/>
    <w:rsid w:val="005740C8"/>
    <w:rsid w:val="00585277"/>
    <w:rsid w:val="005D1652"/>
    <w:rsid w:val="005D4CFC"/>
    <w:rsid w:val="0062438F"/>
    <w:rsid w:val="00653AEC"/>
    <w:rsid w:val="00655190"/>
    <w:rsid w:val="00657937"/>
    <w:rsid w:val="006620D8"/>
    <w:rsid w:val="00662218"/>
    <w:rsid w:val="00685AE0"/>
    <w:rsid w:val="006A2356"/>
    <w:rsid w:val="006D1998"/>
    <w:rsid w:val="00711095"/>
    <w:rsid w:val="0072604C"/>
    <w:rsid w:val="00756BAC"/>
    <w:rsid w:val="00762BBE"/>
    <w:rsid w:val="00767E3E"/>
    <w:rsid w:val="00865024"/>
    <w:rsid w:val="008965CA"/>
    <w:rsid w:val="008C15D9"/>
    <w:rsid w:val="008D0747"/>
    <w:rsid w:val="009112DC"/>
    <w:rsid w:val="009421FB"/>
    <w:rsid w:val="00944A89"/>
    <w:rsid w:val="009D4094"/>
    <w:rsid w:val="009E7AF7"/>
    <w:rsid w:val="00AC37B7"/>
    <w:rsid w:val="00AD064D"/>
    <w:rsid w:val="00AD3C57"/>
    <w:rsid w:val="00B215F8"/>
    <w:rsid w:val="00B35ECC"/>
    <w:rsid w:val="00BC241D"/>
    <w:rsid w:val="00C107F2"/>
    <w:rsid w:val="00C2478C"/>
    <w:rsid w:val="00C33A04"/>
    <w:rsid w:val="00C40DE4"/>
    <w:rsid w:val="00C95B3C"/>
    <w:rsid w:val="00CA6D65"/>
    <w:rsid w:val="00CD32EE"/>
    <w:rsid w:val="00CD7AA5"/>
    <w:rsid w:val="00DA76AD"/>
    <w:rsid w:val="00DE7490"/>
    <w:rsid w:val="00E015DC"/>
    <w:rsid w:val="00E11667"/>
    <w:rsid w:val="00E242E5"/>
    <w:rsid w:val="00F05286"/>
    <w:rsid w:val="00F06D6F"/>
    <w:rsid w:val="00F11CD2"/>
    <w:rsid w:val="00F453DD"/>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F4AB99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1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657937"/>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145AE-1716-4F16-B52D-D359B39CD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1440</Words>
  <Characters>8211</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2024-08-28T15:01:00Z</dcterms:created>
  <dcterms:modified xsi:type="dcterms:W3CDTF">2024-08-28T15:01:00Z</dcterms:modified>
</cp:coreProperties>
</file>