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782" w:type="dxa"/>
        <w:tblInd w:w="-431" w:type="dxa"/>
        <w:tblLayout w:type="fixed"/>
        <w:tblLook w:val="04A0" w:firstRow="1" w:lastRow="0" w:firstColumn="1" w:lastColumn="0" w:noHBand="0" w:noVBand="1"/>
      </w:tblPr>
      <w:tblGrid>
        <w:gridCol w:w="2836"/>
        <w:gridCol w:w="1985"/>
        <w:gridCol w:w="1701"/>
        <w:gridCol w:w="1701"/>
        <w:gridCol w:w="383"/>
        <w:gridCol w:w="1176"/>
      </w:tblGrid>
      <w:tr w:rsidRPr="00F8567E" w:rsidR="00083FC0" w:rsidTr="0C103216" w14:paraId="6D2903E2" w14:textId="77777777">
        <w:tc>
          <w:tcPr>
            <w:tcW w:w="2836"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686" w:type="dxa"/>
            <w:gridSpan w:val="2"/>
            <w:tcMar/>
          </w:tcPr>
          <w:p w:rsidRPr="00F8567E" w:rsidR="00F5082D" w:rsidP="00FA0CA9" w:rsidRDefault="008A6E83" w14:paraId="6D2903DF" w14:textId="2844575F">
            <w:pPr>
              <w:rPr>
                <w:rFonts w:ascii="Verdana" w:hAnsi="Verdana" w:cs="Arial"/>
                <w:b/>
                <w:sz w:val="24"/>
                <w:szCs w:val="24"/>
              </w:rPr>
            </w:pPr>
            <w:r>
              <w:rPr>
                <w:rFonts w:ascii="Verdana" w:hAnsi="Verdana" w:cs="Arial"/>
                <w:b/>
                <w:sz w:val="24"/>
                <w:szCs w:val="24"/>
              </w:rPr>
              <w:t>03 February 2026</w:t>
            </w:r>
          </w:p>
        </w:tc>
        <w:tc>
          <w:tcPr>
            <w:tcW w:w="2084" w:type="dxa"/>
            <w:gridSpan w:val="2"/>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1176" w:type="dxa"/>
            <w:tcMar/>
          </w:tcPr>
          <w:p w:rsidRPr="00F8567E" w:rsidR="00F5082D" w:rsidP="0C103216" w:rsidRDefault="00F5082D" w14:paraId="6D2903E1" w14:textId="76698563">
            <w:pPr>
              <w:rPr>
                <w:rFonts w:ascii="Verdana" w:hAnsi="Verdana" w:cs="Arial"/>
                <w:b w:val="1"/>
                <w:bCs w:val="1"/>
                <w:sz w:val="24"/>
                <w:szCs w:val="24"/>
              </w:rPr>
            </w:pPr>
            <w:r w:rsidRPr="0C103216" w:rsidR="7368200C">
              <w:rPr>
                <w:rFonts w:ascii="Verdana" w:hAnsi="Verdana" w:cs="Arial"/>
                <w:b w:val="1"/>
                <w:bCs w:val="1"/>
                <w:sz w:val="24"/>
                <w:szCs w:val="24"/>
              </w:rPr>
              <w:t>6.1</w:t>
            </w:r>
          </w:p>
        </w:tc>
      </w:tr>
      <w:tr w:rsidRPr="00F8567E" w:rsidR="00B0479E" w:rsidTr="0C103216" w14:paraId="1EEB45B2" w14:textId="77777777">
        <w:tc>
          <w:tcPr>
            <w:tcW w:w="2836"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946" w:type="dxa"/>
            <w:gridSpan w:val="5"/>
            <w:tcMar/>
          </w:tcPr>
          <w:p w:rsidRPr="00F8567E" w:rsidR="00B0479E" w:rsidP="00FA0CA9" w:rsidRDefault="008A6E83" w14:paraId="5687483E" w14:textId="47C35388">
            <w:pPr>
              <w:rPr>
                <w:rFonts w:ascii="Verdana" w:hAnsi="Verdana" w:cs="Arial"/>
                <w:b/>
                <w:sz w:val="24"/>
                <w:szCs w:val="24"/>
                <w:highlight w:val="yellow"/>
              </w:rPr>
            </w:pPr>
            <w:r w:rsidRPr="0019517F">
              <w:rPr>
                <w:rFonts w:ascii="Verdana" w:hAnsi="Verdana" w:cs="Arial"/>
                <w:b/>
                <w:sz w:val="24"/>
                <w:szCs w:val="24"/>
              </w:rPr>
              <w:t>Mental Health</w:t>
            </w:r>
            <w:r w:rsidRPr="0019517F" w:rsidR="0019517F">
              <w:rPr>
                <w:rFonts w:ascii="Verdana" w:hAnsi="Verdana" w:cs="Arial"/>
                <w:b/>
                <w:sz w:val="24"/>
                <w:szCs w:val="24"/>
              </w:rPr>
              <w:t xml:space="preserve"> Legislation Committee</w:t>
            </w:r>
          </w:p>
        </w:tc>
      </w:tr>
      <w:tr w:rsidRPr="00F8567E" w:rsidR="00083FC0" w:rsidTr="0C103216" w14:paraId="6D2903E5" w14:textId="77777777">
        <w:tc>
          <w:tcPr>
            <w:tcW w:w="2836" w:type="dxa"/>
            <w:tcMar/>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946" w:type="dxa"/>
            <w:gridSpan w:val="5"/>
            <w:tcMar/>
          </w:tcPr>
          <w:p w:rsidRPr="00F8567E" w:rsidR="00034194" w:rsidP="00FA0CA9" w:rsidRDefault="0019517F" w14:paraId="6D2903E4" w14:textId="44108B6A">
            <w:pPr>
              <w:rPr>
                <w:rFonts w:ascii="Verdana" w:hAnsi="Verdana" w:cs="Arial"/>
                <w:b/>
                <w:sz w:val="24"/>
                <w:szCs w:val="24"/>
              </w:rPr>
            </w:pPr>
            <w:r>
              <w:rPr>
                <w:rFonts w:ascii="Verdana" w:hAnsi="Verdana" w:cs="Arial"/>
                <w:b/>
                <w:sz w:val="24"/>
                <w:szCs w:val="24"/>
              </w:rPr>
              <w:t>Healthcare Inspectorate Wales</w:t>
            </w:r>
            <w:r w:rsidR="00327B85">
              <w:rPr>
                <w:rFonts w:ascii="Verdana" w:hAnsi="Verdana" w:cs="Arial"/>
                <w:b/>
                <w:sz w:val="24"/>
                <w:szCs w:val="24"/>
              </w:rPr>
              <w:t xml:space="preserve"> (HIW)</w:t>
            </w:r>
            <w:r>
              <w:rPr>
                <w:rFonts w:ascii="Verdana" w:hAnsi="Verdana" w:cs="Arial"/>
                <w:b/>
                <w:sz w:val="24"/>
                <w:szCs w:val="24"/>
              </w:rPr>
              <w:t xml:space="preserve">: </w:t>
            </w:r>
            <w:r w:rsidRPr="00BF30E4" w:rsidR="00BF30E4">
              <w:rPr>
                <w:rFonts w:ascii="Verdana" w:hAnsi="Verdana" w:cs="Arial"/>
                <w:b/>
                <w:sz w:val="24"/>
                <w:szCs w:val="24"/>
              </w:rPr>
              <w:t>Mental Health, Learning Disability Services and Mental Health Act Monitoring Annual Report 2024-2025</w:t>
            </w:r>
          </w:p>
        </w:tc>
      </w:tr>
      <w:tr w:rsidRPr="00F8567E" w:rsidR="00083FC0" w:rsidTr="0C103216" w14:paraId="6D2903E8" w14:textId="77777777">
        <w:tc>
          <w:tcPr>
            <w:tcW w:w="2836" w:type="dxa"/>
            <w:tcMar/>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946" w:type="dxa"/>
            <w:gridSpan w:val="5"/>
            <w:tcMar/>
          </w:tcPr>
          <w:p w:rsidRPr="00F8567E" w:rsidR="00034194" w:rsidP="00FA0CA9" w:rsidRDefault="00520962" w14:paraId="6D2903E7" w14:textId="31FE284C">
            <w:pPr>
              <w:rPr>
                <w:rFonts w:ascii="Verdana" w:hAnsi="Verdana" w:cs="Arial"/>
                <w:sz w:val="24"/>
                <w:szCs w:val="24"/>
              </w:rPr>
            </w:pPr>
            <w:r>
              <w:rPr>
                <w:rFonts w:ascii="Verdana" w:hAnsi="Verdana" w:cs="Arial"/>
                <w:sz w:val="24"/>
                <w:szCs w:val="24"/>
              </w:rPr>
              <w:t>Neil Thomas, Assistant Head of Risk &amp; Assurance</w:t>
            </w:r>
          </w:p>
        </w:tc>
      </w:tr>
      <w:tr w:rsidRPr="00F8567E" w:rsidR="00762BBE" w:rsidTr="0C103216" w14:paraId="6D2903EB" w14:textId="77777777">
        <w:tc>
          <w:tcPr>
            <w:tcW w:w="2836" w:type="dxa"/>
            <w:tcMar/>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946" w:type="dxa"/>
            <w:gridSpan w:val="5"/>
            <w:tcMar/>
          </w:tcPr>
          <w:p w:rsidRPr="00F8567E" w:rsidR="00762BBE" w:rsidP="00762BBE" w:rsidRDefault="00520962" w14:paraId="6D2903EA" w14:textId="3A5897FB">
            <w:pPr>
              <w:rPr>
                <w:rFonts w:ascii="Verdana" w:hAnsi="Verdana" w:cs="Arial"/>
                <w:sz w:val="24"/>
                <w:szCs w:val="24"/>
              </w:rPr>
            </w:pPr>
            <w:r>
              <w:rPr>
                <w:rFonts w:ascii="Verdana" w:hAnsi="Verdana" w:cs="Arial"/>
                <w:sz w:val="24"/>
                <w:szCs w:val="24"/>
              </w:rPr>
              <w:t>Hazel Lloyd, Director of Corporate Governance</w:t>
            </w:r>
          </w:p>
        </w:tc>
      </w:tr>
      <w:tr w:rsidRPr="00F8567E" w:rsidR="00762BBE" w:rsidTr="0C103216" w14:paraId="6D2903EE" w14:textId="77777777">
        <w:tc>
          <w:tcPr>
            <w:tcW w:w="2836" w:type="dxa"/>
            <w:tcMar/>
          </w:tcPr>
          <w:p w:rsidRPr="00F8567E" w:rsidR="00762BBE" w:rsidP="00762BBE"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946" w:type="dxa"/>
            <w:gridSpan w:val="5"/>
            <w:tcMar/>
          </w:tcPr>
          <w:p w:rsidRPr="00F8567E" w:rsidR="00762BBE" w:rsidP="00762BBE" w:rsidRDefault="00520962" w14:paraId="6D2903ED" w14:textId="18318A08">
            <w:pPr>
              <w:rPr>
                <w:rFonts w:ascii="Verdana" w:hAnsi="Verdana" w:cs="Arial"/>
                <w:sz w:val="24"/>
                <w:szCs w:val="24"/>
              </w:rPr>
            </w:pPr>
            <w:r>
              <w:rPr>
                <w:rFonts w:ascii="Verdana" w:hAnsi="Verdana" w:cs="Arial"/>
                <w:sz w:val="24"/>
                <w:szCs w:val="24"/>
              </w:rPr>
              <w:t>Hazel Lloyd, Director of Corporate Governance</w:t>
            </w:r>
          </w:p>
        </w:tc>
      </w:tr>
      <w:tr w:rsidRPr="00F8567E" w:rsidR="00653AEC" w:rsidTr="0C103216" w14:paraId="6D2903F1" w14:textId="77777777">
        <w:tc>
          <w:tcPr>
            <w:tcW w:w="2836" w:type="dxa"/>
            <w:tcMar/>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946" w:type="dxa"/>
            <w:gridSpan w:val="5"/>
            <w:tcMar/>
          </w:tcPr>
          <w:p w:rsidRPr="00F8567E" w:rsidR="00653AEC" w:rsidP="00653AEC" w:rsidRDefault="00653AEC" w14:paraId="6D2903F0" w14:textId="3F892574">
            <w:pPr>
              <w:rPr>
                <w:rFonts w:ascii="Verdana" w:hAnsi="Verdana" w:cs="Arial"/>
                <w:sz w:val="24"/>
                <w:szCs w:val="24"/>
              </w:rPr>
            </w:pPr>
            <w:r w:rsidRPr="00F8567E">
              <w:rPr>
                <w:rFonts w:ascii="Verdana" w:hAnsi="Verdana" w:cs="Arial"/>
                <w:color w:val="FF0000"/>
                <w:sz w:val="24"/>
                <w:szCs w:val="24"/>
              </w:rPr>
              <w:t xml:space="preserve">Open </w:t>
            </w:r>
          </w:p>
        </w:tc>
      </w:tr>
      <w:tr w:rsidRPr="00F8567E" w:rsidR="00653AEC" w:rsidTr="0C103216" w14:paraId="6D2903F8" w14:textId="77777777">
        <w:tc>
          <w:tcPr>
            <w:tcW w:w="2836" w:type="dxa"/>
            <w:tcMar/>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946" w:type="dxa"/>
            <w:gridSpan w:val="5"/>
            <w:tcMar/>
          </w:tcPr>
          <w:p w:rsidRPr="00051922" w:rsidR="00F770C1" w:rsidP="00F770C1" w:rsidRDefault="00F770C1" w14:paraId="5348F766" w14:textId="77777777">
            <w:pPr>
              <w:rPr>
                <w:rFonts w:ascii="Verdana" w:hAnsi="Verdana" w:cs="Arial"/>
                <w:b/>
                <w:sz w:val="24"/>
                <w:szCs w:val="24"/>
              </w:rPr>
            </w:pPr>
            <w:r w:rsidRPr="00051922">
              <w:rPr>
                <w:rFonts w:ascii="Verdana" w:hAnsi="Verdana" w:cs="Arial"/>
                <w:sz w:val="24"/>
                <w:szCs w:val="24"/>
              </w:rPr>
              <w:t xml:space="preserve">The purpose of this report is to present the Healthcare Inspectorate Wales (HIW) </w:t>
            </w:r>
            <w:r w:rsidRPr="00051922">
              <w:rPr>
                <w:rFonts w:ascii="Verdana" w:hAnsi="Verdana" w:cs="Arial"/>
                <w:i/>
                <w:iCs/>
                <w:sz w:val="24"/>
                <w:szCs w:val="24"/>
              </w:rPr>
              <w:t>Mental Health, Learning Disability Services and Mental Health Act Monitoring Annual Report 2024-2025</w:t>
            </w:r>
            <w:r w:rsidRPr="00051922">
              <w:rPr>
                <w:rFonts w:ascii="Verdana" w:hAnsi="Verdana" w:cs="Arial"/>
                <w:sz w:val="24"/>
                <w:szCs w:val="24"/>
              </w:rPr>
              <w:t xml:space="preserve"> for the information of Committee members.</w:t>
            </w:r>
          </w:p>
          <w:p w:rsidRPr="00F8567E" w:rsidR="00653AEC" w:rsidP="00653AEC" w:rsidRDefault="00653AEC" w14:paraId="6D2903F7" w14:textId="77777777">
            <w:pPr>
              <w:rPr>
                <w:rFonts w:ascii="Verdana" w:hAnsi="Verdana" w:cs="Arial"/>
                <w:sz w:val="24"/>
                <w:szCs w:val="24"/>
              </w:rPr>
            </w:pPr>
          </w:p>
        </w:tc>
      </w:tr>
      <w:tr w:rsidRPr="00F8567E" w:rsidR="00653AEC" w:rsidTr="0C103216" w14:paraId="6D290402" w14:textId="77777777">
        <w:tc>
          <w:tcPr>
            <w:tcW w:w="2836" w:type="dxa"/>
            <w:tcMar/>
          </w:tcPr>
          <w:p w:rsidRPr="00F770C1" w:rsidR="00653AEC" w:rsidP="00653AEC" w:rsidRDefault="00653AEC" w14:paraId="6D2903F9" w14:textId="77777777">
            <w:pPr>
              <w:rPr>
                <w:rFonts w:ascii="Verdana" w:hAnsi="Verdana" w:cs="Arial"/>
                <w:b/>
                <w:sz w:val="24"/>
                <w:szCs w:val="24"/>
              </w:rPr>
            </w:pPr>
            <w:r w:rsidRPr="00F770C1">
              <w:rPr>
                <w:rFonts w:ascii="Verdana" w:hAnsi="Verdana" w:cs="Arial"/>
                <w:b/>
                <w:sz w:val="24"/>
                <w:szCs w:val="24"/>
              </w:rPr>
              <w:t>Key Issues</w:t>
            </w:r>
          </w:p>
          <w:p w:rsidRPr="00F770C1" w:rsidR="00653AEC" w:rsidP="00653AEC" w:rsidRDefault="00653AEC" w14:paraId="6D2903FA" w14:textId="77777777">
            <w:pPr>
              <w:rPr>
                <w:rFonts w:ascii="Verdana" w:hAnsi="Verdana" w:cs="Arial"/>
                <w:b/>
                <w:sz w:val="24"/>
                <w:szCs w:val="24"/>
              </w:rPr>
            </w:pPr>
          </w:p>
          <w:p w:rsidRPr="00F770C1" w:rsidR="00653AEC" w:rsidP="00653AEC" w:rsidRDefault="00653AEC" w14:paraId="6D2903FB" w14:textId="77777777">
            <w:pPr>
              <w:rPr>
                <w:rFonts w:ascii="Verdana" w:hAnsi="Verdana" w:cs="Arial"/>
                <w:b/>
                <w:sz w:val="24"/>
                <w:szCs w:val="24"/>
              </w:rPr>
            </w:pPr>
          </w:p>
          <w:p w:rsidRPr="00F770C1" w:rsidR="00653AEC" w:rsidP="00653AEC" w:rsidRDefault="00653AEC" w14:paraId="6D2903FC" w14:textId="77777777">
            <w:pPr>
              <w:rPr>
                <w:rFonts w:ascii="Verdana" w:hAnsi="Verdana" w:cs="Arial"/>
                <w:b/>
                <w:sz w:val="24"/>
                <w:szCs w:val="24"/>
              </w:rPr>
            </w:pPr>
          </w:p>
        </w:tc>
        <w:tc>
          <w:tcPr>
            <w:tcW w:w="6946" w:type="dxa"/>
            <w:gridSpan w:val="5"/>
            <w:tcMar/>
          </w:tcPr>
          <w:p w:rsidRPr="00F770C1" w:rsidR="00653AEC" w:rsidP="00653AEC" w:rsidRDefault="00327B85" w14:paraId="6D2903FE" w14:textId="599FF104">
            <w:pPr>
              <w:rPr>
                <w:rFonts w:ascii="Verdana" w:hAnsi="Verdana" w:cs="Arial"/>
                <w:sz w:val="24"/>
                <w:szCs w:val="24"/>
              </w:rPr>
            </w:pPr>
            <w:r w:rsidRPr="00F770C1">
              <w:rPr>
                <w:rFonts w:ascii="Verdana" w:hAnsi="Verdana" w:cs="Arial"/>
                <w:sz w:val="24"/>
                <w:szCs w:val="24"/>
              </w:rPr>
              <w:t xml:space="preserve">The report sets out </w:t>
            </w:r>
            <w:r w:rsidRPr="00F770C1">
              <w:rPr>
                <w:rFonts w:ascii="Verdana" w:hAnsi="Verdana" w:cs="Arial"/>
                <w:sz w:val="24"/>
                <w:szCs w:val="24"/>
              </w:rPr>
              <w:t xml:space="preserve">HIW </w:t>
            </w:r>
            <w:r w:rsidRPr="00F770C1">
              <w:rPr>
                <w:rFonts w:ascii="Verdana" w:hAnsi="Verdana" w:cs="Arial"/>
                <w:sz w:val="24"/>
                <w:szCs w:val="24"/>
              </w:rPr>
              <w:t>assurance activity and findings during the period from April 2024 to March 2025 and explores the standards of care being delivered by mental health and learning disability healthcare services across Wales during this time.</w:t>
            </w:r>
          </w:p>
          <w:p w:rsidRPr="00F770C1" w:rsidR="00653AEC" w:rsidP="00653AEC" w:rsidRDefault="00653AEC" w14:paraId="6D290401" w14:textId="77777777">
            <w:pPr>
              <w:rPr>
                <w:rFonts w:ascii="Verdana" w:hAnsi="Verdana" w:cs="Arial"/>
                <w:sz w:val="24"/>
                <w:szCs w:val="24"/>
              </w:rPr>
            </w:pPr>
          </w:p>
        </w:tc>
      </w:tr>
      <w:tr w:rsidRPr="00F8567E" w:rsidR="00762BBE" w:rsidTr="0C103216" w14:paraId="6D290409" w14:textId="77777777">
        <w:trPr>
          <w:trHeight w:val="97"/>
        </w:trPr>
        <w:tc>
          <w:tcPr>
            <w:tcW w:w="2836"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985"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01" w:type="dxa"/>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70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59"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0C103216" w14:paraId="6D29040F" w14:textId="77777777">
        <w:trPr>
          <w:trHeight w:val="96"/>
        </w:trPr>
        <w:tc>
          <w:tcPr>
            <w:tcW w:w="2836"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Content>
            <w:tc>
              <w:tcPr>
                <w:tcW w:w="1985" w:type="dxa"/>
                <w:tcMar/>
              </w:tcPr>
              <w:p w:rsidRPr="00F8567E" w:rsidR="00762BBE" w:rsidP="00762BBE" w:rsidRDefault="00F770C1" w14:paraId="6D29040B" w14:textId="1D894F70">
                <w:pPr>
                  <w:ind w:right="96"/>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01" w:type="dxa"/>
                <w:tcMar/>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701" w:type="dxa"/>
                <w:tcMar/>
              </w:tcPr>
              <w:p w:rsidRPr="00F8567E" w:rsidR="00762BBE" w:rsidP="00762BBE" w:rsidRDefault="00762BBE" w14:paraId="6D29040D"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59"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EndPr>
            <w:rPr>
              <w:rFonts w:ascii="Verdana" w:hAnsi="Verdana" w:cs="Arial"/>
              <w:sz w:val="24"/>
              <w:szCs w:val="24"/>
            </w:rPr>
          </w:sdtEndPr>
        </w:sdt>
      </w:tr>
      <w:tr w:rsidRPr="00F8567E" w:rsidR="00762BBE" w:rsidTr="0C103216" w14:paraId="6D290418" w14:textId="77777777">
        <w:tc>
          <w:tcPr>
            <w:tcW w:w="2836" w:type="dxa"/>
            <w:tcMar/>
          </w:tcPr>
          <w:p w:rsidRPr="00187973" w:rsidR="00762BBE" w:rsidP="00762BBE" w:rsidRDefault="00762BBE" w14:paraId="6D290410" w14:textId="77777777">
            <w:pPr>
              <w:rPr>
                <w:rFonts w:ascii="Verdana" w:hAnsi="Verdana" w:cs="Arial"/>
                <w:b/>
                <w:sz w:val="24"/>
                <w:szCs w:val="24"/>
              </w:rPr>
            </w:pPr>
            <w:r w:rsidRPr="00187973">
              <w:rPr>
                <w:rFonts w:ascii="Verdana" w:hAnsi="Verdana" w:cs="Arial"/>
                <w:b/>
                <w:sz w:val="24"/>
                <w:szCs w:val="24"/>
              </w:rPr>
              <w:t>Recommendations</w:t>
            </w:r>
          </w:p>
          <w:p w:rsidRPr="00187973" w:rsidR="00762BBE" w:rsidP="00762BBE" w:rsidRDefault="00762BBE" w14:paraId="6D290411" w14:textId="77777777">
            <w:pPr>
              <w:rPr>
                <w:rFonts w:ascii="Verdana" w:hAnsi="Verdana" w:cs="Arial"/>
                <w:b/>
                <w:sz w:val="24"/>
                <w:szCs w:val="24"/>
              </w:rPr>
            </w:pPr>
          </w:p>
        </w:tc>
        <w:tc>
          <w:tcPr>
            <w:tcW w:w="6946" w:type="dxa"/>
            <w:gridSpan w:val="5"/>
            <w:tcMar/>
          </w:tcPr>
          <w:p w:rsidRPr="00187973" w:rsidR="00653AEC" w:rsidP="00653AEC" w:rsidRDefault="00653AEC" w14:paraId="6D290412" w14:textId="77777777">
            <w:pPr>
              <w:ind w:right="96"/>
              <w:rPr>
                <w:rFonts w:ascii="Verdana" w:hAnsi="Verdana" w:cs="Arial"/>
                <w:sz w:val="24"/>
                <w:szCs w:val="24"/>
              </w:rPr>
            </w:pPr>
            <w:r w:rsidRPr="00187973">
              <w:rPr>
                <w:rFonts w:ascii="Verdana" w:hAnsi="Verdana" w:cs="Arial"/>
                <w:sz w:val="24"/>
                <w:szCs w:val="24"/>
              </w:rPr>
              <w:t>Members are asked to:</w:t>
            </w:r>
          </w:p>
          <w:p w:rsidRPr="00187973" w:rsidR="00653AEC" w:rsidP="00187973" w:rsidRDefault="00653AEC" w14:paraId="6D290414" w14:textId="785620A4">
            <w:pPr>
              <w:pStyle w:val="ListParagraph"/>
              <w:numPr>
                <w:ilvl w:val="0"/>
                <w:numId w:val="6"/>
              </w:numPr>
              <w:ind w:right="96"/>
              <w:rPr>
                <w:rFonts w:ascii="Verdana" w:hAnsi="Verdana" w:cs="Arial"/>
                <w:b/>
                <w:sz w:val="24"/>
                <w:szCs w:val="24"/>
              </w:rPr>
            </w:pPr>
            <w:r w:rsidRPr="00187973">
              <w:rPr>
                <w:rFonts w:ascii="Verdana" w:hAnsi="Verdana" w:cs="Arial"/>
                <w:b/>
                <w:sz w:val="24"/>
                <w:szCs w:val="24"/>
              </w:rPr>
              <w:t>Receive</w:t>
            </w:r>
            <w:r w:rsidRPr="00187973" w:rsidR="00187973">
              <w:rPr>
                <w:rFonts w:ascii="Verdana" w:hAnsi="Verdana" w:cs="Arial"/>
                <w:b/>
                <w:sz w:val="24"/>
                <w:szCs w:val="24"/>
              </w:rPr>
              <w:t xml:space="preserve"> </w:t>
            </w:r>
            <w:r w:rsidRPr="00187973" w:rsidR="00187973">
              <w:rPr>
                <w:rFonts w:ascii="Verdana" w:hAnsi="Verdana" w:cs="Arial"/>
                <w:bCs/>
                <w:sz w:val="24"/>
                <w:szCs w:val="24"/>
              </w:rPr>
              <w:t>this report for information.</w:t>
            </w:r>
          </w:p>
          <w:p w:rsidRPr="00187973" w:rsidR="00653AEC" w:rsidP="00653AEC" w:rsidRDefault="00653AEC" w14:paraId="6D290416" w14:textId="1B2F221A">
            <w:pPr>
              <w:ind w:right="96"/>
              <w:rPr>
                <w:rFonts w:ascii="Verdana" w:hAnsi="Verdana" w:cs="Arial"/>
                <w:b/>
                <w:sz w:val="24"/>
                <w:szCs w:val="24"/>
                <w:u w:val="single"/>
              </w:rPr>
            </w:pPr>
          </w:p>
          <w:p w:rsidRPr="00187973" w:rsidR="00762BBE" w:rsidP="00653AEC" w:rsidRDefault="00762BBE" w14:paraId="6D290417" w14:textId="77777777">
            <w:pPr>
              <w:pStyle w:val="Default"/>
              <w:rPr>
                <w:rFonts w:ascii="Verdana" w:hAnsi="Verdana" w:cs="Arial"/>
                <w:color w:val="auto"/>
              </w:rPr>
            </w:pPr>
          </w:p>
        </w:tc>
      </w:tr>
    </w:tbl>
    <w:p w:rsidRPr="00F8567E" w:rsidR="0020539A" w:rsidRDefault="0020539A" w14:paraId="6D290419" w14:textId="77777777">
      <w:pPr>
        <w:rPr>
          <w:rFonts w:ascii="Verdana" w:hAnsi="Verdana"/>
          <w:sz w:val="24"/>
          <w:szCs w:val="24"/>
        </w:rPr>
      </w:pPr>
    </w:p>
    <w:p w:rsidR="00141A61" w:rsidP="00653AEC" w:rsidRDefault="0020539A" w14:paraId="0D225BFC" w14:textId="77777777">
      <w:pPr>
        <w:spacing w:after="0" w:line="240" w:lineRule="auto"/>
        <w:jc w:val="center"/>
        <w:rPr>
          <w:rFonts w:ascii="Verdana" w:hAnsi="Verdana" w:cs="Arial"/>
          <w:b/>
          <w:sz w:val="24"/>
          <w:szCs w:val="24"/>
        </w:rPr>
      </w:pPr>
      <w:r w:rsidRPr="00F8567E">
        <w:rPr>
          <w:rFonts w:ascii="Verdana" w:hAnsi="Verdana"/>
          <w:sz w:val="24"/>
          <w:szCs w:val="24"/>
        </w:rPr>
        <w:br w:type="page"/>
      </w:r>
      <w:r w:rsidRPr="00141A61" w:rsidR="00141A61">
        <w:rPr>
          <w:rFonts w:ascii="Verdana" w:hAnsi="Verdana" w:cs="Arial"/>
          <w:b/>
          <w:sz w:val="24"/>
          <w:szCs w:val="24"/>
        </w:rPr>
        <w:lastRenderedPageBreak/>
        <w:t xml:space="preserve">HEALTHCARE INSPECTORATE WALES: </w:t>
      </w:r>
    </w:p>
    <w:p w:rsidRPr="00F8567E" w:rsidR="00653AEC" w:rsidP="00653AEC" w:rsidRDefault="00141A61" w14:paraId="6D29041A" w14:textId="3F49CBF5">
      <w:pPr>
        <w:spacing w:after="0" w:line="240" w:lineRule="auto"/>
        <w:jc w:val="center"/>
        <w:rPr>
          <w:rFonts w:ascii="Verdana" w:hAnsi="Verdana" w:cs="Arial"/>
          <w:b/>
          <w:sz w:val="24"/>
          <w:szCs w:val="24"/>
        </w:rPr>
      </w:pPr>
      <w:r w:rsidRPr="00141A61">
        <w:rPr>
          <w:rFonts w:ascii="Verdana" w:hAnsi="Verdana" w:cs="Arial"/>
          <w:b/>
          <w:sz w:val="24"/>
          <w:szCs w:val="24"/>
        </w:rPr>
        <w:t>MENTAL HEALTH, LEARNING DISABILITY SERVICES AND MENTAL HEALTH ACT MONITORING ANNUAL REPORT 2024-2025</w:t>
      </w:r>
    </w:p>
    <w:p w:rsidRPr="00F8567E" w:rsidR="00653AEC" w:rsidP="00653AEC" w:rsidRDefault="00653AEC" w14:paraId="6D29041B" w14:textId="77777777">
      <w:pPr>
        <w:spacing w:after="0" w:line="240" w:lineRule="auto"/>
        <w:jc w:val="center"/>
        <w:rPr>
          <w:rFonts w:ascii="Verdana" w:hAnsi="Verdana" w:cs="Arial"/>
          <w:b/>
          <w:sz w:val="24"/>
          <w:szCs w:val="24"/>
        </w:rPr>
      </w:pPr>
    </w:p>
    <w:p w:rsidRPr="00F8567E"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Pr="00051922" w:rsidR="00653AEC" w:rsidP="0058764D" w:rsidRDefault="0058764D" w14:paraId="6D29041D" w14:textId="56538537">
      <w:pPr>
        <w:spacing w:after="0" w:line="240" w:lineRule="auto"/>
        <w:rPr>
          <w:rFonts w:ascii="Verdana" w:hAnsi="Verdana" w:cs="Arial"/>
          <w:b/>
          <w:sz w:val="24"/>
          <w:szCs w:val="24"/>
        </w:rPr>
      </w:pPr>
      <w:r w:rsidRPr="00051922">
        <w:rPr>
          <w:rFonts w:ascii="Verdana" w:hAnsi="Verdana" w:cs="Arial"/>
          <w:sz w:val="24"/>
          <w:szCs w:val="24"/>
        </w:rPr>
        <w:t xml:space="preserve">The purpose of this report is to present the </w:t>
      </w:r>
      <w:r w:rsidRPr="00051922">
        <w:rPr>
          <w:rFonts w:ascii="Verdana" w:hAnsi="Verdana" w:cs="Arial"/>
          <w:sz w:val="24"/>
          <w:szCs w:val="24"/>
        </w:rPr>
        <w:t>Healthcare Inspectorate Wales (HIW)</w:t>
      </w:r>
      <w:r w:rsidRPr="00051922">
        <w:rPr>
          <w:rFonts w:ascii="Verdana" w:hAnsi="Verdana" w:cs="Arial"/>
          <w:sz w:val="24"/>
          <w:szCs w:val="24"/>
        </w:rPr>
        <w:t xml:space="preserve"> </w:t>
      </w:r>
      <w:r w:rsidRPr="00051922">
        <w:rPr>
          <w:rFonts w:ascii="Verdana" w:hAnsi="Verdana" w:cs="Arial"/>
          <w:i/>
          <w:iCs/>
          <w:sz w:val="24"/>
          <w:szCs w:val="24"/>
        </w:rPr>
        <w:t>Mental Health, Learning Disability Services and Mental Health Act Monitoring Annual Report 2024-2025</w:t>
      </w:r>
      <w:r w:rsidRPr="00051922">
        <w:rPr>
          <w:rFonts w:ascii="Verdana" w:hAnsi="Verdana" w:cs="Arial"/>
          <w:sz w:val="24"/>
          <w:szCs w:val="24"/>
        </w:rPr>
        <w:t xml:space="preserve"> for the </w:t>
      </w:r>
      <w:r w:rsidRPr="00051922" w:rsidR="00BF30E4">
        <w:rPr>
          <w:rFonts w:ascii="Verdana" w:hAnsi="Verdana" w:cs="Arial"/>
          <w:sz w:val="24"/>
          <w:szCs w:val="24"/>
        </w:rPr>
        <w:t>information of Committee members.</w:t>
      </w:r>
      <w:r w:rsidR="00AB6033">
        <w:rPr>
          <w:rFonts w:ascii="Verdana" w:hAnsi="Verdana" w:cs="Arial"/>
          <w:sz w:val="24"/>
          <w:szCs w:val="24"/>
        </w:rPr>
        <w:t xml:space="preserve"> </w:t>
      </w:r>
      <w:r w:rsidRPr="00AB6033" w:rsidR="00AB6033">
        <w:rPr>
          <w:rFonts w:ascii="Verdana" w:hAnsi="Verdana" w:cs="Arial"/>
          <w:sz w:val="24"/>
          <w:szCs w:val="24"/>
        </w:rPr>
        <w:t xml:space="preserve">The report sets out </w:t>
      </w:r>
      <w:r w:rsidR="00AB6033">
        <w:rPr>
          <w:rFonts w:ascii="Verdana" w:hAnsi="Verdana" w:cs="Arial"/>
          <w:sz w:val="24"/>
          <w:szCs w:val="24"/>
        </w:rPr>
        <w:t xml:space="preserve">HIW </w:t>
      </w:r>
      <w:r w:rsidRPr="00AB6033" w:rsidR="00AB6033">
        <w:rPr>
          <w:rFonts w:ascii="Verdana" w:hAnsi="Verdana" w:cs="Arial"/>
          <w:sz w:val="24"/>
          <w:szCs w:val="24"/>
        </w:rPr>
        <w:t>assurance activity and findings during the period from April 2024 to March 2025 and explores the standards of care being delivered by mental health and learning disability healthcare services across Wales during this time.</w:t>
      </w:r>
    </w:p>
    <w:p w:rsidRPr="00F8567E" w:rsidR="00653AEC" w:rsidP="00653AEC" w:rsidRDefault="00653AEC" w14:paraId="6D29041E" w14:textId="77777777">
      <w:pPr>
        <w:pStyle w:val="ListParagraph"/>
        <w:spacing w:after="0" w:line="240" w:lineRule="auto"/>
        <w:rPr>
          <w:rFonts w:ascii="Verdana" w:hAnsi="Verdana" w:cs="Arial"/>
          <w:b/>
          <w:sz w:val="24"/>
          <w:szCs w:val="24"/>
        </w:rPr>
      </w:pPr>
    </w:p>
    <w:p w:rsidRPr="00F770C1"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F770C1">
        <w:rPr>
          <w:rFonts w:ascii="Verdana" w:hAnsi="Verdana" w:cs="Arial"/>
          <w:b/>
          <w:sz w:val="24"/>
          <w:szCs w:val="24"/>
        </w:rPr>
        <w:t>BACKGROUND</w:t>
      </w:r>
    </w:p>
    <w:p w:rsidR="00CD3F4F" w:rsidP="00AB6033" w:rsidRDefault="00CD3F4F" w14:paraId="54FC000B" w14:textId="77777777">
      <w:pPr>
        <w:spacing w:after="0" w:line="240" w:lineRule="auto"/>
        <w:rPr>
          <w:rFonts w:ascii="Verdana" w:hAnsi="Verdana" w:cs="Arial"/>
          <w:sz w:val="24"/>
          <w:szCs w:val="24"/>
        </w:rPr>
      </w:pPr>
      <w:r w:rsidRPr="00AB6033">
        <w:rPr>
          <w:rFonts w:ascii="Verdana" w:hAnsi="Verdana" w:cs="Arial"/>
          <w:sz w:val="24"/>
          <w:szCs w:val="24"/>
        </w:rPr>
        <w:t>Monitoring of the Mental Health Act 1983 is a statutory responsibility delegated to HIW since 1 April 2009 by Welsh Ministers at which point responsibility for monitoring the functions of the Act was transferred from the Mental Health Act Commission.</w:t>
      </w:r>
    </w:p>
    <w:p w:rsidR="00CD3F4F" w:rsidP="00AB6033" w:rsidRDefault="00CD3F4F" w14:paraId="5D96F5DC" w14:textId="77777777">
      <w:pPr>
        <w:spacing w:after="0" w:line="240" w:lineRule="auto"/>
        <w:rPr>
          <w:rFonts w:ascii="Verdana" w:hAnsi="Verdana" w:cs="Arial"/>
          <w:sz w:val="24"/>
          <w:szCs w:val="24"/>
        </w:rPr>
      </w:pPr>
    </w:p>
    <w:p w:rsidR="00AB6033" w:rsidP="00AB6033" w:rsidRDefault="00AB6033" w14:paraId="3771AA45" w14:textId="45B7616D">
      <w:pPr>
        <w:spacing w:after="0" w:line="240" w:lineRule="auto"/>
        <w:rPr>
          <w:rFonts w:ascii="Verdana" w:hAnsi="Verdana" w:cs="Arial"/>
          <w:sz w:val="24"/>
          <w:szCs w:val="24"/>
        </w:rPr>
      </w:pPr>
      <w:r w:rsidRPr="00AB6033">
        <w:rPr>
          <w:rFonts w:ascii="Verdana" w:hAnsi="Verdana" w:cs="Arial"/>
          <w:sz w:val="24"/>
          <w:szCs w:val="24"/>
        </w:rPr>
        <w:t>Healthcare Inspectorate Wales (HIW) published its Mental Health Hospitals, Learning Disability Hospitals and Mental Health Act Monitoring Annual Report 2024-2025</w:t>
      </w:r>
      <w:r w:rsidR="00204CE3">
        <w:rPr>
          <w:rFonts w:ascii="Verdana" w:hAnsi="Verdana" w:cs="Arial"/>
          <w:sz w:val="24"/>
          <w:szCs w:val="24"/>
        </w:rPr>
        <w:t xml:space="preserve"> on 20 November 2025. The report </w:t>
      </w:r>
      <w:r w:rsidRPr="00AB6033">
        <w:rPr>
          <w:rFonts w:ascii="Verdana" w:hAnsi="Verdana" w:cs="Arial"/>
          <w:sz w:val="24"/>
          <w:szCs w:val="24"/>
        </w:rPr>
        <w:t xml:space="preserve">outlines themes of </w:t>
      </w:r>
      <w:r w:rsidR="00CC670F">
        <w:rPr>
          <w:rFonts w:ascii="Verdana" w:hAnsi="Verdana" w:cs="Arial"/>
          <w:sz w:val="24"/>
          <w:szCs w:val="24"/>
        </w:rPr>
        <w:t xml:space="preserve">HIW </w:t>
      </w:r>
      <w:r w:rsidRPr="00AB6033">
        <w:rPr>
          <w:rFonts w:ascii="Verdana" w:hAnsi="Verdana" w:cs="Arial"/>
          <w:sz w:val="24"/>
          <w:szCs w:val="24"/>
        </w:rPr>
        <w:t>work for mental health and learning disability services across Wales</w:t>
      </w:r>
      <w:r w:rsidR="00CD3F4F">
        <w:rPr>
          <w:rFonts w:ascii="Verdana" w:hAnsi="Verdana" w:cs="Arial"/>
          <w:sz w:val="24"/>
          <w:szCs w:val="24"/>
        </w:rPr>
        <w:t xml:space="preserve"> and </w:t>
      </w:r>
      <w:r w:rsidRPr="00AB6033">
        <w:rPr>
          <w:rFonts w:ascii="Verdana" w:hAnsi="Verdana" w:cs="Arial"/>
          <w:sz w:val="24"/>
          <w:szCs w:val="24"/>
        </w:rPr>
        <w:t xml:space="preserve">describes how </w:t>
      </w:r>
      <w:r w:rsidR="00CD3F4F">
        <w:rPr>
          <w:rFonts w:ascii="Verdana" w:hAnsi="Verdana" w:cs="Arial"/>
          <w:sz w:val="24"/>
          <w:szCs w:val="24"/>
        </w:rPr>
        <w:t xml:space="preserve">those services </w:t>
      </w:r>
      <w:r w:rsidRPr="00AB6033">
        <w:rPr>
          <w:rFonts w:ascii="Verdana" w:hAnsi="Verdana" w:cs="Arial"/>
          <w:sz w:val="24"/>
          <w:szCs w:val="24"/>
        </w:rPr>
        <w:t xml:space="preserve">continue to face significant and persistent challenges. </w:t>
      </w:r>
      <w:r w:rsidR="00B13985">
        <w:rPr>
          <w:rFonts w:ascii="Verdana" w:hAnsi="Verdana" w:cs="Arial"/>
          <w:sz w:val="24"/>
          <w:szCs w:val="24"/>
        </w:rPr>
        <w:t xml:space="preserve">The </w:t>
      </w:r>
      <w:r w:rsidR="002C63E3">
        <w:rPr>
          <w:rFonts w:ascii="Verdana" w:hAnsi="Verdana" w:cs="Arial"/>
          <w:sz w:val="24"/>
          <w:szCs w:val="24"/>
        </w:rPr>
        <w:t xml:space="preserve">full report and covering letter can be found at </w:t>
      </w:r>
      <w:r w:rsidRPr="002C63E3" w:rsidR="002C63E3">
        <w:rPr>
          <w:rFonts w:ascii="Verdana" w:hAnsi="Verdana" w:cs="Arial"/>
          <w:b/>
          <w:bCs/>
          <w:sz w:val="24"/>
          <w:szCs w:val="24"/>
        </w:rPr>
        <w:t>Appendix 1 &amp; 2</w:t>
      </w:r>
      <w:r w:rsidR="002C63E3">
        <w:rPr>
          <w:rFonts w:ascii="Verdana" w:hAnsi="Verdana" w:cs="Arial"/>
          <w:sz w:val="24"/>
          <w:szCs w:val="24"/>
        </w:rPr>
        <w:t xml:space="preserve"> respectively.</w:t>
      </w:r>
    </w:p>
    <w:p w:rsidRPr="00AB6033" w:rsidR="00CD3F4F" w:rsidP="00AB6033" w:rsidRDefault="00CD3F4F" w14:paraId="649BE534" w14:textId="77777777">
      <w:pPr>
        <w:spacing w:after="0" w:line="240" w:lineRule="auto"/>
        <w:rPr>
          <w:rFonts w:ascii="Verdana" w:hAnsi="Verdana" w:cs="Arial"/>
          <w:sz w:val="24"/>
          <w:szCs w:val="24"/>
        </w:rPr>
      </w:pPr>
    </w:p>
    <w:p w:rsidR="00AB6033" w:rsidP="00AB6033" w:rsidRDefault="00AB6033" w14:paraId="1E9DD802" w14:textId="32F2682B">
      <w:pPr>
        <w:spacing w:after="0" w:line="240" w:lineRule="auto"/>
        <w:rPr>
          <w:rFonts w:ascii="Verdana" w:hAnsi="Verdana" w:cs="Arial"/>
          <w:sz w:val="24"/>
          <w:szCs w:val="24"/>
        </w:rPr>
      </w:pPr>
      <w:r w:rsidRPr="00AB6033">
        <w:rPr>
          <w:rFonts w:ascii="Verdana" w:hAnsi="Verdana" w:cs="Arial"/>
          <w:sz w:val="24"/>
          <w:szCs w:val="24"/>
        </w:rPr>
        <w:t>This year’s report examines the standard of care within NHS and independent settings between April 2024 and March 2025, drawing on evidence from 25 on-site inspections, including 14 of NHS services and 11 of independent providers. These included hospital-based services and community mental health teams, with a continued focus on legal compliance, patient safety, and the quality of care.</w:t>
      </w:r>
    </w:p>
    <w:p w:rsidRPr="00AB6033" w:rsidR="00F11654" w:rsidP="00AB6033" w:rsidRDefault="00F11654" w14:paraId="5BF717B4" w14:textId="77777777">
      <w:pPr>
        <w:spacing w:after="0" w:line="240" w:lineRule="auto"/>
        <w:rPr>
          <w:rFonts w:ascii="Verdana" w:hAnsi="Verdana" w:cs="Arial"/>
          <w:sz w:val="24"/>
          <w:szCs w:val="24"/>
        </w:rPr>
      </w:pPr>
    </w:p>
    <w:p w:rsidR="00AB6033" w:rsidP="00AB6033" w:rsidRDefault="00AB6033" w14:paraId="28748E62" w14:textId="79D310BE">
      <w:pPr>
        <w:spacing w:after="0" w:line="240" w:lineRule="auto"/>
        <w:rPr>
          <w:rFonts w:ascii="Verdana" w:hAnsi="Verdana" w:cs="Arial"/>
          <w:sz w:val="24"/>
          <w:szCs w:val="24"/>
        </w:rPr>
      </w:pPr>
      <w:r w:rsidRPr="00AB6033">
        <w:rPr>
          <w:rFonts w:ascii="Verdana" w:hAnsi="Verdana" w:cs="Arial"/>
          <w:sz w:val="24"/>
          <w:szCs w:val="24"/>
        </w:rPr>
        <w:t xml:space="preserve">During </w:t>
      </w:r>
      <w:r w:rsidR="00F11654">
        <w:rPr>
          <w:rFonts w:ascii="Verdana" w:hAnsi="Verdana" w:cs="Arial"/>
          <w:sz w:val="24"/>
          <w:szCs w:val="24"/>
        </w:rPr>
        <w:t xml:space="preserve">the </w:t>
      </w:r>
      <w:r w:rsidRPr="00AB6033">
        <w:rPr>
          <w:rFonts w:ascii="Verdana" w:hAnsi="Verdana" w:cs="Arial"/>
          <w:sz w:val="24"/>
          <w:szCs w:val="24"/>
        </w:rPr>
        <w:t xml:space="preserve">inspection visits, </w:t>
      </w:r>
      <w:r w:rsidR="00F11654">
        <w:rPr>
          <w:rFonts w:ascii="Verdana" w:hAnsi="Verdana" w:cs="Arial"/>
          <w:sz w:val="24"/>
          <w:szCs w:val="24"/>
        </w:rPr>
        <w:t xml:space="preserve">HIW </w:t>
      </w:r>
      <w:r w:rsidRPr="00AB6033">
        <w:rPr>
          <w:rFonts w:ascii="Verdana" w:hAnsi="Verdana" w:cs="Arial"/>
          <w:sz w:val="24"/>
          <w:szCs w:val="24"/>
        </w:rPr>
        <w:t>focused on several key areas considering:</w:t>
      </w:r>
    </w:p>
    <w:p w:rsidRPr="00AB6033" w:rsidR="00A82D3B" w:rsidP="00AB6033" w:rsidRDefault="00A82D3B" w14:paraId="3BB9F0FA" w14:textId="77777777">
      <w:pPr>
        <w:spacing w:after="0" w:line="240" w:lineRule="auto"/>
        <w:rPr>
          <w:rFonts w:ascii="Verdana" w:hAnsi="Verdana" w:cs="Arial"/>
          <w:sz w:val="24"/>
          <w:szCs w:val="24"/>
        </w:rPr>
      </w:pPr>
    </w:p>
    <w:p w:rsidRPr="00F11654" w:rsidR="00AB6033" w:rsidP="00D74D8A" w:rsidRDefault="00AB6033" w14:paraId="4A3BC157" w14:textId="6BD7806B">
      <w:pPr>
        <w:pStyle w:val="ListParagraph"/>
        <w:numPr>
          <w:ilvl w:val="0"/>
          <w:numId w:val="6"/>
        </w:numPr>
        <w:spacing w:after="120" w:line="240" w:lineRule="auto"/>
        <w:ind w:left="284" w:hanging="284"/>
        <w:contextualSpacing w:val="0"/>
        <w:rPr>
          <w:rFonts w:ascii="Verdana" w:hAnsi="Verdana" w:cs="Arial"/>
          <w:sz w:val="24"/>
          <w:szCs w:val="24"/>
        </w:rPr>
      </w:pPr>
      <w:r w:rsidRPr="00F11654">
        <w:rPr>
          <w:rFonts w:ascii="Verdana" w:hAnsi="Verdana" w:cs="Arial"/>
          <w:sz w:val="24"/>
          <w:szCs w:val="24"/>
        </w:rPr>
        <w:t>whether care planning and risk assessments were completed appropriately to ensure safe and effective care</w:t>
      </w:r>
    </w:p>
    <w:p w:rsidRPr="00F11654" w:rsidR="00AB6033" w:rsidP="00D74D8A" w:rsidRDefault="00AB6033" w14:paraId="2E406260" w14:textId="05E55AD9">
      <w:pPr>
        <w:pStyle w:val="ListParagraph"/>
        <w:numPr>
          <w:ilvl w:val="0"/>
          <w:numId w:val="6"/>
        </w:numPr>
        <w:spacing w:after="120" w:line="240" w:lineRule="auto"/>
        <w:ind w:left="284" w:hanging="284"/>
        <w:contextualSpacing w:val="0"/>
        <w:rPr>
          <w:rFonts w:ascii="Verdana" w:hAnsi="Verdana" w:cs="Arial"/>
          <w:sz w:val="24"/>
          <w:szCs w:val="24"/>
        </w:rPr>
      </w:pPr>
      <w:r w:rsidRPr="00F11654">
        <w:rPr>
          <w:rFonts w:ascii="Verdana" w:hAnsi="Verdana" w:cs="Arial"/>
          <w:sz w:val="24"/>
          <w:szCs w:val="24"/>
        </w:rPr>
        <w:t>whether patients were informed of their rights and supported to understand their treatment</w:t>
      </w:r>
    </w:p>
    <w:p w:rsidR="00AB6033" w:rsidP="00F11654" w:rsidRDefault="00AB6033" w14:paraId="73E212E9" w14:textId="4BA38723">
      <w:pPr>
        <w:pStyle w:val="ListParagraph"/>
        <w:numPr>
          <w:ilvl w:val="0"/>
          <w:numId w:val="6"/>
        </w:numPr>
        <w:spacing w:after="0" w:line="240" w:lineRule="auto"/>
        <w:ind w:left="284" w:hanging="284"/>
        <w:rPr>
          <w:rFonts w:ascii="Verdana" w:hAnsi="Verdana" w:cs="Arial"/>
          <w:sz w:val="24"/>
          <w:szCs w:val="24"/>
        </w:rPr>
      </w:pPr>
      <w:r w:rsidRPr="00F11654">
        <w:rPr>
          <w:rFonts w:ascii="Verdana" w:hAnsi="Verdana" w:cs="Arial"/>
          <w:sz w:val="24"/>
          <w:szCs w:val="24"/>
        </w:rPr>
        <w:t>whether services provided access to meaningful therapeutic activities and upheld patients’ dignity and autonomy.</w:t>
      </w:r>
    </w:p>
    <w:p w:rsidRPr="00F11654" w:rsidR="00F11654" w:rsidP="00F11654" w:rsidRDefault="00F11654" w14:paraId="1FEB0924" w14:textId="77777777">
      <w:pPr>
        <w:spacing w:after="0" w:line="240" w:lineRule="auto"/>
        <w:rPr>
          <w:rFonts w:ascii="Verdana" w:hAnsi="Verdana" w:cs="Arial"/>
          <w:sz w:val="24"/>
          <w:szCs w:val="24"/>
        </w:rPr>
      </w:pPr>
    </w:p>
    <w:p w:rsidR="00A82D3B" w:rsidP="00AB6033" w:rsidRDefault="00AB6033" w14:paraId="2E0D957E" w14:textId="77777777">
      <w:pPr>
        <w:spacing w:after="0" w:line="240" w:lineRule="auto"/>
        <w:rPr>
          <w:rFonts w:ascii="Verdana" w:hAnsi="Verdana" w:cs="Arial"/>
          <w:sz w:val="24"/>
          <w:szCs w:val="24"/>
        </w:rPr>
      </w:pPr>
      <w:r w:rsidRPr="00AB6033">
        <w:rPr>
          <w:rFonts w:ascii="Verdana" w:hAnsi="Verdana" w:cs="Arial"/>
          <w:sz w:val="24"/>
          <w:szCs w:val="24"/>
        </w:rPr>
        <w:lastRenderedPageBreak/>
        <w:t xml:space="preserve">While the report highlights examples of compassionate and person-centred care, it also identifies several areas where little or no improvement has been made since the previous reporting period. </w:t>
      </w:r>
    </w:p>
    <w:p w:rsidRPr="00AB6033" w:rsidR="00AB6033" w:rsidP="00AB6033" w:rsidRDefault="00AB6033" w14:paraId="42FC70F3" w14:textId="675E7724">
      <w:pPr>
        <w:spacing w:after="0" w:line="240" w:lineRule="auto"/>
        <w:rPr>
          <w:rFonts w:ascii="Verdana" w:hAnsi="Verdana" w:cs="Arial"/>
          <w:sz w:val="24"/>
          <w:szCs w:val="24"/>
        </w:rPr>
      </w:pPr>
      <w:r w:rsidRPr="00AB6033">
        <w:rPr>
          <w:rFonts w:ascii="Verdana" w:hAnsi="Verdana" w:cs="Arial"/>
          <w:sz w:val="24"/>
          <w:szCs w:val="24"/>
        </w:rPr>
        <w:t>Workforce shortages, deteriorating care environments, and inconsistent governance continue to affect the quality and safety of care.</w:t>
      </w:r>
    </w:p>
    <w:p w:rsidR="006546D0" w:rsidP="00AB6033" w:rsidRDefault="006546D0" w14:paraId="0AAB03D4" w14:textId="77777777">
      <w:pPr>
        <w:spacing w:after="0" w:line="240" w:lineRule="auto"/>
        <w:rPr>
          <w:rFonts w:ascii="Verdana" w:hAnsi="Verdana" w:cs="Arial"/>
          <w:sz w:val="24"/>
          <w:szCs w:val="24"/>
        </w:rPr>
      </w:pPr>
    </w:p>
    <w:p w:rsidRPr="006546D0" w:rsidR="00AB6033" w:rsidP="00AB6033" w:rsidRDefault="00AB6033" w14:paraId="6986014D" w14:textId="5406244A">
      <w:pPr>
        <w:spacing w:after="0" w:line="240" w:lineRule="auto"/>
        <w:rPr>
          <w:rFonts w:ascii="Verdana" w:hAnsi="Verdana" w:cs="Arial"/>
          <w:b/>
          <w:bCs/>
          <w:sz w:val="24"/>
          <w:szCs w:val="24"/>
        </w:rPr>
      </w:pPr>
      <w:r w:rsidRPr="006546D0">
        <w:rPr>
          <w:rFonts w:ascii="Verdana" w:hAnsi="Verdana" w:cs="Arial"/>
          <w:b/>
          <w:bCs/>
          <w:sz w:val="24"/>
          <w:szCs w:val="24"/>
        </w:rPr>
        <w:t>Key Findings</w:t>
      </w:r>
    </w:p>
    <w:p w:rsidRPr="00AB6033" w:rsidR="00AB6033" w:rsidP="00AB6033" w:rsidRDefault="00AB6033" w14:paraId="54ECDDCF" w14:textId="1E6C3187">
      <w:pPr>
        <w:spacing w:after="0" w:line="240" w:lineRule="auto"/>
        <w:rPr>
          <w:rFonts w:ascii="Verdana" w:hAnsi="Verdana" w:cs="Arial"/>
          <w:sz w:val="24"/>
          <w:szCs w:val="24"/>
        </w:rPr>
      </w:pPr>
      <w:r w:rsidRPr="00AB6033">
        <w:rPr>
          <w:rFonts w:ascii="Verdana" w:hAnsi="Verdana" w:cs="Arial"/>
          <w:sz w:val="24"/>
          <w:szCs w:val="24"/>
        </w:rPr>
        <w:t xml:space="preserve">Across the 25 inspections carried out during the reporting period, </w:t>
      </w:r>
      <w:r w:rsidR="006546D0">
        <w:rPr>
          <w:rFonts w:ascii="Verdana" w:hAnsi="Verdana" w:cs="Arial"/>
          <w:sz w:val="24"/>
          <w:szCs w:val="24"/>
        </w:rPr>
        <w:t xml:space="preserve">HIW </w:t>
      </w:r>
      <w:r w:rsidRPr="00AB6033">
        <w:rPr>
          <w:rFonts w:ascii="Verdana" w:hAnsi="Verdana" w:cs="Arial"/>
          <w:sz w:val="24"/>
          <w:szCs w:val="24"/>
        </w:rPr>
        <w:t xml:space="preserve">made a total of 394 recommendations. While examples of safe and compassionate care were observed, </w:t>
      </w:r>
      <w:r w:rsidR="006B38CE">
        <w:rPr>
          <w:rFonts w:ascii="Verdana" w:hAnsi="Verdana" w:cs="Arial"/>
          <w:sz w:val="24"/>
          <w:szCs w:val="24"/>
        </w:rPr>
        <w:t xml:space="preserve">HIW indicates </w:t>
      </w:r>
      <w:r w:rsidR="00F90509">
        <w:rPr>
          <w:rFonts w:ascii="Verdana" w:hAnsi="Verdana" w:cs="Arial"/>
          <w:sz w:val="24"/>
          <w:szCs w:val="24"/>
        </w:rPr>
        <w:t xml:space="preserve">that </w:t>
      </w:r>
      <w:r w:rsidRPr="00AB6033">
        <w:rPr>
          <w:rFonts w:ascii="Verdana" w:hAnsi="Verdana" w:cs="Arial"/>
          <w:sz w:val="24"/>
          <w:szCs w:val="24"/>
        </w:rPr>
        <w:t>several areas continue to require improvement</w:t>
      </w:r>
      <w:r w:rsidR="00F90509">
        <w:rPr>
          <w:rFonts w:ascii="Verdana" w:hAnsi="Verdana" w:cs="Arial"/>
          <w:sz w:val="24"/>
          <w:szCs w:val="24"/>
        </w:rPr>
        <w:t xml:space="preserve"> as follows</w:t>
      </w:r>
      <w:r w:rsidRPr="00AB6033">
        <w:rPr>
          <w:rFonts w:ascii="Verdana" w:hAnsi="Verdana" w:cs="Arial"/>
          <w:sz w:val="24"/>
          <w:szCs w:val="24"/>
        </w:rPr>
        <w:t>:</w:t>
      </w:r>
    </w:p>
    <w:p w:rsidR="0074184B" w:rsidP="00AB6033" w:rsidRDefault="0074184B" w14:paraId="5F6C7069" w14:textId="77777777">
      <w:pPr>
        <w:spacing w:after="0" w:line="240" w:lineRule="auto"/>
        <w:rPr>
          <w:rFonts w:ascii="Verdana" w:hAnsi="Verdana" w:cs="Arial"/>
          <w:sz w:val="24"/>
          <w:szCs w:val="24"/>
        </w:rPr>
      </w:pPr>
    </w:p>
    <w:p w:rsidRPr="0074184B" w:rsidR="00AB6033" w:rsidP="00D74D8A" w:rsidRDefault="00AB6033" w14:paraId="6DB393DF" w14:textId="77777777">
      <w:pPr>
        <w:pStyle w:val="ListParagraph"/>
        <w:numPr>
          <w:ilvl w:val="0"/>
          <w:numId w:val="11"/>
        </w:numPr>
        <w:spacing w:after="120" w:line="240" w:lineRule="auto"/>
        <w:ind w:left="284" w:hanging="284"/>
        <w:contextualSpacing w:val="0"/>
        <w:rPr>
          <w:rFonts w:ascii="Verdana" w:hAnsi="Verdana" w:cs="Arial"/>
          <w:sz w:val="24"/>
          <w:szCs w:val="24"/>
        </w:rPr>
      </w:pPr>
      <w:r w:rsidRPr="0074184B">
        <w:rPr>
          <w:rFonts w:ascii="Verdana" w:hAnsi="Verdana" w:cs="Arial"/>
          <w:b/>
          <w:bCs/>
          <w:sz w:val="24"/>
          <w:szCs w:val="24"/>
        </w:rPr>
        <w:t>Meaningful and Therapeutic Activities:</w:t>
      </w:r>
      <w:r w:rsidRPr="0074184B">
        <w:rPr>
          <w:rFonts w:ascii="Verdana" w:hAnsi="Verdana" w:cs="Arial"/>
          <w:sz w:val="24"/>
          <w:szCs w:val="24"/>
        </w:rPr>
        <w:t xml:space="preserve"> Many services lacked structured activity programmes, with staffing gaps limiting access to therapeutic engagement</w:t>
      </w:r>
    </w:p>
    <w:p w:rsidRPr="0074184B" w:rsidR="00AB6033" w:rsidP="00D74D8A" w:rsidRDefault="00AB6033" w14:paraId="3E56FC63" w14:textId="77777777">
      <w:pPr>
        <w:pStyle w:val="ListParagraph"/>
        <w:numPr>
          <w:ilvl w:val="0"/>
          <w:numId w:val="11"/>
        </w:numPr>
        <w:spacing w:after="120" w:line="240" w:lineRule="auto"/>
        <w:ind w:left="284" w:hanging="284"/>
        <w:contextualSpacing w:val="0"/>
        <w:rPr>
          <w:rFonts w:ascii="Verdana" w:hAnsi="Verdana" w:cs="Arial"/>
          <w:sz w:val="24"/>
          <w:szCs w:val="24"/>
        </w:rPr>
      </w:pPr>
      <w:r w:rsidRPr="0074184B">
        <w:rPr>
          <w:rFonts w:ascii="Verdana" w:hAnsi="Verdana" w:cs="Arial"/>
          <w:b/>
          <w:bCs/>
          <w:sz w:val="24"/>
          <w:szCs w:val="24"/>
        </w:rPr>
        <w:t xml:space="preserve">Medication Management: </w:t>
      </w:r>
      <w:r w:rsidRPr="0074184B">
        <w:rPr>
          <w:rFonts w:ascii="Verdana" w:hAnsi="Verdana" w:cs="Arial"/>
          <w:sz w:val="24"/>
          <w:szCs w:val="24"/>
        </w:rPr>
        <w:t>Inconsistent governance persisted, with incomplete records, poor storage, and unsecured emergency medication noted across multiple settings</w:t>
      </w:r>
    </w:p>
    <w:p w:rsidRPr="0074184B" w:rsidR="00AB6033" w:rsidP="00D74D8A" w:rsidRDefault="00AB6033" w14:paraId="3E4FC239" w14:textId="77777777">
      <w:pPr>
        <w:pStyle w:val="ListParagraph"/>
        <w:numPr>
          <w:ilvl w:val="0"/>
          <w:numId w:val="11"/>
        </w:numPr>
        <w:spacing w:after="120" w:line="240" w:lineRule="auto"/>
        <w:ind w:left="284" w:hanging="284"/>
        <w:contextualSpacing w:val="0"/>
        <w:rPr>
          <w:rFonts w:ascii="Verdana" w:hAnsi="Verdana" w:cs="Arial"/>
          <w:sz w:val="24"/>
          <w:szCs w:val="24"/>
        </w:rPr>
      </w:pPr>
      <w:r w:rsidRPr="0074184B">
        <w:rPr>
          <w:rFonts w:ascii="Verdana" w:hAnsi="Verdana" w:cs="Arial"/>
          <w:b/>
          <w:bCs/>
          <w:sz w:val="24"/>
          <w:szCs w:val="24"/>
        </w:rPr>
        <w:t xml:space="preserve">Risk Assessment and Care Planning: </w:t>
      </w:r>
      <w:r w:rsidRPr="0074184B">
        <w:rPr>
          <w:rFonts w:ascii="Verdana" w:hAnsi="Verdana" w:cs="Arial"/>
          <w:sz w:val="24"/>
          <w:szCs w:val="24"/>
        </w:rPr>
        <w:t>In several settings, care plans and risk assessments lacked personalisation, with documentation errors and limited psychological input affecting quality</w:t>
      </w:r>
    </w:p>
    <w:p w:rsidRPr="0074184B" w:rsidR="00AB6033" w:rsidP="00D74D8A" w:rsidRDefault="00AB6033" w14:paraId="2CFFC25E" w14:textId="4BEFD84B">
      <w:pPr>
        <w:pStyle w:val="ListParagraph"/>
        <w:numPr>
          <w:ilvl w:val="0"/>
          <w:numId w:val="11"/>
        </w:numPr>
        <w:spacing w:after="120" w:line="240" w:lineRule="auto"/>
        <w:ind w:left="284" w:hanging="284"/>
        <w:contextualSpacing w:val="0"/>
        <w:rPr>
          <w:rFonts w:ascii="Verdana" w:hAnsi="Verdana" w:cs="Arial"/>
          <w:sz w:val="24"/>
          <w:szCs w:val="24"/>
        </w:rPr>
      </w:pPr>
      <w:r w:rsidRPr="0074184B">
        <w:rPr>
          <w:rFonts w:ascii="Verdana" w:hAnsi="Verdana" w:cs="Arial"/>
          <w:b/>
          <w:bCs/>
          <w:sz w:val="24"/>
          <w:szCs w:val="24"/>
        </w:rPr>
        <w:t xml:space="preserve">Environment of Care: </w:t>
      </w:r>
      <w:r w:rsidRPr="0074184B">
        <w:rPr>
          <w:rFonts w:ascii="Verdana" w:hAnsi="Verdana" w:cs="Arial"/>
          <w:sz w:val="24"/>
          <w:szCs w:val="24"/>
        </w:rPr>
        <w:t xml:space="preserve">Environmental concerns were raised in 16 settings, including poor maintenance, infection control risks, and lack of dementia-friendly design. </w:t>
      </w:r>
      <w:r w:rsidR="000C4BC0">
        <w:rPr>
          <w:rFonts w:ascii="Verdana" w:hAnsi="Verdana" w:cs="Arial"/>
          <w:sz w:val="24"/>
          <w:szCs w:val="24"/>
        </w:rPr>
        <w:t xml:space="preserve">HIW indicated that there is </w:t>
      </w:r>
      <w:r w:rsidRPr="0074184B">
        <w:rPr>
          <w:rFonts w:ascii="Verdana" w:hAnsi="Verdana" w:cs="Arial"/>
          <w:sz w:val="24"/>
          <w:szCs w:val="24"/>
        </w:rPr>
        <w:t>a clear need for sustained investment in the physical condition of mental health facilities, alongside robust estates management and regular environmental audits. Ensuring that care environments are safe, welcoming, and fit for purpose remains a key priority for improving patient experience and supporting recovery</w:t>
      </w:r>
    </w:p>
    <w:p w:rsidRPr="0074184B" w:rsidR="00AB6033" w:rsidP="00D74D8A" w:rsidRDefault="0074184B" w14:paraId="55F81DAE" w14:textId="16D81F99">
      <w:pPr>
        <w:pStyle w:val="ListParagraph"/>
        <w:numPr>
          <w:ilvl w:val="0"/>
          <w:numId w:val="11"/>
        </w:numPr>
        <w:spacing w:after="120" w:line="240" w:lineRule="auto"/>
        <w:ind w:left="284" w:hanging="284"/>
        <w:contextualSpacing w:val="0"/>
        <w:rPr>
          <w:rFonts w:ascii="Verdana" w:hAnsi="Verdana" w:cs="Arial"/>
          <w:sz w:val="24"/>
          <w:szCs w:val="24"/>
        </w:rPr>
      </w:pPr>
      <w:r w:rsidRPr="0074184B">
        <w:rPr>
          <w:rFonts w:ascii="Verdana" w:hAnsi="Verdana" w:cs="Arial"/>
          <w:b/>
          <w:bCs/>
          <w:sz w:val="24"/>
          <w:szCs w:val="24"/>
        </w:rPr>
        <w:t>S</w:t>
      </w:r>
      <w:r w:rsidRPr="0074184B" w:rsidR="00AB6033">
        <w:rPr>
          <w:rFonts w:ascii="Verdana" w:hAnsi="Verdana" w:cs="Arial"/>
          <w:b/>
          <w:bCs/>
          <w:sz w:val="24"/>
          <w:szCs w:val="24"/>
        </w:rPr>
        <w:t xml:space="preserve">taff and Patient Safety: </w:t>
      </w:r>
      <w:r w:rsidRPr="0074184B" w:rsidR="00AB6033">
        <w:rPr>
          <w:rFonts w:ascii="Verdana" w:hAnsi="Verdana" w:cs="Arial"/>
          <w:sz w:val="24"/>
          <w:szCs w:val="24"/>
        </w:rPr>
        <w:t>Safety protocols were inconsistently applied, with issues around emergency preparedness, ligature risk assessments, and access to safety equipment</w:t>
      </w:r>
    </w:p>
    <w:p w:rsidRPr="0074184B" w:rsidR="00AB6033" w:rsidP="00D74D8A" w:rsidRDefault="00AB6033" w14:paraId="108457CB" w14:textId="77777777">
      <w:pPr>
        <w:pStyle w:val="ListParagraph"/>
        <w:numPr>
          <w:ilvl w:val="0"/>
          <w:numId w:val="11"/>
        </w:numPr>
        <w:spacing w:after="120" w:line="240" w:lineRule="auto"/>
        <w:ind w:left="284" w:hanging="284"/>
        <w:contextualSpacing w:val="0"/>
        <w:rPr>
          <w:rFonts w:ascii="Verdana" w:hAnsi="Verdana" w:cs="Arial"/>
          <w:sz w:val="24"/>
          <w:szCs w:val="24"/>
        </w:rPr>
      </w:pPr>
      <w:r w:rsidRPr="0074184B">
        <w:rPr>
          <w:rFonts w:ascii="Verdana" w:hAnsi="Verdana" w:cs="Arial"/>
          <w:b/>
          <w:bCs/>
          <w:sz w:val="24"/>
          <w:szCs w:val="24"/>
        </w:rPr>
        <w:t xml:space="preserve">Patient Privacy and Dignity: </w:t>
      </w:r>
      <w:r w:rsidRPr="0074184B">
        <w:rPr>
          <w:rFonts w:ascii="Verdana" w:hAnsi="Verdana" w:cs="Arial"/>
          <w:sz w:val="24"/>
          <w:szCs w:val="24"/>
        </w:rPr>
        <w:t>Patient access to secure personal space, gender-specific areas, and advocacy information, was inconsistent across services</w:t>
      </w:r>
    </w:p>
    <w:p w:rsidRPr="0074184B" w:rsidR="00AB6033" w:rsidP="00D74D8A" w:rsidRDefault="00AB6033" w14:paraId="7685627A" w14:textId="77777777">
      <w:pPr>
        <w:pStyle w:val="ListParagraph"/>
        <w:numPr>
          <w:ilvl w:val="0"/>
          <w:numId w:val="11"/>
        </w:numPr>
        <w:spacing w:after="120" w:line="240" w:lineRule="auto"/>
        <w:ind w:left="284" w:hanging="284"/>
        <w:contextualSpacing w:val="0"/>
        <w:rPr>
          <w:rFonts w:ascii="Verdana" w:hAnsi="Verdana" w:cs="Arial"/>
          <w:sz w:val="24"/>
          <w:szCs w:val="24"/>
        </w:rPr>
      </w:pPr>
      <w:r w:rsidRPr="0074184B">
        <w:rPr>
          <w:rFonts w:ascii="Verdana" w:hAnsi="Verdana" w:cs="Arial"/>
          <w:b/>
          <w:bCs/>
          <w:sz w:val="24"/>
          <w:szCs w:val="24"/>
        </w:rPr>
        <w:t xml:space="preserve">Workforce: </w:t>
      </w:r>
      <w:r w:rsidRPr="0074184B">
        <w:rPr>
          <w:rFonts w:ascii="Verdana" w:hAnsi="Verdana" w:cs="Arial"/>
          <w:sz w:val="24"/>
          <w:szCs w:val="24"/>
        </w:rPr>
        <w:t>High reliance on agency staff and vacancies in key roles continued to affect continuity of care, staff morale, and therapeutic engagement</w:t>
      </w:r>
    </w:p>
    <w:p w:rsidRPr="0074184B" w:rsidR="00AB6033" w:rsidP="0074184B" w:rsidRDefault="00AB6033" w14:paraId="40DD3971" w14:textId="77777777">
      <w:pPr>
        <w:pStyle w:val="ListParagraph"/>
        <w:numPr>
          <w:ilvl w:val="0"/>
          <w:numId w:val="11"/>
        </w:numPr>
        <w:spacing w:after="0" w:line="240" w:lineRule="auto"/>
        <w:ind w:left="284" w:hanging="284"/>
        <w:rPr>
          <w:rFonts w:ascii="Verdana" w:hAnsi="Verdana" w:cs="Arial"/>
          <w:sz w:val="24"/>
          <w:szCs w:val="24"/>
        </w:rPr>
      </w:pPr>
      <w:r w:rsidRPr="0074184B">
        <w:rPr>
          <w:rFonts w:ascii="Verdana" w:hAnsi="Verdana" w:cs="Arial"/>
          <w:b/>
          <w:bCs/>
          <w:sz w:val="24"/>
          <w:szCs w:val="24"/>
        </w:rPr>
        <w:t xml:space="preserve">Governance and Leadership: </w:t>
      </w:r>
      <w:r w:rsidRPr="0074184B">
        <w:rPr>
          <w:rFonts w:ascii="Verdana" w:hAnsi="Verdana" w:cs="Arial"/>
          <w:sz w:val="24"/>
          <w:szCs w:val="24"/>
        </w:rPr>
        <w:t>Leadership visibility and audit reliability were variable, with fragmented governance structures noted in some independent providers and outdated policies in several settings.</w:t>
      </w:r>
    </w:p>
    <w:p w:rsidR="00D74D8A" w:rsidP="00AB6033" w:rsidRDefault="00D74D8A" w14:paraId="363F7FDA" w14:textId="77777777">
      <w:pPr>
        <w:spacing w:after="0" w:line="240" w:lineRule="auto"/>
        <w:rPr>
          <w:rFonts w:ascii="Verdana" w:hAnsi="Verdana" w:cs="Arial"/>
          <w:sz w:val="24"/>
          <w:szCs w:val="24"/>
        </w:rPr>
      </w:pPr>
    </w:p>
    <w:p w:rsidR="005D3012" w:rsidP="00AB6033" w:rsidRDefault="00D74D8A" w14:paraId="7AC9B4FF" w14:textId="77777777">
      <w:pPr>
        <w:spacing w:after="0" w:line="240" w:lineRule="auto"/>
        <w:rPr>
          <w:rFonts w:ascii="Verdana" w:hAnsi="Verdana" w:cs="Arial"/>
          <w:sz w:val="24"/>
          <w:szCs w:val="24"/>
        </w:rPr>
      </w:pPr>
      <w:r>
        <w:rPr>
          <w:rFonts w:ascii="Verdana" w:hAnsi="Verdana" w:cs="Arial"/>
          <w:sz w:val="24"/>
          <w:szCs w:val="24"/>
        </w:rPr>
        <w:lastRenderedPageBreak/>
        <w:t>HIW</w:t>
      </w:r>
      <w:r w:rsidRPr="00AB6033" w:rsidR="00AB6033">
        <w:rPr>
          <w:rFonts w:ascii="Verdana" w:hAnsi="Verdana" w:cs="Arial"/>
          <w:sz w:val="24"/>
          <w:szCs w:val="24"/>
        </w:rPr>
        <w:t xml:space="preserve"> received 215 concerns regarding mental health and learning disability services, with 167 related to NHS services and 48 to independent providers. </w:t>
      </w:r>
    </w:p>
    <w:p w:rsidR="005D3012" w:rsidP="00AB6033" w:rsidRDefault="005D3012" w14:paraId="332831C9" w14:textId="77777777">
      <w:pPr>
        <w:spacing w:after="0" w:line="240" w:lineRule="auto"/>
        <w:rPr>
          <w:rFonts w:ascii="Verdana" w:hAnsi="Verdana" w:cs="Arial"/>
          <w:sz w:val="24"/>
          <w:szCs w:val="24"/>
        </w:rPr>
      </w:pPr>
    </w:p>
    <w:p w:rsidRPr="00F770C1" w:rsidR="00AB6033" w:rsidP="00AB6033" w:rsidRDefault="00AB6033" w14:paraId="480A3A08" w14:textId="634682F3">
      <w:pPr>
        <w:spacing w:after="0" w:line="240" w:lineRule="auto"/>
        <w:rPr>
          <w:rFonts w:ascii="Verdana" w:hAnsi="Verdana" w:cs="Arial"/>
          <w:sz w:val="24"/>
          <w:szCs w:val="24"/>
        </w:rPr>
      </w:pPr>
      <w:r w:rsidRPr="00AB6033">
        <w:rPr>
          <w:rFonts w:ascii="Verdana" w:hAnsi="Verdana" w:cs="Arial"/>
          <w:sz w:val="24"/>
          <w:szCs w:val="24"/>
        </w:rPr>
        <w:t>Common issues in NHS settings included compliance with the Mental Health Act, access and</w:t>
      </w:r>
      <w:r w:rsidR="005D3012">
        <w:rPr>
          <w:rFonts w:ascii="Verdana" w:hAnsi="Verdana" w:cs="Arial"/>
          <w:sz w:val="24"/>
          <w:szCs w:val="24"/>
        </w:rPr>
        <w:t xml:space="preserve"> </w:t>
      </w:r>
      <w:r w:rsidRPr="00AB6033">
        <w:rPr>
          <w:rFonts w:ascii="Verdana" w:hAnsi="Verdana" w:cs="Arial"/>
          <w:sz w:val="24"/>
          <w:szCs w:val="24"/>
        </w:rPr>
        <w:t xml:space="preserve">discharge procedures, and records management, while independent providers faced concerns around infrastructure and safeguarding. Additionally, </w:t>
      </w:r>
      <w:r w:rsidR="005D3012">
        <w:rPr>
          <w:rFonts w:ascii="Verdana" w:hAnsi="Verdana" w:cs="Arial"/>
          <w:sz w:val="24"/>
          <w:szCs w:val="24"/>
        </w:rPr>
        <w:t xml:space="preserve">HIW </w:t>
      </w:r>
      <w:r w:rsidRPr="00AB6033">
        <w:rPr>
          <w:rFonts w:ascii="Verdana" w:hAnsi="Verdana" w:cs="Arial"/>
          <w:sz w:val="24"/>
          <w:szCs w:val="24"/>
        </w:rPr>
        <w:t>saw a notable rise in whistleblowing disclosures, totalling 40, which revealed serious cultural problems such as bullying, discrimination, and poor management, alongside issues with staffing, patient safety, and professional conduct.</w:t>
      </w:r>
    </w:p>
    <w:p w:rsidRPr="00F8567E" w:rsidR="00653AEC" w:rsidP="00653AEC" w:rsidRDefault="00653AEC" w14:paraId="6D290421" w14:textId="77777777">
      <w:pPr>
        <w:pStyle w:val="ListParagraph"/>
        <w:spacing w:after="0" w:line="240" w:lineRule="auto"/>
        <w:rPr>
          <w:rFonts w:ascii="Verdana" w:hAnsi="Verdana" w:cs="Arial"/>
          <w:b/>
          <w:sz w:val="24"/>
          <w:szCs w:val="24"/>
        </w:rPr>
      </w:pPr>
    </w:p>
    <w:p w:rsidRPr="00F8567E"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rsidRPr="00D00C2B" w:rsidR="00653AEC" w:rsidP="00653AEC" w:rsidRDefault="00F417A3" w14:paraId="6D290425" w14:textId="6A57BC54">
      <w:pPr>
        <w:spacing w:after="0" w:line="240" w:lineRule="auto"/>
        <w:rPr>
          <w:rFonts w:ascii="Verdana" w:hAnsi="Verdana" w:cs="Arial"/>
          <w:sz w:val="24"/>
          <w:szCs w:val="24"/>
        </w:rPr>
      </w:pPr>
      <w:r w:rsidRPr="00D00C2B">
        <w:rPr>
          <w:rFonts w:ascii="Verdana" w:hAnsi="Verdana" w:cs="Arial"/>
          <w:sz w:val="24"/>
          <w:szCs w:val="24"/>
        </w:rPr>
        <w:t xml:space="preserve">The Health Board </w:t>
      </w:r>
      <w:r w:rsidRPr="00D00C2B" w:rsidR="00931AB2">
        <w:rPr>
          <w:rFonts w:ascii="Verdana" w:hAnsi="Verdana" w:cs="Arial"/>
          <w:sz w:val="24"/>
          <w:szCs w:val="24"/>
        </w:rPr>
        <w:t xml:space="preserve">receives inspection reports during the year following </w:t>
      </w:r>
      <w:r w:rsidRPr="00D00C2B" w:rsidR="00613CC4">
        <w:rPr>
          <w:rFonts w:ascii="Verdana" w:hAnsi="Verdana" w:cs="Arial"/>
          <w:sz w:val="24"/>
          <w:szCs w:val="24"/>
        </w:rPr>
        <w:t xml:space="preserve">inspections undertaken by HIW within its services. These are reported </w:t>
      </w:r>
      <w:r w:rsidR="00821AB2">
        <w:rPr>
          <w:rFonts w:ascii="Verdana" w:hAnsi="Verdana" w:cs="Arial"/>
          <w:sz w:val="24"/>
          <w:szCs w:val="24"/>
        </w:rPr>
        <w:t xml:space="preserve">as following their publication, </w:t>
      </w:r>
      <w:r w:rsidRPr="00D00C2B" w:rsidR="00613CC4">
        <w:rPr>
          <w:rFonts w:ascii="Verdana" w:hAnsi="Verdana" w:cs="Arial"/>
          <w:sz w:val="24"/>
          <w:szCs w:val="24"/>
        </w:rPr>
        <w:t xml:space="preserve">in summary and detail at the Quality &amp; Safety Committee. </w:t>
      </w:r>
      <w:r w:rsidRPr="00D00C2B" w:rsidR="00721154">
        <w:rPr>
          <w:rFonts w:ascii="Verdana" w:hAnsi="Verdana" w:cs="Arial"/>
          <w:sz w:val="24"/>
          <w:szCs w:val="24"/>
        </w:rPr>
        <w:t xml:space="preserve">These include the inspection of mental health and learning disability services. </w:t>
      </w:r>
      <w:r w:rsidRPr="00D00C2B" w:rsidR="00613CC4">
        <w:rPr>
          <w:rFonts w:ascii="Verdana" w:hAnsi="Verdana" w:cs="Arial"/>
          <w:sz w:val="24"/>
          <w:szCs w:val="24"/>
        </w:rPr>
        <w:t>Th</w:t>
      </w:r>
      <w:r w:rsidR="008114D9">
        <w:rPr>
          <w:rFonts w:ascii="Verdana" w:hAnsi="Verdana" w:cs="Arial"/>
          <w:sz w:val="24"/>
          <w:szCs w:val="24"/>
        </w:rPr>
        <w:t xml:space="preserve">e attached </w:t>
      </w:r>
      <w:r w:rsidRPr="00D00C2B" w:rsidR="00721154">
        <w:rPr>
          <w:rFonts w:ascii="Verdana" w:hAnsi="Verdana" w:cs="Arial"/>
          <w:sz w:val="24"/>
          <w:szCs w:val="24"/>
        </w:rPr>
        <w:t>HIW report</w:t>
      </w:r>
      <w:r w:rsidRPr="00D00C2B" w:rsidR="00FD106E">
        <w:rPr>
          <w:rFonts w:ascii="Verdana" w:hAnsi="Verdana" w:cs="Arial"/>
          <w:sz w:val="24"/>
          <w:szCs w:val="24"/>
        </w:rPr>
        <w:t xml:space="preserve">, </w:t>
      </w:r>
      <w:r w:rsidRPr="00D00C2B" w:rsidR="00293507">
        <w:rPr>
          <w:rFonts w:ascii="Verdana" w:hAnsi="Verdana" w:cs="Arial"/>
          <w:sz w:val="24"/>
          <w:szCs w:val="24"/>
        </w:rPr>
        <w:t xml:space="preserve">setting out the </w:t>
      </w:r>
      <w:r w:rsidRPr="00D00C2B" w:rsidR="00142A22">
        <w:rPr>
          <w:rFonts w:ascii="Verdana" w:hAnsi="Verdana" w:cs="Arial"/>
          <w:sz w:val="24"/>
          <w:szCs w:val="24"/>
        </w:rPr>
        <w:t xml:space="preserve">key </w:t>
      </w:r>
      <w:r w:rsidRPr="00D00C2B" w:rsidR="00293507">
        <w:rPr>
          <w:rFonts w:ascii="Verdana" w:hAnsi="Verdana" w:cs="Arial"/>
          <w:sz w:val="24"/>
          <w:szCs w:val="24"/>
        </w:rPr>
        <w:t xml:space="preserve">findings and themes identified </w:t>
      </w:r>
      <w:r w:rsidRPr="00D00C2B" w:rsidR="00FD106E">
        <w:rPr>
          <w:rFonts w:ascii="Verdana" w:hAnsi="Verdana" w:cs="Arial"/>
          <w:sz w:val="24"/>
          <w:szCs w:val="24"/>
        </w:rPr>
        <w:t>for mental health and learning disability services across Wales</w:t>
      </w:r>
      <w:r w:rsidRPr="00D00C2B" w:rsidR="00293507">
        <w:rPr>
          <w:rFonts w:ascii="Verdana" w:hAnsi="Verdana" w:cs="Arial"/>
          <w:sz w:val="24"/>
          <w:szCs w:val="24"/>
        </w:rPr>
        <w:t xml:space="preserve">, provides some </w:t>
      </w:r>
      <w:r w:rsidRPr="00D00C2B" w:rsidR="00142A22">
        <w:rPr>
          <w:rFonts w:ascii="Verdana" w:hAnsi="Verdana" w:cs="Arial"/>
          <w:sz w:val="24"/>
          <w:szCs w:val="24"/>
        </w:rPr>
        <w:t xml:space="preserve">national context for </w:t>
      </w:r>
      <w:r w:rsidRPr="00D00C2B" w:rsidR="00D00C2B">
        <w:rPr>
          <w:rFonts w:ascii="Verdana" w:hAnsi="Verdana" w:cs="Arial"/>
          <w:sz w:val="24"/>
          <w:szCs w:val="24"/>
        </w:rPr>
        <w:t xml:space="preserve">the issues and risks identified locally </w:t>
      </w:r>
      <w:r w:rsidR="00037086">
        <w:rPr>
          <w:rFonts w:ascii="Verdana" w:hAnsi="Verdana" w:cs="Arial"/>
          <w:sz w:val="24"/>
          <w:szCs w:val="24"/>
        </w:rPr>
        <w:t xml:space="preserve">during the inspections </w:t>
      </w:r>
      <w:r w:rsidRPr="00D00C2B" w:rsidR="00D00C2B">
        <w:rPr>
          <w:rFonts w:ascii="Verdana" w:hAnsi="Verdana" w:cs="Arial"/>
          <w:sz w:val="24"/>
          <w:szCs w:val="24"/>
        </w:rPr>
        <w:t>within Swansea UHB services.</w:t>
      </w:r>
    </w:p>
    <w:p w:rsidRPr="00F8567E" w:rsidR="00653AEC" w:rsidP="00653AEC" w:rsidRDefault="00653AEC" w14:paraId="6D290426" w14:textId="77777777">
      <w:pPr>
        <w:pStyle w:val="ListParagraph"/>
        <w:spacing w:after="0" w:line="240" w:lineRule="auto"/>
        <w:rPr>
          <w:rFonts w:ascii="Verdana" w:hAnsi="Verdana" w:cs="Arial"/>
          <w:b/>
          <w:sz w:val="24"/>
          <w:szCs w:val="24"/>
        </w:rPr>
      </w:pPr>
    </w:p>
    <w:p w:rsidRPr="00F8567E"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rsidRPr="00A22B2B" w:rsidR="00653AEC" w:rsidP="00653AEC" w:rsidRDefault="00220CC2" w14:paraId="6D290428" w14:textId="50ABF7C3">
      <w:pPr>
        <w:spacing w:after="0" w:line="240" w:lineRule="auto"/>
        <w:rPr>
          <w:rFonts w:ascii="Verdana" w:hAnsi="Verdana" w:cs="Arial"/>
          <w:b/>
          <w:sz w:val="24"/>
          <w:szCs w:val="24"/>
        </w:rPr>
      </w:pPr>
      <w:r w:rsidRPr="00A22B2B">
        <w:rPr>
          <w:rFonts w:ascii="Verdana" w:hAnsi="Verdana" w:cs="Arial"/>
          <w:sz w:val="24"/>
          <w:szCs w:val="24"/>
        </w:rPr>
        <w:t>There are no financial implications arising from the recommendation</w:t>
      </w:r>
      <w:r w:rsidR="00A9602E">
        <w:rPr>
          <w:rFonts w:ascii="Verdana" w:hAnsi="Verdana" w:cs="Arial"/>
          <w:sz w:val="24"/>
          <w:szCs w:val="24"/>
        </w:rPr>
        <w:t>s</w:t>
      </w:r>
      <w:r w:rsidRPr="00A22B2B">
        <w:rPr>
          <w:rFonts w:ascii="Verdana" w:hAnsi="Verdana" w:cs="Arial"/>
          <w:sz w:val="24"/>
          <w:szCs w:val="24"/>
        </w:rPr>
        <w:t xml:space="preserve"> of this report, though it should be noted that there may be financial implications arising from </w:t>
      </w:r>
      <w:r w:rsidRPr="00A22B2B" w:rsidR="00FD1FA3">
        <w:rPr>
          <w:rFonts w:ascii="Verdana" w:hAnsi="Verdana" w:cs="Arial"/>
          <w:sz w:val="24"/>
          <w:szCs w:val="24"/>
        </w:rPr>
        <w:t>decisions made in response to the individual HIW inspection reports received during the year</w:t>
      </w:r>
      <w:r w:rsidRPr="00A22B2B" w:rsidR="000314F1">
        <w:rPr>
          <w:rFonts w:ascii="Verdana" w:hAnsi="Verdana" w:cs="Arial"/>
          <w:sz w:val="24"/>
          <w:szCs w:val="24"/>
        </w:rPr>
        <w:t>.</w:t>
      </w:r>
    </w:p>
    <w:p w:rsidRPr="00A22B2B" w:rsidR="00653AEC" w:rsidP="00653AEC" w:rsidRDefault="00653AEC" w14:paraId="6D290429" w14:textId="77777777">
      <w:pPr>
        <w:pStyle w:val="ListParagraph"/>
        <w:spacing w:after="0" w:line="240" w:lineRule="auto"/>
        <w:rPr>
          <w:rFonts w:ascii="Verdana" w:hAnsi="Verdana" w:cs="Arial"/>
          <w:b/>
          <w:sz w:val="24"/>
          <w:szCs w:val="24"/>
        </w:rPr>
      </w:pPr>
    </w:p>
    <w:p w:rsidRPr="00F8567E"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rsidR="00653AEC" w:rsidP="00653AEC" w:rsidRDefault="00A22B2B" w14:paraId="6D29042B" w14:textId="6F8D5538">
      <w:pPr>
        <w:pStyle w:val="Default"/>
        <w:rPr>
          <w:rFonts w:ascii="Verdana" w:hAnsi="Verdana" w:cs="Arial"/>
          <w:color w:val="auto"/>
        </w:rPr>
      </w:pPr>
      <w:r w:rsidRPr="00A22B2B">
        <w:rPr>
          <w:rFonts w:ascii="Verdana" w:hAnsi="Verdana" w:cs="Arial"/>
          <w:color w:val="auto"/>
        </w:rPr>
        <w:t>The Committee is requested to:</w:t>
      </w:r>
    </w:p>
    <w:p w:rsidRPr="00A22B2B" w:rsidR="00A22B2B" w:rsidP="00653AEC" w:rsidRDefault="00A22B2B" w14:paraId="7A7C32FB" w14:textId="77777777">
      <w:pPr>
        <w:pStyle w:val="Default"/>
        <w:rPr>
          <w:rFonts w:ascii="Verdana" w:hAnsi="Verdana" w:cs="Arial"/>
          <w:color w:val="auto"/>
        </w:rPr>
      </w:pPr>
    </w:p>
    <w:p w:rsidRPr="00187973" w:rsidR="00A22B2B" w:rsidP="00A22B2B" w:rsidRDefault="00A22B2B" w14:paraId="702ECA19" w14:textId="77777777">
      <w:pPr>
        <w:pStyle w:val="ListParagraph"/>
        <w:numPr>
          <w:ilvl w:val="0"/>
          <w:numId w:val="6"/>
        </w:numPr>
        <w:ind w:right="96"/>
        <w:rPr>
          <w:rFonts w:ascii="Verdana" w:hAnsi="Verdana" w:cs="Arial"/>
          <w:b/>
          <w:sz w:val="24"/>
          <w:szCs w:val="24"/>
        </w:rPr>
      </w:pPr>
      <w:r w:rsidRPr="00187973">
        <w:rPr>
          <w:rFonts w:ascii="Verdana" w:hAnsi="Verdana" w:cs="Arial"/>
          <w:b/>
          <w:sz w:val="24"/>
          <w:szCs w:val="24"/>
        </w:rPr>
        <w:t xml:space="preserve">Receive </w:t>
      </w:r>
      <w:r w:rsidRPr="00187973">
        <w:rPr>
          <w:rFonts w:ascii="Verdana" w:hAnsi="Verdana" w:cs="Arial"/>
          <w:bCs/>
          <w:sz w:val="24"/>
          <w:szCs w:val="24"/>
        </w:rPr>
        <w:t>this report for information.</w:t>
      </w:r>
    </w:p>
    <w:p w:rsidRPr="00F8567E" w:rsidR="00A22B2B" w:rsidP="00653AEC" w:rsidRDefault="00A22B2B" w14:paraId="75FC6EAD" w14:textId="77777777">
      <w:pPr>
        <w:pStyle w:val="Default"/>
        <w:rPr>
          <w:rFonts w:ascii="Verdana" w:hAnsi="Verdana" w:cs="Arial"/>
          <w:color w:val="FF0000"/>
        </w:rPr>
      </w:pPr>
    </w:p>
    <w:p w:rsidRPr="00F8567E" w:rsidR="00C33A04" w:rsidP="00653AEC" w:rsidRDefault="00C33A04" w14:paraId="6D29042C" w14:textId="77777777">
      <w:pPr>
        <w:spacing w:after="0" w:line="240" w:lineRule="auto"/>
        <w:jc w:val="center"/>
        <w:rPr>
          <w:rFonts w:ascii="Verdana" w:hAnsi="Verdana"/>
          <w:sz w:val="24"/>
          <w:szCs w:val="24"/>
        </w:rPr>
      </w:pPr>
    </w:p>
    <w:p w:rsidRPr="00F8567E" w:rsidR="00C33A04" w:rsidP="00F531BD" w:rsidRDefault="00C33A04" w14:paraId="6D29042D" w14:textId="77777777">
      <w:pPr>
        <w:rPr>
          <w:rFonts w:ascii="Verdana" w:hAnsi="Verdana" w:cs="Arial"/>
          <w:b/>
          <w:sz w:val="24"/>
          <w:szCs w:val="24"/>
        </w:rPr>
      </w:pPr>
    </w:p>
    <w:p w:rsidR="00762BBE" w:rsidP="00F531BD" w:rsidRDefault="00762BBE" w14:paraId="6D29042E" w14:textId="77777777">
      <w:pPr>
        <w:rPr>
          <w:rFonts w:ascii="Verdana" w:hAnsi="Verdana" w:cs="Arial"/>
          <w:b/>
          <w:sz w:val="24"/>
          <w:szCs w:val="24"/>
        </w:rPr>
      </w:pPr>
    </w:p>
    <w:p w:rsidRPr="00F8567E" w:rsidR="00762BBE" w:rsidP="00F531BD" w:rsidRDefault="00762BBE" w14:paraId="6D29042F" w14:textId="77777777">
      <w:pPr>
        <w:rPr>
          <w:rFonts w:ascii="Verdana" w:hAnsi="Verdana" w:cs="Arial"/>
          <w:b/>
          <w:sz w:val="24"/>
          <w:szCs w:val="24"/>
        </w:rPr>
      </w:pPr>
    </w:p>
    <w:p w:rsidR="00FE7070" w:rsidRDefault="00FE7070" w14:paraId="6D290430" w14:textId="28FBE2CF">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F8567E" w:rsidR="00034194" w:rsidRDefault="0020539A" w14:paraId="6D290434" w14:textId="77777777">
            <w:pPr>
              <w:rPr>
                <w:rFonts w:ascii="Verdana" w:hAnsi="Verdana" w:cs="Arial"/>
                <w:b/>
                <w:sz w:val="24"/>
                <w:szCs w:val="24"/>
              </w:rPr>
            </w:pPr>
            <w:r w:rsidRPr="00F8567E">
              <w:rPr>
                <w:rFonts w:ascii="Verdana" w:hAnsi="Verdana" w:cs="Arial"/>
                <w:b/>
                <w:sz w:val="24"/>
                <w:szCs w:val="24"/>
              </w:rPr>
              <w:lastRenderedPageBreak/>
              <w:t>Governance and Assurance</w:t>
            </w:r>
          </w:p>
          <w:p w:rsidRPr="00F8567E" w:rsidR="00034194" w:rsidRDefault="00034194" w14:paraId="6D290435" w14:textId="77777777">
            <w:pPr>
              <w:rPr>
                <w:rFonts w:ascii="Verdana" w:hAnsi="Verdana" w:cs="Arial"/>
                <w:sz w:val="24"/>
                <w:szCs w:val="24"/>
              </w:rPr>
            </w:pP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rsidRPr="00F8567E" w:rsidR="00F5324A" w:rsidP="0020539A" w:rsidRDefault="00A9602E" w14:paraId="6D29043D" w14:textId="4ECBAEC0">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Pr>
              <w:p w:rsidRPr="00F8567E" w:rsidR="00F5324A" w:rsidP="0020539A" w:rsidRDefault="00A9602E" w14:paraId="6D290441" w14:textId="4FD4CB16">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Pr>
              <w:p w:rsidRPr="00F8567E" w:rsidR="00F5324A" w:rsidP="0020539A" w:rsidRDefault="00A9602E" w14:paraId="6D290445" w14:textId="38AAB798">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rsidRPr="00F8567E" w:rsidR="00F5324A" w:rsidP="00133EA1" w:rsidRDefault="00A9602E" w14:paraId="6D29044C" w14:textId="15DEA9FF">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rsidRPr="00F8567E" w:rsidR="00F5324A" w:rsidP="00133EA1" w:rsidRDefault="00A9602E" w14:paraId="6D290450" w14:textId="3408B8FF">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rsidRPr="00F8567E" w:rsidR="00F5324A" w:rsidP="00133EA1" w:rsidRDefault="00A9602E" w14:paraId="6D290454" w14:textId="233827F1">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rsidRPr="00F8567E" w:rsidR="00F5324A" w:rsidP="00133EA1" w:rsidRDefault="00A9602E" w14:paraId="6D290458" w14:textId="7509ACA7">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rsidRPr="00F8567E" w:rsidR="00F5324A" w:rsidP="00133EA1" w:rsidRDefault="00A9602E" w14:paraId="6D29045C" w14:textId="78A1C053">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rsidRPr="00F8567E" w:rsidR="00F5324A" w:rsidP="00133EA1" w:rsidRDefault="0055385C" w14:paraId="6D290462" w14:textId="70E32EFF">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rsidRPr="00F8567E" w:rsidR="00F5324A" w:rsidP="00133EA1" w:rsidRDefault="0055385C" w14:paraId="6D290466" w14:textId="42D0750F">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F5324A" w14:paraId="6D290469" w14:textId="77777777">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rsidRPr="00F8567E" w:rsidR="00F5324A" w:rsidP="00133EA1" w:rsidRDefault="0055385C" w14:paraId="6D29046A" w14:textId="53E0FFDB">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rsidRPr="00F8567E" w:rsidR="00F5324A" w:rsidP="00133EA1" w:rsidRDefault="0055385C" w14:paraId="6D29046E" w14:textId="7D4236BB">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rsidRPr="00F8567E" w:rsidR="00F5324A" w:rsidP="00133EA1" w:rsidRDefault="0055385C" w14:paraId="6D290472" w14:textId="11424C4C">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rsidRPr="00F8567E" w:rsidR="00F5324A" w:rsidP="00133EA1" w:rsidRDefault="0055385C" w14:paraId="6D290476" w14:textId="3ADF9398">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rsidRPr="00F8567E" w:rsidR="00F5324A" w:rsidP="00133EA1" w:rsidRDefault="0055385C" w14:paraId="6D29047A" w14:textId="35DE45CC">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4"/>
          </w:tcPr>
          <w:p w:rsidRPr="00F8567E" w:rsidR="00F5324A" w:rsidP="0055385C" w:rsidRDefault="0055385C" w14:paraId="6D29047F" w14:textId="0BF0F69F">
            <w:pPr>
              <w:rPr>
                <w:rFonts w:ascii="Verdana" w:hAnsi="Verdana" w:cs="Arial"/>
                <w:b/>
                <w:sz w:val="24"/>
                <w:szCs w:val="24"/>
              </w:rPr>
            </w:pPr>
            <w:r w:rsidRPr="008114D9">
              <w:rPr>
                <w:rFonts w:ascii="Verdana" w:hAnsi="Verdana" w:cs="Arial"/>
                <w:sz w:val="24"/>
                <w:szCs w:val="24"/>
              </w:rPr>
              <w:t xml:space="preserve">This report, setting out the key findings and themes identified </w:t>
            </w:r>
            <w:r w:rsidRPr="008114D9">
              <w:rPr>
                <w:rFonts w:ascii="Verdana" w:hAnsi="Verdana" w:cs="Arial"/>
                <w:sz w:val="24"/>
                <w:szCs w:val="24"/>
              </w:rPr>
              <w:t xml:space="preserve">by HIW </w:t>
            </w:r>
            <w:r w:rsidRPr="008114D9">
              <w:rPr>
                <w:rFonts w:ascii="Verdana" w:hAnsi="Verdana" w:cs="Arial"/>
                <w:sz w:val="24"/>
                <w:szCs w:val="24"/>
              </w:rPr>
              <w:t>for mental health and learning disability services across Wales, provides some national context for the issues and risks identified locally within Swansea UHB services.</w:t>
            </w:r>
          </w:p>
        </w:tc>
      </w:tr>
      <w:tr w:rsidRPr="00F8567E" w:rsidR="00F5324A" w:rsidTr="00CD7AA5" w14:paraId="6D290482" w14:textId="77777777">
        <w:tc>
          <w:tcPr>
            <w:tcW w:w="9245" w:type="dxa"/>
            <w:gridSpan w:val="4"/>
            <w:shd w:val="clear" w:color="auto" w:fill="D5DCE4" w:themeFill="text2" w:themeFillTint="33"/>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00C95B3C" w14:paraId="6D290487" w14:textId="77777777">
        <w:tc>
          <w:tcPr>
            <w:tcW w:w="9245" w:type="dxa"/>
            <w:gridSpan w:val="4"/>
          </w:tcPr>
          <w:p w:rsidRPr="00A22B2B" w:rsidR="008114D9" w:rsidP="008114D9" w:rsidRDefault="008114D9" w14:paraId="717DAFE2" w14:textId="77777777">
            <w:pPr>
              <w:rPr>
                <w:rFonts w:ascii="Verdana" w:hAnsi="Verdana" w:cs="Arial"/>
                <w:b/>
                <w:sz w:val="24"/>
                <w:szCs w:val="24"/>
              </w:rPr>
            </w:pPr>
            <w:r w:rsidRPr="00A22B2B">
              <w:rPr>
                <w:rFonts w:ascii="Verdana" w:hAnsi="Verdana" w:cs="Arial"/>
                <w:sz w:val="24"/>
                <w:szCs w:val="24"/>
              </w:rPr>
              <w:t>There are no financial implications arising from the recommendation of this report, though it should be noted that there may be financial implications arising from decisions made in response to the individual HIW inspection reports received during the year – this is outside the scope of this report.</w:t>
            </w:r>
          </w:p>
          <w:p w:rsidRPr="00F8567E" w:rsidR="00F5324A" w:rsidP="00F5324A" w:rsidRDefault="00F5324A" w14:paraId="6D290486" w14:textId="77777777">
            <w:pPr>
              <w:ind w:right="96"/>
              <w:rPr>
                <w:rFonts w:ascii="Verdana" w:hAnsi="Verdana" w:cs="Arial"/>
                <w:color w:val="FF0000"/>
                <w:sz w:val="24"/>
                <w:szCs w:val="24"/>
              </w:rPr>
            </w:pPr>
          </w:p>
        </w:tc>
      </w:tr>
      <w:tr w:rsidRPr="00F8567E" w:rsidR="00F5324A" w:rsidTr="00CD7AA5" w14:paraId="6D290489" w14:textId="77777777">
        <w:tc>
          <w:tcPr>
            <w:tcW w:w="9245" w:type="dxa"/>
            <w:gridSpan w:val="4"/>
            <w:shd w:val="clear" w:color="auto" w:fill="D5DCE4" w:themeFill="text2" w:themeFillTint="33"/>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Pr="00F8567E" w:rsidR="00F5324A" w:rsidTr="00C95B3C" w14:paraId="6D29048C" w14:textId="77777777">
        <w:tc>
          <w:tcPr>
            <w:tcW w:w="9245" w:type="dxa"/>
            <w:gridSpan w:val="4"/>
          </w:tcPr>
          <w:p w:rsidRPr="00F8567E" w:rsidR="00F5324A" w:rsidP="00F54AE7" w:rsidRDefault="008114D9" w14:paraId="6D29048B" w14:textId="0A171558">
            <w:pPr>
              <w:rPr>
                <w:rFonts w:ascii="Verdana" w:hAnsi="Verdana" w:cs="Arial"/>
                <w:color w:val="FF0000"/>
                <w:sz w:val="24"/>
                <w:szCs w:val="24"/>
              </w:rPr>
            </w:pPr>
            <w:r w:rsidRPr="00A22B2B">
              <w:rPr>
                <w:rFonts w:ascii="Verdana" w:hAnsi="Verdana" w:cs="Arial"/>
                <w:sz w:val="24"/>
                <w:szCs w:val="24"/>
              </w:rPr>
              <w:t xml:space="preserve">There are no </w:t>
            </w:r>
            <w:r>
              <w:rPr>
                <w:rFonts w:ascii="Verdana" w:hAnsi="Verdana" w:cs="Arial"/>
                <w:sz w:val="24"/>
                <w:szCs w:val="24"/>
              </w:rPr>
              <w:t>legal</w:t>
            </w:r>
            <w:r w:rsidRPr="00A22B2B">
              <w:rPr>
                <w:rFonts w:ascii="Verdana" w:hAnsi="Verdana" w:cs="Arial"/>
                <w:sz w:val="24"/>
                <w:szCs w:val="24"/>
              </w:rPr>
              <w:t xml:space="preserve"> implications arising from the recommendation of this report, though it should be noted that </w:t>
            </w:r>
            <w:r w:rsidR="00E65BBC">
              <w:rPr>
                <w:rFonts w:ascii="Verdana" w:hAnsi="Verdana" w:cs="Arial"/>
                <w:sz w:val="24"/>
                <w:szCs w:val="24"/>
              </w:rPr>
              <w:t xml:space="preserve">individual HIW reports, published following inspections of Swansea UHB services may identify </w:t>
            </w:r>
            <w:r w:rsidR="009040E3">
              <w:rPr>
                <w:rFonts w:ascii="Verdana" w:hAnsi="Verdana" w:cs="Arial"/>
                <w:sz w:val="24"/>
                <w:szCs w:val="24"/>
              </w:rPr>
              <w:t xml:space="preserve">issues and/or risks in respect of legal compliance. Where this is the </w:t>
            </w:r>
            <w:proofErr w:type="gramStart"/>
            <w:r w:rsidR="009040E3">
              <w:rPr>
                <w:rFonts w:ascii="Verdana" w:hAnsi="Verdana" w:cs="Arial"/>
                <w:sz w:val="24"/>
                <w:szCs w:val="24"/>
              </w:rPr>
              <w:t>case</w:t>
            </w:r>
            <w:proofErr w:type="gramEnd"/>
            <w:r w:rsidR="009040E3">
              <w:rPr>
                <w:rFonts w:ascii="Verdana" w:hAnsi="Verdana" w:cs="Arial"/>
                <w:sz w:val="24"/>
                <w:szCs w:val="24"/>
              </w:rPr>
              <w:t xml:space="preserve"> these are dealt </w:t>
            </w:r>
            <w:r w:rsidR="009040E3">
              <w:rPr>
                <w:rFonts w:ascii="Verdana" w:hAnsi="Verdana" w:cs="Arial"/>
                <w:sz w:val="24"/>
                <w:szCs w:val="24"/>
              </w:rPr>
              <w:lastRenderedPageBreak/>
              <w:t>with in response to th</w:t>
            </w:r>
            <w:r w:rsidR="00F54AE7">
              <w:rPr>
                <w:rFonts w:ascii="Verdana" w:hAnsi="Verdana" w:cs="Arial"/>
                <w:sz w:val="24"/>
                <w:szCs w:val="24"/>
              </w:rPr>
              <w:t>ose HIW reports – this is outside the scope of this report.</w:t>
            </w:r>
          </w:p>
        </w:tc>
      </w:tr>
      <w:tr w:rsidRPr="00F8567E" w:rsidR="00F5324A" w:rsidTr="00CD7AA5" w14:paraId="6D29048E" w14:textId="77777777">
        <w:tc>
          <w:tcPr>
            <w:tcW w:w="9245" w:type="dxa"/>
            <w:gridSpan w:val="4"/>
            <w:shd w:val="clear" w:color="auto" w:fill="D5DCE4" w:themeFill="text2" w:themeFillTint="33"/>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lastRenderedPageBreak/>
              <w:t>Staffing Implications</w:t>
            </w:r>
          </w:p>
        </w:tc>
      </w:tr>
      <w:tr w:rsidRPr="00F8567E" w:rsidR="00F5324A" w:rsidTr="00C95B3C" w14:paraId="6D290491" w14:textId="77777777">
        <w:tc>
          <w:tcPr>
            <w:tcW w:w="9245" w:type="dxa"/>
            <w:gridSpan w:val="4"/>
          </w:tcPr>
          <w:p w:rsidRPr="00F8567E" w:rsidR="00F5324A" w:rsidP="00762BBE" w:rsidRDefault="00F54AE7" w14:paraId="6D290490" w14:textId="0A2EF9D5">
            <w:pPr>
              <w:ind w:right="96"/>
              <w:rPr>
                <w:rFonts w:ascii="Verdana" w:hAnsi="Verdana" w:cs="Arial"/>
                <w:color w:val="FF0000"/>
                <w:sz w:val="24"/>
                <w:szCs w:val="24"/>
              </w:rPr>
            </w:pPr>
            <w:r w:rsidRPr="00A22B2B">
              <w:rPr>
                <w:rFonts w:ascii="Verdana" w:hAnsi="Verdana" w:cs="Arial"/>
                <w:sz w:val="24"/>
                <w:szCs w:val="24"/>
              </w:rPr>
              <w:t xml:space="preserve">There are no </w:t>
            </w:r>
            <w:r>
              <w:rPr>
                <w:rFonts w:ascii="Verdana" w:hAnsi="Verdana" w:cs="Arial"/>
                <w:sz w:val="24"/>
                <w:szCs w:val="24"/>
              </w:rPr>
              <w:t>staffing</w:t>
            </w:r>
            <w:r w:rsidRPr="00A22B2B">
              <w:rPr>
                <w:rFonts w:ascii="Verdana" w:hAnsi="Verdana" w:cs="Arial"/>
                <w:sz w:val="24"/>
                <w:szCs w:val="24"/>
              </w:rPr>
              <w:t xml:space="preserve"> implications arising from the recommendation of this report, though it should be noted that </w:t>
            </w:r>
            <w:r>
              <w:rPr>
                <w:rFonts w:ascii="Verdana" w:hAnsi="Verdana" w:cs="Arial"/>
                <w:sz w:val="24"/>
                <w:szCs w:val="24"/>
              </w:rPr>
              <w:t xml:space="preserve">individual HIW reports, published following inspections of Swansea UHB services may identify issues and/or risks in </w:t>
            </w:r>
            <w:r w:rsidR="00B22293">
              <w:rPr>
                <w:rFonts w:ascii="Verdana" w:hAnsi="Verdana" w:cs="Arial"/>
                <w:sz w:val="24"/>
                <w:szCs w:val="24"/>
              </w:rPr>
              <w:t>staffing arrangements</w:t>
            </w:r>
            <w:r>
              <w:rPr>
                <w:rFonts w:ascii="Verdana" w:hAnsi="Verdana" w:cs="Arial"/>
                <w:sz w:val="24"/>
                <w:szCs w:val="24"/>
              </w:rPr>
              <w:t xml:space="preserve">. Where this is the </w:t>
            </w:r>
            <w:proofErr w:type="gramStart"/>
            <w:r>
              <w:rPr>
                <w:rFonts w:ascii="Verdana" w:hAnsi="Verdana" w:cs="Arial"/>
                <w:sz w:val="24"/>
                <w:szCs w:val="24"/>
              </w:rPr>
              <w:t>case</w:t>
            </w:r>
            <w:proofErr w:type="gramEnd"/>
            <w:r>
              <w:rPr>
                <w:rFonts w:ascii="Verdana" w:hAnsi="Verdana" w:cs="Arial"/>
                <w:sz w:val="24"/>
                <w:szCs w:val="24"/>
              </w:rPr>
              <w:t xml:space="preserve"> these are dealt with in response to those HIW reports – this is outside the scope of this report.</w:t>
            </w:r>
          </w:p>
        </w:tc>
      </w:tr>
      <w:tr w:rsidRPr="00F8567E" w:rsidR="00F5324A" w:rsidTr="00CD7AA5" w14:paraId="6D290493" w14:textId="77777777">
        <w:tc>
          <w:tcPr>
            <w:tcW w:w="9245" w:type="dxa"/>
            <w:gridSpan w:val="4"/>
            <w:shd w:val="clear" w:color="auto" w:fill="D5DCE4" w:themeFill="text2" w:themeFillTint="33"/>
          </w:tcPr>
          <w:p w:rsidRPr="005446BD" w:rsidR="00F5324A" w:rsidP="00F5324A" w:rsidRDefault="00296CD9" w14:paraId="6D290492" w14:textId="77777777">
            <w:pPr>
              <w:ind w:right="96"/>
              <w:rPr>
                <w:rFonts w:ascii="Verdana" w:hAnsi="Verdana" w:cs="Arial"/>
                <w:b/>
                <w:sz w:val="24"/>
                <w:szCs w:val="24"/>
              </w:rPr>
            </w:pPr>
            <w:r w:rsidRPr="005446BD">
              <w:rPr>
                <w:rFonts w:ascii="Verdana" w:hAnsi="Verdana" w:cs="Arial"/>
                <w:b/>
                <w:sz w:val="24"/>
                <w:szCs w:val="24"/>
              </w:rPr>
              <w:t>Long Term Implications (including the impact of the Well-being of Future Generations (Wales) Act 2015)</w:t>
            </w:r>
          </w:p>
        </w:tc>
      </w:tr>
      <w:tr w:rsidRPr="00F8567E" w:rsidR="00F5324A" w:rsidTr="00C95B3C" w14:paraId="6D290496" w14:textId="77777777">
        <w:tc>
          <w:tcPr>
            <w:tcW w:w="9245" w:type="dxa"/>
            <w:gridSpan w:val="4"/>
          </w:tcPr>
          <w:p w:rsidRPr="005446BD" w:rsidR="00F5324A" w:rsidP="00B22293" w:rsidRDefault="00B22293" w14:paraId="6D290495" w14:textId="4C886B72">
            <w:pPr>
              <w:ind w:right="96"/>
              <w:rPr>
                <w:rFonts w:ascii="Verdana" w:hAnsi="Verdana" w:cs="Arial"/>
                <w:sz w:val="24"/>
                <w:szCs w:val="24"/>
              </w:rPr>
            </w:pPr>
            <w:r w:rsidRPr="005446BD">
              <w:rPr>
                <w:rFonts w:ascii="Verdana" w:hAnsi="Verdana" w:cs="Arial"/>
                <w:sz w:val="24"/>
                <w:szCs w:val="24"/>
              </w:rPr>
              <w:t>This report, setting out the key findings and themes identified by HIW for mental health and learning disability services across Wales, provides some national context for the issues and risks identified locally within Swansea UHB services.</w:t>
            </w:r>
          </w:p>
        </w:tc>
      </w:tr>
      <w:tr w:rsidRPr="00F8567E" w:rsidR="00653AEC" w:rsidTr="00C95B3C" w14:paraId="6D29049A" w14:textId="77777777">
        <w:tc>
          <w:tcPr>
            <w:tcW w:w="2470" w:type="dxa"/>
            <w:gridSpan w:val="2"/>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rsidRPr="000E2190" w:rsidR="00653AEC" w:rsidP="00653AEC" w:rsidRDefault="005446BD" w14:paraId="6D290498" w14:textId="536065D9">
            <w:pPr>
              <w:ind w:right="96"/>
              <w:rPr>
                <w:rFonts w:ascii="Verdana" w:hAnsi="Verdana" w:cs="Arial"/>
                <w:sz w:val="24"/>
                <w:szCs w:val="24"/>
              </w:rPr>
            </w:pPr>
            <w:r w:rsidRPr="000E2190">
              <w:rPr>
                <w:rFonts w:ascii="Verdana" w:hAnsi="Verdana" w:cs="Arial"/>
                <w:sz w:val="24"/>
                <w:szCs w:val="24"/>
              </w:rPr>
              <w:t>Not applicable.</w:t>
            </w:r>
          </w:p>
          <w:p w:rsidRPr="000E2190" w:rsidR="00653AEC" w:rsidP="00653AEC" w:rsidRDefault="00653AEC" w14:paraId="6D290499" w14:textId="77777777">
            <w:pPr>
              <w:ind w:right="96"/>
              <w:rPr>
                <w:rFonts w:ascii="Verdana" w:hAnsi="Verdana" w:cs="Arial"/>
                <w:sz w:val="24"/>
                <w:szCs w:val="24"/>
              </w:rPr>
            </w:pPr>
          </w:p>
        </w:tc>
      </w:tr>
      <w:tr w:rsidRPr="00F8567E" w:rsidR="00653AEC" w:rsidTr="00C95B3C" w14:paraId="6D29049F" w14:textId="77777777">
        <w:tc>
          <w:tcPr>
            <w:tcW w:w="2470" w:type="dxa"/>
            <w:gridSpan w:val="2"/>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rsidR="000E2190" w:rsidP="00653AEC" w:rsidRDefault="005446BD" w14:paraId="02BD4D07" w14:textId="5CDA9C34">
            <w:pPr>
              <w:ind w:right="96"/>
              <w:rPr>
                <w:rFonts w:ascii="Verdana" w:hAnsi="Verdana" w:cs="Arial"/>
                <w:sz w:val="24"/>
                <w:szCs w:val="24"/>
              </w:rPr>
            </w:pPr>
            <w:r w:rsidRPr="000E2190">
              <w:rPr>
                <w:rFonts w:ascii="Verdana" w:hAnsi="Verdana" w:cs="Arial"/>
                <w:sz w:val="24"/>
                <w:szCs w:val="24"/>
              </w:rPr>
              <w:t xml:space="preserve">1) </w:t>
            </w:r>
            <w:r w:rsidRPr="000E2190" w:rsidR="000E2190">
              <w:rPr>
                <w:rFonts w:ascii="Verdana" w:hAnsi="Verdana" w:cs="Arial"/>
                <w:sz w:val="24"/>
                <w:szCs w:val="24"/>
              </w:rPr>
              <w:t xml:space="preserve">HIW </w:t>
            </w:r>
            <w:r w:rsidRPr="000E2190" w:rsidR="000E2190">
              <w:rPr>
                <w:rFonts w:ascii="Verdana" w:hAnsi="Verdana" w:cs="Arial"/>
                <w:sz w:val="24"/>
                <w:szCs w:val="24"/>
              </w:rPr>
              <w:t>Mental Health, Learning Disability Services and Mental Health Act Monitoring Annual Report 2024-2025</w:t>
            </w:r>
          </w:p>
          <w:p w:rsidRPr="000E2190" w:rsidR="002C63E3" w:rsidP="00653AEC" w:rsidRDefault="002C63E3" w14:paraId="334F61EB" w14:textId="38388603">
            <w:pPr>
              <w:ind w:right="96"/>
              <w:rPr>
                <w:rFonts w:ascii="Verdana" w:hAnsi="Verdana" w:cs="Arial"/>
                <w:sz w:val="24"/>
                <w:szCs w:val="24"/>
              </w:rPr>
            </w:pPr>
            <w:r>
              <w:rPr>
                <w:rFonts w:ascii="Verdana" w:hAnsi="Verdana" w:cs="Arial"/>
                <w:sz w:val="24"/>
                <w:szCs w:val="24"/>
              </w:rPr>
              <w:t xml:space="preserve">2) </w:t>
            </w:r>
            <w:r w:rsidRPr="000E2190">
              <w:rPr>
                <w:rFonts w:ascii="Verdana" w:hAnsi="Verdana" w:cs="Arial"/>
                <w:sz w:val="24"/>
                <w:szCs w:val="24"/>
              </w:rPr>
              <w:t>HIW Covering letter</w:t>
            </w:r>
          </w:p>
          <w:p w:rsidRPr="000E2190" w:rsidR="00653AEC" w:rsidP="00653AEC" w:rsidRDefault="00653AEC" w14:paraId="6D29049E" w14:textId="77777777">
            <w:pPr>
              <w:ind w:right="96"/>
              <w:rPr>
                <w:rFonts w:ascii="Verdana" w:hAnsi="Verdana" w:cs="Arial"/>
                <w:sz w:val="24"/>
                <w:szCs w:val="24"/>
              </w:rPr>
            </w:pPr>
          </w:p>
        </w:tc>
      </w:tr>
    </w:tbl>
    <w:p w:rsidRPr="00F8567E" w:rsidR="00034194" w:rsidRDefault="00034194" w14:paraId="6D2904A0" w14:textId="77777777">
      <w:pPr>
        <w:rPr>
          <w:rFonts w:ascii="Verdana" w:hAnsi="Verdana"/>
          <w:sz w:val="24"/>
          <w:szCs w:val="24"/>
        </w:rPr>
      </w:pPr>
    </w:p>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304A1" w:rsidP="00C107F2" w:rsidRDefault="009304A1" w14:paraId="4410BDCB" w14:textId="77777777">
      <w:pPr>
        <w:spacing w:after="0" w:line="240" w:lineRule="auto"/>
      </w:pPr>
      <w:r>
        <w:separator/>
      </w:r>
    </w:p>
  </w:endnote>
  <w:endnote w:type="continuationSeparator" w:id="0">
    <w:p w:rsidR="009304A1" w:rsidP="00C107F2" w:rsidRDefault="009304A1" w14:paraId="3833A63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Content>
      <w:p w:rsidR="0032747D" w:rsidRDefault="0032747D" w14:paraId="5EE9C96C" w14:textId="2869F627">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rsidR="003324CB" w:rsidP="002B7C9A" w:rsidRDefault="00D573A3" w14:paraId="6D2904A9" w14:textId="7770E4B7">
    <w:pPr>
      <w:pStyle w:val="Footer"/>
      <w:jc w:val="right"/>
    </w:pPr>
    <w:r w:rsidR="0C103216">
      <w:rPr/>
      <w:t>Mental Health Legislation Committee – 3</w:t>
    </w:r>
    <w:r w:rsidR="0C103216">
      <w:rPr/>
      <w:t xml:space="preserve"> </w:t>
    </w:r>
    <w:r w:rsidR="0C103216">
      <w:rPr/>
      <w:t>February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304A1" w:rsidP="00C107F2" w:rsidRDefault="009304A1" w14:paraId="50CAF4AE" w14:textId="77777777">
      <w:pPr>
        <w:spacing w:after="0" w:line="240" w:lineRule="auto"/>
      </w:pPr>
      <w:r>
        <w:separator/>
      </w:r>
    </w:p>
  </w:footnote>
  <w:footnote w:type="continuationSeparator" w:id="0">
    <w:p w:rsidR="009304A1" w:rsidP="00C107F2" w:rsidRDefault="009304A1" w14:paraId="14AFC56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35DB06EA">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F4D012C"/>
    <w:multiLevelType w:val="hybridMultilevel"/>
    <w:tmpl w:val="5BDC71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7BBC29F8"/>
    <w:multiLevelType w:val="hybridMultilevel"/>
    <w:tmpl w:val="C098FF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5"/>
  </w:num>
  <w:num w:numId="3" w16cid:durableId="358313792">
    <w:abstractNumId w:val="4"/>
  </w:num>
  <w:num w:numId="4" w16cid:durableId="1144618638">
    <w:abstractNumId w:val="3"/>
  </w:num>
  <w:num w:numId="5" w16cid:durableId="211239042">
    <w:abstractNumId w:val="2"/>
  </w:num>
  <w:num w:numId="6" w16cid:durableId="1874800944">
    <w:abstractNumId w:val="9"/>
  </w:num>
  <w:num w:numId="7" w16cid:durableId="263198079">
    <w:abstractNumId w:val="10"/>
  </w:num>
  <w:num w:numId="8" w16cid:durableId="1535070366">
    <w:abstractNumId w:val="6"/>
  </w:num>
  <w:num w:numId="9" w16cid:durableId="1823614381">
    <w:abstractNumId w:val="7"/>
  </w:num>
  <w:num w:numId="10" w16cid:durableId="875429971">
    <w:abstractNumId w:val="8"/>
  </w:num>
  <w:num w:numId="11" w16cid:durableId="13470537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14F1"/>
    <w:rsid w:val="00034194"/>
    <w:rsid w:val="00037086"/>
    <w:rsid w:val="00051922"/>
    <w:rsid w:val="00054F8C"/>
    <w:rsid w:val="00083FC0"/>
    <w:rsid w:val="000C4BC0"/>
    <w:rsid w:val="000E2190"/>
    <w:rsid w:val="000F361B"/>
    <w:rsid w:val="00133EA1"/>
    <w:rsid w:val="00141A61"/>
    <w:rsid w:val="00142A22"/>
    <w:rsid w:val="0016096B"/>
    <w:rsid w:val="00187973"/>
    <w:rsid w:val="0019517F"/>
    <w:rsid w:val="00204CE3"/>
    <w:rsid w:val="0020539A"/>
    <w:rsid w:val="00220CC2"/>
    <w:rsid w:val="00233330"/>
    <w:rsid w:val="00241662"/>
    <w:rsid w:val="002518B7"/>
    <w:rsid w:val="00272BD5"/>
    <w:rsid w:val="00293507"/>
    <w:rsid w:val="002950FF"/>
    <w:rsid w:val="00296CD9"/>
    <w:rsid w:val="002B7C9A"/>
    <w:rsid w:val="002C3DD6"/>
    <w:rsid w:val="002C63E3"/>
    <w:rsid w:val="0032747D"/>
    <w:rsid w:val="00327B85"/>
    <w:rsid w:val="003324CB"/>
    <w:rsid w:val="003B4CBE"/>
    <w:rsid w:val="003C0FF8"/>
    <w:rsid w:val="00414894"/>
    <w:rsid w:val="00461835"/>
    <w:rsid w:val="004671D2"/>
    <w:rsid w:val="00520962"/>
    <w:rsid w:val="0052297E"/>
    <w:rsid w:val="005446BD"/>
    <w:rsid w:val="0055385C"/>
    <w:rsid w:val="00574BCF"/>
    <w:rsid w:val="00585277"/>
    <w:rsid w:val="0058764D"/>
    <w:rsid w:val="005D1652"/>
    <w:rsid w:val="005D2C4A"/>
    <w:rsid w:val="005D3012"/>
    <w:rsid w:val="005D3DF1"/>
    <w:rsid w:val="005D5AFA"/>
    <w:rsid w:val="00613CC4"/>
    <w:rsid w:val="006201D0"/>
    <w:rsid w:val="00653AEC"/>
    <w:rsid w:val="006546D0"/>
    <w:rsid w:val="00655190"/>
    <w:rsid w:val="00662218"/>
    <w:rsid w:val="00664863"/>
    <w:rsid w:val="00685AE0"/>
    <w:rsid w:val="006B38CE"/>
    <w:rsid w:val="006C0091"/>
    <w:rsid w:val="006D1998"/>
    <w:rsid w:val="00703D77"/>
    <w:rsid w:val="00711095"/>
    <w:rsid w:val="00721154"/>
    <w:rsid w:val="0072604C"/>
    <w:rsid w:val="0074184B"/>
    <w:rsid w:val="00762BBE"/>
    <w:rsid w:val="00767E3E"/>
    <w:rsid w:val="007E7347"/>
    <w:rsid w:val="008114D9"/>
    <w:rsid w:val="00820546"/>
    <w:rsid w:val="00821AB2"/>
    <w:rsid w:val="008A6E83"/>
    <w:rsid w:val="008C15D9"/>
    <w:rsid w:val="008D0747"/>
    <w:rsid w:val="009040E3"/>
    <w:rsid w:val="009112DC"/>
    <w:rsid w:val="0093045E"/>
    <w:rsid w:val="009304A1"/>
    <w:rsid w:val="00931AB2"/>
    <w:rsid w:val="009651C3"/>
    <w:rsid w:val="00983F5E"/>
    <w:rsid w:val="00996159"/>
    <w:rsid w:val="009E7AF7"/>
    <w:rsid w:val="00A22B2B"/>
    <w:rsid w:val="00A602A5"/>
    <w:rsid w:val="00A82D3B"/>
    <w:rsid w:val="00A83E54"/>
    <w:rsid w:val="00A9602E"/>
    <w:rsid w:val="00AB6033"/>
    <w:rsid w:val="00AD064D"/>
    <w:rsid w:val="00AD71BC"/>
    <w:rsid w:val="00B0479E"/>
    <w:rsid w:val="00B0564E"/>
    <w:rsid w:val="00B13985"/>
    <w:rsid w:val="00B22293"/>
    <w:rsid w:val="00B224D7"/>
    <w:rsid w:val="00B35ECC"/>
    <w:rsid w:val="00B700C8"/>
    <w:rsid w:val="00B70ED7"/>
    <w:rsid w:val="00BA2507"/>
    <w:rsid w:val="00BB764F"/>
    <w:rsid w:val="00BC241D"/>
    <w:rsid w:val="00BF30E4"/>
    <w:rsid w:val="00C107F2"/>
    <w:rsid w:val="00C2143D"/>
    <w:rsid w:val="00C33A04"/>
    <w:rsid w:val="00C56152"/>
    <w:rsid w:val="00C61658"/>
    <w:rsid w:val="00C95B3C"/>
    <w:rsid w:val="00CA1009"/>
    <w:rsid w:val="00CA6D65"/>
    <w:rsid w:val="00CB1C7D"/>
    <w:rsid w:val="00CC670F"/>
    <w:rsid w:val="00CD3F4F"/>
    <w:rsid w:val="00CD7AA5"/>
    <w:rsid w:val="00D00C2B"/>
    <w:rsid w:val="00D573A3"/>
    <w:rsid w:val="00D74D8A"/>
    <w:rsid w:val="00DA76AD"/>
    <w:rsid w:val="00DD41FA"/>
    <w:rsid w:val="00E06294"/>
    <w:rsid w:val="00E242E5"/>
    <w:rsid w:val="00E65BBC"/>
    <w:rsid w:val="00EF31AD"/>
    <w:rsid w:val="00F06D6F"/>
    <w:rsid w:val="00F11654"/>
    <w:rsid w:val="00F11CD2"/>
    <w:rsid w:val="00F417A3"/>
    <w:rsid w:val="00F5082D"/>
    <w:rsid w:val="00F531BD"/>
    <w:rsid w:val="00F5324A"/>
    <w:rsid w:val="00F54AE7"/>
    <w:rsid w:val="00F55629"/>
    <w:rsid w:val="00F57042"/>
    <w:rsid w:val="00F57C68"/>
    <w:rsid w:val="00F770C1"/>
    <w:rsid w:val="00F82EA6"/>
    <w:rsid w:val="00F8567E"/>
    <w:rsid w:val="00F90509"/>
    <w:rsid w:val="00FA0CA9"/>
    <w:rsid w:val="00FD106E"/>
    <w:rsid w:val="00FD1FA3"/>
    <w:rsid w:val="00FE7070"/>
    <w:rsid w:val="00FF32F6"/>
    <w:rsid w:val="0C103216"/>
    <w:rsid w:val="545A1E19"/>
    <w:rsid w:val="7368200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5A70DB0-D73A-4087-8AB5-D9AF6E9C9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762C1B9F-E785-42C8-88E2-C517C66C28FC}"/>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Amelia Cole (Swansea Bay UHB - Corporate)</lastModifiedBy>
  <revision>82</revision>
  <dcterms:created xsi:type="dcterms:W3CDTF">2019-03-29T02:09:00.0000000Z</dcterms:created>
  <dcterms:modified xsi:type="dcterms:W3CDTF">2026-01-22T11:41:51.0073656Z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